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AA33" w14:textId="77777777" w:rsidR="005F559F" w:rsidRPr="005F559F" w:rsidRDefault="005F559F" w:rsidP="005F559F">
      <w:pPr>
        <w:spacing w:after="0" w:line="240" w:lineRule="auto"/>
        <w:jc w:val="center"/>
        <w:outlineLvl w:val="1"/>
        <w:rPr>
          <w:rFonts w:eastAsia="Times New Roman" w:cstheme="minorHAnsi"/>
          <w:b/>
          <w:bCs/>
          <w:kern w:val="0"/>
          <w14:ligatures w14:val="none"/>
        </w:rPr>
      </w:pPr>
      <w:r w:rsidRPr="005F559F">
        <w:rPr>
          <w:rFonts w:eastAsia="Times New Roman" w:cstheme="minorHAnsi"/>
          <w:b/>
          <w:bCs/>
          <w:kern w:val="0"/>
          <w14:ligatures w14:val="none"/>
        </w:rPr>
        <w:t>APEC Regulatory Harmonization Steering Committee (RHSC)</w:t>
      </w:r>
    </w:p>
    <w:p w14:paraId="5EFA1272" w14:textId="7706FB07" w:rsidR="004943A5" w:rsidRDefault="005F559F" w:rsidP="005F559F">
      <w:pPr>
        <w:spacing w:after="0" w:line="240" w:lineRule="auto"/>
        <w:jc w:val="center"/>
        <w:rPr>
          <w:rFonts w:eastAsia="Times New Roman" w:cstheme="minorHAnsi"/>
          <w:b/>
          <w:bCs/>
          <w:kern w:val="0"/>
          <w14:ligatures w14:val="none"/>
        </w:rPr>
      </w:pPr>
      <w:r w:rsidRPr="005F559F">
        <w:rPr>
          <w:rFonts w:eastAsia="Times New Roman" w:cstheme="minorHAnsi"/>
          <w:b/>
          <w:bCs/>
          <w:kern w:val="0"/>
          <w14:ligatures w14:val="none"/>
        </w:rPr>
        <w:t>Plenary Meeting</w:t>
      </w:r>
    </w:p>
    <w:p w14:paraId="33F53F2B" w14:textId="0DC1CD9F" w:rsidR="005F559F" w:rsidRPr="005F559F" w:rsidRDefault="005F559F" w:rsidP="005F559F">
      <w:pPr>
        <w:spacing w:after="0" w:line="240" w:lineRule="auto"/>
        <w:jc w:val="center"/>
        <w:rPr>
          <w:rFonts w:eastAsia="Times New Roman" w:cstheme="minorHAnsi"/>
          <w:kern w:val="0"/>
          <w14:ligatures w14:val="none"/>
        </w:rPr>
      </w:pPr>
      <w:r w:rsidRPr="005F559F">
        <w:rPr>
          <w:rFonts w:eastAsia="Times New Roman" w:cstheme="minorHAnsi"/>
          <w:b/>
          <w:bCs/>
          <w:kern w:val="0"/>
          <w14:ligatures w14:val="none"/>
        </w:rPr>
        <w:t>31 July – 1 August 2025</w:t>
      </w:r>
      <w:r w:rsidRPr="005F559F">
        <w:rPr>
          <w:rFonts w:eastAsia="Times New Roman" w:cstheme="minorHAnsi"/>
          <w:kern w:val="0"/>
          <w14:ligatures w14:val="none"/>
        </w:rPr>
        <w:br/>
      </w:r>
      <w:r w:rsidRPr="005F559F">
        <w:rPr>
          <w:rFonts w:eastAsia="Times New Roman" w:cstheme="minorHAnsi"/>
          <w:b/>
          <w:bCs/>
          <w:kern w:val="0"/>
          <w14:ligatures w14:val="none"/>
        </w:rPr>
        <w:t>Incheon, Republic of Korea</w:t>
      </w:r>
    </w:p>
    <w:p w14:paraId="48B15A5E" w14:textId="77777777" w:rsidR="004943A5" w:rsidRDefault="004943A5" w:rsidP="005F559F">
      <w:pPr>
        <w:spacing w:after="0"/>
        <w:rPr>
          <w:rFonts w:cstheme="minorHAnsi"/>
        </w:rPr>
      </w:pPr>
    </w:p>
    <w:p w14:paraId="1907679D" w14:textId="6607CFAF" w:rsidR="005F559F" w:rsidRPr="00247D72" w:rsidRDefault="005F559F" w:rsidP="00776DE2">
      <w:pPr>
        <w:spacing w:after="0"/>
        <w:ind w:firstLine="720"/>
        <w:rPr>
          <w:rFonts w:cstheme="minorHAnsi"/>
        </w:rPr>
      </w:pPr>
      <w:r w:rsidRPr="00247D72">
        <w:rPr>
          <w:rFonts w:cstheme="minorHAnsi"/>
        </w:rPr>
        <w:t>The third meeting of the APEC Regulatory Harmonization Steering Committee was convened in-person and was attended by 14 APEC economies, including</w:t>
      </w:r>
      <w:r w:rsidR="007947C7">
        <w:rPr>
          <w:rFonts w:cstheme="minorHAnsi"/>
        </w:rPr>
        <w:t>:</w:t>
      </w:r>
      <w:r w:rsidRPr="00247D72">
        <w:rPr>
          <w:rFonts w:cstheme="minorHAnsi"/>
        </w:rPr>
        <w:t xml:space="preserve"> Australia; Canada; Chile; People’s Republic of China; Japan; Republic of Korea; Malaysia; </w:t>
      </w:r>
      <w:r w:rsidR="00C01FFA" w:rsidRPr="00247D72">
        <w:rPr>
          <w:rFonts w:cstheme="minorHAnsi"/>
        </w:rPr>
        <w:t>Peru; the</w:t>
      </w:r>
      <w:r w:rsidRPr="00247D72">
        <w:rPr>
          <w:rFonts w:cstheme="minorHAnsi"/>
        </w:rPr>
        <w:t xml:space="preserve"> Philippines; the Russian Federation; Singapore; Chinese Taipei; Thailand; and the United States. The RHSC Plenary meeting was chaired by Mr. Mark Abdoo of the United States</w:t>
      </w:r>
      <w:r w:rsidR="00C01FFA">
        <w:rPr>
          <w:rFonts w:cstheme="minorHAnsi"/>
        </w:rPr>
        <w:t>, and the Vice-Chair was</w:t>
      </w:r>
      <w:r w:rsidR="0017205D">
        <w:rPr>
          <w:rFonts w:cstheme="minorHAnsi"/>
        </w:rPr>
        <w:t xml:space="preserve"> Mr.</w:t>
      </w:r>
      <w:r w:rsidR="00C01FFA">
        <w:rPr>
          <w:rFonts w:cstheme="minorHAnsi"/>
        </w:rPr>
        <w:t xml:space="preserve"> </w:t>
      </w:r>
      <w:r w:rsidR="00456A34">
        <w:rPr>
          <w:rFonts w:cstheme="minorHAnsi"/>
        </w:rPr>
        <w:t>Naoyuki</w:t>
      </w:r>
      <w:r w:rsidR="00C01FFA">
        <w:rPr>
          <w:rFonts w:cstheme="minorHAnsi"/>
        </w:rPr>
        <w:t xml:space="preserve"> Yasuda of Japan.</w:t>
      </w:r>
    </w:p>
    <w:p w14:paraId="0A8C209D" w14:textId="77777777" w:rsidR="005F559F" w:rsidRPr="00247D72" w:rsidRDefault="005F559F" w:rsidP="005F559F">
      <w:pPr>
        <w:spacing w:after="0"/>
        <w:rPr>
          <w:rFonts w:cstheme="minorHAnsi"/>
        </w:rPr>
      </w:pPr>
    </w:p>
    <w:tbl>
      <w:tblPr>
        <w:tblStyle w:val="TableGrid1"/>
        <w:tblW w:w="9355" w:type="dxa"/>
        <w:jc w:val="center"/>
        <w:tblLook w:val="04A0" w:firstRow="1" w:lastRow="0" w:firstColumn="1" w:lastColumn="0" w:noHBand="0" w:noVBand="1"/>
      </w:tblPr>
      <w:tblGrid>
        <w:gridCol w:w="9355"/>
      </w:tblGrid>
      <w:tr w:rsidR="005F559F" w:rsidRPr="00247D72" w14:paraId="6E595132" w14:textId="77777777" w:rsidTr="004943A5">
        <w:trPr>
          <w:trHeight w:val="356"/>
          <w:jc w:val="center"/>
        </w:trPr>
        <w:tc>
          <w:tcPr>
            <w:tcW w:w="9355" w:type="dxa"/>
            <w:shd w:val="clear" w:color="auto" w:fill="A1C6E7"/>
          </w:tcPr>
          <w:p w14:paraId="65183FED" w14:textId="3E35B38C" w:rsidR="005F559F" w:rsidRPr="00EA1699" w:rsidRDefault="005F559F" w:rsidP="005F559F">
            <w:pPr>
              <w:spacing w:line="257" w:lineRule="auto"/>
              <w:jc w:val="center"/>
              <w:rPr>
                <w:rFonts w:cstheme="minorHAnsi"/>
                <w:b/>
                <w:u w:color="000000"/>
                <w:lang w:eastAsia="zh-CN"/>
              </w:rPr>
            </w:pPr>
            <w:bookmarkStart w:id="0" w:name="_Hlk193956705"/>
            <w:r w:rsidRPr="00EA1699">
              <w:rPr>
                <w:rFonts w:cstheme="minorHAnsi"/>
                <w:b/>
                <w:u w:color="000000"/>
                <w:lang w:eastAsia="zh-CN"/>
              </w:rPr>
              <w:t>Regulatory Harmonization Steering Committee – Day 1</w:t>
            </w:r>
          </w:p>
        </w:tc>
      </w:tr>
      <w:bookmarkEnd w:id="0"/>
    </w:tbl>
    <w:p w14:paraId="52D24FBA" w14:textId="77777777" w:rsidR="005F559F" w:rsidRPr="00247D72" w:rsidRDefault="005F559F" w:rsidP="005F559F">
      <w:pPr>
        <w:spacing w:after="0"/>
        <w:rPr>
          <w:rFonts w:cstheme="minorHAnsi"/>
        </w:rPr>
      </w:pPr>
    </w:p>
    <w:tbl>
      <w:tblPr>
        <w:tblStyle w:val="TableGrid"/>
        <w:tblW w:w="0" w:type="auto"/>
        <w:tblLook w:val="04A0" w:firstRow="1" w:lastRow="0" w:firstColumn="1" w:lastColumn="0" w:noHBand="0" w:noVBand="1"/>
      </w:tblPr>
      <w:tblGrid>
        <w:gridCol w:w="1776"/>
        <w:gridCol w:w="1860"/>
        <w:gridCol w:w="5714"/>
      </w:tblGrid>
      <w:tr w:rsidR="005F559F" w:rsidRPr="00247D72" w14:paraId="57F8A3EB" w14:textId="77777777">
        <w:tc>
          <w:tcPr>
            <w:tcW w:w="1818" w:type="dxa"/>
            <w:shd w:val="clear" w:color="auto" w:fill="F2F2F2" w:themeFill="background1" w:themeFillShade="F2"/>
          </w:tcPr>
          <w:p w14:paraId="68972170" w14:textId="17580609" w:rsidR="005F559F" w:rsidRPr="00247D72" w:rsidRDefault="0084339D" w:rsidP="005F559F">
            <w:pPr>
              <w:jc w:val="both"/>
              <w:rPr>
                <w:rFonts w:cstheme="minorHAnsi"/>
                <w:b/>
              </w:rPr>
            </w:pPr>
            <w:r w:rsidRPr="00247D72">
              <w:rPr>
                <w:rFonts w:cstheme="minorHAnsi"/>
                <w:b/>
              </w:rPr>
              <w:t>9</w:t>
            </w:r>
            <w:r w:rsidR="005F559F" w:rsidRPr="00247D72">
              <w:rPr>
                <w:rFonts w:cstheme="minorHAnsi"/>
                <w:b/>
              </w:rPr>
              <w:t xml:space="preserve">:00 – </w:t>
            </w:r>
            <w:r w:rsidRPr="00247D72">
              <w:rPr>
                <w:rFonts w:cstheme="minorHAnsi"/>
                <w:b/>
              </w:rPr>
              <w:t>9</w:t>
            </w:r>
            <w:r w:rsidR="005F559F" w:rsidRPr="00247D72">
              <w:rPr>
                <w:rFonts w:cstheme="minorHAnsi"/>
                <w:b/>
              </w:rPr>
              <w:t>:20</w:t>
            </w:r>
          </w:p>
        </w:tc>
        <w:tc>
          <w:tcPr>
            <w:tcW w:w="1890" w:type="dxa"/>
            <w:shd w:val="clear" w:color="auto" w:fill="F2F2F2" w:themeFill="background1" w:themeFillShade="F2"/>
          </w:tcPr>
          <w:p w14:paraId="08EAA18E" w14:textId="77777777" w:rsidR="005F559F" w:rsidRPr="00247D72" w:rsidRDefault="005F559F" w:rsidP="005F559F">
            <w:pPr>
              <w:jc w:val="both"/>
              <w:rPr>
                <w:rFonts w:cstheme="minorHAnsi"/>
                <w:b/>
              </w:rPr>
            </w:pPr>
            <w:r w:rsidRPr="00247D72">
              <w:rPr>
                <w:rFonts w:cstheme="minorHAnsi"/>
                <w:b/>
              </w:rPr>
              <w:t>AGENDA ITEM 1</w:t>
            </w:r>
          </w:p>
        </w:tc>
        <w:tc>
          <w:tcPr>
            <w:tcW w:w="5868" w:type="dxa"/>
            <w:shd w:val="clear" w:color="auto" w:fill="F2F2F2" w:themeFill="background1" w:themeFillShade="F2"/>
          </w:tcPr>
          <w:p w14:paraId="2C446C39" w14:textId="77777777" w:rsidR="005F559F" w:rsidRPr="00247D72" w:rsidRDefault="005F559F" w:rsidP="005F559F">
            <w:pPr>
              <w:jc w:val="both"/>
              <w:rPr>
                <w:rFonts w:cstheme="minorHAnsi"/>
                <w:b/>
              </w:rPr>
            </w:pPr>
            <w:r w:rsidRPr="00247D72">
              <w:rPr>
                <w:rFonts w:cstheme="minorHAnsi"/>
                <w:b/>
              </w:rPr>
              <w:t>RHSC Leadership Welcome, Introductions and Updates</w:t>
            </w:r>
          </w:p>
        </w:tc>
      </w:tr>
    </w:tbl>
    <w:p w14:paraId="4BE69962" w14:textId="77777777" w:rsidR="005F559F" w:rsidRPr="00247D72" w:rsidRDefault="005F559F" w:rsidP="005F559F">
      <w:pPr>
        <w:spacing w:after="0"/>
        <w:rPr>
          <w:rFonts w:cstheme="minorHAnsi"/>
        </w:rPr>
      </w:pPr>
    </w:p>
    <w:p w14:paraId="5297377D" w14:textId="1520FB73" w:rsidR="005F559F" w:rsidRPr="00247D72" w:rsidRDefault="005F559F" w:rsidP="005F559F">
      <w:pPr>
        <w:pStyle w:val="BodyText"/>
        <w:numPr>
          <w:ilvl w:val="0"/>
          <w:numId w:val="1"/>
        </w:numPr>
        <w:tabs>
          <w:tab w:val="left" w:pos="1440"/>
          <w:tab w:val="right" w:pos="9360"/>
        </w:tabs>
        <w:ind w:left="720" w:firstLine="0"/>
        <w:rPr>
          <w:rFonts w:asciiTheme="minorHAnsi" w:hAnsiTheme="minorHAnsi" w:cstheme="minorHAnsi"/>
          <w:b/>
          <w:bCs/>
        </w:rPr>
      </w:pPr>
      <w:r w:rsidRPr="00247D72">
        <w:rPr>
          <w:rFonts w:asciiTheme="minorHAnsi" w:hAnsiTheme="minorHAnsi" w:cstheme="minorHAnsi"/>
          <w:b/>
          <w:bCs/>
          <w:u w:val="single"/>
        </w:rPr>
        <w:t>Introduction from the RHSC Chair and Vice-Chair</w:t>
      </w:r>
      <w:r w:rsidRPr="00247D72">
        <w:rPr>
          <w:rFonts w:asciiTheme="minorHAnsi" w:hAnsiTheme="minorHAnsi" w:cstheme="minorHAnsi"/>
        </w:rPr>
        <w:tab/>
      </w:r>
    </w:p>
    <w:p w14:paraId="0E388D41" w14:textId="77777777" w:rsidR="005F559F" w:rsidRPr="00247D72" w:rsidRDefault="005F559F" w:rsidP="005F559F">
      <w:pPr>
        <w:spacing w:after="0"/>
        <w:jc w:val="both"/>
        <w:rPr>
          <w:rFonts w:cstheme="minorHAnsi"/>
        </w:rPr>
      </w:pPr>
    </w:p>
    <w:p w14:paraId="3BA12CEA" w14:textId="07222EE9" w:rsidR="003817D3" w:rsidRDefault="005F559F" w:rsidP="00776DE2">
      <w:pPr>
        <w:ind w:firstLine="720"/>
      </w:pPr>
      <w:r w:rsidRPr="00247D72">
        <w:rPr>
          <w:rFonts w:eastAsia="Calibri" w:cstheme="minorHAnsi"/>
        </w:rPr>
        <w:t xml:space="preserve">The RHSC </w:t>
      </w:r>
      <w:r w:rsidR="003817D3">
        <w:rPr>
          <w:rFonts w:eastAsia="Calibri" w:cstheme="minorHAnsi"/>
        </w:rPr>
        <w:t xml:space="preserve">Interim </w:t>
      </w:r>
      <w:r w:rsidRPr="00247D72">
        <w:rPr>
          <w:rFonts w:eastAsia="Calibri" w:cstheme="minorHAnsi"/>
        </w:rPr>
        <w:t xml:space="preserve">Chair opened the meeting by welcoming delegates and thanking the </w:t>
      </w:r>
      <w:r w:rsidR="003817D3">
        <w:rPr>
          <w:rFonts w:eastAsia="Calibri" w:cstheme="minorHAnsi"/>
        </w:rPr>
        <w:t xml:space="preserve">Republic of Korea </w:t>
      </w:r>
      <w:r w:rsidRPr="00247D72">
        <w:rPr>
          <w:rFonts w:eastAsia="Calibri" w:cstheme="minorHAnsi"/>
        </w:rPr>
        <w:t xml:space="preserve">for hosting and the APEC Secretariat for logistical and technical support. He emphasized the RHSC’s commitment to its 2030 goal of achieving regulatory convergence for medical products in the APEC region to </w:t>
      </w:r>
      <w:r w:rsidR="003817D3">
        <w:rPr>
          <w:rFonts w:eastAsia="Calibri" w:cstheme="minorHAnsi"/>
        </w:rPr>
        <w:t xml:space="preserve">protect people’s safety, </w:t>
      </w:r>
      <w:r w:rsidRPr="00247D72">
        <w:rPr>
          <w:rFonts w:eastAsia="Calibri" w:cstheme="minorHAnsi"/>
        </w:rPr>
        <w:t>improve patient access, enhance supply chain resilience, foster economic growth</w:t>
      </w:r>
      <w:r w:rsidR="00590219">
        <w:rPr>
          <w:rFonts w:eastAsia="Calibri" w:cstheme="minorHAnsi"/>
        </w:rPr>
        <w:t>, and improve efficiency</w:t>
      </w:r>
      <w:r w:rsidRPr="00247D72">
        <w:rPr>
          <w:rFonts w:eastAsia="Calibri" w:cstheme="minorHAnsi"/>
        </w:rPr>
        <w:t xml:space="preserve">. </w:t>
      </w:r>
      <w:r w:rsidR="004116B5">
        <w:rPr>
          <w:rFonts w:eastAsia="Calibri" w:cstheme="minorHAnsi"/>
        </w:rPr>
        <w:t xml:space="preserve">He thanked the RHSC Vice Chair for their work and appreciated the representatives from the economies in attendance.  He encouraged more regulators within the economies to participate in future RHSC meetings. </w:t>
      </w:r>
      <w:r w:rsidRPr="00247D72">
        <w:rPr>
          <w:rFonts w:eastAsia="Calibri" w:cstheme="minorHAnsi"/>
        </w:rPr>
        <w:t>He</w:t>
      </w:r>
      <w:r w:rsidR="004116B5">
        <w:rPr>
          <w:rFonts w:eastAsia="Calibri" w:cstheme="minorHAnsi"/>
        </w:rPr>
        <w:t xml:space="preserve"> foreshadowed the agenda for the meeting, </w:t>
      </w:r>
      <w:r w:rsidRPr="00247D72">
        <w:rPr>
          <w:rFonts w:eastAsia="Calibri" w:cstheme="minorHAnsi"/>
        </w:rPr>
        <w:t>highlight</w:t>
      </w:r>
      <w:r w:rsidR="004116B5">
        <w:rPr>
          <w:rFonts w:eastAsia="Calibri" w:cstheme="minorHAnsi"/>
        </w:rPr>
        <w:t>ing</w:t>
      </w:r>
      <w:r w:rsidRPr="00247D72">
        <w:rPr>
          <w:rFonts w:eastAsia="Calibri" w:cstheme="minorHAnsi"/>
        </w:rPr>
        <w:t xml:space="preserve"> the inclusion of three</w:t>
      </w:r>
      <w:r w:rsidR="004A1A7C">
        <w:rPr>
          <w:rFonts w:eastAsia="Calibri" w:cstheme="minorHAnsi"/>
        </w:rPr>
        <w:t xml:space="preserve"> policy dialogues</w:t>
      </w:r>
      <w:r w:rsidRPr="00247D72">
        <w:rPr>
          <w:rFonts w:eastAsia="Calibri" w:cstheme="minorHAnsi"/>
        </w:rPr>
        <w:t xml:space="preserve"> </w:t>
      </w:r>
      <w:r w:rsidR="004A1A7C">
        <w:rPr>
          <w:rFonts w:eastAsia="Calibri" w:cstheme="minorHAnsi"/>
        </w:rPr>
        <w:t>(</w:t>
      </w:r>
      <w:r w:rsidRPr="00247D72">
        <w:rPr>
          <w:rFonts w:eastAsia="Calibri" w:cstheme="minorHAnsi"/>
        </w:rPr>
        <w:t>dialogues</w:t>
      </w:r>
      <w:r w:rsidR="004A1A7C">
        <w:rPr>
          <w:rFonts w:eastAsia="Calibri" w:cstheme="minorHAnsi"/>
        </w:rPr>
        <w:t>)</w:t>
      </w:r>
      <w:r w:rsidRPr="00247D72">
        <w:rPr>
          <w:rFonts w:eastAsia="Calibri" w:cstheme="minorHAnsi"/>
        </w:rPr>
        <w:t xml:space="preserve"> as an opportunity to bridge technical regulatory work with broader strategic policy considerations</w:t>
      </w:r>
      <w:r w:rsidR="004116B5">
        <w:rPr>
          <w:rFonts w:eastAsia="Calibri" w:cstheme="minorHAnsi"/>
        </w:rPr>
        <w:t xml:space="preserve">, and work to strengthen the committee </w:t>
      </w:r>
      <w:r w:rsidR="003817D3">
        <w:t>ensuring its effective and efficient governance.</w:t>
      </w:r>
    </w:p>
    <w:p w14:paraId="32F83D5D" w14:textId="7AA9E3ED" w:rsidR="005F559F" w:rsidRPr="00247D72" w:rsidRDefault="005F559F" w:rsidP="00776DE2">
      <w:pPr>
        <w:spacing w:after="0"/>
        <w:ind w:firstLine="720"/>
        <w:jc w:val="both"/>
        <w:rPr>
          <w:rFonts w:eastAsia="Calibri" w:cstheme="minorHAnsi"/>
        </w:rPr>
      </w:pPr>
      <w:r w:rsidRPr="00247D72">
        <w:rPr>
          <w:rFonts w:eastAsia="Calibri" w:cstheme="minorHAnsi"/>
        </w:rPr>
        <w:t>The RHSC Vice-Chair acknowledged the significant progress made under each Product Work Area (PWA) and urged members to address remaining gaps, foster stronger cross-PWA collaboration, and ensure measurable, outcome-oriented deliverables.</w:t>
      </w:r>
    </w:p>
    <w:p w14:paraId="474AB64E" w14:textId="77777777" w:rsidR="005F559F" w:rsidRPr="00247D72" w:rsidRDefault="005F559F" w:rsidP="008C5499">
      <w:pPr>
        <w:spacing w:after="0"/>
        <w:ind w:firstLine="720"/>
        <w:jc w:val="both"/>
        <w:rPr>
          <w:rFonts w:eastAsia="Calibri" w:cstheme="minorHAnsi"/>
        </w:rPr>
      </w:pPr>
    </w:p>
    <w:p w14:paraId="5FEA9E22" w14:textId="3C4AD7EF" w:rsidR="005F559F" w:rsidRPr="00247D72" w:rsidRDefault="005F559F" w:rsidP="008C5499">
      <w:pPr>
        <w:pStyle w:val="ListParagraph"/>
        <w:numPr>
          <w:ilvl w:val="0"/>
          <w:numId w:val="1"/>
        </w:numPr>
        <w:ind w:left="1170"/>
        <w:jc w:val="both"/>
        <w:rPr>
          <w:rFonts w:cstheme="minorHAnsi"/>
          <w:b/>
          <w:bCs/>
          <w:u w:val="single"/>
        </w:rPr>
      </w:pPr>
      <w:r w:rsidRPr="00247D72">
        <w:rPr>
          <w:rFonts w:eastAsia="Calibri" w:cstheme="minorHAnsi"/>
        </w:rPr>
        <w:t xml:space="preserve"> </w:t>
      </w:r>
      <w:r w:rsidR="0084339D" w:rsidRPr="00247D72">
        <w:rPr>
          <w:rFonts w:eastAsia="Calibri" w:cstheme="minorHAnsi"/>
        </w:rPr>
        <w:tab/>
      </w:r>
      <w:r w:rsidRPr="00247D72">
        <w:rPr>
          <w:rFonts w:cstheme="minorHAnsi"/>
          <w:b/>
          <w:bCs/>
          <w:u w:val="single"/>
        </w:rPr>
        <w:t>ROK MFDS GHC Director General Welcome Message</w:t>
      </w:r>
    </w:p>
    <w:p w14:paraId="422C8F94" w14:textId="7D8C0BB5" w:rsidR="005F559F" w:rsidRDefault="0084339D" w:rsidP="00776DE2">
      <w:pPr>
        <w:ind w:firstLine="720"/>
        <w:jc w:val="both"/>
        <w:rPr>
          <w:rFonts w:cstheme="minorHAnsi"/>
        </w:rPr>
      </w:pPr>
      <w:r w:rsidRPr="00247D72">
        <w:rPr>
          <w:rFonts w:cstheme="minorHAnsi"/>
        </w:rPr>
        <w:t xml:space="preserve">Dr. Seog Youn Kang, Director General of the Republic of Korea Ministry of Food and Drug Safety (MFDS) Global Harmonization Center (GHC) welcomed delegates to Incheon and thanked the RHSC Chair, Vice-Chair, and members for their commitment to advancing regulatory convergence in the APEC region. He highlighted GHC’s close collaboration with the RHSC in delivering capacity-building activities aligned with PWA roadmaps and noted that 2025 programs are being implemented in support of APEC’s theme, </w:t>
      </w:r>
      <w:r w:rsidRPr="00247D72">
        <w:rPr>
          <w:rStyle w:val="Emphasis"/>
          <w:rFonts w:cstheme="minorHAnsi"/>
        </w:rPr>
        <w:t>“Building a Sustainable Tomorrow: Connect, Innovate, Prosper.”</w:t>
      </w:r>
      <w:r w:rsidRPr="00247D72">
        <w:rPr>
          <w:rFonts w:cstheme="minorHAnsi"/>
        </w:rPr>
        <w:t xml:space="preserve"> Dr. Kang encouraged economies to participate in upcoming workshops and share priority topics for 2026 to ensure programming continues to meet regional regulatory needs.</w:t>
      </w:r>
    </w:p>
    <w:p w14:paraId="1ED6CD7F" w14:textId="77777777" w:rsidR="009220E5" w:rsidRPr="00247D72" w:rsidRDefault="009220E5" w:rsidP="00776DE2">
      <w:pPr>
        <w:ind w:firstLine="720"/>
        <w:jc w:val="both"/>
        <w:rPr>
          <w:rFonts w:cstheme="minorHAnsi"/>
          <w:b/>
          <w:bCs/>
          <w:u w:val="single"/>
        </w:rPr>
      </w:pPr>
    </w:p>
    <w:p w14:paraId="02FF3DD8" w14:textId="411616AD" w:rsidR="005F559F" w:rsidRPr="00247D72" w:rsidRDefault="0084339D" w:rsidP="008C5499">
      <w:pPr>
        <w:pStyle w:val="ListParagraph"/>
        <w:numPr>
          <w:ilvl w:val="0"/>
          <w:numId w:val="1"/>
        </w:numPr>
        <w:spacing w:after="0"/>
        <w:ind w:left="1080"/>
        <w:jc w:val="both"/>
        <w:rPr>
          <w:rFonts w:eastAsia="Calibri" w:cstheme="minorHAnsi"/>
          <w:b/>
          <w:bCs/>
          <w:u w:val="single"/>
        </w:rPr>
      </w:pPr>
      <w:r w:rsidRPr="00247D72">
        <w:rPr>
          <w:rFonts w:eastAsia="Calibri" w:cstheme="minorHAnsi"/>
        </w:rPr>
        <w:t xml:space="preserve">   </w:t>
      </w:r>
      <w:r w:rsidRPr="00247D72">
        <w:rPr>
          <w:rFonts w:eastAsia="Calibri" w:cstheme="minorHAnsi"/>
          <w:b/>
          <w:bCs/>
          <w:u w:val="single"/>
        </w:rPr>
        <w:t>SCSC Chair Presentation on SCSC Priorities in 2025</w:t>
      </w:r>
    </w:p>
    <w:p w14:paraId="379904E5" w14:textId="77777777" w:rsidR="0084339D" w:rsidRPr="00247D72" w:rsidRDefault="0084339D" w:rsidP="008C5499">
      <w:pPr>
        <w:spacing w:after="0"/>
        <w:ind w:firstLine="720"/>
        <w:jc w:val="both"/>
        <w:rPr>
          <w:rFonts w:cstheme="minorHAnsi"/>
        </w:rPr>
      </w:pPr>
    </w:p>
    <w:p w14:paraId="1FBBCF58" w14:textId="0C1F504F" w:rsidR="0084339D" w:rsidRPr="00247D72" w:rsidRDefault="0084339D" w:rsidP="00776DE2">
      <w:pPr>
        <w:spacing w:after="0"/>
        <w:ind w:firstLine="720"/>
        <w:jc w:val="both"/>
        <w:rPr>
          <w:rFonts w:cstheme="minorHAnsi"/>
        </w:rPr>
      </w:pPr>
      <w:r w:rsidRPr="00247D72">
        <w:rPr>
          <w:rFonts w:cstheme="minorHAnsi"/>
        </w:rPr>
        <w:t xml:space="preserve">The Chair of the APEC Sub-Committee on Standards and Conformance (SCSC), </w:t>
      </w:r>
      <w:r w:rsidRPr="00247D72">
        <w:rPr>
          <w:rStyle w:val="Strong"/>
          <w:rFonts w:cstheme="minorHAnsi"/>
          <w:b w:val="0"/>
          <w:bCs w:val="0"/>
        </w:rPr>
        <w:t>Dr. Byung Goo Kang</w:t>
      </w:r>
      <w:r w:rsidRPr="00247D72">
        <w:rPr>
          <w:rFonts w:cstheme="minorHAnsi"/>
        </w:rPr>
        <w:t>, provided an overview of SCSC’s 2025 priorities, which include developing AI and digital economy standards, building expert capacity in conformity assessment, advancing the digital transformation of standards and conformity assessment systems, and promoting standards that support sustainable growth and trade facilitation. Dr. Kang commended the RHSC for its</w:t>
      </w:r>
      <w:r w:rsidR="006E2316">
        <w:rPr>
          <w:rFonts w:cstheme="minorHAnsi"/>
        </w:rPr>
        <w:t xml:space="preserve"> key performance indicator (KPIs)</w:t>
      </w:r>
      <w:r w:rsidRPr="00247D72">
        <w:rPr>
          <w:rFonts w:cstheme="minorHAnsi"/>
        </w:rPr>
        <w:t xml:space="preserve"> revitalization, roadmap updates, and dialogue integration.</w:t>
      </w:r>
    </w:p>
    <w:p w14:paraId="136EECD4" w14:textId="77777777" w:rsidR="0084339D" w:rsidRPr="00247D72" w:rsidRDefault="0084339D" w:rsidP="008C5499">
      <w:pPr>
        <w:spacing w:after="0"/>
        <w:ind w:firstLine="720"/>
        <w:jc w:val="both"/>
        <w:rPr>
          <w:rFonts w:cstheme="minorHAnsi"/>
        </w:rPr>
      </w:pPr>
    </w:p>
    <w:p w14:paraId="4DFD5C5C" w14:textId="0DA6EA9B" w:rsidR="0084339D" w:rsidRPr="00247D72" w:rsidRDefault="0084339D" w:rsidP="008C5499">
      <w:pPr>
        <w:pStyle w:val="ListParagraph"/>
        <w:numPr>
          <w:ilvl w:val="0"/>
          <w:numId w:val="1"/>
        </w:numPr>
        <w:spacing w:after="0"/>
        <w:ind w:left="1080"/>
        <w:jc w:val="both"/>
        <w:rPr>
          <w:rFonts w:cstheme="minorHAnsi"/>
        </w:rPr>
      </w:pPr>
      <w:r w:rsidRPr="00247D72">
        <w:rPr>
          <w:rFonts w:cstheme="minorHAnsi"/>
        </w:rPr>
        <w:t xml:space="preserve"> </w:t>
      </w:r>
      <w:r w:rsidRPr="00247D72">
        <w:rPr>
          <w:rFonts w:cstheme="minorHAnsi"/>
        </w:rPr>
        <w:tab/>
      </w:r>
      <w:r w:rsidRPr="00247D72">
        <w:rPr>
          <w:rFonts w:cstheme="minorHAnsi"/>
          <w:b/>
          <w:bCs/>
          <w:u w:val="single"/>
        </w:rPr>
        <w:t>APEC Secretariat Administrative Updates</w:t>
      </w:r>
    </w:p>
    <w:p w14:paraId="064F9C25" w14:textId="77777777" w:rsidR="0084339D" w:rsidRPr="00247D72" w:rsidRDefault="0084339D" w:rsidP="008C5499">
      <w:pPr>
        <w:spacing w:after="0"/>
        <w:ind w:firstLine="720"/>
        <w:jc w:val="both"/>
        <w:rPr>
          <w:rFonts w:cstheme="minorHAnsi"/>
        </w:rPr>
      </w:pPr>
    </w:p>
    <w:p w14:paraId="76A528E4" w14:textId="609D8EFD" w:rsidR="0084339D" w:rsidRDefault="0084339D" w:rsidP="00D8747E">
      <w:pPr>
        <w:spacing w:after="0"/>
        <w:ind w:firstLine="720"/>
        <w:jc w:val="both"/>
        <w:rPr>
          <w:rFonts w:cstheme="minorHAnsi"/>
        </w:rPr>
      </w:pPr>
      <w:r w:rsidRPr="00247D72">
        <w:rPr>
          <w:rFonts w:cstheme="minorHAnsi"/>
        </w:rPr>
        <w:t>Ms. Natta Akapaiboon</w:t>
      </w:r>
      <w:r w:rsidR="00712BFC">
        <w:rPr>
          <w:rFonts w:cstheme="minorHAnsi"/>
        </w:rPr>
        <w:t xml:space="preserve"> of</w:t>
      </w:r>
      <w:r w:rsidRPr="00247D72">
        <w:rPr>
          <w:rFonts w:cstheme="minorHAnsi"/>
        </w:rPr>
        <w:t xml:space="preserve"> the APEC Secretariat confirmed quorum, reviewed procedural matters, and outlined the process and timeline for renewing the RHSC Terms of Reference (2026–2029) within the SCSC package to be advanced to CTI by mid-September 2025.</w:t>
      </w:r>
      <w:r w:rsidR="004C59CD">
        <w:rPr>
          <w:rFonts w:cstheme="minorHAnsi"/>
        </w:rPr>
        <w:t xml:space="preserve"> </w:t>
      </w:r>
      <w:r w:rsidR="00D81DF6" w:rsidRPr="00D81DF6">
        <w:rPr>
          <w:rFonts w:cstheme="minorHAnsi"/>
        </w:rPr>
        <w:t>The endorsement process for the Terms of Reference follows a sequenced, cross-fora review. The process begins with endorsement of the draft RHSC Terms of Reference by the RHSC. The RHSC TOR will then be packaged together with the draft TORs of all other SCSC sub-fora to form a single, consolidated TOR package.</w:t>
      </w:r>
      <w:r w:rsidR="00D8747E">
        <w:rPr>
          <w:rFonts w:cstheme="minorHAnsi"/>
        </w:rPr>
        <w:t xml:space="preserve"> </w:t>
      </w:r>
      <w:r w:rsidR="00D81DF6" w:rsidRPr="00D81DF6">
        <w:rPr>
          <w:rFonts w:cstheme="minorHAnsi"/>
        </w:rPr>
        <w:t>That package will first be reviewed and endorsed by the SCSC. Once endorsed by the SCSC, the draft RHSC TOR—together with the full TOR package—will be shared with the Committee on Trade and Investment (CTI) for its review and endorsement</w:t>
      </w:r>
    </w:p>
    <w:p w14:paraId="6CD46107" w14:textId="77777777" w:rsidR="009220E5" w:rsidRPr="00247D72" w:rsidRDefault="009220E5" w:rsidP="00D8747E">
      <w:pPr>
        <w:spacing w:after="0"/>
        <w:ind w:firstLine="720"/>
        <w:jc w:val="both"/>
        <w:rPr>
          <w:rFonts w:cstheme="minorHAnsi"/>
        </w:rPr>
      </w:pPr>
    </w:p>
    <w:tbl>
      <w:tblPr>
        <w:tblStyle w:val="TableGrid"/>
        <w:tblW w:w="0" w:type="auto"/>
        <w:tblLook w:val="04A0" w:firstRow="1" w:lastRow="0" w:firstColumn="1" w:lastColumn="0" w:noHBand="0" w:noVBand="1"/>
      </w:tblPr>
      <w:tblGrid>
        <w:gridCol w:w="1779"/>
        <w:gridCol w:w="1858"/>
        <w:gridCol w:w="5713"/>
      </w:tblGrid>
      <w:tr w:rsidR="0084339D" w:rsidRPr="00247D72" w14:paraId="081AF363" w14:textId="77777777">
        <w:trPr>
          <w:trHeight w:val="300"/>
        </w:trPr>
        <w:tc>
          <w:tcPr>
            <w:tcW w:w="1784" w:type="dxa"/>
            <w:shd w:val="clear" w:color="auto" w:fill="F2F2F2" w:themeFill="background1" w:themeFillShade="F2"/>
          </w:tcPr>
          <w:p w14:paraId="54EE1AD2" w14:textId="0CC523D5" w:rsidR="0084339D" w:rsidRPr="00247D72" w:rsidRDefault="0084339D" w:rsidP="008C5499">
            <w:pPr>
              <w:pStyle w:val="BodyText"/>
              <w:rPr>
                <w:rFonts w:asciiTheme="minorHAnsi" w:hAnsiTheme="minorHAnsi" w:cstheme="minorHAnsi"/>
                <w:b/>
                <w:bCs/>
              </w:rPr>
            </w:pPr>
            <w:r w:rsidRPr="00247D72">
              <w:rPr>
                <w:rFonts w:asciiTheme="minorHAnsi" w:hAnsiTheme="minorHAnsi" w:cstheme="minorHAnsi"/>
                <w:b/>
                <w:bCs/>
              </w:rPr>
              <w:t>9:20 – 9:25</w:t>
            </w:r>
          </w:p>
        </w:tc>
        <w:tc>
          <w:tcPr>
            <w:tcW w:w="1862" w:type="dxa"/>
            <w:shd w:val="clear" w:color="auto" w:fill="F2F2F2" w:themeFill="background1" w:themeFillShade="F2"/>
          </w:tcPr>
          <w:p w14:paraId="4D87CF5E" w14:textId="77777777" w:rsidR="0084339D" w:rsidRPr="00247D72" w:rsidRDefault="0084339D" w:rsidP="008C5499">
            <w:pPr>
              <w:pStyle w:val="BodyText"/>
              <w:rPr>
                <w:rFonts w:asciiTheme="minorHAnsi" w:hAnsiTheme="minorHAnsi" w:cstheme="minorHAnsi"/>
                <w:b/>
                <w:bCs/>
              </w:rPr>
            </w:pPr>
            <w:r w:rsidRPr="00247D72">
              <w:rPr>
                <w:rFonts w:asciiTheme="minorHAnsi" w:hAnsiTheme="minorHAnsi" w:cstheme="minorHAnsi"/>
                <w:b/>
                <w:bCs/>
              </w:rPr>
              <w:t>AGENDA ITEM 2</w:t>
            </w:r>
          </w:p>
        </w:tc>
        <w:tc>
          <w:tcPr>
            <w:tcW w:w="5734" w:type="dxa"/>
            <w:shd w:val="clear" w:color="auto" w:fill="F2F2F2" w:themeFill="background1" w:themeFillShade="F2"/>
          </w:tcPr>
          <w:p w14:paraId="6E2B2442" w14:textId="77777777" w:rsidR="0084339D" w:rsidRPr="00247D72" w:rsidRDefault="0084339D" w:rsidP="008C5499">
            <w:pPr>
              <w:pStyle w:val="BodyText"/>
              <w:spacing w:line="259" w:lineRule="auto"/>
              <w:rPr>
                <w:rFonts w:asciiTheme="minorHAnsi" w:hAnsiTheme="minorHAnsi" w:cstheme="minorHAnsi"/>
              </w:rPr>
            </w:pPr>
            <w:r w:rsidRPr="00247D72">
              <w:rPr>
                <w:rFonts w:asciiTheme="minorHAnsi" w:hAnsiTheme="minorHAnsi" w:cstheme="minorHAnsi"/>
                <w:b/>
                <w:bCs/>
              </w:rPr>
              <w:t>Update from the RHSC Advisor’s Office</w:t>
            </w:r>
          </w:p>
        </w:tc>
      </w:tr>
    </w:tbl>
    <w:p w14:paraId="6AB5A0FE" w14:textId="77777777" w:rsidR="0084339D" w:rsidRPr="00247D72" w:rsidRDefault="0084339D" w:rsidP="008C5499">
      <w:pPr>
        <w:spacing w:after="0"/>
        <w:ind w:firstLine="720"/>
        <w:jc w:val="both"/>
        <w:rPr>
          <w:rFonts w:eastAsia="Calibri" w:cstheme="minorHAnsi"/>
        </w:rPr>
      </w:pPr>
    </w:p>
    <w:p w14:paraId="4A25B0D5" w14:textId="560A6C1E" w:rsidR="0084339D" w:rsidRPr="00247D72" w:rsidRDefault="0084339D" w:rsidP="00776DE2">
      <w:pPr>
        <w:spacing w:after="0"/>
        <w:ind w:firstLine="720"/>
        <w:jc w:val="both"/>
        <w:rPr>
          <w:rFonts w:cstheme="minorHAnsi"/>
        </w:rPr>
      </w:pPr>
      <w:r w:rsidRPr="00247D72">
        <w:rPr>
          <w:rFonts w:cstheme="minorHAnsi"/>
        </w:rPr>
        <w:t>The RHSC Advisors provided an update on cross-fora developments relevant to RHSC objectives. They noted the reaffirmation of good regulatory practices in the May 2025 APEC Ministers Responsible for Trade statement. They also reported on Health Working Group initiatives, including the APEC Dengue Roadmap, work toward achieving the HIV/AIDS “triple 95” targets, and pandemic preparedness efforts focused on equitable access to countermeasures.</w:t>
      </w:r>
    </w:p>
    <w:p w14:paraId="3BCE2F50" w14:textId="77777777" w:rsidR="0084339D" w:rsidRPr="00247D72" w:rsidRDefault="0084339D" w:rsidP="008C5499">
      <w:pPr>
        <w:spacing w:after="0"/>
        <w:ind w:firstLine="720"/>
        <w:jc w:val="both"/>
        <w:rPr>
          <w:rFonts w:cstheme="minorHAnsi"/>
        </w:rPr>
      </w:pPr>
    </w:p>
    <w:tbl>
      <w:tblPr>
        <w:tblStyle w:val="TableGrid"/>
        <w:tblW w:w="0" w:type="auto"/>
        <w:tblLook w:val="04A0" w:firstRow="1" w:lastRow="0" w:firstColumn="1" w:lastColumn="0" w:noHBand="0" w:noVBand="1"/>
      </w:tblPr>
      <w:tblGrid>
        <w:gridCol w:w="1778"/>
        <w:gridCol w:w="1858"/>
        <w:gridCol w:w="5714"/>
      </w:tblGrid>
      <w:tr w:rsidR="0084339D" w:rsidRPr="00247D72" w14:paraId="48FDC2F4" w14:textId="77777777" w:rsidTr="0084339D">
        <w:trPr>
          <w:trHeight w:val="300"/>
        </w:trPr>
        <w:tc>
          <w:tcPr>
            <w:tcW w:w="1784" w:type="dxa"/>
            <w:shd w:val="clear" w:color="auto" w:fill="F2F2F2" w:themeFill="background1" w:themeFillShade="F2"/>
          </w:tcPr>
          <w:p w14:paraId="6BAA058C" w14:textId="625E6269" w:rsidR="0084339D" w:rsidRPr="00247D72" w:rsidRDefault="0084339D" w:rsidP="008C5499">
            <w:pPr>
              <w:pStyle w:val="BodyText"/>
              <w:rPr>
                <w:rFonts w:asciiTheme="minorHAnsi" w:hAnsiTheme="minorHAnsi" w:cstheme="minorHAnsi"/>
                <w:b/>
                <w:bCs/>
              </w:rPr>
            </w:pPr>
            <w:r w:rsidRPr="00247D72">
              <w:rPr>
                <w:rFonts w:asciiTheme="minorHAnsi" w:hAnsiTheme="minorHAnsi" w:cstheme="minorHAnsi"/>
                <w:b/>
                <w:bCs/>
              </w:rPr>
              <w:t>9:25 – 9:35</w:t>
            </w:r>
          </w:p>
        </w:tc>
        <w:tc>
          <w:tcPr>
            <w:tcW w:w="1862" w:type="dxa"/>
            <w:shd w:val="clear" w:color="auto" w:fill="F2F2F2" w:themeFill="background1" w:themeFillShade="F2"/>
          </w:tcPr>
          <w:p w14:paraId="74A3B940" w14:textId="3F213A70" w:rsidR="0084339D" w:rsidRPr="00247D72" w:rsidRDefault="0084339D" w:rsidP="008C5499">
            <w:pPr>
              <w:pStyle w:val="BodyText"/>
              <w:rPr>
                <w:rFonts w:asciiTheme="minorHAnsi" w:hAnsiTheme="minorHAnsi" w:cstheme="minorHAnsi"/>
                <w:b/>
                <w:bCs/>
              </w:rPr>
            </w:pPr>
            <w:r w:rsidRPr="00247D72">
              <w:rPr>
                <w:rFonts w:asciiTheme="minorHAnsi" w:hAnsiTheme="minorHAnsi" w:cstheme="minorHAnsi"/>
                <w:b/>
                <w:bCs/>
              </w:rPr>
              <w:t>AGENDA ITEM 3</w:t>
            </w:r>
          </w:p>
        </w:tc>
        <w:tc>
          <w:tcPr>
            <w:tcW w:w="5734" w:type="dxa"/>
            <w:shd w:val="clear" w:color="auto" w:fill="F2F2F2" w:themeFill="background1" w:themeFillShade="F2"/>
          </w:tcPr>
          <w:p w14:paraId="4806D3F2" w14:textId="3D2085E0" w:rsidR="0084339D" w:rsidRPr="00247D72" w:rsidRDefault="0084339D" w:rsidP="008C5499">
            <w:pPr>
              <w:pStyle w:val="BodyText"/>
              <w:spacing w:line="259" w:lineRule="auto"/>
              <w:rPr>
                <w:rFonts w:asciiTheme="minorHAnsi" w:hAnsiTheme="minorHAnsi" w:cstheme="minorHAnsi"/>
              </w:rPr>
            </w:pPr>
            <w:r w:rsidRPr="00247D72">
              <w:rPr>
                <w:rFonts w:asciiTheme="minorHAnsi" w:hAnsiTheme="minorHAnsi" w:cstheme="minorHAnsi"/>
                <w:b/>
                <w:bCs/>
              </w:rPr>
              <w:t>Update on the Global Harmonization Center (GHC)</w:t>
            </w:r>
          </w:p>
        </w:tc>
      </w:tr>
    </w:tbl>
    <w:p w14:paraId="5E19BC6C" w14:textId="77777777" w:rsidR="0084339D" w:rsidRPr="00247D72" w:rsidRDefault="0084339D" w:rsidP="008C5499">
      <w:pPr>
        <w:spacing w:after="0"/>
        <w:ind w:firstLine="720"/>
        <w:jc w:val="both"/>
        <w:rPr>
          <w:rFonts w:eastAsia="Calibri" w:cstheme="minorHAnsi"/>
        </w:rPr>
      </w:pPr>
    </w:p>
    <w:p w14:paraId="584FBC4C" w14:textId="77777777" w:rsidR="0084339D" w:rsidRPr="00247D72" w:rsidRDefault="0084339D" w:rsidP="00247D72">
      <w:pPr>
        <w:pStyle w:val="NormalWeb"/>
        <w:spacing w:before="0" w:beforeAutospacing="0" w:after="0" w:afterAutospacing="0"/>
        <w:ind w:firstLine="360"/>
        <w:jc w:val="both"/>
        <w:rPr>
          <w:rFonts w:asciiTheme="minorHAnsi" w:hAnsiTheme="minorHAnsi" w:cstheme="minorHAnsi"/>
          <w:sz w:val="22"/>
          <w:szCs w:val="22"/>
        </w:rPr>
      </w:pPr>
      <w:r w:rsidRPr="00247D72">
        <w:rPr>
          <w:rFonts w:asciiTheme="minorHAnsi" w:hAnsiTheme="minorHAnsi" w:cstheme="minorHAnsi"/>
          <w:sz w:val="22"/>
          <w:szCs w:val="22"/>
        </w:rPr>
        <w:t>The Director of the GHC reported on first-half 2025 activities, which included:</w:t>
      </w:r>
    </w:p>
    <w:p w14:paraId="63E5EFCE" w14:textId="77777777" w:rsidR="0084339D" w:rsidRPr="00247D72" w:rsidRDefault="0084339D" w:rsidP="008C5499">
      <w:pPr>
        <w:pStyle w:val="NormalWeb"/>
        <w:spacing w:before="0" w:beforeAutospacing="0" w:after="0" w:afterAutospacing="0"/>
        <w:jc w:val="both"/>
        <w:rPr>
          <w:rFonts w:asciiTheme="minorHAnsi" w:hAnsiTheme="minorHAnsi" w:cstheme="minorHAnsi"/>
          <w:sz w:val="22"/>
          <w:szCs w:val="22"/>
        </w:rPr>
      </w:pPr>
    </w:p>
    <w:p w14:paraId="05F7A46D" w14:textId="2BB7DA8A" w:rsidR="0084339D" w:rsidRPr="00247D72" w:rsidRDefault="0084339D" w:rsidP="008C5499">
      <w:pPr>
        <w:pStyle w:val="NormalWeb"/>
        <w:numPr>
          <w:ilvl w:val="0"/>
          <w:numId w:val="3"/>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 xml:space="preserve">Launch of a webinar series on clinical trial management and </w:t>
      </w:r>
      <w:r w:rsidR="00712BFC" w:rsidRPr="00712BFC">
        <w:rPr>
          <w:rFonts w:asciiTheme="minorHAnsi" w:hAnsiTheme="minorHAnsi" w:cstheme="minorHAnsi"/>
          <w:sz w:val="22"/>
          <w:szCs w:val="22"/>
        </w:rPr>
        <w:t>International Council for Harmonisation of Technical Requirements for Pharmaceuticals for Human Use</w:t>
      </w:r>
      <w:r w:rsidR="00712BFC">
        <w:rPr>
          <w:rFonts w:asciiTheme="minorHAnsi" w:hAnsiTheme="minorHAnsi" w:cstheme="minorHAnsi"/>
          <w:sz w:val="22"/>
          <w:szCs w:val="22"/>
        </w:rPr>
        <w:t xml:space="preserve"> (ICH) </w:t>
      </w:r>
      <w:r w:rsidRPr="00247D72">
        <w:rPr>
          <w:rFonts w:asciiTheme="minorHAnsi" w:hAnsiTheme="minorHAnsi" w:cstheme="minorHAnsi"/>
          <w:sz w:val="22"/>
          <w:szCs w:val="22"/>
        </w:rPr>
        <w:t>E6(R3) implementation;</w:t>
      </w:r>
    </w:p>
    <w:p w14:paraId="086BA3E5" w14:textId="376E807A" w:rsidR="0084339D" w:rsidRPr="00247D72" w:rsidRDefault="0084339D" w:rsidP="008C5499">
      <w:pPr>
        <w:pStyle w:val="NormalWeb"/>
        <w:numPr>
          <w:ilvl w:val="0"/>
          <w:numId w:val="3"/>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 xml:space="preserve">Continued collaboration with Korean </w:t>
      </w:r>
      <w:r w:rsidR="00E91AE6">
        <w:rPr>
          <w:rFonts w:asciiTheme="minorHAnsi" w:hAnsiTheme="minorHAnsi" w:cstheme="minorHAnsi"/>
          <w:sz w:val="22"/>
          <w:szCs w:val="22"/>
        </w:rPr>
        <w:t>Centers of Excellence (CoE</w:t>
      </w:r>
      <w:r w:rsidR="00E15758">
        <w:rPr>
          <w:rFonts w:asciiTheme="minorHAnsi" w:hAnsiTheme="minorHAnsi" w:cstheme="minorHAnsi"/>
          <w:sz w:val="22"/>
          <w:szCs w:val="22"/>
        </w:rPr>
        <w:t>s</w:t>
      </w:r>
      <w:r w:rsidR="00E91AE6">
        <w:rPr>
          <w:rFonts w:asciiTheme="minorHAnsi" w:hAnsiTheme="minorHAnsi" w:cstheme="minorHAnsi"/>
          <w:sz w:val="22"/>
          <w:szCs w:val="22"/>
        </w:rPr>
        <w:t>)</w:t>
      </w:r>
      <w:r w:rsidR="00E91AE6" w:rsidRPr="00247D72">
        <w:rPr>
          <w:rFonts w:asciiTheme="minorHAnsi" w:hAnsiTheme="minorHAnsi" w:cstheme="minorHAnsi"/>
          <w:sz w:val="22"/>
          <w:szCs w:val="22"/>
        </w:rPr>
        <w:t xml:space="preserve"> </w:t>
      </w:r>
      <w:r w:rsidRPr="00247D72">
        <w:rPr>
          <w:rFonts w:asciiTheme="minorHAnsi" w:hAnsiTheme="minorHAnsi" w:cstheme="minorHAnsi"/>
          <w:sz w:val="22"/>
          <w:szCs w:val="22"/>
        </w:rPr>
        <w:t xml:space="preserve">(KIDS, KoNECT, </w:t>
      </w:r>
      <w:r w:rsidR="00A451AD" w:rsidRPr="00247D72">
        <w:rPr>
          <w:rFonts w:asciiTheme="minorHAnsi" w:hAnsiTheme="minorHAnsi" w:cstheme="minorHAnsi"/>
          <w:sz w:val="22"/>
          <w:szCs w:val="22"/>
        </w:rPr>
        <w:t>S</w:t>
      </w:r>
      <w:r w:rsidR="00A451AD">
        <w:rPr>
          <w:rFonts w:asciiTheme="minorHAnsi" w:hAnsiTheme="minorHAnsi" w:cstheme="minorHAnsi"/>
          <w:sz w:val="22"/>
          <w:szCs w:val="22"/>
        </w:rPr>
        <w:t>oo</w:t>
      </w:r>
      <w:r w:rsidR="00A451AD" w:rsidRPr="00247D72">
        <w:rPr>
          <w:rFonts w:asciiTheme="minorHAnsi" w:hAnsiTheme="minorHAnsi" w:cstheme="minorHAnsi"/>
          <w:sz w:val="22"/>
          <w:szCs w:val="22"/>
        </w:rPr>
        <w:t>nch</w:t>
      </w:r>
      <w:r w:rsidR="00A451AD">
        <w:rPr>
          <w:rFonts w:asciiTheme="minorHAnsi" w:hAnsiTheme="minorHAnsi" w:cstheme="minorHAnsi"/>
          <w:sz w:val="22"/>
          <w:szCs w:val="22"/>
        </w:rPr>
        <w:t>u</w:t>
      </w:r>
      <w:r w:rsidR="00A451AD" w:rsidRPr="00247D72">
        <w:rPr>
          <w:rFonts w:asciiTheme="minorHAnsi" w:hAnsiTheme="minorHAnsi" w:cstheme="minorHAnsi"/>
          <w:sz w:val="22"/>
          <w:szCs w:val="22"/>
        </w:rPr>
        <w:t xml:space="preserve">nhyang </w:t>
      </w:r>
      <w:r w:rsidRPr="00247D72">
        <w:rPr>
          <w:rFonts w:asciiTheme="minorHAnsi" w:hAnsiTheme="minorHAnsi" w:cstheme="minorHAnsi"/>
          <w:sz w:val="22"/>
          <w:szCs w:val="22"/>
        </w:rPr>
        <w:t>University);</w:t>
      </w:r>
    </w:p>
    <w:p w14:paraId="247B47CF" w14:textId="2543A8FB" w:rsidR="0084339D" w:rsidRPr="00247D72" w:rsidRDefault="0084339D" w:rsidP="008C5499">
      <w:pPr>
        <w:pStyle w:val="NormalWeb"/>
        <w:numPr>
          <w:ilvl w:val="0"/>
          <w:numId w:val="3"/>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Expanded partnerships with WHO, PMDA, and other regulators; and</w:t>
      </w:r>
    </w:p>
    <w:p w14:paraId="287E8BD8" w14:textId="77777777" w:rsidR="0084339D" w:rsidRPr="00247D72" w:rsidRDefault="0084339D" w:rsidP="008C5499">
      <w:pPr>
        <w:pStyle w:val="NormalWeb"/>
        <w:numPr>
          <w:ilvl w:val="0"/>
          <w:numId w:val="3"/>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Publication of the 2024 GHC Annual Report, highlighting participation metrics and training outcomes.</w:t>
      </w:r>
    </w:p>
    <w:p w14:paraId="7AA1AE84" w14:textId="77777777" w:rsidR="0084339D" w:rsidRPr="00247D72" w:rsidRDefault="0084339D" w:rsidP="008C5499">
      <w:pPr>
        <w:pStyle w:val="NormalWeb"/>
        <w:spacing w:before="0" w:beforeAutospacing="0" w:after="0" w:afterAutospacing="0"/>
        <w:jc w:val="both"/>
        <w:rPr>
          <w:rFonts w:asciiTheme="minorHAnsi" w:hAnsiTheme="minorHAnsi" w:cstheme="minorHAnsi"/>
          <w:sz w:val="22"/>
          <w:szCs w:val="22"/>
        </w:rPr>
      </w:pPr>
    </w:p>
    <w:p w14:paraId="19C7A76D" w14:textId="072D945F" w:rsidR="0084339D" w:rsidRPr="00247D72" w:rsidRDefault="0084339D" w:rsidP="00247D72">
      <w:pPr>
        <w:pStyle w:val="NormalWeb"/>
        <w:spacing w:before="0" w:beforeAutospacing="0" w:after="0" w:afterAutospacing="0"/>
        <w:ind w:firstLine="360"/>
        <w:jc w:val="both"/>
        <w:rPr>
          <w:rFonts w:asciiTheme="minorHAnsi" w:hAnsiTheme="minorHAnsi" w:cstheme="minorHAnsi"/>
          <w:sz w:val="22"/>
          <w:szCs w:val="22"/>
        </w:rPr>
      </w:pPr>
      <w:r w:rsidRPr="00247D72">
        <w:rPr>
          <w:rFonts w:asciiTheme="minorHAnsi" w:hAnsiTheme="minorHAnsi" w:cstheme="minorHAnsi"/>
          <w:sz w:val="22"/>
          <w:szCs w:val="22"/>
        </w:rPr>
        <w:t>Planned second-half activities include:</w:t>
      </w:r>
    </w:p>
    <w:p w14:paraId="1B6EBECA" w14:textId="77777777" w:rsidR="0084339D" w:rsidRPr="00247D72" w:rsidRDefault="0084339D" w:rsidP="008C5499">
      <w:pPr>
        <w:pStyle w:val="NormalWeb"/>
        <w:numPr>
          <w:ilvl w:val="0"/>
          <w:numId w:val="4"/>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October 2025 hands-on vaccine quality control course in Hwasun;</w:t>
      </w:r>
    </w:p>
    <w:p w14:paraId="029A1C16" w14:textId="77777777" w:rsidR="0084339D" w:rsidRPr="00247D72" w:rsidRDefault="0084339D" w:rsidP="008C5499">
      <w:pPr>
        <w:pStyle w:val="NormalWeb"/>
        <w:numPr>
          <w:ilvl w:val="0"/>
          <w:numId w:val="4"/>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November 2025 global vigilance workshop aligned with WHO Global Benchmarking Tool maturity indicators;</w:t>
      </w:r>
    </w:p>
    <w:p w14:paraId="6D341D27" w14:textId="77777777" w:rsidR="0084339D" w:rsidRPr="00247D72" w:rsidRDefault="0084339D" w:rsidP="008C5499">
      <w:pPr>
        <w:pStyle w:val="NormalWeb"/>
        <w:numPr>
          <w:ilvl w:val="0"/>
          <w:numId w:val="4"/>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lastRenderedPageBreak/>
        <w:t>September 2025 ICH training program covering Q3, Q5, and Q8 guidelines.</w:t>
      </w:r>
    </w:p>
    <w:p w14:paraId="791F8301" w14:textId="77777777" w:rsidR="004B6312" w:rsidRDefault="004B6312" w:rsidP="008C5499">
      <w:pPr>
        <w:pStyle w:val="NormalWeb"/>
        <w:spacing w:before="0" w:beforeAutospacing="0" w:after="0" w:afterAutospacing="0"/>
        <w:jc w:val="both"/>
        <w:rPr>
          <w:rFonts w:asciiTheme="minorHAnsi" w:hAnsiTheme="minorHAnsi" w:cstheme="minorHAnsi"/>
          <w:sz w:val="22"/>
          <w:szCs w:val="22"/>
        </w:rPr>
      </w:pPr>
    </w:p>
    <w:p w14:paraId="034F64F9" w14:textId="411260FC" w:rsidR="0084339D" w:rsidRPr="00247D72" w:rsidRDefault="0084339D" w:rsidP="004B6312">
      <w:pPr>
        <w:pStyle w:val="NormalWeb"/>
        <w:spacing w:before="0" w:beforeAutospacing="0" w:after="0" w:afterAutospacing="0"/>
        <w:ind w:firstLine="360"/>
        <w:jc w:val="both"/>
        <w:rPr>
          <w:rFonts w:asciiTheme="minorHAnsi" w:hAnsiTheme="minorHAnsi" w:cstheme="minorHAnsi"/>
          <w:sz w:val="22"/>
          <w:szCs w:val="22"/>
        </w:rPr>
      </w:pPr>
      <w:r w:rsidRPr="00247D72">
        <w:rPr>
          <w:rFonts w:asciiTheme="minorHAnsi" w:hAnsiTheme="minorHAnsi" w:cstheme="minorHAnsi"/>
          <w:sz w:val="22"/>
          <w:szCs w:val="22"/>
        </w:rPr>
        <w:t>The RHSC noted the value of GHC’s alignment of activities with PWAs and the importance of advance notice to enable economies to nominate participants.</w:t>
      </w:r>
    </w:p>
    <w:p w14:paraId="04FBF367" w14:textId="77777777" w:rsidR="008C5499" w:rsidRPr="00247D72" w:rsidRDefault="008C5499" w:rsidP="008C5499">
      <w:pPr>
        <w:pStyle w:val="NormalWeb"/>
        <w:spacing w:before="0" w:beforeAutospacing="0" w:after="0" w:afterAutospacing="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778"/>
        <w:gridCol w:w="1858"/>
        <w:gridCol w:w="5714"/>
      </w:tblGrid>
      <w:tr w:rsidR="008C5499" w:rsidRPr="00247D72" w14:paraId="7CFAE5A4" w14:textId="77777777">
        <w:trPr>
          <w:trHeight w:val="300"/>
        </w:trPr>
        <w:tc>
          <w:tcPr>
            <w:tcW w:w="1784" w:type="dxa"/>
            <w:shd w:val="clear" w:color="auto" w:fill="F2F2F2" w:themeFill="background1" w:themeFillShade="F2"/>
          </w:tcPr>
          <w:p w14:paraId="0936B74C" w14:textId="6B68E8F1" w:rsidR="008C5499" w:rsidRPr="00247D72" w:rsidRDefault="008C5499" w:rsidP="008C5499">
            <w:pPr>
              <w:pStyle w:val="BodyText"/>
              <w:rPr>
                <w:rFonts w:asciiTheme="minorHAnsi" w:hAnsiTheme="minorHAnsi" w:cstheme="minorHAnsi"/>
                <w:b/>
                <w:bCs/>
              </w:rPr>
            </w:pPr>
            <w:r w:rsidRPr="00247D72">
              <w:rPr>
                <w:rFonts w:asciiTheme="minorHAnsi" w:hAnsiTheme="minorHAnsi" w:cstheme="minorHAnsi"/>
                <w:b/>
                <w:bCs/>
              </w:rPr>
              <w:t>9:35 – 9:55</w:t>
            </w:r>
          </w:p>
        </w:tc>
        <w:tc>
          <w:tcPr>
            <w:tcW w:w="1862" w:type="dxa"/>
            <w:shd w:val="clear" w:color="auto" w:fill="F2F2F2" w:themeFill="background1" w:themeFillShade="F2"/>
          </w:tcPr>
          <w:p w14:paraId="1322A6FE" w14:textId="24DEC6EB" w:rsidR="008C5499" w:rsidRPr="00247D72" w:rsidRDefault="008C5499" w:rsidP="008C5499">
            <w:pPr>
              <w:pStyle w:val="BodyText"/>
              <w:rPr>
                <w:rFonts w:asciiTheme="minorHAnsi" w:hAnsiTheme="minorHAnsi" w:cstheme="minorHAnsi"/>
                <w:b/>
                <w:bCs/>
              </w:rPr>
            </w:pPr>
            <w:r w:rsidRPr="00247D72">
              <w:rPr>
                <w:rFonts w:asciiTheme="minorHAnsi" w:hAnsiTheme="minorHAnsi" w:cstheme="minorHAnsi"/>
                <w:b/>
                <w:bCs/>
              </w:rPr>
              <w:t>AGENDA ITEM 4</w:t>
            </w:r>
          </w:p>
        </w:tc>
        <w:tc>
          <w:tcPr>
            <w:tcW w:w="5734" w:type="dxa"/>
            <w:shd w:val="clear" w:color="auto" w:fill="F2F2F2" w:themeFill="background1" w:themeFillShade="F2"/>
          </w:tcPr>
          <w:p w14:paraId="336D2395" w14:textId="417431EA" w:rsidR="008C5499" w:rsidRPr="00247D72" w:rsidRDefault="008C5499" w:rsidP="008C5499">
            <w:pPr>
              <w:pStyle w:val="BodyText"/>
              <w:spacing w:line="259" w:lineRule="auto"/>
              <w:rPr>
                <w:rFonts w:asciiTheme="minorHAnsi" w:hAnsiTheme="minorHAnsi" w:cstheme="minorHAnsi"/>
              </w:rPr>
            </w:pPr>
            <w:r w:rsidRPr="00247D72">
              <w:rPr>
                <w:rFonts w:asciiTheme="minorHAnsi" w:hAnsiTheme="minorHAnsi" w:cstheme="minorHAnsi"/>
                <w:b/>
                <w:bCs/>
              </w:rPr>
              <w:t>International Forum Updates</w:t>
            </w:r>
          </w:p>
        </w:tc>
      </w:tr>
    </w:tbl>
    <w:p w14:paraId="6CF328EE" w14:textId="77777777" w:rsidR="0084339D" w:rsidRPr="00247D72" w:rsidRDefault="0084339D" w:rsidP="008C5499">
      <w:pPr>
        <w:spacing w:after="0"/>
        <w:ind w:firstLine="720"/>
        <w:jc w:val="both"/>
        <w:rPr>
          <w:rFonts w:eastAsia="Calibri" w:cstheme="minorHAnsi"/>
        </w:rPr>
      </w:pPr>
    </w:p>
    <w:p w14:paraId="541D6CFA" w14:textId="2106DB14" w:rsidR="008C5499" w:rsidRPr="00247D72" w:rsidRDefault="008C5499" w:rsidP="008C5499">
      <w:pPr>
        <w:spacing w:after="0"/>
        <w:ind w:firstLine="720"/>
        <w:jc w:val="both"/>
        <w:rPr>
          <w:rFonts w:eastAsia="Calibri" w:cstheme="minorHAnsi"/>
          <w:b/>
          <w:bCs/>
        </w:rPr>
      </w:pPr>
      <w:r w:rsidRPr="00247D72">
        <w:rPr>
          <w:rFonts w:eastAsia="Calibri" w:cstheme="minorHAnsi"/>
          <w:b/>
          <w:bCs/>
        </w:rPr>
        <w:t xml:space="preserve">4.1    </w:t>
      </w:r>
      <w:r w:rsidRPr="00247D72">
        <w:rPr>
          <w:rFonts w:eastAsia="Calibri" w:cstheme="minorHAnsi"/>
          <w:b/>
          <w:bCs/>
          <w:u w:val="single"/>
        </w:rPr>
        <w:t>ICH/</w:t>
      </w:r>
      <w:r w:rsidR="00A35049">
        <w:rPr>
          <w:rFonts w:eastAsia="Calibri" w:cstheme="minorHAnsi"/>
          <w:b/>
          <w:bCs/>
          <w:u w:val="single"/>
        </w:rPr>
        <w:t xml:space="preserve"> </w:t>
      </w:r>
      <w:r w:rsidR="00A35049" w:rsidRPr="00A35049">
        <w:rPr>
          <w:rFonts w:eastAsia="Calibri" w:cstheme="minorHAnsi"/>
          <w:b/>
          <w:bCs/>
          <w:u w:val="single"/>
        </w:rPr>
        <w:t>International Pharmaceutical Regulators Programme</w:t>
      </w:r>
      <w:r w:rsidR="00A35049">
        <w:rPr>
          <w:rFonts w:eastAsia="Calibri" w:cstheme="minorHAnsi"/>
          <w:b/>
          <w:bCs/>
          <w:u w:val="single"/>
        </w:rPr>
        <w:t xml:space="preserve"> (</w:t>
      </w:r>
      <w:r w:rsidRPr="00247D72">
        <w:rPr>
          <w:rFonts w:eastAsia="Calibri" w:cstheme="minorHAnsi"/>
          <w:b/>
          <w:bCs/>
          <w:u w:val="single"/>
        </w:rPr>
        <w:t>IPRP</w:t>
      </w:r>
      <w:r w:rsidR="00A35049">
        <w:rPr>
          <w:rFonts w:eastAsia="Calibri" w:cstheme="minorHAnsi"/>
          <w:b/>
          <w:bCs/>
          <w:u w:val="single"/>
        </w:rPr>
        <w:t>)</w:t>
      </w:r>
      <w:r w:rsidRPr="00247D72">
        <w:rPr>
          <w:rFonts w:eastAsia="Calibri" w:cstheme="minorHAnsi"/>
          <w:b/>
          <w:bCs/>
          <w:u w:val="single"/>
        </w:rPr>
        <w:t xml:space="preserve"> MFDS GHC</w:t>
      </w:r>
      <w:r w:rsidR="00247D72">
        <w:rPr>
          <w:rFonts w:eastAsia="Calibri" w:cstheme="minorHAnsi"/>
          <w:b/>
          <w:bCs/>
          <w:u w:val="single"/>
        </w:rPr>
        <w:t>, Korea</w:t>
      </w:r>
    </w:p>
    <w:p w14:paraId="07781F17" w14:textId="77777777" w:rsidR="008C5499" w:rsidRPr="00247D72" w:rsidRDefault="008C5499" w:rsidP="008C5499">
      <w:pPr>
        <w:spacing w:after="0"/>
        <w:ind w:firstLine="720"/>
        <w:jc w:val="both"/>
        <w:rPr>
          <w:rFonts w:eastAsia="Calibri" w:cstheme="minorHAnsi"/>
          <w:b/>
          <w:bCs/>
        </w:rPr>
      </w:pPr>
    </w:p>
    <w:p w14:paraId="099BA947" w14:textId="5D114C89" w:rsidR="008C5499" w:rsidRPr="00247D72" w:rsidRDefault="008C5499" w:rsidP="008C5499">
      <w:pPr>
        <w:spacing w:after="0"/>
        <w:ind w:firstLine="720"/>
        <w:jc w:val="both"/>
        <w:rPr>
          <w:rFonts w:eastAsia="Calibri" w:cstheme="minorHAnsi"/>
          <w:b/>
          <w:bCs/>
          <w:u w:val="single"/>
        </w:rPr>
      </w:pPr>
      <w:r w:rsidRPr="00247D72">
        <w:rPr>
          <w:rFonts w:eastAsia="Calibri" w:cstheme="minorHAnsi"/>
          <w:b/>
          <w:bCs/>
          <w:u w:val="single"/>
        </w:rPr>
        <w:t>ICH</w:t>
      </w:r>
    </w:p>
    <w:p w14:paraId="797FF721" w14:textId="77777777" w:rsidR="008C5499" w:rsidRPr="00247D72" w:rsidRDefault="008C5499" w:rsidP="008C5499">
      <w:pPr>
        <w:spacing w:after="0"/>
        <w:ind w:firstLine="720"/>
        <w:jc w:val="both"/>
        <w:rPr>
          <w:rFonts w:eastAsia="Calibri" w:cstheme="minorHAnsi"/>
          <w:b/>
          <w:bCs/>
        </w:rPr>
      </w:pPr>
    </w:p>
    <w:p w14:paraId="07930D6F" w14:textId="066EE370" w:rsidR="008C5499" w:rsidRPr="00247D72" w:rsidRDefault="008C5499" w:rsidP="008C5499">
      <w:pPr>
        <w:pStyle w:val="NormalWeb"/>
        <w:spacing w:before="0" w:beforeAutospacing="0" w:after="0" w:afterAutospacing="0"/>
        <w:ind w:firstLine="720"/>
        <w:jc w:val="both"/>
        <w:rPr>
          <w:rFonts w:asciiTheme="minorHAnsi" w:hAnsiTheme="minorHAnsi" w:cstheme="minorHAnsi"/>
          <w:sz w:val="22"/>
          <w:szCs w:val="22"/>
        </w:rPr>
      </w:pPr>
      <w:r w:rsidRPr="00247D72">
        <w:rPr>
          <w:rFonts w:asciiTheme="minorHAnsi" w:hAnsiTheme="minorHAnsi" w:cstheme="minorHAnsi"/>
          <w:sz w:val="22"/>
          <w:szCs w:val="22"/>
        </w:rPr>
        <w:t xml:space="preserve">MFDS provided a detailed update from the May 2025 ICH Assembly in Madrid, Spain. Three new observer economies — </w:t>
      </w:r>
      <w:r w:rsidRPr="00247D72">
        <w:rPr>
          <w:rStyle w:val="Strong"/>
          <w:rFonts w:asciiTheme="minorHAnsi" w:hAnsiTheme="minorHAnsi" w:cstheme="minorHAnsi"/>
          <w:b w:val="0"/>
          <w:bCs w:val="0"/>
          <w:sz w:val="22"/>
          <w:szCs w:val="22"/>
        </w:rPr>
        <w:t>Paraguay, Kuwait, and El Salvador</w:t>
      </w:r>
      <w:r w:rsidRPr="00247D72">
        <w:rPr>
          <w:rFonts w:asciiTheme="minorHAnsi" w:hAnsiTheme="minorHAnsi" w:cstheme="minorHAnsi"/>
          <w:sz w:val="22"/>
          <w:szCs w:val="22"/>
        </w:rPr>
        <w:t xml:space="preserve"> — were welcomed, bringing ICH participation to 23 members and 41 observers. Four new guideline topics were formally adopted into the ICH work plan, reflecting priorities in quality, clinical, and multidisciplinary areas.</w:t>
      </w:r>
    </w:p>
    <w:p w14:paraId="713906E8" w14:textId="77777777" w:rsidR="008C5499" w:rsidRPr="00247D72" w:rsidRDefault="008C5499" w:rsidP="008C5499">
      <w:pPr>
        <w:pStyle w:val="NormalWeb"/>
        <w:spacing w:before="0" w:beforeAutospacing="0" w:after="0" w:afterAutospacing="0"/>
        <w:ind w:firstLine="720"/>
        <w:jc w:val="both"/>
        <w:rPr>
          <w:rFonts w:asciiTheme="minorHAnsi" w:hAnsiTheme="minorHAnsi" w:cstheme="minorHAnsi"/>
          <w:sz w:val="22"/>
          <w:szCs w:val="22"/>
        </w:rPr>
      </w:pPr>
    </w:p>
    <w:p w14:paraId="2F770164" w14:textId="77777777" w:rsidR="008C5499" w:rsidRPr="00247D72" w:rsidRDefault="008C5499" w:rsidP="00B8703E">
      <w:pPr>
        <w:pStyle w:val="NormalWeb"/>
        <w:spacing w:before="0" w:beforeAutospacing="0" w:after="0" w:afterAutospacing="0"/>
        <w:ind w:firstLine="720"/>
        <w:jc w:val="both"/>
        <w:rPr>
          <w:rFonts w:asciiTheme="minorHAnsi" w:hAnsiTheme="minorHAnsi" w:cstheme="minorHAnsi"/>
          <w:sz w:val="22"/>
          <w:szCs w:val="22"/>
        </w:rPr>
      </w:pPr>
      <w:r w:rsidRPr="00247D72">
        <w:rPr>
          <w:rFonts w:asciiTheme="minorHAnsi" w:hAnsiTheme="minorHAnsi" w:cstheme="minorHAnsi"/>
          <w:sz w:val="22"/>
          <w:szCs w:val="22"/>
        </w:rPr>
        <w:t xml:space="preserve">It was noted that </w:t>
      </w:r>
      <w:r w:rsidRPr="00247D72">
        <w:rPr>
          <w:rStyle w:val="Strong"/>
          <w:rFonts w:asciiTheme="minorHAnsi" w:hAnsiTheme="minorHAnsi" w:cstheme="minorHAnsi"/>
          <w:b w:val="0"/>
          <w:bCs w:val="0"/>
          <w:sz w:val="22"/>
          <w:szCs w:val="22"/>
        </w:rPr>
        <w:t>ICH E6(R3) Good Clinical Practice</w:t>
      </w:r>
      <w:r w:rsidRPr="00247D72">
        <w:rPr>
          <w:rFonts w:asciiTheme="minorHAnsi" w:hAnsiTheme="minorHAnsi" w:cstheme="minorHAnsi"/>
          <w:sz w:val="22"/>
          <w:szCs w:val="22"/>
        </w:rPr>
        <w:t xml:space="preserve"> reached Step 4, with Annex 1 implementation packages released to assist regulators and industry in practical adoption. Additional topics, including further updates to ICH Q1 stability guidelines and expansions to Q5 biotechnological product guidance, advanced to Step 2 for public consultation.</w:t>
      </w:r>
    </w:p>
    <w:p w14:paraId="41DA883D" w14:textId="77777777" w:rsidR="008C5499" w:rsidRPr="00247D72" w:rsidRDefault="008C5499" w:rsidP="00B8703E">
      <w:pPr>
        <w:spacing w:after="0"/>
        <w:ind w:firstLine="720"/>
        <w:jc w:val="both"/>
        <w:rPr>
          <w:rFonts w:eastAsia="Calibri" w:cstheme="minorHAnsi"/>
          <w:b/>
          <w:bCs/>
        </w:rPr>
      </w:pPr>
    </w:p>
    <w:p w14:paraId="025F8931" w14:textId="6A2520E5" w:rsidR="008C5499" w:rsidRPr="00247D72" w:rsidRDefault="008C5499" w:rsidP="00B8703E">
      <w:pPr>
        <w:spacing w:after="0"/>
        <w:ind w:firstLine="720"/>
        <w:jc w:val="both"/>
        <w:rPr>
          <w:rFonts w:eastAsia="Calibri" w:cstheme="minorHAnsi"/>
          <w:b/>
          <w:bCs/>
          <w:u w:val="single"/>
        </w:rPr>
      </w:pPr>
      <w:r w:rsidRPr="00247D72">
        <w:rPr>
          <w:rFonts w:eastAsia="Calibri" w:cstheme="minorHAnsi"/>
          <w:b/>
          <w:bCs/>
          <w:u w:val="single"/>
        </w:rPr>
        <w:t>IPRP</w:t>
      </w:r>
    </w:p>
    <w:p w14:paraId="369AEDCC" w14:textId="77777777" w:rsidR="008C5499" w:rsidRPr="00247D72" w:rsidRDefault="008C5499" w:rsidP="00B8703E">
      <w:pPr>
        <w:spacing w:after="0"/>
        <w:ind w:firstLine="720"/>
        <w:jc w:val="both"/>
        <w:rPr>
          <w:rFonts w:eastAsia="Calibri" w:cstheme="minorHAnsi"/>
          <w:b/>
          <w:bCs/>
          <w:u w:val="single"/>
        </w:rPr>
      </w:pPr>
    </w:p>
    <w:p w14:paraId="352C1ABE" w14:textId="0E8FD6C7" w:rsidR="008C5499" w:rsidRPr="00247D72" w:rsidRDefault="008C5499" w:rsidP="00B8703E">
      <w:pPr>
        <w:pStyle w:val="NormalWeb"/>
        <w:spacing w:before="0" w:beforeAutospacing="0" w:after="0" w:afterAutospacing="0"/>
        <w:ind w:firstLine="720"/>
        <w:jc w:val="both"/>
        <w:rPr>
          <w:rFonts w:asciiTheme="minorHAnsi" w:hAnsiTheme="minorHAnsi" w:cstheme="minorHAnsi"/>
          <w:sz w:val="22"/>
          <w:szCs w:val="22"/>
        </w:rPr>
      </w:pPr>
      <w:r w:rsidRPr="00247D72">
        <w:rPr>
          <w:rFonts w:asciiTheme="minorHAnsi" w:hAnsiTheme="minorHAnsi" w:cstheme="minorHAnsi"/>
          <w:sz w:val="22"/>
          <w:szCs w:val="22"/>
        </w:rPr>
        <w:t>MFDS shared that IPRP continued work across six active working groups, including those focused on implementation of ICH guidelines, reliance practices for oncology products, and use of artificial intelligence in regulatory review processes. Capacity-building webinars and case studies have been made available to participating regulatory authorities, with a focus on practical reliance and work-sharing applications.</w:t>
      </w:r>
    </w:p>
    <w:p w14:paraId="42DA7993" w14:textId="77777777" w:rsidR="008C5499" w:rsidRPr="00247D72" w:rsidRDefault="008C5499" w:rsidP="00B8703E">
      <w:pPr>
        <w:pStyle w:val="NormalWeb"/>
        <w:spacing w:before="0" w:beforeAutospacing="0" w:after="0" w:afterAutospacing="0"/>
        <w:ind w:firstLine="720"/>
        <w:jc w:val="both"/>
        <w:rPr>
          <w:rFonts w:asciiTheme="minorHAnsi" w:hAnsiTheme="minorHAnsi" w:cstheme="minorHAnsi"/>
          <w:sz w:val="22"/>
          <w:szCs w:val="22"/>
        </w:rPr>
      </w:pPr>
    </w:p>
    <w:p w14:paraId="4D0654CD" w14:textId="70A185B2" w:rsidR="008C5499" w:rsidRPr="00247D72" w:rsidRDefault="008C5499" w:rsidP="00B8703E">
      <w:pPr>
        <w:pStyle w:val="NormalWeb"/>
        <w:spacing w:before="0" w:beforeAutospacing="0" w:after="0" w:afterAutospacing="0"/>
        <w:ind w:firstLine="720"/>
        <w:jc w:val="both"/>
        <w:rPr>
          <w:rFonts w:asciiTheme="minorHAnsi" w:hAnsiTheme="minorHAnsi" w:cstheme="minorHAnsi"/>
          <w:sz w:val="22"/>
          <w:szCs w:val="22"/>
        </w:rPr>
      </w:pPr>
      <w:r w:rsidRPr="00247D72">
        <w:rPr>
          <w:rFonts w:asciiTheme="minorHAnsi" w:hAnsiTheme="minorHAnsi" w:cstheme="minorHAnsi"/>
          <w:sz w:val="22"/>
          <w:szCs w:val="22"/>
        </w:rPr>
        <w:t>Economies were invited to participate in upcoming ICH–IPRP meetings in Singapore (November 2025) and Rio de Janeiro, Brazil (June 2026), with advance notice given that specific technical sessions will be open to broader participation from non-ICH members.</w:t>
      </w:r>
    </w:p>
    <w:p w14:paraId="089215BB" w14:textId="77777777" w:rsidR="008C5499" w:rsidRPr="00247D72" w:rsidRDefault="008C5499" w:rsidP="00B8703E">
      <w:pPr>
        <w:spacing w:after="0"/>
        <w:ind w:firstLine="720"/>
        <w:jc w:val="both"/>
        <w:rPr>
          <w:rFonts w:eastAsia="Calibri" w:cstheme="minorHAnsi"/>
          <w:b/>
          <w:bCs/>
        </w:rPr>
      </w:pPr>
    </w:p>
    <w:p w14:paraId="5DA0CED1" w14:textId="2B03CE25" w:rsidR="008C5499" w:rsidRPr="00247D72" w:rsidRDefault="008C5499" w:rsidP="00B8703E">
      <w:pPr>
        <w:spacing w:after="0"/>
        <w:ind w:firstLine="720"/>
        <w:jc w:val="both"/>
        <w:rPr>
          <w:rFonts w:eastAsia="Calibri" w:cstheme="minorHAnsi"/>
          <w:b/>
          <w:bCs/>
          <w:u w:val="single"/>
        </w:rPr>
      </w:pPr>
      <w:r w:rsidRPr="00247D72">
        <w:rPr>
          <w:rFonts w:eastAsia="Calibri" w:cstheme="minorHAnsi"/>
          <w:b/>
          <w:bCs/>
          <w:u w:val="single"/>
        </w:rPr>
        <w:t xml:space="preserve">4.2 </w:t>
      </w:r>
      <w:r w:rsidR="00247D72" w:rsidRPr="00247D72">
        <w:rPr>
          <w:rFonts w:eastAsia="Calibri" w:cstheme="minorHAnsi"/>
          <w:b/>
          <w:bCs/>
          <w:u w:val="single"/>
        </w:rPr>
        <w:t xml:space="preserve"> International Medical Device Regulators Forum (IMDRF)</w:t>
      </w:r>
    </w:p>
    <w:p w14:paraId="023DEFC8" w14:textId="77777777" w:rsidR="00247D72" w:rsidRPr="00247D72" w:rsidRDefault="00247D72" w:rsidP="00B8703E">
      <w:pPr>
        <w:spacing w:after="0"/>
        <w:ind w:firstLine="720"/>
        <w:jc w:val="both"/>
        <w:rPr>
          <w:rFonts w:eastAsia="Calibri" w:cstheme="minorHAnsi"/>
        </w:rPr>
      </w:pPr>
    </w:p>
    <w:p w14:paraId="5A6D1287" w14:textId="21223127" w:rsidR="00247D72" w:rsidRPr="00247D72" w:rsidRDefault="00854921" w:rsidP="00B8703E">
      <w:pPr>
        <w:pStyle w:val="NormalWeb"/>
        <w:spacing w:before="0" w:beforeAutospacing="0" w:after="0" w:afterAutospacing="0"/>
        <w:ind w:firstLine="720"/>
        <w:jc w:val="both"/>
        <w:rPr>
          <w:rFonts w:asciiTheme="minorHAnsi" w:hAnsiTheme="minorHAnsi" w:cstheme="minorHAnsi"/>
          <w:sz w:val="22"/>
          <w:szCs w:val="22"/>
        </w:rPr>
      </w:pPr>
      <w:r>
        <w:rPr>
          <w:rStyle w:val="Strong"/>
          <w:rFonts w:asciiTheme="minorHAnsi" w:hAnsiTheme="minorHAnsi" w:cstheme="minorHAnsi"/>
          <w:b w:val="0"/>
          <w:bCs w:val="0"/>
          <w:sz w:val="22"/>
          <w:szCs w:val="22"/>
        </w:rPr>
        <w:t xml:space="preserve">The Medical Device Authority (MDA) of Malayasia </w:t>
      </w:r>
      <w:r w:rsidR="00247D72" w:rsidRPr="00247D72">
        <w:rPr>
          <w:rFonts w:asciiTheme="minorHAnsi" w:hAnsiTheme="minorHAnsi" w:cstheme="minorHAnsi"/>
          <w:sz w:val="22"/>
          <w:szCs w:val="22"/>
        </w:rPr>
        <w:t xml:space="preserve">delivered a report on the </w:t>
      </w:r>
      <w:r w:rsidR="00247D72" w:rsidRPr="00247D72">
        <w:rPr>
          <w:rStyle w:val="Strong"/>
          <w:rFonts w:asciiTheme="minorHAnsi" w:hAnsiTheme="minorHAnsi" w:cstheme="minorHAnsi"/>
          <w:b w:val="0"/>
          <w:bCs w:val="0"/>
          <w:sz w:val="22"/>
          <w:szCs w:val="22"/>
        </w:rPr>
        <w:t>27th session of the IMDRF</w:t>
      </w:r>
      <w:r w:rsidR="00247D72" w:rsidRPr="00247D72">
        <w:rPr>
          <w:rFonts w:asciiTheme="minorHAnsi" w:hAnsiTheme="minorHAnsi" w:cstheme="minorHAnsi"/>
          <w:sz w:val="22"/>
          <w:szCs w:val="22"/>
        </w:rPr>
        <w:t xml:space="preserve"> held in Tokyo, Japan, from 10–14 March 2025. This session welcomed </w:t>
      </w:r>
      <w:r w:rsidR="00247D72" w:rsidRPr="00247D72">
        <w:rPr>
          <w:rStyle w:val="Strong"/>
          <w:rFonts w:asciiTheme="minorHAnsi" w:hAnsiTheme="minorHAnsi" w:cstheme="minorHAnsi"/>
          <w:b w:val="0"/>
          <w:bCs w:val="0"/>
          <w:sz w:val="22"/>
          <w:szCs w:val="22"/>
        </w:rPr>
        <w:t>Malaysia, Uzbekistan, and Tanzania</w:t>
      </w:r>
      <w:r w:rsidR="00247D72" w:rsidRPr="00247D72">
        <w:rPr>
          <w:rFonts w:asciiTheme="minorHAnsi" w:hAnsiTheme="minorHAnsi" w:cstheme="minorHAnsi"/>
          <w:sz w:val="22"/>
          <w:szCs w:val="22"/>
        </w:rPr>
        <w:t xml:space="preserve"> as new affiliate members, and </w:t>
      </w:r>
      <w:r w:rsidR="00247D72" w:rsidRPr="00247D72">
        <w:rPr>
          <w:rStyle w:val="Strong"/>
          <w:rFonts w:asciiTheme="minorHAnsi" w:hAnsiTheme="minorHAnsi" w:cstheme="minorHAnsi"/>
          <w:b w:val="0"/>
          <w:bCs w:val="0"/>
          <w:sz w:val="22"/>
          <w:szCs w:val="22"/>
        </w:rPr>
        <w:t>Swissmedic</w:t>
      </w:r>
      <w:r w:rsidR="00247D72" w:rsidRPr="00247D72">
        <w:rPr>
          <w:rFonts w:asciiTheme="minorHAnsi" w:hAnsiTheme="minorHAnsi" w:cstheme="minorHAnsi"/>
          <w:sz w:val="22"/>
          <w:szCs w:val="22"/>
        </w:rPr>
        <w:t xml:space="preserve"> joined as a full Management Committee member.</w:t>
      </w:r>
    </w:p>
    <w:p w14:paraId="61BE9FA6" w14:textId="77777777" w:rsidR="00247D72" w:rsidRDefault="00247D72" w:rsidP="00B8703E">
      <w:pPr>
        <w:pStyle w:val="NormalWeb"/>
        <w:spacing w:before="0" w:beforeAutospacing="0" w:after="0" w:afterAutospacing="0"/>
        <w:jc w:val="both"/>
        <w:rPr>
          <w:rFonts w:asciiTheme="minorHAnsi" w:hAnsiTheme="minorHAnsi" w:cstheme="minorHAnsi"/>
          <w:sz w:val="22"/>
          <w:szCs w:val="22"/>
        </w:rPr>
      </w:pPr>
    </w:p>
    <w:p w14:paraId="256C984A" w14:textId="557AC404" w:rsidR="00247D72" w:rsidRPr="00247D72" w:rsidRDefault="00247D72" w:rsidP="00B8703E">
      <w:pPr>
        <w:pStyle w:val="NormalWeb"/>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Key outcomes included:</w:t>
      </w:r>
    </w:p>
    <w:p w14:paraId="521B2127" w14:textId="77777777" w:rsidR="00247D72" w:rsidRPr="00247D72" w:rsidRDefault="00247D72" w:rsidP="00B8703E">
      <w:pPr>
        <w:pStyle w:val="NormalWeb"/>
        <w:numPr>
          <w:ilvl w:val="0"/>
          <w:numId w:val="5"/>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 xml:space="preserve">Release of a draft </w:t>
      </w:r>
      <w:r w:rsidRPr="00247D72">
        <w:rPr>
          <w:rStyle w:val="Strong"/>
          <w:rFonts w:asciiTheme="minorHAnsi" w:hAnsiTheme="minorHAnsi" w:cstheme="minorHAnsi"/>
          <w:b w:val="0"/>
          <w:bCs w:val="0"/>
          <w:sz w:val="22"/>
          <w:szCs w:val="22"/>
        </w:rPr>
        <w:t>IMDRF Regulatory Reliance Playbook</w:t>
      </w:r>
      <w:r w:rsidRPr="00247D72">
        <w:rPr>
          <w:rFonts w:asciiTheme="minorHAnsi" w:hAnsiTheme="minorHAnsi" w:cstheme="minorHAnsi"/>
          <w:sz w:val="22"/>
          <w:szCs w:val="22"/>
        </w:rPr>
        <w:t xml:space="preserve"> for medical devices for 60-day public consultation.</w:t>
      </w:r>
    </w:p>
    <w:p w14:paraId="75D3BFF0" w14:textId="77777777" w:rsidR="00247D72" w:rsidRPr="00247D72" w:rsidRDefault="00247D72" w:rsidP="00B8703E">
      <w:pPr>
        <w:pStyle w:val="NormalWeb"/>
        <w:numPr>
          <w:ilvl w:val="0"/>
          <w:numId w:val="5"/>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 xml:space="preserve">Revision of the </w:t>
      </w:r>
      <w:r w:rsidRPr="00247D72">
        <w:rPr>
          <w:rStyle w:val="Strong"/>
          <w:rFonts w:asciiTheme="minorHAnsi" w:hAnsiTheme="minorHAnsi" w:cstheme="minorHAnsi"/>
          <w:b w:val="0"/>
          <w:bCs w:val="0"/>
          <w:sz w:val="22"/>
          <w:szCs w:val="22"/>
        </w:rPr>
        <w:t>National Competent Authority Report Exchange Protocol</w:t>
      </w:r>
      <w:r w:rsidRPr="00247D72">
        <w:rPr>
          <w:rFonts w:asciiTheme="minorHAnsi" w:hAnsiTheme="minorHAnsi" w:cstheme="minorHAnsi"/>
          <w:sz w:val="22"/>
          <w:szCs w:val="22"/>
        </w:rPr>
        <w:t xml:space="preserve"> to facilitate more comprehensive and timely information sharing between regulators.</w:t>
      </w:r>
    </w:p>
    <w:p w14:paraId="5777542B" w14:textId="77777777" w:rsidR="00247D72" w:rsidRPr="00247D72" w:rsidRDefault="00247D72" w:rsidP="00B8703E">
      <w:pPr>
        <w:pStyle w:val="NormalWeb"/>
        <w:numPr>
          <w:ilvl w:val="0"/>
          <w:numId w:val="5"/>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t>Endorsement of continued work on guidance for AI-enabled medical devices and cybersecurity requirements.</w:t>
      </w:r>
    </w:p>
    <w:p w14:paraId="17E4EABD" w14:textId="77777777" w:rsidR="00247D72" w:rsidRPr="00247D72" w:rsidRDefault="00247D72" w:rsidP="00B8703E">
      <w:pPr>
        <w:pStyle w:val="NormalWeb"/>
        <w:numPr>
          <w:ilvl w:val="0"/>
          <w:numId w:val="5"/>
        </w:numPr>
        <w:spacing w:before="0" w:beforeAutospacing="0" w:after="0" w:afterAutospacing="0"/>
        <w:jc w:val="both"/>
        <w:rPr>
          <w:rFonts w:asciiTheme="minorHAnsi" w:hAnsiTheme="minorHAnsi" w:cstheme="minorHAnsi"/>
          <w:sz w:val="22"/>
          <w:szCs w:val="22"/>
        </w:rPr>
      </w:pPr>
      <w:r w:rsidRPr="00247D72">
        <w:rPr>
          <w:rFonts w:asciiTheme="minorHAnsi" w:hAnsiTheme="minorHAnsi" w:cstheme="minorHAnsi"/>
          <w:sz w:val="22"/>
          <w:szCs w:val="22"/>
        </w:rPr>
        <w:lastRenderedPageBreak/>
        <w:t xml:space="preserve">Initial discussions on the </w:t>
      </w:r>
      <w:r w:rsidRPr="00247D72">
        <w:rPr>
          <w:rStyle w:val="Strong"/>
          <w:rFonts w:asciiTheme="minorHAnsi" w:hAnsiTheme="minorHAnsi" w:cstheme="minorHAnsi"/>
          <w:b w:val="0"/>
          <w:bCs w:val="0"/>
          <w:sz w:val="22"/>
          <w:szCs w:val="22"/>
        </w:rPr>
        <w:t>IMDRF Strategic Plan 2026–2030</w:t>
      </w:r>
      <w:r w:rsidRPr="00247D72">
        <w:rPr>
          <w:rFonts w:asciiTheme="minorHAnsi" w:hAnsiTheme="minorHAnsi" w:cstheme="minorHAnsi"/>
          <w:sz w:val="22"/>
          <w:szCs w:val="22"/>
        </w:rPr>
        <w:t>, focusing on building regulatory capacity, fostering work-sharing, and aligning IMDRF outputs more closely with WHO and other international initiatives.</w:t>
      </w:r>
    </w:p>
    <w:p w14:paraId="2DEF14EA" w14:textId="77777777" w:rsidR="00247D72" w:rsidRDefault="00247D72" w:rsidP="00B8703E">
      <w:pPr>
        <w:pStyle w:val="NormalWeb"/>
        <w:spacing w:before="0" w:beforeAutospacing="0" w:after="0" w:afterAutospacing="0"/>
        <w:jc w:val="both"/>
        <w:rPr>
          <w:rFonts w:asciiTheme="minorHAnsi" w:hAnsiTheme="minorHAnsi" w:cstheme="minorHAnsi"/>
          <w:sz w:val="22"/>
          <w:szCs w:val="22"/>
        </w:rPr>
      </w:pPr>
    </w:p>
    <w:p w14:paraId="440E0477" w14:textId="68FF871B" w:rsidR="00247D72" w:rsidRPr="00247D72" w:rsidRDefault="00247D72" w:rsidP="00B8703E">
      <w:pPr>
        <w:pStyle w:val="NormalWeb"/>
        <w:spacing w:before="0" w:beforeAutospacing="0" w:after="0" w:afterAutospacing="0"/>
        <w:ind w:firstLine="360"/>
        <w:jc w:val="both"/>
        <w:rPr>
          <w:rFonts w:asciiTheme="minorHAnsi" w:hAnsiTheme="minorHAnsi" w:cstheme="minorHAnsi"/>
          <w:sz w:val="22"/>
          <w:szCs w:val="22"/>
        </w:rPr>
      </w:pPr>
      <w:r w:rsidRPr="00247D72">
        <w:rPr>
          <w:rFonts w:asciiTheme="minorHAnsi" w:hAnsiTheme="minorHAnsi" w:cstheme="minorHAnsi"/>
          <w:sz w:val="22"/>
          <w:szCs w:val="22"/>
        </w:rPr>
        <w:t>Singapore will assume the role of IMDRF Chair and Secretariat in 2026. Economies were encouraged to review the reliance playbook and provide written comments within the consultation period to ensure APEC perspectives are fully reflected.</w:t>
      </w:r>
    </w:p>
    <w:p w14:paraId="1DBD9B0D" w14:textId="77777777" w:rsidR="00247D72" w:rsidRDefault="00247D72" w:rsidP="00B8703E">
      <w:pPr>
        <w:spacing w:after="0"/>
        <w:ind w:firstLine="720"/>
        <w:jc w:val="both"/>
        <w:rPr>
          <w:rFonts w:eastAsia="Calibri" w:cstheme="minorHAnsi"/>
        </w:rPr>
      </w:pPr>
    </w:p>
    <w:tbl>
      <w:tblPr>
        <w:tblStyle w:val="TableGrid"/>
        <w:tblW w:w="0" w:type="auto"/>
        <w:tblLook w:val="04A0" w:firstRow="1" w:lastRow="0" w:firstColumn="1" w:lastColumn="0" w:noHBand="0" w:noVBand="1"/>
      </w:tblPr>
      <w:tblGrid>
        <w:gridCol w:w="1779"/>
        <w:gridCol w:w="1858"/>
        <w:gridCol w:w="5713"/>
      </w:tblGrid>
      <w:tr w:rsidR="00247D72" w:rsidRPr="00247D72" w14:paraId="07E8715C" w14:textId="77777777">
        <w:trPr>
          <w:trHeight w:val="300"/>
        </w:trPr>
        <w:tc>
          <w:tcPr>
            <w:tcW w:w="1784" w:type="dxa"/>
            <w:shd w:val="clear" w:color="auto" w:fill="F2F2F2" w:themeFill="background1" w:themeFillShade="F2"/>
          </w:tcPr>
          <w:p w14:paraId="373FC4B0" w14:textId="4E8F57D8" w:rsidR="00247D72" w:rsidRPr="00247D72" w:rsidRDefault="00247D72" w:rsidP="00B8703E">
            <w:pPr>
              <w:pStyle w:val="BodyText"/>
              <w:rPr>
                <w:rFonts w:asciiTheme="minorHAnsi" w:hAnsiTheme="minorHAnsi" w:cstheme="minorHAnsi"/>
                <w:b/>
                <w:bCs/>
              </w:rPr>
            </w:pPr>
            <w:r w:rsidRPr="00247D72">
              <w:rPr>
                <w:rFonts w:asciiTheme="minorHAnsi" w:hAnsiTheme="minorHAnsi" w:cstheme="minorHAnsi"/>
                <w:b/>
                <w:bCs/>
              </w:rPr>
              <w:t>9:</w:t>
            </w:r>
            <w:r>
              <w:rPr>
                <w:rFonts w:asciiTheme="minorHAnsi" w:hAnsiTheme="minorHAnsi" w:cstheme="minorHAnsi"/>
                <w:b/>
                <w:bCs/>
              </w:rPr>
              <w:t>5</w:t>
            </w:r>
            <w:r w:rsidRPr="00247D72">
              <w:rPr>
                <w:rFonts w:asciiTheme="minorHAnsi" w:hAnsiTheme="minorHAnsi" w:cstheme="minorHAnsi"/>
                <w:b/>
                <w:bCs/>
              </w:rPr>
              <w:t xml:space="preserve">5 – </w:t>
            </w:r>
            <w:r>
              <w:rPr>
                <w:rFonts w:asciiTheme="minorHAnsi" w:hAnsiTheme="minorHAnsi" w:cstheme="minorHAnsi"/>
                <w:b/>
                <w:bCs/>
              </w:rPr>
              <w:t>10</w:t>
            </w:r>
            <w:r w:rsidRPr="00247D72">
              <w:rPr>
                <w:rFonts w:asciiTheme="minorHAnsi" w:hAnsiTheme="minorHAnsi" w:cstheme="minorHAnsi"/>
                <w:b/>
                <w:bCs/>
              </w:rPr>
              <w:t>:55</w:t>
            </w:r>
          </w:p>
        </w:tc>
        <w:tc>
          <w:tcPr>
            <w:tcW w:w="1862" w:type="dxa"/>
            <w:shd w:val="clear" w:color="auto" w:fill="F2F2F2" w:themeFill="background1" w:themeFillShade="F2"/>
          </w:tcPr>
          <w:p w14:paraId="24695234" w14:textId="449DF287" w:rsidR="00247D72" w:rsidRPr="00247D72" w:rsidRDefault="00247D72" w:rsidP="00B8703E">
            <w:pPr>
              <w:pStyle w:val="BodyText"/>
              <w:rPr>
                <w:rFonts w:asciiTheme="minorHAnsi" w:hAnsiTheme="minorHAnsi" w:cstheme="minorHAnsi"/>
                <w:b/>
                <w:bCs/>
              </w:rPr>
            </w:pPr>
            <w:r w:rsidRPr="00247D72">
              <w:rPr>
                <w:rFonts w:asciiTheme="minorHAnsi" w:hAnsiTheme="minorHAnsi" w:cstheme="minorHAnsi"/>
                <w:b/>
                <w:bCs/>
              </w:rPr>
              <w:t xml:space="preserve">AGENDA ITEM </w:t>
            </w:r>
            <w:r>
              <w:rPr>
                <w:rFonts w:asciiTheme="minorHAnsi" w:hAnsiTheme="minorHAnsi" w:cstheme="minorHAnsi"/>
                <w:b/>
                <w:bCs/>
              </w:rPr>
              <w:t>5</w:t>
            </w:r>
          </w:p>
        </w:tc>
        <w:tc>
          <w:tcPr>
            <w:tcW w:w="5734" w:type="dxa"/>
            <w:shd w:val="clear" w:color="auto" w:fill="F2F2F2" w:themeFill="background1" w:themeFillShade="F2"/>
          </w:tcPr>
          <w:p w14:paraId="77836C8E" w14:textId="2EE0009F" w:rsidR="00247D72" w:rsidRPr="00247D72" w:rsidRDefault="00247D72" w:rsidP="00B8703E">
            <w:pPr>
              <w:pStyle w:val="BodyText"/>
              <w:spacing w:line="259" w:lineRule="auto"/>
              <w:rPr>
                <w:rFonts w:asciiTheme="minorHAnsi" w:hAnsiTheme="minorHAnsi" w:cstheme="minorHAnsi"/>
              </w:rPr>
            </w:pPr>
            <w:r>
              <w:rPr>
                <w:rFonts w:asciiTheme="minorHAnsi" w:hAnsiTheme="minorHAnsi" w:cstheme="minorHAnsi"/>
                <w:b/>
                <w:bCs/>
              </w:rPr>
              <w:t>RHSC Projects</w:t>
            </w:r>
          </w:p>
        </w:tc>
      </w:tr>
    </w:tbl>
    <w:p w14:paraId="14361EF4" w14:textId="77777777" w:rsidR="00247D72" w:rsidRDefault="00247D72" w:rsidP="00B8703E">
      <w:pPr>
        <w:spacing w:after="0"/>
        <w:ind w:firstLine="720"/>
        <w:jc w:val="both"/>
        <w:rPr>
          <w:rFonts w:eastAsia="Calibri" w:cstheme="minorHAnsi"/>
        </w:rPr>
      </w:pPr>
    </w:p>
    <w:p w14:paraId="7FCC9CEA" w14:textId="0207CD3E" w:rsidR="00247D72" w:rsidRDefault="00247D72" w:rsidP="00B8703E">
      <w:pPr>
        <w:spacing w:after="0"/>
        <w:ind w:firstLine="720"/>
        <w:jc w:val="both"/>
        <w:rPr>
          <w:rFonts w:cstheme="minorHAnsi"/>
          <w:b/>
          <w:bCs/>
          <w:u w:val="single"/>
        </w:rPr>
      </w:pPr>
      <w:r w:rsidRPr="00080598">
        <w:rPr>
          <w:rFonts w:cstheme="minorHAnsi"/>
          <w:b/>
          <w:bCs/>
          <w:u w:val="single"/>
        </w:rPr>
        <w:t xml:space="preserve">5.1 </w:t>
      </w:r>
      <w:r w:rsidR="00080598">
        <w:rPr>
          <w:rFonts w:cstheme="minorHAnsi"/>
          <w:b/>
          <w:bCs/>
          <w:u w:val="single"/>
        </w:rPr>
        <w:t xml:space="preserve">RHSC </w:t>
      </w:r>
      <w:r w:rsidRPr="00080598">
        <w:rPr>
          <w:rFonts w:cstheme="minorHAnsi"/>
          <w:b/>
          <w:bCs/>
          <w:u w:val="single"/>
        </w:rPr>
        <w:t xml:space="preserve">Key Performance Indicators </w:t>
      </w:r>
      <w:r w:rsidR="00080598">
        <w:rPr>
          <w:rFonts w:cstheme="minorHAnsi"/>
          <w:b/>
          <w:bCs/>
          <w:u w:val="single"/>
        </w:rPr>
        <w:t xml:space="preserve">(KPIs) </w:t>
      </w:r>
      <w:r w:rsidRPr="00080598">
        <w:rPr>
          <w:rFonts w:cstheme="minorHAnsi"/>
          <w:b/>
          <w:bCs/>
          <w:u w:val="single"/>
        </w:rPr>
        <w:t>– RHSC Advisor’s Office</w:t>
      </w:r>
    </w:p>
    <w:p w14:paraId="1EE3B369" w14:textId="77777777" w:rsidR="00080598" w:rsidRDefault="00080598" w:rsidP="00B8703E">
      <w:pPr>
        <w:spacing w:after="0"/>
        <w:ind w:firstLine="720"/>
        <w:jc w:val="both"/>
        <w:rPr>
          <w:rFonts w:cstheme="minorHAnsi"/>
          <w:b/>
          <w:bCs/>
          <w:u w:val="single"/>
        </w:rPr>
      </w:pPr>
    </w:p>
    <w:p w14:paraId="1876BA90" w14:textId="4A0A0559" w:rsidR="00080598" w:rsidRPr="00080598" w:rsidRDefault="00080598" w:rsidP="00B8703E">
      <w:pPr>
        <w:spacing w:after="0"/>
        <w:ind w:firstLine="720"/>
        <w:jc w:val="both"/>
        <w:rPr>
          <w:rFonts w:cstheme="minorHAnsi"/>
          <w:b/>
          <w:bCs/>
          <w:u w:val="single"/>
        </w:rPr>
      </w:pPr>
      <w:r w:rsidRPr="00080598">
        <w:rPr>
          <w:rFonts w:cstheme="minorHAnsi"/>
          <w:b/>
          <w:bCs/>
          <w:u w:val="single"/>
        </w:rPr>
        <w:t>5.1</w:t>
      </w:r>
      <w:r>
        <w:rPr>
          <w:rFonts w:cstheme="minorHAnsi"/>
          <w:b/>
          <w:bCs/>
          <w:u w:val="single"/>
        </w:rPr>
        <w:t>.1</w:t>
      </w:r>
      <w:r w:rsidRPr="00080598">
        <w:rPr>
          <w:rFonts w:cstheme="minorHAnsi"/>
          <w:b/>
          <w:bCs/>
          <w:u w:val="single"/>
        </w:rPr>
        <w:t xml:space="preserve"> </w:t>
      </w:r>
      <w:r>
        <w:rPr>
          <w:rFonts w:cstheme="minorHAnsi"/>
          <w:b/>
          <w:bCs/>
          <w:u w:val="single"/>
        </w:rPr>
        <w:t>U</w:t>
      </w:r>
      <w:r w:rsidRPr="00080598">
        <w:rPr>
          <w:rFonts w:cstheme="minorHAnsi"/>
          <w:b/>
          <w:bCs/>
          <w:u w:val="single"/>
        </w:rPr>
        <w:t>pdate on Phase 1 KPIs for RHSC endorsement</w:t>
      </w:r>
    </w:p>
    <w:p w14:paraId="2606DDD3" w14:textId="77777777" w:rsidR="00247D72" w:rsidRPr="00080598" w:rsidRDefault="00247D72" w:rsidP="00B8703E">
      <w:pPr>
        <w:spacing w:after="0"/>
        <w:ind w:firstLine="720"/>
        <w:jc w:val="both"/>
        <w:rPr>
          <w:rFonts w:cstheme="minorHAnsi"/>
          <w:b/>
          <w:bCs/>
          <w:u w:val="single"/>
        </w:rPr>
      </w:pPr>
    </w:p>
    <w:p w14:paraId="5F00A5DB" w14:textId="4C6C5392" w:rsidR="00247D72" w:rsidRDefault="00247D72" w:rsidP="00B8703E">
      <w:pPr>
        <w:spacing w:after="0"/>
        <w:ind w:firstLine="720"/>
        <w:jc w:val="both"/>
        <w:rPr>
          <w:rFonts w:eastAsia="Calibri" w:cstheme="minorHAnsi"/>
        </w:rPr>
      </w:pPr>
      <w:r w:rsidRPr="00247D72">
        <w:rPr>
          <w:rFonts w:eastAsia="Calibri" w:cstheme="minorHAnsi"/>
        </w:rPr>
        <w:t xml:space="preserve">The RHSC </w:t>
      </w:r>
      <w:r>
        <w:rPr>
          <w:rFonts w:eastAsia="Calibri" w:cstheme="minorHAnsi"/>
        </w:rPr>
        <w:t>Advisor’s Office</w:t>
      </w:r>
      <w:r w:rsidRPr="00247D72">
        <w:rPr>
          <w:rFonts w:eastAsia="Calibri" w:cstheme="minorHAnsi"/>
        </w:rPr>
        <w:t xml:space="preserve"> introduced the final Phase 1 KPI infographic for endorsement, noting that it reflects</w:t>
      </w:r>
      <w:r w:rsidR="00080598">
        <w:rPr>
          <w:rFonts w:eastAsia="Calibri" w:cstheme="minorHAnsi"/>
        </w:rPr>
        <w:t xml:space="preserve"> updated</w:t>
      </w:r>
      <w:r w:rsidRPr="00247D72">
        <w:rPr>
          <w:rFonts w:eastAsia="Calibri" w:cstheme="minorHAnsi"/>
        </w:rPr>
        <w:t xml:space="preserve"> data </w:t>
      </w:r>
      <w:r w:rsidR="00080598">
        <w:rPr>
          <w:rFonts w:eastAsia="Calibri" w:cstheme="minorHAnsi"/>
        </w:rPr>
        <w:t xml:space="preserve">from 2024. </w:t>
      </w:r>
      <w:r w:rsidRPr="00247D72">
        <w:rPr>
          <w:rFonts w:eastAsia="Calibri" w:cstheme="minorHAnsi"/>
        </w:rPr>
        <w:t>No further edits were proposed, and the RHSC endorsed the Phase 1 KPI infographic.</w:t>
      </w:r>
    </w:p>
    <w:p w14:paraId="16FB610B" w14:textId="77777777" w:rsidR="00080598" w:rsidRDefault="00080598" w:rsidP="00B8703E">
      <w:pPr>
        <w:spacing w:after="0"/>
        <w:ind w:firstLine="720"/>
        <w:jc w:val="both"/>
        <w:rPr>
          <w:rFonts w:eastAsia="Calibri" w:cstheme="minorHAnsi"/>
        </w:rPr>
      </w:pPr>
    </w:p>
    <w:p w14:paraId="6BF68B8F" w14:textId="09054768" w:rsidR="00080598" w:rsidRPr="00080598" w:rsidRDefault="00080598" w:rsidP="00B8703E">
      <w:pPr>
        <w:spacing w:after="0"/>
        <w:ind w:firstLine="720"/>
        <w:jc w:val="both"/>
        <w:rPr>
          <w:rFonts w:cstheme="minorHAnsi"/>
          <w:b/>
          <w:bCs/>
          <w:u w:val="single"/>
        </w:rPr>
      </w:pPr>
      <w:r w:rsidRPr="00080598">
        <w:rPr>
          <w:rFonts w:cstheme="minorHAnsi"/>
          <w:b/>
          <w:bCs/>
          <w:u w:val="single"/>
        </w:rPr>
        <w:t>5.1.2 Phase 2 KPIs</w:t>
      </w:r>
    </w:p>
    <w:p w14:paraId="110445CD" w14:textId="77777777" w:rsidR="00080598" w:rsidRDefault="00080598" w:rsidP="00B8703E">
      <w:pPr>
        <w:spacing w:after="0"/>
        <w:ind w:firstLine="720"/>
        <w:jc w:val="both"/>
        <w:rPr>
          <w:rFonts w:eastAsia="Calibri" w:cstheme="minorHAnsi"/>
        </w:rPr>
      </w:pPr>
    </w:p>
    <w:p w14:paraId="1AF14F31" w14:textId="6167F7E9" w:rsidR="006852AF" w:rsidRPr="006852AF" w:rsidRDefault="006852AF" w:rsidP="006852AF">
      <w:pPr>
        <w:spacing w:after="0"/>
        <w:ind w:firstLine="720"/>
        <w:jc w:val="both"/>
        <w:rPr>
          <w:rFonts w:eastAsia="Calibri" w:cstheme="minorHAnsi"/>
        </w:rPr>
      </w:pPr>
      <w:r w:rsidRPr="006852AF">
        <w:rPr>
          <w:rFonts w:eastAsia="Calibri" w:cstheme="minorHAnsi"/>
        </w:rPr>
        <w:t>The RHSC Advisor’s Office introduced the draft Phase 2 KPIs, noting their purpose to capture more nuanced measures of reliance, convergence, and regulatory collaboration. Members exchanged views on refining the indicators, stressing the importance of clear and concise questions, minimizing respondent burden, and maintaining separate measures for pharmaceuticals and medical devices. There was broad support to merge Phase 1 and Phase 2 KPIs into a single set</w:t>
      </w:r>
      <w:r>
        <w:rPr>
          <w:rFonts w:eastAsia="Calibri" w:cstheme="minorHAnsi"/>
        </w:rPr>
        <w:t>.</w:t>
      </w:r>
    </w:p>
    <w:p w14:paraId="3677CADE" w14:textId="77777777" w:rsidR="006852AF" w:rsidRPr="006852AF" w:rsidRDefault="006852AF" w:rsidP="006852AF">
      <w:pPr>
        <w:spacing w:after="0"/>
        <w:jc w:val="both"/>
        <w:rPr>
          <w:rFonts w:eastAsia="Calibri" w:cstheme="minorHAnsi"/>
        </w:rPr>
      </w:pPr>
    </w:p>
    <w:p w14:paraId="488E0EB1" w14:textId="061515BB" w:rsidR="00A761C0" w:rsidRDefault="006852AF" w:rsidP="006852AF">
      <w:pPr>
        <w:spacing w:after="0"/>
        <w:ind w:firstLine="720"/>
        <w:jc w:val="both"/>
        <w:rPr>
          <w:rFonts w:eastAsia="Calibri" w:cstheme="minorHAnsi"/>
        </w:rPr>
      </w:pPr>
      <w:r w:rsidRPr="006852AF">
        <w:rPr>
          <w:rFonts w:eastAsia="Calibri" w:cstheme="minorHAnsi"/>
        </w:rPr>
        <w:t xml:space="preserve">It was agreed that the Advisor’s Office would incorporate the suggested revisions and circulate a revised KPI package for intersessional review, allowing at least two weeks for comments ahead of SOM1 2026. To support this work, </w:t>
      </w:r>
      <w:r w:rsidR="00814A43">
        <w:rPr>
          <w:rFonts w:eastAsia="Calibri" w:cstheme="minorHAnsi"/>
        </w:rPr>
        <w:t>the United States</w:t>
      </w:r>
      <w:r w:rsidR="00814A43" w:rsidRPr="006852AF">
        <w:rPr>
          <w:rFonts w:eastAsia="Calibri" w:cstheme="minorHAnsi"/>
        </w:rPr>
        <w:t xml:space="preserve"> </w:t>
      </w:r>
      <w:r w:rsidR="00814A43">
        <w:rPr>
          <w:rFonts w:eastAsia="Calibri" w:cstheme="minorHAnsi"/>
        </w:rPr>
        <w:t>would</w:t>
      </w:r>
      <w:r w:rsidRPr="006852AF">
        <w:rPr>
          <w:rFonts w:eastAsia="Calibri" w:cstheme="minorHAnsi"/>
        </w:rPr>
        <w:t xml:space="preserve"> move forward with submitting a self-funded project proposal to advance the Phase 2 KPI initiative.</w:t>
      </w:r>
    </w:p>
    <w:p w14:paraId="25799602" w14:textId="77777777" w:rsidR="006852AF" w:rsidRDefault="006852AF" w:rsidP="006852AF">
      <w:pPr>
        <w:spacing w:after="0"/>
        <w:ind w:firstLine="720"/>
        <w:jc w:val="both"/>
        <w:rPr>
          <w:rFonts w:eastAsia="Calibri" w:cstheme="minorHAnsi"/>
        </w:rPr>
      </w:pPr>
    </w:p>
    <w:p w14:paraId="671237D8" w14:textId="3E6B5E0B" w:rsidR="00106E89" w:rsidRDefault="00106E89" w:rsidP="00106E89">
      <w:pPr>
        <w:spacing w:after="0"/>
        <w:ind w:firstLine="720"/>
        <w:jc w:val="both"/>
        <w:rPr>
          <w:rFonts w:cstheme="minorHAnsi"/>
          <w:b/>
          <w:bCs/>
          <w:u w:val="single"/>
        </w:rPr>
      </w:pPr>
      <w:r w:rsidRPr="00080598">
        <w:rPr>
          <w:rFonts w:cstheme="minorHAnsi"/>
          <w:b/>
          <w:bCs/>
          <w:u w:val="single"/>
        </w:rPr>
        <w:t xml:space="preserve">5.2 </w:t>
      </w:r>
      <w:r>
        <w:rPr>
          <w:rFonts w:cstheme="minorHAnsi"/>
          <w:b/>
          <w:bCs/>
          <w:u w:val="single"/>
        </w:rPr>
        <w:t>Additional Project Updates</w:t>
      </w:r>
    </w:p>
    <w:p w14:paraId="512B7865" w14:textId="77777777" w:rsidR="00126836" w:rsidRDefault="00126836" w:rsidP="00106E89">
      <w:pPr>
        <w:spacing w:after="0"/>
        <w:ind w:firstLine="720"/>
        <w:jc w:val="both"/>
        <w:rPr>
          <w:rFonts w:cstheme="minorHAnsi"/>
          <w:b/>
          <w:bCs/>
          <w:u w:val="single"/>
        </w:rPr>
      </w:pPr>
    </w:p>
    <w:p w14:paraId="178C1AF1" w14:textId="28C82443" w:rsidR="00106E89" w:rsidRPr="00942A15" w:rsidRDefault="00126836" w:rsidP="00942A15">
      <w:pPr>
        <w:spacing w:after="0"/>
        <w:ind w:firstLine="720"/>
        <w:jc w:val="both"/>
        <w:rPr>
          <w:rFonts w:cstheme="minorHAnsi"/>
        </w:rPr>
      </w:pPr>
      <w:r>
        <w:rPr>
          <w:rFonts w:cstheme="minorHAnsi"/>
        </w:rPr>
        <w:t xml:space="preserve">The RHSC Advisor’s Office </w:t>
      </w:r>
      <w:r w:rsidR="00942A15">
        <w:rPr>
          <w:rFonts w:cstheme="minorHAnsi"/>
        </w:rPr>
        <w:t>r</w:t>
      </w:r>
      <w:r w:rsidR="00942A15" w:rsidRPr="00942A15">
        <w:rPr>
          <w:rFonts w:cstheme="minorHAnsi"/>
        </w:rPr>
        <w:t>eminded</w:t>
      </w:r>
      <w:r w:rsidR="00942A15">
        <w:rPr>
          <w:rFonts w:cstheme="minorHAnsi"/>
        </w:rPr>
        <w:t xml:space="preserve"> RHSC members</w:t>
      </w:r>
      <w:r w:rsidR="00942A15" w:rsidRPr="00942A15">
        <w:rPr>
          <w:rFonts w:cstheme="minorHAnsi"/>
        </w:rPr>
        <w:t xml:space="preserve"> that both self-funded and APEC-funded project options are available, with information on requirements and deadlines posted on the APEC website. The Advisors invited interested economies to reach out directly for guidance on developing and submitting proposals.</w:t>
      </w:r>
    </w:p>
    <w:p w14:paraId="112F851C" w14:textId="2A9B49BF" w:rsidR="009220E5" w:rsidRDefault="009220E5">
      <w:pPr>
        <w:rPr>
          <w:rFonts w:eastAsia="Calibri" w:cstheme="minorHAnsi"/>
        </w:rPr>
      </w:pPr>
      <w:r>
        <w:rPr>
          <w:rFonts w:eastAsia="Calibri" w:cstheme="minorHAnsi"/>
        </w:rPr>
        <w:br w:type="page"/>
      </w:r>
    </w:p>
    <w:p w14:paraId="2268F623" w14:textId="77777777" w:rsidR="00106E89" w:rsidRPr="00E816CE" w:rsidRDefault="00106E89" w:rsidP="006852AF">
      <w:pPr>
        <w:spacing w:after="0"/>
        <w:ind w:firstLine="720"/>
        <w:jc w:val="both"/>
        <w:rPr>
          <w:rFonts w:eastAsia="Calibri" w:cstheme="minorHAnsi"/>
        </w:rPr>
      </w:pPr>
    </w:p>
    <w:tbl>
      <w:tblPr>
        <w:tblStyle w:val="TableGrid1"/>
        <w:tblW w:w="9630" w:type="dxa"/>
        <w:jc w:val="center"/>
        <w:tblLook w:val="04A0" w:firstRow="1" w:lastRow="0" w:firstColumn="1" w:lastColumn="0" w:noHBand="0" w:noVBand="1"/>
      </w:tblPr>
      <w:tblGrid>
        <w:gridCol w:w="9630"/>
      </w:tblGrid>
      <w:tr w:rsidR="00A761C0" w:rsidRPr="004C148E" w14:paraId="271972CC" w14:textId="77777777" w:rsidTr="00B624D7">
        <w:trPr>
          <w:trHeight w:val="356"/>
          <w:jc w:val="center"/>
        </w:trPr>
        <w:tc>
          <w:tcPr>
            <w:tcW w:w="9630" w:type="dxa"/>
            <w:shd w:val="clear" w:color="auto" w:fill="A1C6E7"/>
          </w:tcPr>
          <w:p w14:paraId="2925B83B" w14:textId="77777777" w:rsidR="00A761C0" w:rsidRPr="00A761C0" w:rsidRDefault="00A761C0" w:rsidP="00B624D7">
            <w:pPr>
              <w:spacing w:before="120" w:after="120" w:line="257" w:lineRule="auto"/>
              <w:jc w:val="center"/>
              <w:rPr>
                <w:rFonts w:cstheme="minorHAnsi"/>
                <w:b/>
                <w:u w:color="000000"/>
                <w:lang w:eastAsia="zh-CN"/>
              </w:rPr>
            </w:pPr>
            <w:r w:rsidRPr="00A761C0">
              <w:rPr>
                <w:rFonts w:cstheme="minorHAnsi"/>
                <w:b/>
                <w:u w:color="000000"/>
                <w:lang w:eastAsia="zh-CN"/>
              </w:rPr>
              <w:t>Priority Work Area (PWA) Updates</w:t>
            </w:r>
          </w:p>
        </w:tc>
      </w:tr>
    </w:tbl>
    <w:p w14:paraId="23F311F0" w14:textId="77777777" w:rsidR="00063E7D" w:rsidRDefault="00063E7D" w:rsidP="00063E7D">
      <w:pPr>
        <w:spacing w:after="0"/>
        <w:jc w:val="both"/>
        <w:rPr>
          <w:rFonts w:eastAsia="Calibri" w:cstheme="minorHAnsi"/>
        </w:rPr>
      </w:pPr>
    </w:p>
    <w:tbl>
      <w:tblPr>
        <w:tblStyle w:val="TableGrid"/>
        <w:tblW w:w="0" w:type="auto"/>
        <w:tblLook w:val="04A0" w:firstRow="1" w:lastRow="0" w:firstColumn="1" w:lastColumn="0" w:noHBand="0" w:noVBand="1"/>
      </w:tblPr>
      <w:tblGrid>
        <w:gridCol w:w="1779"/>
        <w:gridCol w:w="1858"/>
        <w:gridCol w:w="5713"/>
      </w:tblGrid>
      <w:tr w:rsidR="00063E7D" w:rsidRPr="00247D72" w14:paraId="46314016" w14:textId="77777777">
        <w:trPr>
          <w:trHeight w:val="300"/>
        </w:trPr>
        <w:tc>
          <w:tcPr>
            <w:tcW w:w="1784" w:type="dxa"/>
            <w:shd w:val="clear" w:color="auto" w:fill="F2F2F2" w:themeFill="background1" w:themeFillShade="F2"/>
          </w:tcPr>
          <w:p w14:paraId="5F53DAE5" w14:textId="247184C2" w:rsidR="00063E7D" w:rsidRPr="00247D72" w:rsidRDefault="00063E7D">
            <w:pPr>
              <w:pStyle w:val="BodyText"/>
              <w:rPr>
                <w:rFonts w:asciiTheme="minorHAnsi" w:hAnsiTheme="minorHAnsi" w:cstheme="minorHAnsi"/>
                <w:b/>
                <w:bCs/>
              </w:rPr>
            </w:pPr>
            <w:r>
              <w:rPr>
                <w:rFonts w:asciiTheme="minorHAnsi" w:hAnsiTheme="minorHAnsi" w:cstheme="minorHAnsi"/>
                <w:b/>
                <w:bCs/>
              </w:rPr>
              <w:t>11</w:t>
            </w:r>
            <w:r w:rsidRPr="00247D72">
              <w:rPr>
                <w:rFonts w:asciiTheme="minorHAnsi" w:hAnsiTheme="minorHAnsi" w:cstheme="minorHAnsi"/>
                <w:b/>
                <w:bCs/>
              </w:rPr>
              <w:t>:</w:t>
            </w:r>
            <w:r>
              <w:rPr>
                <w:rFonts w:asciiTheme="minorHAnsi" w:hAnsiTheme="minorHAnsi" w:cstheme="minorHAnsi"/>
                <w:b/>
                <w:bCs/>
              </w:rPr>
              <w:t>0</w:t>
            </w:r>
            <w:r w:rsidRPr="00247D72">
              <w:rPr>
                <w:rFonts w:asciiTheme="minorHAnsi" w:hAnsiTheme="minorHAnsi" w:cstheme="minorHAnsi"/>
                <w:b/>
                <w:bCs/>
              </w:rPr>
              <w:t xml:space="preserve">5 – </w:t>
            </w:r>
            <w:r>
              <w:rPr>
                <w:rFonts w:asciiTheme="minorHAnsi" w:hAnsiTheme="minorHAnsi" w:cstheme="minorHAnsi"/>
                <w:b/>
                <w:bCs/>
              </w:rPr>
              <w:t>10</w:t>
            </w:r>
            <w:r w:rsidRPr="00247D72">
              <w:rPr>
                <w:rFonts w:asciiTheme="minorHAnsi" w:hAnsiTheme="minorHAnsi" w:cstheme="minorHAnsi"/>
                <w:b/>
                <w:bCs/>
              </w:rPr>
              <w:t>:</w:t>
            </w:r>
            <w:r>
              <w:rPr>
                <w:rFonts w:asciiTheme="minorHAnsi" w:hAnsiTheme="minorHAnsi" w:cstheme="minorHAnsi"/>
                <w:b/>
                <w:bCs/>
              </w:rPr>
              <w:t>40</w:t>
            </w:r>
          </w:p>
        </w:tc>
        <w:tc>
          <w:tcPr>
            <w:tcW w:w="1862" w:type="dxa"/>
            <w:shd w:val="clear" w:color="auto" w:fill="F2F2F2" w:themeFill="background1" w:themeFillShade="F2"/>
          </w:tcPr>
          <w:p w14:paraId="2F0171A3" w14:textId="1586A7ED" w:rsidR="00063E7D" w:rsidRPr="00247D72" w:rsidRDefault="00063E7D">
            <w:pPr>
              <w:pStyle w:val="BodyText"/>
              <w:rPr>
                <w:rFonts w:asciiTheme="minorHAnsi" w:hAnsiTheme="minorHAnsi" w:cstheme="minorHAnsi"/>
                <w:b/>
                <w:bCs/>
              </w:rPr>
            </w:pPr>
            <w:r w:rsidRPr="00247D72">
              <w:rPr>
                <w:rFonts w:asciiTheme="minorHAnsi" w:hAnsiTheme="minorHAnsi" w:cstheme="minorHAnsi"/>
                <w:b/>
                <w:bCs/>
              </w:rPr>
              <w:t xml:space="preserve">AGENDA ITEM </w:t>
            </w:r>
            <w:r>
              <w:rPr>
                <w:rFonts w:asciiTheme="minorHAnsi" w:hAnsiTheme="minorHAnsi" w:cstheme="minorHAnsi"/>
                <w:b/>
                <w:bCs/>
              </w:rPr>
              <w:t>6</w:t>
            </w:r>
          </w:p>
        </w:tc>
        <w:tc>
          <w:tcPr>
            <w:tcW w:w="5734" w:type="dxa"/>
            <w:shd w:val="clear" w:color="auto" w:fill="F2F2F2" w:themeFill="background1" w:themeFillShade="F2"/>
          </w:tcPr>
          <w:p w14:paraId="65714A03" w14:textId="365E971C" w:rsidR="00063E7D" w:rsidRPr="00247D72" w:rsidRDefault="00063E7D">
            <w:pPr>
              <w:pStyle w:val="BodyText"/>
              <w:spacing w:line="259" w:lineRule="auto"/>
              <w:rPr>
                <w:rFonts w:asciiTheme="minorHAnsi" w:hAnsiTheme="minorHAnsi" w:cstheme="minorHAnsi"/>
              </w:rPr>
            </w:pPr>
            <w:r w:rsidRPr="00063E7D">
              <w:rPr>
                <w:rFonts w:asciiTheme="minorHAnsi" w:hAnsiTheme="minorHAnsi" w:cstheme="minorHAnsi"/>
                <w:b/>
                <w:bCs/>
              </w:rPr>
              <w:t>Global Supply Chain Integrity (GSCI) PWA</w:t>
            </w:r>
          </w:p>
        </w:tc>
      </w:tr>
    </w:tbl>
    <w:p w14:paraId="5A147EDD" w14:textId="77777777" w:rsidR="00063E7D" w:rsidRDefault="00063E7D" w:rsidP="00063E7D">
      <w:pPr>
        <w:spacing w:after="0"/>
        <w:jc w:val="both"/>
        <w:rPr>
          <w:rFonts w:eastAsia="Calibri" w:cstheme="minorHAnsi"/>
        </w:rPr>
      </w:pPr>
    </w:p>
    <w:p w14:paraId="509AAAEB" w14:textId="56660281" w:rsidR="00063E7D" w:rsidRPr="004C148E" w:rsidRDefault="00063E7D" w:rsidP="00063E7D">
      <w:pPr>
        <w:pStyle w:val="BodyText"/>
        <w:ind w:left="1440" w:hanging="720"/>
        <w:rPr>
          <w:rFonts w:asciiTheme="minorHAnsi" w:hAnsiTheme="minorHAnsi" w:cstheme="minorHAnsi"/>
          <w:b/>
          <w:bCs/>
          <w:u w:val="single"/>
        </w:rPr>
      </w:pPr>
      <w:r w:rsidRPr="004C148E">
        <w:rPr>
          <w:rFonts w:asciiTheme="minorHAnsi" w:hAnsiTheme="minorHAnsi" w:cstheme="minorHAnsi"/>
          <w:b/>
          <w:bCs/>
        </w:rPr>
        <w:t xml:space="preserve">6.1 </w:t>
      </w:r>
      <w:r w:rsidRPr="004C148E">
        <w:rPr>
          <w:rFonts w:asciiTheme="minorHAnsi" w:hAnsiTheme="minorHAnsi" w:cstheme="minorHAnsi"/>
          <w:b/>
          <w:bCs/>
        </w:rPr>
        <w:tab/>
      </w:r>
      <w:r w:rsidRPr="004C148E">
        <w:rPr>
          <w:rFonts w:asciiTheme="minorHAnsi" w:hAnsiTheme="minorHAnsi" w:cstheme="minorHAnsi"/>
          <w:b/>
          <w:bCs/>
          <w:u w:val="single"/>
        </w:rPr>
        <w:t>PWA Champion Update</w:t>
      </w:r>
      <w:r w:rsidR="00366E7A">
        <w:rPr>
          <w:rFonts w:asciiTheme="minorHAnsi" w:hAnsiTheme="minorHAnsi" w:cstheme="minorHAnsi"/>
          <w:b/>
          <w:bCs/>
          <w:u w:val="single"/>
        </w:rPr>
        <w:t>: Food and D</w:t>
      </w:r>
      <w:r w:rsidR="00BA4E56">
        <w:rPr>
          <w:rFonts w:asciiTheme="minorHAnsi" w:hAnsiTheme="minorHAnsi" w:cstheme="minorHAnsi"/>
          <w:b/>
          <w:bCs/>
          <w:u w:val="single"/>
        </w:rPr>
        <w:t>r</w:t>
      </w:r>
      <w:r w:rsidR="00366E7A">
        <w:rPr>
          <w:rFonts w:asciiTheme="minorHAnsi" w:hAnsiTheme="minorHAnsi" w:cstheme="minorHAnsi"/>
          <w:b/>
          <w:bCs/>
          <w:u w:val="single"/>
        </w:rPr>
        <w:t>ug Administration</w:t>
      </w:r>
      <w:r w:rsidR="00E15758">
        <w:rPr>
          <w:rFonts w:asciiTheme="minorHAnsi" w:hAnsiTheme="minorHAnsi" w:cstheme="minorHAnsi"/>
          <w:b/>
          <w:bCs/>
          <w:u w:val="single"/>
        </w:rPr>
        <w:t>, United States</w:t>
      </w:r>
      <w:r w:rsidR="00366E7A">
        <w:rPr>
          <w:rFonts w:asciiTheme="minorHAnsi" w:hAnsiTheme="minorHAnsi" w:cstheme="minorHAnsi"/>
          <w:b/>
          <w:bCs/>
          <w:u w:val="single"/>
        </w:rPr>
        <w:t xml:space="preserve"> (U.S. FDA)</w:t>
      </w:r>
    </w:p>
    <w:p w14:paraId="6C174EBC" w14:textId="77777777" w:rsidR="00063E7D" w:rsidRDefault="00063E7D" w:rsidP="00063E7D">
      <w:pPr>
        <w:spacing w:after="0"/>
        <w:ind w:firstLine="720"/>
        <w:jc w:val="both"/>
        <w:rPr>
          <w:rFonts w:eastAsia="Calibri" w:cstheme="minorHAnsi"/>
        </w:rPr>
      </w:pPr>
    </w:p>
    <w:p w14:paraId="27028D0C" w14:textId="2FB664CD" w:rsidR="00063E7D" w:rsidRDefault="00063E7D" w:rsidP="00063E7D">
      <w:pPr>
        <w:spacing w:after="0"/>
        <w:ind w:firstLine="720"/>
        <w:jc w:val="both"/>
        <w:rPr>
          <w:rFonts w:eastAsia="Calibri" w:cstheme="minorHAnsi"/>
        </w:rPr>
      </w:pPr>
      <w:r w:rsidRPr="00063E7D">
        <w:rPr>
          <w:rFonts w:eastAsia="Calibri" w:cstheme="minorHAnsi"/>
        </w:rPr>
        <w:t xml:space="preserve">The U.S. Food and Drug Administration, as PWA Champion, reported updates to the APEC Supply Chain Security Toolkit, including new modules on Good Distribution Practices (GDP), detection of falsified products, and monitoring of illicit online sales. </w:t>
      </w:r>
      <w:r w:rsidRPr="006B06DB">
        <w:rPr>
          <w:rFonts w:eastAsia="Calibri" w:cstheme="minorHAnsi"/>
        </w:rPr>
        <w:t xml:space="preserve">The Champion emphasized </w:t>
      </w:r>
      <w:r w:rsidR="00F86CC6" w:rsidRPr="006B06DB">
        <w:rPr>
          <w:rFonts w:eastAsia="Calibri" w:cstheme="minorHAnsi"/>
        </w:rPr>
        <w:t>the extensive reach of the Toolkit which was presented in 7 forums in 2025.</w:t>
      </w:r>
      <w:r w:rsidR="00F86CC6" w:rsidRPr="006B06DB">
        <w:rPr>
          <w:rFonts w:eastAsia="Calibri" w:cstheme="minorHAnsi"/>
          <w:highlight w:val="cyan"/>
        </w:rPr>
        <w:t xml:space="preserve"> </w:t>
      </w:r>
    </w:p>
    <w:p w14:paraId="3EA53658" w14:textId="77777777" w:rsidR="00063E7D" w:rsidRDefault="00063E7D" w:rsidP="00063E7D">
      <w:pPr>
        <w:spacing w:after="0"/>
        <w:ind w:firstLine="720"/>
        <w:jc w:val="both"/>
        <w:rPr>
          <w:rFonts w:eastAsia="Calibri" w:cstheme="minorHAnsi"/>
        </w:rPr>
      </w:pPr>
    </w:p>
    <w:p w14:paraId="56BAD490" w14:textId="77777777" w:rsidR="00063E7D" w:rsidRPr="004C148E" w:rsidRDefault="00063E7D" w:rsidP="00063E7D">
      <w:pPr>
        <w:pStyle w:val="BodyText"/>
        <w:ind w:left="1440" w:hanging="720"/>
        <w:rPr>
          <w:rFonts w:asciiTheme="minorHAnsi" w:hAnsiTheme="minorHAnsi" w:cstheme="minorHAnsi"/>
          <w:b/>
          <w:bCs/>
          <w:u w:val="single"/>
        </w:rPr>
      </w:pPr>
      <w:r w:rsidRPr="004C148E">
        <w:rPr>
          <w:rFonts w:asciiTheme="minorHAnsi" w:hAnsiTheme="minorHAnsi" w:cstheme="minorHAnsi"/>
          <w:b/>
          <w:bCs/>
        </w:rPr>
        <w:t xml:space="preserve">6.2 </w:t>
      </w:r>
      <w:r w:rsidRPr="004C148E">
        <w:rPr>
          <w:rFonts w:asciiTheme="minorHAnsi" w:hAnsiTheme="minorHAnsi" w:cstheme="minorHAnsi"/>
          <w:b/>
          <w:bCs/>
        </w:rPr>
        <w:tab/>
      </w:r>
      <w:r w:rsidRPr="004C148E">
        <w:rPr>
          <w:rFonts w:asciiTheme="minorHAnsi" w:hAnsiTheme="minorHAnsi" w:cstheme="minorHAnsi"/>
          <w:b/>
          <w:bCs/>
          <w:u w:val="single"/>
        </w:rPr>
        <w:t>Update from CoE: United States Pharmacopeia (USP), United States</w:t>
      </w:r>
    </w:p>
    <w:p w14:paraId="45472DF4" w14:textId="77777777" w:rsidR="00063E7D" w:rsidRDefault="00063E7D" w:rsidP="00063E7D">
      <w:pPr>
        <w:spacing w:after="0"/>
        <w:ind w:firstLine="720"/>
        <w:jc w:val="both"/>
        <w:rPr>
          <w:rFonts w:eastAsia="Calibri" w:cstheme="minorHAnsi"/>
        </w:rPr>
      </w:pPr>
    </w:p>
    <w:p w14:paraId="3285FB23" w14:textId="317E94D3" w:rsidR="00063E7D" w:rsidRDefault="00063E7D" w:rsidP="00063E7D">
      <w:pPr>
        <w:spacing w:after="0"/>
        <w:ind w:firstLine="720"/>
        <w:jc w:val="both"/>
        <w:rPr>
          <w:rFonts w:eastAsia="Calibri" w:cstheme="minorHAnsi"/>
        </w:rPr>
      </w:pPr>
      <w:r w:rsidRPr="00063E7D">
        <w:rPr>
          <w:rFonts w:eastAsia="Calibri" w:cstheme="minorHAnsi"/>
        </w:rPr>
        <w:t>USP reported on its 2024 Seoul workshop, which addressed GDP implementation, risk-based oversight, and inspection readiness. Scenario-based exercises allowed participants to identify documentation weaknesses and corrective actions. Over 90% of participants reported plans to apply learnings in their work. USP will expand access to training materials through its online platform.</w:t>
      </w:r>
    </w:p>
    <w:p w14:paraId="4E1D2106" w14:textId="77777777" w:rsidR="00063E7D" w:rsidRDefault="00063E7D" w:rsidP="00063E7D">
      <w:pPr>
        <w:spacing w:after="0"/>
        <w:ind w:firstLine="720"/>
        <w:jc w:val="both"/>
        <w:rPr>
          <w:rFonts w:eastAsia="Calibri" w:cstheme="minorHAnsi"/>
        </w:rPr>
      </w:pPr>
    </w:p>
    <w:p w14:paraId="04ABF5EE" w14:textId="77777777" w:rsidR="00063E7D" w:rsidRDefault="00063E7D" w:rsidP="00063E7D">
      <w:pPr>
        <w:pStyle w:val="BodyText"/>
        <w:ind w:left="1440" w:hanging="720"/>
        <w:rPr>
          <w:rFonts w:asciiTheme="minorHAnsi" w:hAnsiTheme="minorHAnsi" w:cstheme="minorHAnsi"/>
          <w:b/>
          <w:bCs/>
          <w:u w:val="single"/>
        </w:rPr>
      </w:pPr>
      <w:r w:rsidRPr="004C148E">
        <w:rPr>
          <w:rFonts w:asciiTheme="minorHAnsi" w:hAnsiTheme="minorHAnsi" w:cstheme="minorHAnsi"/>
          <w:b/>
          <w:bCs/>
        </w:rPr>
        <w:t xml:space="preserve">6.3 </w:t>
      </w:r>
      <w:r w:rsidRPr="004C148E">
        <w:rPr>
          <w:rFonts w:asciiTheme="minorHAnsi" w:hAnsiTheme="minorHAnsi" w:cstheme="minorHAnsi"/>
          <w:b/>
          <w:bCs/>
        </w:rPr>
        <w:tab/>
      </w:r>
      <w:r w:rsidRPr="004C148E">
        <w:rPr>
          <w:rFonts w:asciiTheme="minorHAnsi" w:hAnsiTheme="minorHAnsi" w:cstheme="minorHAnsi"/>
          <w:b/>
          <w:bCs/>
          <w:u w:val="single"/>
        </w:rPr>
        <w:t>Update from Pilot CoE: Rx-360</w:t>
      </w:r>
    </w:p>
    <w:p w14:paraId="7A6867DB" w14:textId="77777777" w:rsidR="001226AF" w:rsidRPr="004C148E" w:rsidRDefault="001226AF" w:rsidP="00063E7D">
      <w:pPr>
        <w:pStyle w:val="BodyText"/>
        <w:ind w:left="1440" w:hanging="720"/>
        <w:rPr>
          <w:rFonts w:asciiTheme="minorHAnsi" w:hAnsiTheme="minorHAnsi" w:cstheme="minorHAnsi"/>
          <w:b/>
          <w:bCs/>
          <w:u w:val="single"/>
        </w:rPr>
      </w:pPr>
    </w:p>
    <w:p w14:paraId="6EDF3973" w14:textId="0FFFF885" w:rsidR="00063E7D" w:rsidRDefault="00063E7D" w:rsidP="00063E7D">
      <w:pPr>
        <w:spacing w:after="0"/>
        <w:ind w:firstLine="720"/>
        <w:jc w:val="both"/>
      </w:pPr>
      <w:r>
        <w:t>Rx-360’s May 2025 virtual training attracted 230 participants from 15 economies, covering GDP frameworks, vulnerability assessments, and case studies on counterfeit prevention. An in-person workshop is planned for September 2025 in Washington, D.C., with sessions on quality culture in distribution and reliance in cross-border inspections.</w:t>
      </w:r>
    </w:p>
    <w:p w14:paraId="6C301306" w14:textId="77777777" w:rsidR="00063E7D" w:rsidRDefault="00063E7D" w:rsidP="00063E7D">
      <w:pPr>
        <w:spacing w:after="0"/>
        <w:jc w:val="both"/>
        <w:rPr>
          <w:rFonts w:eastAsia="Calibri" w:cstheme="minorHAnsi"/>
        </w:rPr>
      </w:pPr>
    </w:p>
    <w:tbl>
      <w:tblPr>
        <w:tblStyle w:val="TableGrid"/>
        <w:tblW w:w="9606" w:type="dxa"/>
        <w:jc w:val="center"/>
        <w:tblLook w:val="04A0" w:firstRow="1" w:lastRow="0" w:firstColumn="1" w:lastColumn="0" w:noHBand="0" w:noVBand="1"/>
      </w:tblPr>
      <w:tblGrid>
        <w:gridCol w:w="1368"/>
        <w:gridCol w:w="1800"/>
        <w:gridCol w:w="6438"/>
      </w:tblGrid>
      <w:tr w:rsidR="00063E7D" w:rsidRPr="004C148E" w14:paraId="0FF571A4" w14:textId="77777777">
        <w:trPr>
          <w:jc w:val="center"/>
        </w:trPr>
        <w:tc>
          <w:tcPr>
            <w:tcW w:w="1368" w:type="dxa"/>
            <w:shd w:val="clear" w:color="auto" w:fill="F2F2F2" w:themeFill="background1" w:themeFillShade="F2"/>
            <w:vAlign w:val="center"/>
          </w:tcPr>
          <w:p w14:paraId="18C3A3FA" w14:textId="4EEC0A1E" w:rsidR="00063E7D" w:rsidRPr="004C148E" w:rsidRDefault="00063E7D">
            <w:pPr>
              <w:keepNext/>
              <w:rPr>
                <w:rFonts w:cstheme="minorHAnsi"/>
                <w:b/>
                <w:bCs/>
              </w:rPr>
            </w:pPr>
            <w:r w:rsidRPr="004C148E">
              <w:rPr>
                <w:rFonts w:cstheme="minorHAnsi"/>
                <w:b/>
                <w:bCs/>
              </w:rPr>
              <w:t>1</w:t>
            </w:r>
            <w:r>
              <w:rPr>
                <w:rFonts w:cstheme="minorHAnsi"/>
                <w:b/>
                <w:bCs/>
              </w:rPr>
              <w:t>1</w:t>
            </w:r>
            <w:r w:rsidRPr="004C148E">
              <w:rPr>
                <w:rFonts w:cstheme="minorHAnsi"/>
                <w:b/>
                <w:bCs/>
              </w:rPr>
              <w:t>:</w:t>
            </w:r>
            <w:r>
              <w:rPr>
                <w:rFonts w:cstheme="minorHAnsi"/>
                <w:b/>
                <w:bCs/>
              </w:rPr>
              <w:t>4</w:t>
            </w:r>
            <w:r w:rsidRPr="004C148E">
              <w:rPr>
                <w:rFonts w:cstheme="minorHAnsi"/>
                <w:b/>
                <w:bCs/>
              </w:rPr>
              <w:t>0-1</w:t>
            </w:r>
            <w:r>
              <w:rPr>
                <w:rFonts w:cstheme="minorHAnsi"/>
                <w:b/>
                <w:bCs/>
              </w:rPr>
              <w:t>2</w:t>
            </w:r>
            <w:r w:rsidRPr="004C148E">
              <w:rPr>
                <w:rFonts w:cstheme="minorHAnsi"/>
                <w:b/>
                <w:bCs/>
              </w:rPr>
              <w:t>:</w:t>
            </w:r>
            <w:r>
              <w:rPr>
                <w:rFonts w:cstheme="minorHAnsi"/>
                <w:b/>
                <w:bCs/>
              </w:rPr>
              <w:t>30</w:t>
            </w:r>
          </w:p>
        </w:tc>
        <w:tc>
          <w:tcPr>
            <w:tcW w:w="1800" w:type="dxa"/>
            <w:shd w:val="clear" w:color="auto" w:fill="F2F2F2" w:themeFill="background1" w:themeFillShade="F2"/>
            <w:vAlign w:val="center"/>
          </w:tcPr>
          <w:p w14:paraId="24765BC1" w14:textId="77777777" w:rsidR="00063E7D" w:rsidRPr="004C148E" w:rsidRDefault="00063E7D">
            <w:pPr>
              <w:keepNext/>
              <w:rPr>
                <w:rFonts w:cstheme="minorHAnsi"/>
                <w:b/>
                <w:bCs/>
              </w:rPr>
            </w:pPr>
            <w:r w:rsidRPr="004C148E">
              <w:rPr>
                <w:rFonts w:cstheme="minorHAnsi"/>
                <w:b/>
                <w:bCs/>
              </w:rPr>
              <w:t>AGENDA ITEM 7</w:t>
            </w:r>
          </w:p>
        </w:tc>
        <w:tc>
          <w:tcPr>
            <w:tcW w:w="6438" w:type="dxa"/>
            <w:shd w:val="clear" w:color="auto" w:fill="F2F2F2" w:themeFill="background1" w:themeFillShade="F2"/>
            <w:vAlign w:val="center"/>
          </w:tcPr>
          <w:p w14:paraId="6BAABBD9" w14:textId="77777777" w:rsidR="00063E7D" w:rsidRPr="004C148E" w:rsidRDefault="00063E7D">
            <w:pPr>
              <w:keepNext/>
              <w:rPr>
                <w:rFonts w:cstheme="minorHAnsi"/>
                <w:b/>
              </w:rPr>
            </w:pPr>
            <w:r w:rsidRPr="004C148E">
              <w:rPr>
                <w:rFonts w:cstheme="minorHAnsi"/>
                <w:b/>
              </w:rPr>
              <w:t>Advanced Therapies and Biotherapeutic Products PWA</w:t>
            </w:r>
          </w:p>
        </w:tc>
      </w:tr>
    </w:tbl>
    <w:p w14:paraId="190CBD37" w14:textId="77777777" w:rsidR="00063E7D" w:rsidRDefault="00063E7D" w:rsidP="00063E7D">
      <w:pPr>
        <w:spacing w:after="0"/>
        <w:jc w:val="both"/>
        <w:rPr>
          <w:rFonts w:eastAsia="Calibri" w:cstheme="minorHAnsi"/>
        </w:rPr>
      </w:pPr>
    </w:p>
    <w:p w14:paraId="2229B2EC" w14:textId="18382BF4" w:rsidR="00453C23" w:rsidRDefault="00453C23" w:rsidP="00453C23">
      <w:pPr>
        <w:pStyle w:val="BodyText"/>
        <w:ind w:left="1440" w:hanging="720"/>
        <w:rPr>
          <w:rFonts w:asciiTheme="minorHAnsi" w:hAnsiTheme="minorHAnsi" w:cstheme="minorHAnsi"/>
          <w:b/>
          <w:bCs/>
          <w:u w:val="single"/>
        </w:rPr>
      </w:pPr>
      <w:r w:rsidRPr="004C148E">
        <w:rPr>
          <w:rFonts w:asciiTheme="minorHAnsi" w:hAnsiTheme="minorHAnsi" w:cstheme="minorHAnsi"/>
          <w:b/>
          <w:bCs/>
        </w:rPr>
        <w:t xml:space="preserve">7.1 </w:t>
      </w:r>
      <w:r w:rsidRPr="004C148E">
        <w:rPr>
          <w:rFonts w:asciiTheme="minorHAnsi" w:hAnsiTheme="minorHAnsi" w:cstheme="minorHAnsi"/>
          <w:b/>
          <w:bCs/>
        </w:rPr>
        <w:tab/>
      </w:r>
      <w:r>
        <w:rPr>
          <w:rFonts w:asciiTheme="minorHAnsi" w:hAnsiTheme="minorHAnsi" w:cstheme="minorHAnsi"/>
          <w:b/>
          <w:bCs/>
          <w:u w:val="single"/>
        </w:rPr>
        <w:t>PWA Co-Champion Update</w:t>
      </w:r>
      <w:r w:rsidR="00366E7A">
        <w:rPr>
          <w:rFonts w:asciiTheme="minorHAnsi" w:hAnsiTheme="minorHAnsi" w:cstheme="minorHAnsi"/>
          <w:b/>
          <w:bCs/>
          <w:u w:val="single"/>
        </w:rPr>
        <w:t>:</w:t>
      </w:r>
      <w:r>
        <w:rPr>
          <w:rFonts w:asciiTheme="minorHAnsi" w:hAnsiTheme="minorHAnsi" w:cstheme="minorHAnsi"/>
          <w:b/>
          <w:bCs/>
          <w:u w:val="single"/>
        </w:rPr>
        <w:t xml:space="preserve"> </w:t>
      </w:r>
      <w:r w:rsidRPr="00453C23">
        <w:rPr>
          <w:rFonts w:asciiTheme="minorHAnsi" w:hAnsiTheme="minorHAnsi" w:cstheme="minorHAnsi"/>
          <w:b/>
          <w:bCs/>
          <w:u w:val="single"/>
        </w:rPr>
        <w:t>U.S. FDA; Health Sciences Authority (HSA), Singapore</w:t>
      </w:r>
    </w:p>
    <w:p w14:paraId="4547D822" w14:textId="77777777" w:rsidR="00453C23" w:rsidRPr="00453C23" w:rsidRDefault="00453C23" w:rsidP="00453C23">
      <w:pPr>
        <w:pStyle w:val="BodyText"/>
        <w:ind w:left="1440" w:hanging="720"/>
        <w:rPr>
          <w:rFonts w:asciiTheme="minorHAnsi" w:eastAsiaTheme="minorHAnsi" w:hAnsiTheme="minorHAnsi"/>
          <w:kern w:val="2"/>
        </w:rPr>
      </w:pPr>
    </w:p>
    <w:p w14:paraId="56396269" w14:textId="16250982" w:rsidR="00453C23" w:rsidRPr="00453C23" w:rsidRDefault="00453C23" w:rsidP="00453C23">
      <w:pPr>
        <w:pStyle w:val="BodyText"/>
        <w:ind w:firstLine="720"/>
        <w:rPr>
          <w:rFonts w:asciiTheme="minorHAnsi" w:eastAsiaTheme="minorHAnsi" w:hAnsiTheme="minorHAnsi"/>
          <w:kern w:val="2"/>
        </w:rPr>
      </w:pPr>
      <w:r w:rsidRPr="00453C23">
        <w:rPr>
          <w:rFonts w:asciiTheme="minorHAnsi" w:eastAsiaTheme="minorHAnsi" w:hAnsiTheme="minorHAnsi"/>
          <w:kern w:val="2"/>
        </w:rPr>
        <w:t xml:space="preserve">The U.S. FDA, as </w:t>
      </w:r>
      <w:r w:rsidR="0038250D">
        <w:rPr>
          <w:rFonts w:asciiTheme="minorHAnsi" w:eastAsiaTheme="minorHAnsi" w:hAnsiTheme="minorHAnsi"/>
          <w:kern w:val="2"/>
        </w:rPr>
        <w:t xml:space="preserve">PWA </w:t>
      </w:r>
      <w:r w:rsidRPr="00453C23">
        <w:rPr>
          <w:rFonts w:asciiTheme="minorHAnsi" w:eastAsiaTheme="minorHAnsi" w:hAnsiTheme="minorHAnsi"/>
          <w:kern w:val="2"/>
        </w:rPr>
        <w:t xml:space="preserve">Co-Champion, presented the ATBP PWA update, noting that the </w:t>
      </w:r>
      <w:r w:rsidR="00730233">
        <w:rPr>
          <w:rFonts w:asciiTheme="minorHAnsi" w:eastAsiaTheme="minorHAnsi" w:hAnsiTheme="minorHAnsi"/>
          <w:kern w:val="2"/>
        </w:rPr>
        <w:t>t</w:t>
      </w:r>
      <w:r w:rsidRPr="00453C23">
        <w:rPr>
          <w:rFonts w:asciiTheme="minorHAnsi" w:eastAsiaTheme="minorHAnsi" w:hAnsiTheme="minorHAnsi"/>
          <w:kern w:val="2"/>
        </w:rPr>
        <w:t>raining priorities remain focused on regulatory frameworks for cell and gene therapies, chemistry, manufacturing, and controls (CMC) for monoclonal antibodies, GMP inspection practices, and lifecycle management of advanced therapies.</w:t>
      </w:r>
    </w:p>
    <w:p w14:paraId="72812A23" w14:textId="77777777" w:rsidR="00453C23" w:rsidRPr="00453C23" w:rsidRDefault="00453C23" w:rsidP="00D57CD5">
      <w:pPr>
        <w:pStyle w:val="BodyText"/>
        <w:ind w:left="1440" w:hanging="720"/>
        <w:rPr>
          <w:rFonts w:asciiTheme="minorHAnsi" w:eastAsiaTheme="minorHAnsi" w:hAnsiTheme="minorHAnsi"/>
          <w:kern w:val="2"/>
        </w:rPr>
      </w:pPr>
    </w:p>
    <w:p w14:paraId="50E550AA" w14:textId="3DD7B2E6" w:rsidR="00453C23" w:rsidRDefault="00453C23" w:rsidP="00D57CD5">
      <w:pPr>
        <w:pStyle w:val="BodyText"/>
        <w:ind w:firstLine="720"/>
        <w:rPr>
          <w:rFonts w:asciiTheme="minorHAnsi" w:eastAsiaTheme="minorHAnsi" w:hAnsiTheme="minorHAnsi"/>
          <w:kern w:val="2"/>
        </w:rPr>
      </w:pPr>
      <w:r w:rsidRPr="00453C23">
        <w:rPr>
          <w:rFonts w:asciiTheme="minorHAnsi" w:eastAsiaTheme="minorHAnsi" w:hAnsiTheme="minorHAnsi"/>
          <w:kern w:val="2"/>
        </w:rPr>
        <w:t>HSA Singapore</w:t>
      </w:r>
      <w:r w:rsidR="00BF70A1">
        <w:rPr>
          <w:rFonts w:asciiTheme="minorHAnsi" w:eastAsiaTheme="minorHAnsi" w:hAnsiTheme="minorHAnsi"/>
          <w:kern w:val="2"/>
        </w:rPr>
        <w:t xml:space="preserve">, PWA </w:t>
      </w:r>
      <w:r w:rsidR="00FA0076">
        <w:rPr>
          <w:rFonts w:asciiTheme="minorHAnsi" w:eastAsiaTheme="minorHAnsi" w:hAnsiTheme="minorHAnsi"/>
          <w:kern w:val="2"/>
        </w:rPr>
        <w:t>Co-Champion,</w:t>
      </w:r>
      <w:r w:rsidRPr="00453C23">
        <w:rPr>
          <w:rFonts w:asciiTheme="minorHAnsi" w:eastAsiaTheme="minorHAnsi" w:hAnsiTheme="minorHAnsi"/>
          <w:kern w:val="2"/>
        </w:rPr>
        <w:t xml:space="preserve"> emphasized ongoing efforts to share regulatory science developments and case studies from economies with advanced frameworks, highlighting the importance of harmonized terminology and alignment with ICH guidelines. </w:t>
      </w:r>
    </w:p>
    <w:p w14:paraId="2AE4DA94" w14:textId="77777777" w:rsidR="00453C23" w:rsidRDefault="00453C23" w:rsidP="00D57CD5">
      <w:pPr>
        <w:pStyle w:val="BodyText"/>
        <w:ind w:firstLine="720"/>
        <w:rPr>
          <w:rFonts w:asciiTheme="minorHAnsi" w:eastAsiaTheme="minorHAnsi" w:hAnsiTheme="minorHAnsi"/>
          <w:kern w:val="2"/>
        </w:rPr>
      </w:pPr>
    </w:p>
    <w:p w14:paraId="674BE895" w14:textId="582A0A1A" w:rsidR="00453C23" w:rsidRDefault="00453C23" w:rsidP="00D57CD5">
      <w:pPr>
        <w:pStyle w:val="BodyText"/>
        <w:ind w:left="1440" w:hanging="720"/>
        <w:rPr>
          <w:rFonts w:asciiTheme="minorHAnsi" w:hAnsiTheme="minorHAnsi" w:cstheme="minorHAnsi"/>
          <w:b/>
          <w:bCs/>
          <w:u w:val="single"/>
        </w:rPr>
      </w:pPr>
      <w:r w:rsidRPr="004C148E">
        <w:rPr>
          <w:rFonts w:asciiTheme="minorHAnsi" w:hAnsiTheme="minorHAnsi" w:cstheme="minorHAnsi"/>
          <w:b/>
          <w:bCs/>
        </w:rPr>
        <w:t>7.</w:t>
      </w:r>
      <w:r>
        <w:rPr>
          <w:rFonts w:asciiTheme="minorHAnsi" w:hAnsiTheme="minorHAnsi" w:cstheme="minorHAnsi"/>
          <w:b/>
          <w:bCs/>
        </w:rPr>
        <w:t>2</w:t>
      </w:r>
      <w:r w:rsidRPr="004C148E">
        <w:rPr>
          <w:rFonts w:asciiTheme="minorHAnsi" w:hAnsiTheme="minorHAnsi" w:cstheme="minorHAnsi"/>
          <w:b/>
          <w:bCs/>
        </w:rPr>
        <w:t xml:space="preserve"> </w:t>
      </w:r>
      <w:r w:rsidRPr="004C148E">
        <w:rPr>
          <w:rFonts w:asciiTheme="minorHAnsi" w:hAnsiTheme="minorHAnsi" w:cstheme="minorHAnsi"/>
          <w:b/>
          <w:bCs/>
        </w:rPr>
        <w:tab/>
      </w:r>
      <w:r>
        <w:rPr>
          <w:rFonts w:asciiTheme="minorHAnsi" w:hAnsiTheme="minorHAnsi" w:cstheme="minorHAnsi"/>
          <w:b/>
          <w:bCs/>
          <w:u w:val="single"/>
        </w:rPr>
        <w:t xml:space="preserve">PWA </w:t>
      </w:r>
      <w:r w:rsidR="00D57CD5">
        <w:rPr>
          <w:rFonts w:asciiTheme="minorHAnsi" w:hAnsiTheme="minorHAnsi" w:cstheme="minorHAnsi"/>
          <w:b/>
          <w:bCs/>
          <w:u w:val="single"/>
        </w:rPr>
        <w:t>Sub-Champion</w:t>
      </w:r>
      <w:r>
        <w:rPr>
          <w:rFonts w:asciiTheme="minorHAnsi" w:hAnsiTheme="minorHAnsi" w:cstheme="minorHAnsi"/>
          <w:b/>
          <w:bCs/>
          <w:u w:val="single"/>
        </w:rPr>
        <w:t xml:space="preserve"> Update</w:t>
      </w:r>
      <w:r w:rsidR="00366E7A">
        <w:rPr>
          <w:rFonts w:asciiTheme="minorHAnsi" w:hAnsiTheme="minorHAnsi" w:cstheme="minorHAnsi"/>
          <w:b/>
          <w:bCs/>
          <w:u w:val="single"/>
        </w:rPr>
        <w:t>:</w:t>
      </w:r>
      <w:r>
        <w:rPr>
          <w:rFonts w:asciiTheme="minorHAnsi" w:hAnsiTheme="minorHAnsi" w:cstheme="minorHAnsi"/>
          <w:b/>
          <w:bCs/>
          <w:u w:val="single"/>
        </w:rPr>
        <w:t xml:space="preserve"> </w:t>
      </w:r>
      <w:r w:rsidR="00D57CD5">
        <w:rPr>
          <w:rFonts w:asciiTheme="minorHAnsi" w:hAnsiTheme="minorHAnsi" w:cstheme="minorHAnsi"/>
          <w:b/>
          <w:bCs/>
          <w:u w:val="single"/>
        </w:rPr>
        <w:t>BIO</w:t>
      </w:r>
    </w:p>
    <w:p w14:paraId="0E798765" w14:textId="77777777" w:rsidR="00453C23" w:rsidRDefault="00453C23" w:rsidP="00D57CD5">
      <w:pPr>
        <w:pStyle w:val="BodyText"/>
        <w:rPr>
          <w:rFonts w:asciiTheme="minorHAnsi" w:eastAsiaTheme="minorHAnsi" w:hAnsiTheme="minorHAnsi"/>
          <w:kern w:val="2"/>
        </w:rPr>
      </w:pPr>
    </w:p>
    <w:p w14:paraId="7C49197E" w14:textId="085473A3" w:rsidR="00453C23" w:rsidRPr="00453C23" w:rsidRDefault="00453C23" w:rsidP="00D57CD5">
      <w:pPr>
        <w:pStyle w:val="BodyText"/>
        <w:ind w:firstLine="720"/>
        <w:rPr>
          <w:rFonts w:asciiTheme="minorHAnsi" w:eastAsiaTheme="minorHAnsi" w:hAnsiTheme="minorHAnsi"/>
          <w:kern w:val="2"/>
        </w:rPr>
      </w:pPr>
      <w:r w:rsidRPr="00453C23">
        <w:rPr>
          <w:rFonts w:asciiTheme="minorHAnsi" w:eastAsiaTheme="minorHAnsi" w:hAnsiTheme="minorHAnsi"/>
          <w:kern w:val="2"/>
        </w:rPr>
        <w:t>BIO shared the industry perspective, encouraging early and sustained engagement between regulators and industry to address complex CMC and manufacturing challenges and to facilitate patient access without compromising safety.</w:t>
      </w:r>
    </w:p>
    <w:p w14:paraId="589EA251" w14:textId="77777777" w:rsidR="00453C23" w:rsidRPr="00453C23" w:rsidRDefault="00453C23" w:rsidP="00D57CD5">
      <w:pPr>
        <w:pStyle w:val="BodyText"/>
        <w:ind w:firstLine="720"/>
        <w:rPr>
          <w:rFonts w:asciiTheme="minorHAnsi" w:eastAsiaTheme="minorHAnsi" w:hAnsiTheme="minorHAnsi"/>
          <w:kern w:val="2"/>
        </w:rPr>
      </w:pPr>
    </w:p>
    <w:p w14:paraId="57304B82" w14:textId="213FDF7B" w:rsidR="00D57CD5" w:rsidRPr="00F57407" w:rsidRDefault="00D57CD5" w:rsidP="00D57CD5">
      <w:pPr>
        <w:pStyle w:val="BodyText"/>
        <w:ind w:left="1440" w:hanging="720"/>
        <w:rPr>
          <w:rFonts w:asciiTheme="minorHAnsi" w:hAnsiTheme="minorHAnsi" w:cstheme="minorHAnsi"/>
          <w:b/>
          <w:bCs/>
          <w:u w:val="single"/>
        </w:rPr>
      </w:pPr>
      <w:r w:rsidRPr="00F57407">
        <w:rPr>
          <w:rFonts w:asciiTheme="minorHAnsi" w:hAnsiTheme="minorHAnsi" w:cstheme="minorHAnsi"/>
          <w:b/>
          <w:bCs/>
        </w:rPr>
        <w:lastRenderedPageBreak/>
        <w:t xml:space="preserve">7.3 </w:t>
      </w:r>
      <w:r w:rsidRPr="00F57407">
        <w:rPr>
          <w:rFonts w:asciiTheme="minorHAnsi" w:hAnsiTheme="minorHAnsi" w:cstheme="minorHAnsi"/>
          <w:b/>
          <w:bCs/>
        </w:rPr>
        <w:tab/>
      </w:r>
      <w:r w:rsidRPr="00F57407">
        <w:rPr>
          <w:rFonts w:asciiTheme="minorHAnsi" w:hAnsiTheme="minorHAnsi" w:cstheme="minorHAnsi"/>
          <w:b/>
          <w:bCs/>
          <w:u w:val="single"/>
        </w:rPr>
        <w:t>Update from CoE: Kobe University, Japan</w:t>
      </w:r>
    </w:p>
    <w:p w14:paraId="152E13F8" w14:textId="77777777" w:rsidR="00D57CD5" w:rsidRPr="00F57407" w:rsidRDefault="00D57CD5" w:rsidP="00D57CD5">
      <w:pPr>
        <w:pStyle w:val="BodyText"/>
        <w:ind w:left="1440" w:hanging="720"/>
        <w:rPr>
          <w:rFonts w:asciiTheme="minorHAnsi" w:hAnsiTheme="minorHAnsi" w:cstheme="minorHAnsi"/>
          <w:b/>
          <w:bCs/>
          <w:u w:val="single"/>
        </w:rPr>
      </w:pPr>
    </w:p>
    <w:p w14:paraId="3907BB42" w14:textId="63313636" w:rsidR="00D57CD5" w:rsidRPr="00634176" w:rsidRDefault="00D57CD5" w:rsidP="00D57CD5">
      <w:pPr>
        <w:pStyle w:val="BodyText"/>
        <w:ind w:firstLine="720"/>
        <w:rPr>
          <w:rFonts w:eastAsiaTheme="minorEastAsia"/>
          <w:lang w:eastAsia="ja-JP"/>
        </w:rPr>
      </w:pPr>
      <w:r w:rsidRPr="00F57407">
        <w:t xml:space="preserve">Japan </w:t>
      </w:r>
      <w:r w:rsidR="00634176" w:rsidRPr="00F57407">
        <w:rPr>
          <w:rFonts w:eastAsiaTheme="minorEastAsia" w:hint="eastAsia"/>
          <w:lang w:eastAsia="ja-JP"/>
        </w:rPr>
        <w:t xml:space="preserve">presented </w:t>
      </w:r>
      <w:r w:rsidRPr="00F57407">
        <w:t xml:space="preserve">that Kobe University </w:t>
      </w:r>
      <w:r w:rsidR="00634176" w:rsidRPr="00F57407">
        <w:rPr>
          <w:rFonts w:eastAsiaTheme="minorEastAsia" w:hint="eastAsia"/>
          <w:lang w:eastAsia="ja-JP"/>
        </w:rPr>
        <w:t xml:space="preserve">planned to </w:t>
      </w:r>
      <w:r w:rsidRPr="00F57407">
        <w:t xml:space="preserve">host a three-day </w:t>
      </w:r>
      <w:r w:rsidR="00634176" w:rsidRPr="00F57407">
        <w:rPr>
          <w:rFonts w:eastAsiaTheme="minorEastAsia" w:hint="eastAsia"/>
          <w:lang w:eastAsia="ja-JP"/>
        </w:rPr>
        <w:t>in-person</w:t>
      </w:r>
      <w:r w:rsidRPr="00F57407">
        <w:t xml:space="preserve"> workshop in December 20</w:t>
      </w:r>
      <w:r w:rsidR="00634176" w:rsidRPr="00F57407">
        <w:rPr>
          <w:rFonts w:eastAsiaTheme="minorEastAsia" w:hint="eastAsia"/>
          <w:lang w:eastAsia="ja-JP"/>
        </w:rPr>
        <w:t>25</w:t>
      </w:r>
      <w:r w:rsidRPr="00F57407">
        <w:t xml:space="preserve"> on CMC development and GMP inspection for monoclonal antibodies. The program </w:t>
      </w:r>
      <w:r w:rsidR="00634176" w:rsidRPr="00F57407">
        <w:rPr>
          <w:rFonts w:eastAsiaTheme="minorEastAsia" w:hint="eastAsia"/>
          <w:lang w:eastAsia="ja-JP"/>
        </w:rPr>
        <w:t xml:space="preserve">will </w:t>
      </w:r>
      <w:r w:rsidRPr="00F57407">
        <w:t xml:space="preserve">combine lectures and hands-on training. </w:t>
      </w:r>
    </w:p>
    <w:p w14:paraId="2E626268" w14:textId="77777777" w:rsidR="00D57CD5" w:rsidRDefault="00D57CD5" w:rsidP="00D57CD5">
      <w:pPr>
        <w:pStyle w:val="BodyText"/>
        <w:ind w:firstLine="720"/>
      </w:pPr>
    </w:p>
    <w:p w14:paraId="349D5B8F" w14:textId="398C10C0" w:rsidR="00D57CD5" w:rsidRDefault="00D57CD5" w:rsidP="00D57CD5">
      <w:pPr>
        <w:pStyle w:val="BodyText"/>
        <w:ind w:left="1440" w:hanging="720"/>
        <w:rPr>
          <w:rFonts w:asciiTheme="minorHAnsi" w:hAnsiTheme="minorHAnsi" w:cstheme="minorHAnsi"/>
          <w:b/>
          <w:bCs/>
          <w:u w:val="single"/>
        </w:rPr>
      </w:pPr>
      <w:r w:rsidRPr="004C148E">
        <w:rPr>
          <w:rFonts w:asciiTheme="minorHAnsi" w:hAnsiTheme="minorHAnsi" w:cstheme="minorHAnsi"/>
          <w:b/>
          <w:bCs/>
        </w:rPr>
        <w:t>7.</w:t>
      </w:r>
      <w:r>
        <w:rPr>
          <w:rFonts w:asciiTheme="minorHAnsi" w:hAnsiTheme="minorHAnsi" w:cstheme="minorHAnsi"/>
          <w:b/>
          <w:bCs/>
        </w:rPr>
        <w:t>4</w:t>
      </w:r>
      <w:r w:rsidRPr="004C148E">
        <w:rPr>
          <w:rFonts w:asciiTheme="minorHAnsi" w:hAnsiTheme="minorHAnsi" w:cstheme="minorHAnsi"/>
          <w:b/>
          <w:bCs/>
        </w:rPr>
        <w:t xml:space="preserve"> </w:t>
      </w:r>
      <w:r w:rsidRPr="004C148E">
        <w:rPr>
          <w:rFonts w:asciiTheme="minorHAnsi" w:hAnsiTheme="minorHAnsi" w:cstheme="minorHAnsi"/>
          <w:b/>
          <w:bCs/>
        </w:rPr>
        <w:tab/>
      </w:r>
      <w:r w:rsidRPr="00D57CD5">
        <w:rPr>
          <w:rFonts w:asciiTheme="minorHAnsi" w:hAnsiTheme="minorHAnsi" w:cstheme="minorHAnsi"/>
          <w:b/>
          <w:bCs/>
          <w:u w:val="single"/>
        </w:rPr>
        <w:t>Update f</w:t>
      </w:r>
      <w:r>
        <w:rPr>
          <w:rFonts w:asciiTheme="minorHAnsi" w:hAnsiTheme="minorHAnsi" w:cstheme="minorHAnsi"/>
          <w:b/>
          <w:bCs/>
          <w:u w:val="single"/>
        </w:rPr>
        <w:t>rom</w:t>
      </w:r>
      <w:r w:rsidRPr="00D57CD5">
        <w:rPr>
          <w:rFonts w:asciiTheme="minorHAnsi" w:hAnsiTheme="minorHAnsi" w:cstheme="minorHAnsi"/>
          <w:b/>
          <w:bCs/>
          <w:u w:val="single"/>
        </w:rPr>
        <w:t xml:space="preserve"> CoE: USP, United States</w:t>
      </w:r>
    </w:p>
    <w:p w14:paraId="55C30A81" w14:textId="77777777" w:rsidR="00D57CD5" w:rsidRDefault="00D57CD5" w:rsidP="00D57CD5">
      <w:pPr>
        <w:pStyle w:val="BodyText"/>
        <w:ind w:firstLine="720"/>
        <w:rPr>
          <w:rFonts w:asciiTheme="minorHAnsi" w:hAnsiTheme="minorHAnsi" w:cstheme="minorHAnsi"/>
        </w:rPr>
      </w:pPr>
    </w:p>
    <w:p w14:paraId="0C4F6B3B" w14:textId="49B7A05A" w:rsidR="00D57CD5" w:rsidRPr="00D57CD5" w:rsidRDefault="00D57CD5" w:rsidP="00D57CD5">
      <w:pPr>
        <w:pStyle w:val="BodyText"/>
        <w:ind w:firstLine="720"/>
        <w:rPr>
          <w:rFonts w:asciiTheme="minorHAnsi" w:hAnsiTheme="minorHAnsi" w:cstheme="minorHAnsi"/>
        </w:rPr>
      </w:pPr>
      <w:r>
        <w:rPr>
          <w:rFonts w:asciiTheme="minorHAnsi" w:hAnsiTheme="minorHAnsi" w:cstheme="minorHAnsi"/>
        </w:rPr>
        <w:t>Northeastern presented for USP and</w:t>
      </w:r>
      <w:r w:rsidRPr="00D57CD5">
        <w:rPr>
          <w:rFonts w:asciiTheme="minorHAnsi" w:hAnsiTheme="minorHAnsi" w:cstheme="minorHAnsi"/>
        </w:rPr>
        <w:t xml:space="preserve"> outlined plans for a September 2025 training in Seoul, Republic of Korea, focusing on qualification of raw and starting materials for cell and gene therapies. The event will feature expert lectures, case studies, and hands-on sessions, with pre- and post-workshop assessments to measure learning outcomes.</w:t>
      </w:r>
    </w:p>
    <w:p w14:paraId="5DD17AFE" w14:textId="77777777" w:rsidR="00D57CD5" w:rsidRPr="00D57CD5" w:rsidRDefault="00D57CD5" w:rsidP="00D57CD5">
      <w:pPr>
        <w:pStyle w:val="BodyText"/>
        <w:ind w:firstLine="720"/>
        <w:rPr>
          <w:rFonts w:asciiTheme="minorHAnsi" w:hAnsiTheme="minorHAnsi" w:cstheme="minorHAnsi"/>
        </w:rPr>
      </w:pPr>
    </w:p>
    <w:p w14:paraId="486843D4" w14:textId="77777777" w:rsidR="00D57CD5" w:rsidRPr="00D57CD5" w:rsidRDefault="00D57CD5" w:rsidP="00D57CD5">
      <w:pPr>
        <w:pStyle w:val="BodyText"/>
        <w:ind w:firstLine="720"/>
        <w:rPr>
          <w:rFonts w:asciiTheme="minorHAnsi" w:hAnsiTheme="minorHAnsi" w:cstheme="minorHAnsi"/>
        </w:rPr>
      </w:pPr>
      <w:r w:rsidRPr="00D57CD5">
        <w:rPr>
          <w:rFonts w:asciiTheme="minorHAnsi" w:hAnsiTheme="minorHAnsi" w:cstheme="minorHAnsi"/>
        </w:rPr>
        <w:t>In discussion, industry representatives asked which standards would be applied in the absence of international harmonization. USP confirmed reliance on WHO definitions and ISO guidelines while acknowledging remaining gaps.</w:t>
      </w:r>
    </w:p>
    <w:p w14:paraId="53E4D068" w14:textId="77777777" w:rsidR="00D57CD5" w:rsidRDefault="00D57CD5" w:rsidP="00D57CD5">
      <w:pPr>
        <w:pStyle w:val="BodyText"/>
        <w:ind w:firstLine="720"/>
        <w:rPr>
          <w:rFonts w:asciiTheme="minorHAnsi" w:hAnsiTheme="minorHAnsi" w:cstheme="minorHAnsi"/>
        </w:rPr>
      </w:pPr>
    </w:p>
    <w:p w14:paraId="2AB3A76A" w14:textId="5749F71D" w:rsidR="00D57CD5" w:rsidRDefault="00D57CD5" w:rsidP="00D57CD5">
      <w:pPr>
        <w:pStyle w:val="BodyText"/>
        <w:ind w:left="1440" w:hanging="720"/>
        <w:rPr>
          <w:rFonts w:asciiTheme="minorHAnsi" w:hAnsiTheme="minorHAnsi" w:cstheme="minorHAnsi"/>
          <w:b/>
          <w:bCs/>
          <w:u w:val="single"/>
        </w:rPr>
      </w:pPr>
      <w:r w:rsidRPr="004C148E">
        <w:rPr>
          <w:rFonts w:asciiTheme="minorHAnsi" w:hAnsiTheme="minorHAnsi" w:cstheme="minorHAnsi"/>
          <w:b/>
          <w:bCs/>
        </w:rPr>
        <w:t>7.</w:t>
      </w:r>
      <w:r>
        <w:rPr>
          <w:rFonts w:asciiTheme="minorHAnsi" w:hAnsiTheme="minorHAnsi" w:cstheme="minorHAnsi"/>
          <w:b/>
          <w:bCs/>
        </w:rPr>
        <w:t>5</w:t>
      </w:r>
      <w:r w:rsidRPr="004C148E">
        <w:rPr>
          <w:rFonts w:asciiTheme="minorHAnsi" w:hAnsiTheme="minorHAnsi" w:cstheme="minorHAnsi"/>
          <w:b/>
          <w:bCs/>
        </w:rPr>
        <w:t xml:space="preserve"> </w:t>
      </w:r>
      <w:r w:rsidRPr="004C148E">
        <w:rPr>
          <w:rFonts w:asciiTheme="minorHAnsi" w:hAnsiTheme="minorHAnsi" w:cstheme="minorHAnsi"/>
          <w:b/>
          <w:bCs/>
        </w:rPr>
        <w:tab/>
      </w:r>
      <w:r w:rsidRPr="00D57CD5">
        <w:rPr>
          <w:rFonts w:asciiTheme="minorHAnsi" w:hAnsiTheme="minorHAnsi" w:cstheme="minorHAnsi"/>
          <w:b/>
          <w:bCs/>
          <w:u w:val="single"/>
        </w:rPr>
        <w:t>Update f</w:t>
      </w:r>
      <w:r>
        <w:rPr>
          <w:rFonts w:asciiTheme="minorHAnsi" w:hAnsiTheme="minorHAnsi" w:cstheme="minorHAnsi"/>
          <w:b/>
          <w:bCs/>
          <w:u w:val="single"/>
        </w:rPr>
        <w:t>rom</w:t>
      </w:r>
      <w:r w:rsidRPr="00D57CD5">
        <w:rPr>
          <w:rFonts w:asciiTheme="minorHAnsi" w:hAnsiTheme="minorHAnsi" w:cstheme="minorHAnsi"/>
          <w:b/>
          <w:bCs/>
          <w:u w:val="single"/>
        </w:rPr>
        <w:t xml:space="preserve"> CoE: </w:t>
      </w:r>
      <w:r>
        <w:rPr>
          <w:rFonts w:asciiTheme="minorHAnsi" w:hAnsiTheme="minorHAnsi" w:cstheme="minorHAnsi"/>
          <w:b/>
          <w:bCs/>
          <w:u w:val="single"/>
        </w:rPr>
        <w:t>Northeastern University</w:t>
      </w:r>
      <w:r w:rsidRPr="00D57CD5">
        <w:rPr>
          <w:rFonts w:asciiTheme="minorHAnsi" w:hAnsiTheme="minorHAnsi" w:cstheme="minorHAnsi"/>
          <w:b/>
          <w:bCs/>
          <w:u w:val="single"/>
        </w:rPr>
        <w:t>, United States</w:t>
      </w:r>
    </w:p>
    <w:p w14:paraId="29978385" w14:textId="77777777" w:rsidR="00D57CD5" w:rsidRDefault="00D57CD5" w:rsidP="00D57CD5">
      <w:pPr>
        <w:pStyle w:val="BodyText"/>
        <w:ind w:firstLine="720"/>
        <w:rPr>
          <w:rFonts w:asciiTheme="minorHAnsi" w:hAnsiTheme="minorHAnsi" w:cstheme="minorHAnsi"/>
        </w:rPr>
      </w:pPr>
    </w:p>
    <w:p w14:paraId="5147EE9B" w14:textId="77777777" w:rsidR="00D57CD5" w:rsidRDefault="00D57CD5" w:rsidP="00D57CD5">
      <w:pPr>
        <w:ind w:firstLine="720"/>
        <w:jc w:val="both"/>
        <w:rPr>
          <w:rFonts w:eastAsia="Calibri" w:cstheme="minorHAnsi"/>
          <w:kern w:val="0"/>
          <w14:ligatures w14:val="none"/>
        </w:rPr>
      </w:pPr>
      <w:r w:rsidRPr="00D57CD5">
        <w:rPr>
          <w:rFonts w:eastAsia="Calibri" w:cstheme="minorHAnsi"/>
          <w:kern w:val="0"/>
          <w14:ligatures w14:val="none"/>
        </w:rPr>
        <w:t>Northeastern University’s contributions are integrated with USP’s September 2025 training, particularly in curriculum development and delivery, ensuring regulator-focused case studies on comparability and quality risk management.</w:t>
      </w:r>
    </w:p>
    <w:p w14:paraId="72DDA16F" w14:textId="2CB3D79A" w:rsidR="00D57CD5" w:rsidRDefault="00D57CD5" w:rsidP="00D57CD5">
      <w:pPr>
        <w:pStyle w:val="BodyText"/>
        <w:ind w:left="1440" w:hanging="720"/>
        <w:rPr>
          <w:rFonts w:asciiTheme="minorHAnsi" w:hAnsiTheme="minorHAnsi" w:cstheme="minorHAnsi"/>
          <w:b/>
          <w:bCs/>
          <w:u w:val="single"/>
        </w:rPr>
      </w:pPr>
      <w:r w:rsidRPr="004C148E">
        <w:rPr>
          <w:rFonts w:asciiTheme="minorHAnsi" w:hAnsiTheme="minorHAnsi" w:cstheme="minorHAnsi"/>
          <w:b/>
          <w:bCs/>
        </w:rPr>
        <w:t>7.</w:t>
      </w:r>
      <w:r>
        <w:rPr>
          <w:rFonts w:asciiTheme="minorHAnsi" w:hAnsiTheme="minorHAnsi" w:cstheme="minorHAnsi"/>
          <w:b/>
          <w:bCs/>
        </w:rPr>
        <w:t>6</w:t>
      </w:r>
      <w:r w:rsidRPr="004C148E">
        <w:rPr>
          <w:rFonts w:asciiTheme="minorHAnsi" w:hAnsiTheme="minorHAnsi" w:cstheme="minorHAnsi"/>
          <w:b/>
          <w:bCs/>
        </w:rPr>
        <w:t xml:space="preserve"> </w:t>
      </w:r>
      <w:r w:rsidRPr="004C148E">
        <w:rPr>
          <w:rFonts w:asciiTheme="minorHAnsi" w:hAnsiTheme="minorHAnsi" w:cstheme="minorHAnsi"/>
          <w:b/>
          <w:bCs/>
        </w:rPr>
        <w:tab/>
      </w:r>
      <w:r w:rsidRPr="00D57CD5">
        <w:rPr>
          <w:rFonts w:asciiTheme="minorHAnsi" w:hAnsiTheme="minorHAnsi" w:cstheme="minorHAnsi"/>
          <w:b/>
          <w:bCs/>
          <w:u w:val="single"/>
        </w:rPr>
        <w:t>Update f</w:t>
      </w:r>
      <w:r>
        <w:rPr>
          <w:rFonts w:asciiTheme="minorHAnsi" w:hAnsiTheme="minorHAnsi" w:cstheme="minorHAnsi"/>
          <w:b/>
          <w:bCs/>
          <w:u w:val="single"/>
        </w:rPr>
        <w:t>rom</w:t>
      </w:r>
      <w:r w:rsidRPr="00D57CD5">
        <w:rPr>
          <w:rFonts w:asciiTheme="minorHAnsi" w:hAnsiTheme="minorHAnsi" w:cstheme="minorHAnsi"/>
          <w:b/>
          <w:bCs/>
          <w:u w:val="single"/>
        </w:rPr>
        <w:t xml:space="preserve"> CoE: Duke-NUS Medical School (CoRE), Singapore</w:t>
      </w:r>
    </w:p>
    <w:p w14:paraId="2970DA5E" w14:textId="77777777" w:rsidR="00D57CD5" w:rsidRDefault="00D57CD5" w:rsidP="00D57CD5">
      <w:pPr>
        <w:pStyle w:val="BodyText"/>
        <w:rPr>
          <w:rFonts w:asciiTheme="minorHAnsi" w:hAnsiTheme="minorHAnsi" w:cstheme="minorHAnsi"/>
          <w:b/>
          <w:bCs/>
          <w:u w:val="single"/>
        </w:rPr>
      </w:pPr>
    </w:p>
    <w:p w14:paraId="046D5EE1" w14:textId="17E8E281" w:rsidR="00D57CD5" w:rsidRDefault="00D57CD5" w:rsidP="00D57CD5">
      <w:pPr>
        <w:spacing w:after="0"/>
        <w:ind w:firstLine="720"/>
        <w:jc w:val="both"/>
        <w:rPr>
          <w:rFonts w:eastAsia="Calibri" w:cstheme="minorHAnsi"/>
          <w:kern w:val="0"/>
          <w14:ligatures w14:val="none"/>
        </w:rPr>
      </w:pPr>
      <w:r w:rsidRPr="00D57CD5">
        <w:rPr>
          <w:rFonts w:eastAsia="Calibri" w:cstheme="minorHAnsi"/>
          <w:kern w:val="0"/>
          <w14:ligatures w14:val="none"/>
        </w:rPr>
        <w:t>Duke-NUS CoRE reported that its planned regulatory training has been deferred to Q1 2026 to align with the Asian Cellular Therapy Organization (ACTO) meeting. The training will focus on engaging regional regulators to refine content and address emerging policy and regulatory needs.</w:t>
      </w:r>
    </w:p>
    <w:p w14:paraId="30E6ACFE" w14:textId="77777777" w:rsidR="00D57CD5" w:rsidRPr="00D57CD5" w:rsidRDefault="00D57CD5" w:rsidP="00D57CD5">
      <w:pPr>
        <w:spacing w:after="0"/>
        <w:ind w:firstLine="720"/>
        <w:jc w:val="both"/>
        <w:rPr>
          <w:rFonts w:eastAsia="Calibri" w:cstheme="minorHAnsi"/>
          <w:kern w:val="0"/>
          <w14:ligatures w14:val="none"/>
        </w:rPr>
      </w:pPr>
    </w:p>
    <w:tbl>
      <w:tblPr>
        <w:tblStyle w:val="TableGrid"/>
        <w:tblW w:w="9606" w:type="dxa"/>
        <w:jc w:val="center"/>
        <w:tblLook w:val="04A0" w:firstRow="1" w:lastRow="0" w:firstColumn="1" w:lastColumn="0" w:noHBand="0" w:noVBand="1"/>
      </w:tblPr>
      <w:tblGrid>
        <w:gridCol w:w="1368"/>
        <w:gridCol w:w="1800"/>
        <w:gridCol w:w="6438"/>
      </w:tblGrid>
      <w:tr w:rsidR="00D57CD5" w:rsidRPr="004C148E" w14:paraId="049D5AAF" w14:textId="77777777">
        <w:trPr>
          <w:jc w:val="center"/>
        </w:trPr>
        <w:tc>
          <w:tcPr>
            <w:tcW w:w="1368" w:type="dxa"/>
            <w:shd w:val="clear" w:color="auto" w:fill="F2F2F2" w:themeFill="background1" w:themeFillShade="F2"/>
            <w:vAlign w:val="center"/>
          </w:tcPr>
          <w:p w14:paraId="18EE4191" w14:textId="65AF7DE4" w:rsidR="00D57CD5" w:rsidRPr="004C148E" w:rsidRDefault="00D57CD5" w:rsidP="00D57CD5">
            <w:pPr>
              <w:keepNext/>
              <w:jc w:val="both"/>
              <w:rPr>
                <w:rFonts w:cstheme="minorHAnsi"/>
                <w:b/>
                <w:bCs/>
              </w:rPr>
            </w:pPr>
            <w:r w:rsidRPr="004C148E">
              <w:rPr>
                <w:rFonts w:cstheme="minorHAnsi"/>
                <w:b/>
                <w:bCs/>
              </w:rPr>
              <w:t>1</w:t>
            </w:r>
            <w:r>
              <w:rPr>
                <w:rFonts w:cstheme="minorHAnsi"/>
                <w:b/>
                <w:bCs/>
              </w:rPr>
              <w:t>4</w:t>
            </w:r>
            <w:r w:rsidRPr="004C148E">
              <w:rPr>
                <w:rFonts w:cstheme="minorHAnsi"/>
                <w:b/>
                <w:bCs/>
              </w:rPr>
              <w:t>:00-1</w:t>
            </w:r>
            <w:r>
              <w:rPr>
                <w:rFonts w:cstheme="minorHAnsi"/>
                <w:b/>
                <w:bCs/>
              </w:rPr>
              <w:t>4</w:t>
            </w:r>
            <w:r w:rsidRPr="004C148E">
              <w:rPr>
                <w:rFonts w:cstheme="minorHAnsi"/>
                <w:b/>
                <w:bCs/>
              </w:rPr>
              <w:t>:</w:t>
            </w:r>
            <w:r>
              <w:rPr>
                <w:rFonts w:cstheme="minorHAnsi"/>
                <w:b/>
                <w:bCs/>
              </w:rPr>
              <w:t>40</w:t>
            </w:r>
          </w:p>
        </w:tc>
        <w:tc>
          <w:tcPr>
            <w:tcW w:w="1800" w:type="dxa"/>
            <w:shd w:val="clear" w:color="auto" w:fill="F2F2F2" w:themeFill="background1" w:themeFillShade="F2"/>
            <w:vAlign w:val="center"/>
          </w:tcPr>
          <w:p w14:paraId="075604DD" w14:textId="77777777" w:rsidR="00D57CD5" w:rsidRPr="004C148E" w:rsidRDefault="00D57CD5" w:rsidP="00D57CD5">
            <w:pPr>
              <w:keepNext/>
              <w:jc w:val="both"/>
              <w:rPr>
                <w:rFonts w:cstheme="minorHAnsi"/>
                <w:b/>
                <w:bCs/>
              </w:rPr>
            </w:pPr>
            <w:r w:rsidRPr="004C148E">
              <w:rPr>
                <w:rFonts w:cstheme="minorHAnsi"/>
                <w:b/>
                <w:bCs/>
              </w:rPr>
              <w:t>AGENDA ITEM 8</w:t>
            </w:r>
          </w:p>
        </w:tc>
        <w:tc>
          <w:tcPr>
            <w:tcW w:w="6438" w:type="dxa"/>
            <w:shd w:val="clear" w:color="auto" w:fill="F2F2F2" w:themeFill="background1" w:themeFillShade="F2"/>
            <w:vAlign w:val="center"/>
          </w:tcPr>
          <w:p w14:paraId="0A0533B5" w14:textId="77777777" w:rsidR="00D57CD5" w:rsidRPr="004C148E" w:rsidRDefault="00D57CD5" w:rsidP="00D57CD5">
            <w:pPr>
              <w:keepNext/>
              <w:jc w:val="both"/>
              <w:rPr>
                <w:rFonts w:cstheme="minorHAnsi"/>
                <w:b/>
              </w:rPr>
            </w:pPr>
            <w:r w:rsidRPr="004C148E">
              <w:rPr>
                <w:rFonts w:cstheme="minorHAnsi"/>
                <w:b/>
              </w:rPr>
              <w:t>Multi-regional Clinical Trials and Good Clinical Practices Inspection PWA</w:t>
            </w:r>
          </w:p>
        </w:tc>
      </w:tr>
    </w:tbl>
    <w:p w14:paraId="2273B475" w14:textId="77777777" w:rsidR="00D57CD5" w:rsidRPr="00D57CD5" w:rsidRDefault="00D57CD5" w:rsidP="00D57CD5">
      <w:pPr>
        <w:pStyle w:val="BodyText"/>
        <w:rPr>
          <w:rFonts w:asciiTheme="minorHAnsi" w:hAnsiTheme="minorHAnsi" w:cstheme="minorHAnsi"/>
        </w:rPr>
      </w:pPr>
    </w:p>
    <w:p w14:paraId="3A13AF8A" w14:textId="5969104C" w:rsidR="00453C23" w:rsidRPr="00F57407" w:rsidRDefault="00D57CD5" w:rsidP="00D57CD5">
      <w:pPr>
        <w:pStyle w:val="BodyText"/>
        <w:ind w:firstLine="720"/>
        <w:rPr>
          <w:rFonts w:asciiTheme="minorHAnsi" w:hAnsiTheme="minorHAnsi" w:cstheme="minorHAnsi"/>
          <w:b/>
          <w:bCs/>
          <w:u w:val="single"/>
        </w:rPr>
      </w:pPr>
      <w:r w:rsidRPr="00F57407">
        <w:rPr>
          <w:rFonts w:asciiTheme="minorHAnsi" w:hAnsiTheme="minorHAnsi" w:cstheme="minorHAnsi"/>
          <w:b/>
          <w:bCs/>
        </w:rPr>
        <w:t xml:space="preserve">8.1 </w:t>
      </w:r>
      <w:r w:rsidRPr="00F57407">
        <w:rPr>
          <w:rFonts w:asciiTheme="minorHAnsi" w:hAnsiTheme="minorHAnsi" w:cstheme="minorHAnsi"/>
          <w:b/>
          <w:bCs/>
        </w:rPr>
        <w:tab/>
      </w:r>
      <w:r w:rsidRPr="00F57407">
        <w:rPr>
          <w:rFonts w:asciiTheme="minorHAnsi" w:hAnsiTheme="minorHAnsi" w:cstheme="minorHAnsi"/>
          <w:b/>
          <w:bCs/>
          <w:u w:val="single"/>
        </w:rPr>
        <w:t>PWA Co-Champion Update</w:t>
      </w:r>
      <w:r w:rsidR="00366E7A" w:rsidRPr="00F57407">
        <w:rPr>
          <w:rFonts w:asciiTheme="minorHAnsi" w:hAnsiTheme="minorHAnsi" w:cstheme="minorHAnsi"/>
          <w:b/>
          <w:bCs/>
          <w:u w:val="single"/>
        </w:rPr>
        <w:t xml:space="preserve">: </w:t>
      </w:r>
      <w:r w:rsidRPr="00F57407">
        <w:rPr>
          <w:rFonts w:asciiTheme="minorHAnsi" w:hAnsiTheme="minorHAnsi" w:cstheme="minorHAnsi"/>
          <w:b/>
          <w:bCs/>
          <w:u w:val="single"/>
        </w:rPr>
        <w:t>Pharmaceuticals and Medical Devices Agency (PMDA), Japan; Thai FDA, Thailand</w:t>
      </w:r>
    </w:p>
    <w:p w14:paraId="553B1B5A" w14:textId="77777777" w:rsidR="00D57CD5" w:rsidRPr="00F57407" w:rsidRDefault="00D57CD5" w:rsidP="00D57CD5">
      <w:pPr>
        <w:pStyle w:val="BodyText"/>
        <w:ind w:firstLine="720"/>
        <w:rPr>
          <w:rFonts w:asciiTheme="minorHAnsi" w:hAnsiTheme="minorHAnsi" w:cstheme="minorHAnsi"/>
          <w:b/>
          <w:bCs/>
          <w:u w:val="single"/>
        </w:rPr>
      </w:pPr>
    </w:p>
    <w:p w14:paraId="73CD5B88" w14:textId="71F98FFA" w:rsidR="00D57CD5" w:rsidRPr="00F57407" w:rsidRDefault="001F2797" w:rsidP="00D57CD5">
      <w:pPr>
        <w:pStyle w:val="BodyText"/>
        <w:ind w:firstLine="720"/>
        <w:rPr>
          <w:rFonts w:asciiTheme="minorHAnsi" w:eastAsiaTheme="minorHAnsi" w:hAnsiTheme="minorHAnsi"/>
          <w:kern w:val="2"/>
        </w:rPr>
      </w:pPr>
      <w:r w:rsidRPr="00F57407">
        <w:rPr>
          <w:rFonts w:asciiTheme="minorHAnsi" w:eastAsiaTheme="minorHAnsi" w:hAnsiTheme="minorHAnsi"/>
          <w:kern w:val="2"/>
        </w:rPr>
        <w:t>PMDA</w:t>
      </w:r>
      <w:r w:rsidR="00893BBA" w:rsidRPr="00F57407">
        <w:rPr>
          <w:rFonts w:asciiTheme="minorHAnsi" w:eastAsiaTheme="minorHAnsi" w:hAnsiTheme="minorHAnsi"/>
          <w:kern w:val="2"/>
        </w:rPr>
        <w:t>, PWA Co- Champion,</w:t>
      </w:r>
      <w:r w:rsidRPr="00F57407">
        <w:rPr>
          <w:rFonts w:asciiTheme="minorHAnsi" w:eastAsiaTheme="minorHAnsi" w:hAnsiTheme="minorHAnsi"/>
          <w:kern w:val="2"/>
        </w:rPr>
        <w:t xml:space="preserve"> </w:t>
      </w:r>
      <w:r w:rsidR="00D57CD5" w:rsidRPr="00F57407">
        <w:rPr>
          <w:rFonts w:asciiTheme="minorHAnsi" w:eastAsiaTheme="minorHAnsi" w:hAnsiTheme="minorHAnsi"/>
          <w:kern w:val="2"/>
        </w:rPr>
        <w:t>reported that the</w:t>
      </w:r>
      <w:r w:rsidR="00CE54B4" w:rsidRPr="00F57407">
        <w:rPr>
          <w:rFonts w:asciiTheme="minorHAnsi" w:eastAsiaTheme="minorHAnsi" w:hAnsiTheme="minorHAnsi"/>
          <w:kern w:val="2"/>
        </w:rPr>
        <w:t xml:space="preserve"> implementation of the</w:t>
      </w:r>
      <w:r w:rsidR="00D57CD5" w:rsidRPr="00F57407">
        <w:rPr>
          <w:rFonts w:asciiTheme="minorHAnsi" w:eastAsiaTheme="minorHAnsi" w:hAnsiTheme="minorHAnsi"/>
          <w:kern w:val="2"/>
        </w:rPr>
        <w:t xml:space="preserve"> MRCT-GCP PWA </w:t>
      </w:r>
      <w:bookmarkStart w:id="1" w:name="OLE_LINK2"/>
      <w:r w:rsidR="00D57CD5" w:rsidRPr="00F57407">
        <w:rPr>
          <w:rFonts w:asciiTheme="minorHAnsi" w:eastAsiaTheme="minorHAnsi" w:hAnsiTheme="minorHAnsi"/>
          <w:kern w:val="2"/>
        </w:rPr>
        <w:t>roadmap is underway</w:t>
      </w:r>
      <w:bookmarkEnd w:id="1"/>
      <w:r w:rsidR="00D57CD5" w:rsidRPr="00F57407">
        <w:rPr>
          <w:rFonts w:asciiTheme="minorHAnsi" w:eastAsiaTheme="minorHAnsi" w:hAnsiTheme="minorHAnsi"/>
          <w:kern w:val="2"/>
        </w:rPr>
        <w:t xml:space="preserve">. The PWA’s </w:t>
      </w:r>
      <w:r w:rsidR="008D02C1" w:rsidRPr="00AD1C7E">
        <w:rPr>
          <w:rFonts w:asciiTheme="minorHAnsi" w:eastAsiaTheme="minorEastAsia" w:hAnsiTheme="minorHAnsi"/>
          <w:kern w:val="2"/>
          <w:lang w:eastAsia="ja-JP"/>
        </w:rPr>
        <w:t>training</w:t>
      </w:r>
      <w:r w:rsidR="00D57CD5" w:rsidRPr="00F57407">
        <w:rPr>
          <w:rFonts w:asciiTheme="minorHAnsi" w:eastAsiaTheme="minorHAnsi" w:hAnsiTheme="minorHAnsi"/>
          <w:kern w:val="2"/>
        </w:rPr>
        <w:t xml:space="preserve"> objectives are to facilitate the conduct and acceptance of MRCT results across APEC economies and to promote best practices for GCP inspections consistent with internationally recognized standards.</w:t>
      </w:r>
    </w:p>
    <w:p w14:paraId="283D76E8" w14:textId="77777777" w:rsidR="00D57CD5" w:rsidRPr="00F57407" w:rsidRDefault="00D57CD5" w:rsidP="00D57CD5">
      <w:pPr>
        <w:pStyle w:val="BodyText"/>
        <w:ind w:firstLine="720"/>
        <w:rPr>
          <w:rFonts w:asciiTheme="minorHAnsi" w:eastAsiaTheme="minorHAnsi" w:hAnsiTheme="minorHAnsi"/>
          <w:kern w:val="2"/>
        </w:rPr>
      </w:pPr>
    </w:p>
    <w:p w14:paraId="0EF63425" w14:textId="39BC331F" w:rsidR="00D57CD5" w:rsidRPr="00F57407" w:rsidRDefault="00D57CD5" w:rsidP="00D57CD5">
      <w:pPr>
        <w:pStyle w:val="BodyText"/>
        <w:ind w:firstLine="720"/>
        <w:rPr>
          <w:rFonts w:asciiTheme="minorHAnsi" w:eastAsiaTheme="minorHAnsi" w:hAnsiTheme="minorHAnsi"/>
          <w:kern w:val="2"/>
        </w:rPr>
      </w:pPr>
      <w:r w:rsidRPr="00F57407">
        <w:rPr>
          <w:rFonts w:asciiTheme="minorHAnsi" w:eastAsiaTheme="minorHAnsi" w:hAnsiTheme="minorHAnsi"/>
          <w:kern w:val="2"/>
        </w:rPr>
        <w:t>The update reviewed recent CoE activities: in 202</w:t>
      </w:r>
      <w:r w:rsidR="0045608A" w:rsidRPr="00AD1C7E">
        <w:rPr>
          <w:rFonts w:asciiTheme="minorHAnsi" w:eastAsiaTheme="minorEastAsia" w:hAnsiTheme="minorHAnsi"/>
          <w:kern w:val="2"/>
          <w:lang w:eastAsia="ja-JP"/>
        </w:rPr>
        <w:t>5 to 2026</w:t>
      </w:r>
      <w:r w:rsidRPr="00F57407">
        <w:rPr>
          <w:rFonts w:asciiTheme="minorHAnsi" w:eastAsiaTheme="minorHAnsi" w:hAnsiTheme="minorHAnsi"/>
          <w:kern w:val="2"/>
        </w:rPr>
        <w:t>, three CoEs</w:t>
      </w:r>
      <w:r w:rsidR="008D02C1" w:rsidRPr="00AD1C7E">
        <w:rPr>
          <w:rFonts w:asciiTheme="minorHAnsi" w:eastAsiaTheme="minorEastAsia" w:hAnsiTheme="minorHAnsi"/>
          <w:kern w:val="2"/>
          <w:lang w:eastAsia="ja-JP"/>
        </w:rPr>
        <w:t>, Peking University, PMDA, and KoNECT planned to</w:t>
      </w:r>
      <w:r w:rsidRPr="00F57407">
        <w:rPr>
          <w:rFonts w:asciiTheme="minorHAnsi" w:eastAsiaTheme="minorHAnsi" w:hAnsiTheme="minorHAnsi"/>
          <w:kern w:val="2"/>
        </w:rPr>
        <w:t xml:space="preserve"> host MRCT/GCP workshops</w:t>
      </w:r>
      <w:r w:rsidRPr="00F86CC6">
        <w:rPr>
          <w:rFonts w:asciiTheme="minorHAnsi" w:eastAsiaTheme="minorHAnsi" w:hAnsiTheme="minorHAnsi"/>
          <w:kern w:val="2"/>
        </w:rPr>
        <w:t xml:space="preserve">. </w:t>
      </w:r>
      <w:r w:rsidR="003C70D7" w:rsidRPr="00F86CC6">
        <w:rPr>
          <w:rFonts w:asciiTheme="minorHAnsi" w:eastAsiaTheme="minorHAnsi" w:hAnsiTheme="minorHAnsi"/>
          <w:kern w:val="2"/>
        </w:rPr>
        <w:t xml:space="preserve">The MRCT Center of </w:t>
      </w:r>
      <w:r w:rsidRPr="00F86CC6">
        <w:rPr>
          <w:rFonts w:asciiTheme="minorHAnsi" w:eastAsiaTheme="minorHAnsi" w:hAnsiTheme="minorHAnsi"/>
          <w:kern w:val="2"/>
        </w:rPr>
        <w:t xml:space="preserve">Brigham and Women’s Hospital </w:t>
      </w:r>
      <w:r w:rsidR="003C70D7" w:rsidRPr="00F86CC6">
        <w:rPr>
          <w:rFonts w:asciiTheme="minorHAnsi" w:eastAsiaTheme="minorHAnsi" w:hAnsiTheme="minorHAnsi"/>
          <w:kern w:val="2"/>
        </w:rPr>
        <w:t>and</w:t>
      </w:r>
      <w:r w:rsidRPr="00F86CC6">
        <w:rPr>
          <w:rFonts w:asciiTheme="minorHAnsi" w:eastAsiaTheme="minorHAnsi" w:hAnsiTheme="minorHAnsi"/>
          <w:kern w:val="2"/>
        </w:rPr>
        <w:t xml:space="preserve"> Harvard continues to provide online  </w:t>
      </w:r>
      <w:r w:rsidR="003C70D7" w:rsidRPr="00F86CC6">
        <w:rPr>
          <w:rFonts w:asciiTheme="minorHAnsi" w:eastAsiaTheme="minorHAnsi" w:hAnsiTheme="minorHAnsi"/>
          <w:kern w:val="2"/>
        </w:rPr>
        <w:t xml:space="preserve">GCP </w:t>
      </w:r>
      <w:r w:rsidRPr="00F86CC6">
        <w:rPr>
          <w:rFonts w:asciiTheme="minorHAnsi" w:eastAsiaTheme="minorHAnsi" w:hAnsiTheme="minorHAnsi"/>
          <w:kern w:val="2"/>
        </w:rPr>
        <w:t>training</w:t>
      </w:r>
      <w:r w:rsidRPr="00F57407">
        <w:rPr>
          <w:rFonts w:asciiTheme="minorHAnsi" w:eastAsiaTheme="minorHAnsi" w:hAnsiTheme="minorHAnsi"/>
          <w:kern w:val="2"/>
        </w:rPr>
        <w:t xml:space="preserve">. Discussions are ongoing regarding the </w:t>
      </w:r>
      <w:bookmarkStart w:id="2" w:name="OLE_LINK1"/>
      <w:r w:rsidRPr="00F57407">
        <w:rPr>
          <w:rFonts w:asciiTheme="minorHAnsi" w:eastAsiaTheme="minorHAnsi" w:hAnsiTheme="minorHAnsi"/>
          <w:kern w:val="2"/>
        </w:rPr>
        <w:t>CoE assessment process</w:t>
      </w:r>
      <w:bookmarkEnd w:id="2"/>
      <w:r w:rsidRPr="00F57407">
        <w:rPr>
          <w:rFonts w:asciiTheme="minorHAnsi" w:eastAsiaTheme="minorHAnsi" w:hAnsiTheme="minorHAnsi"/>
          <w:kern w:val="2"/>
        </w:rPr>
        <w:t>, which will be finalized once RHSC procedures are approved.</w:t>
      </w:r>
    </w:p>
    <w:p w14:paraId="433F0992" w14:textId="77777777" w:rsidR="00D57CD5" w:rsidRPr="00F57407" w:rsidRDefault="00D57CD5" w:rsidP="00D57CD5">
      <w:pPr>
        <w:pStyle w:val="BodyText"/>
        <w:ind w:firstLine="720"/>
        <w:rPr>
          <w:rFonts w:asciiTheme="minorHAnsi" w:eastAsiaTheme="minorHAnsi" w:hAnsiTheme="minorHAnsi"/>
          <w:kern w:val="2"/>
        </w:rPr>
      </w:pPr>
    </w:p>
    <w:p w14:paraId="2B2690F0" w14:textId="6E494B88" w:rsidR="00D57CD5" w:rsidRPr="00453C23" w:rsidRDefault="00D57CD5" w:rsidP="00D57CD5">
      <w:pPr>
        <w:pStyle w:val="BodyText"/>
        <w:ind w:firstLine="720"/>
        <w:rPr>
          <w:rFonts w:asciiTheme="minorHAnsi" w:eastAsiaTheme="minorHAnsi" w:hAnsiTheme="minorHAnsi"/>
          <w:kern w:val="2"/>
        </w:rPr>
      </w:pPr>
      <w:r w:rsidRPr="00F57407">
        <w:rPr>
          <w:rFonts w:asciiTheme="minorHAnsi" w:eastAsiaTheme="minorHAnsi" w:hAnsiTheme="minorHAnsi"/>
          <w:kern w:val="2"/>
        </w:rPr>
        <w:t>A revision to the roadmap to integrate the newly finalized ICH E6(R3) guideline was endorsed.</w:t>
      </w:r>
    </w:p>
    <w:p w14:paraId="5AAFB7C4" w14:textId="77777777" w:rsidR="00453C23" w:rsidRDefault="00453C23" w:rsidP="00D57CD5">
      <w:pPr>
        <w:spacing w:after="0"/>
        <w:jc w:val="both"/>
        <w:rPr>
          <w:rFonts w:eastAsia="Calibri" w:cstheme="minorHAnsi"/>
        </w:rPr>
      </w:pPr>
    </w:p>
    <w:p w14:paraId="63EA20E3" w14:textId="268483EE" w:rsidR="00485EB8" w:rsidRDefault="00485EB8" w:rsidP="00485EB8">
      <w:pPr>
        <w:pStyle w:val="BodyText"/>
        <w:ind w:firstLine="720"/>
        <w:rPr>
          <w:rFonts w:asciiTheme="minorHAnsi" w:hAnsiTheme="minorHAnsi" w:cstheme="minorHAnsi"/>
          <w:b/>
          <w:bCs/>
          <w:u w:val="single"/>
        </w:rPr>
      </w:pPr>
      <w:r>
        <w:rPr>
          <w:rFonts w:asciiTheme="minorHAnsi" w:hAnsiTheme="minorHAnsi" w:cstheme="minorHAnsi"/>
          <w:b/>
          <w:bCs/>
        </w:rPr>
        <w:lastRenderedPageBreak/>
        <w:t>8</w:t>
      </w:r>
      <w:r w:rsidRPr="004C148E">
        <w:rPr>
          <w:rFonts w:asciiTheme="minorHAnsi" w:hAnsiTheme="minorHAnsi" w:cstheme="minorHAnsi"/>
          <w:b/>
          <w:bCs/>
        </w:rPr>
        <w:t>.</w:t>
      </w:r>
      <w:r w:rsidR="00345AC4">
        <w:rPr>
          <w:rFonts w:asciiTheme="minorHAnsi" w:hAnsiTheme="minorHAnsi" w:cstheme="minorHAnsi"/>
          <w:b/>
          <w:bCs/>
        </w:rPr>
        <w:t>2</w:t>
      </w:r>
      <w:r w:rsidRPr="004C148E">
        <w:rPr>
          <w:rFonts w:asciiTheme="minorHAnsi" w:hAnsiTheme="minorHAnsi" w:cstheme="minorHAnsi"/>
          <w:b/>
          <w:bCs/>
        </w:rPr>
        <w:t xml:space="preserve"> </w:t>
      </w:r>
      <w:r w:rsidRPr="004C148E">
        <w:rPr>
          <w:rFonts w:asciiTheme="minorHAnsi" w:hAnsiTheme="minorHAnsi" w:cstheme="minorHAnsi"/>
          <w:b/>
          <w:bCs/>
        </w:rPr>
        <w:tab/>
      </w:r>
      <w:r w:rsidR="00345AC4" w:rsidRPr="00D57CD5">
        <w:rPr>
          <w:rFonts w:asciiTheme="minorHAnsi" w:hAnsiTheme="minorHAnsi" w:cstheme="minorHAnsi"/>
          <w:b/>
          <w:bCs/>
          <w:u w:val="single"/>
        </w:rPr>
        <w:t>Update f</w:t>
      </w:r>
      <w:r w:rsidR="00345AC4">
        <w:rPr>
          <w:rFonts w:asciiTheme="minorHAnsi" w:hAnsiTheme="minorHAnsi" w:cstheme="minorHAnsi"/>
          <w:b/>
          <w:bCs/>
          <w:u w:val="single"/>
        </w:rPr>
        <w:t>rom</w:t>
      </w:r>
      <w:r w:rsidR="00345AC4" w:rsidRPr="00D57CD5">
        <w:rPr>
          <w:rFonts w:asciiTheme="minorHAnsi" w:hAnsiTheme="minorHAnsi" w:cstheme="minorHAnsi"/>
          <w:b/>
          <w:bCs/>
          <w:u w:val="single"/>
        </w:rPr>
        <w:t xml:space="preserve"> CoE:</w:t>
      </w:r>
      <w:r w:rsidR="00345AC4">
        <w:rPr>
          <w:rFonts w:asciiTheme="minorHAnsi" w:hAnsiTheme="minorHAnsi" w:cstheme="minorHAnsi"/>
          <w:b/>
          <w:bCs/>
          <w:u w:val="single"/>
        </w:rPr>
        <w:t xml:space="preserve"> </w:t>
      </w:r>
      <w:r w:rsidR="00345AC4" w:rsidRPr="00345AC4">
        <w:rPr>
          <w:rFonts w:asciiTheme="minorHAnsi" w:hAnsiTheme="minorHAnsi" w:cstheme="minorHAnsi"/>
          <w:b/>
          <w:bCs/>
          <w:u w:val="single"/>
        </w:rPr>
        <w:t>Korea National Enterprise for Clinical Trials (KoNECT), Republic of Korea</w:t>
      </w:r>
    </w:p>
    <w:p w14:paraId="432B86AF" w14:textId="77777777" w:rsidR="00345AC4" w:rsidRDefault="00345AC4" w:rsidP="00485EB8">
      <w:pPr>
        <w:pStyle w:val="BodyText"/>
        <w:ind w:firstLine="720"/>
        <w:rPr>
          <w:rFonts w:asciiTheme="minorHAnsi" w:hAnsiTheme="minorHAnsi" w:cstheme="minorHAnsi"/>
          <w:b/>
          <w:bCs/>
          <w:u w:val="single"/>
        </w:rPr>
      </w:pPr>
    </w:p>
    <w:p w14:paraId="1ED60A33" w14:textId="07146EA2" w:rsidR="00345AC4" w:rsidRDefault="00345AC4" w:rsidP="00485EB8">
      <w:pPr>
        <w:pStyle w:val="BodyText"/>
        <w:ind w:firstLine="720"/>
      </w:pPr>
      <w:r>
        <w:t>KoNECT reported that the CoE’s annual workshop on Multi-Regional Clinical Trials and Good Clinical Practice Inspection was held on 30 October 2024, attracting 93 participants from 12 APEC economies. The program featured six lectures delivered by speakers from regulatory authorities, industry, and academia, followed by a live panel discussion that addressed operational challenges and shared inspection best practices. Feedback indicated high satisfaction with the workshop’s practical relevance and applicability. KoNECT confirmed that the 2025 workshop is scheduled for October and will focus on emerging trends in MRCT oversight and updated inspection practices, incorporating lessons from the 2024 session and new guidance under ICH E6(R3).</w:t>
      </w:r>
    </w:p>
    <w:p w14:paraId="4F8DC3D4" w14:textId="77777777" w:rsidR="00C10F99" w:rsidRDefault="00C10F99" w:rsidP="00C10F99">
      <w:pPr>
        <w:pStyle w:val="BodyText"/>
      </w:pPr>
    </w:p>
    <w:tbl>
      <w:tblPr>
        <w:tblStyle w:val="TableGrid1"/>
        <w:tblW w:w="9630" w:type="dxa"/>
        <w:jc w:val="center"/>
        <w:tblLook w:val="04A0" w:firstRow="1" w:lastRow="0" w:firstColumn="1" w:lastColumn="0" w:noHBand="0" w:noVBand="1"/>
      </w:tblPr>
      <w:tblGrid>
        <w:gridCol w:w="9630"/>
      </w:tblGrid>
      <w:tr w:rsidR="000C19B5" w:rsidRPr="004C148E" w14:paraId="4B1035BC" w14:textId="77777777" w:rsidTr="00B624D7">
        <w:trPr>
          <w:trHeight w:val="356"/>
          <w:jc w:val="center"/>
        </w:trPr>
        <w:tc>
          <w:tcPr>
            <w:tcW w:w="9630" w:type="dxa"/>
            <w:shd w:val="clear" w:color="auto" w:fill="A1C6E7"/>
          </w:tcPr>
          <w:p w14:paraId="30E13738" w14:textId="77777777" w:rsidR="000C19B5" w:rsidRPr="000C19B5" w:rsidRDefault="000C19B5" w:rsidP="00B624D7">
            <w:pPr>
              <w:spacing w:before="120" w:after="120" w:line="257" w:lineRule="auto"/>
              <w:jc w:val="center"/>
              <w:rPr>
                <w:rFonts w:cstheme="minorHAnsi"/>
                <w:b/>
                <w:u w:color="000000"/>
                <w:lang w:eastAsia="zh-CN"/>
              </w:rPr>
            </w:pPr>
            <w:bookmarkStart w:id="3" w:name="_Hlk193957053"/>
            <w:r w:rsidRPr="000C19B5">
              <w:rPr>
                <w:rFonts w:cstheme="minorHAnsi"/>
                <w:b/>
                <w:u w:color="000000"/>
                <w:lang w:eastAsia="zh-CN"/>
              </w:rPr>
              <w:t>LUNCH</w:t>
            </w:r>
          </w:p>
        </w:tc>
      </w:tr>
      <w:bookmarkEnd w:id="3"/>
    </w:tbl>
    <w:p w14:paraId="064A1A93" w14:textId="77777777" w:rsidR="00485EB8" w:rsidRDefault="00485EB8" w:rsidP="00D57CD5">
      <w:pPr>
        <w:spacing w:after="0"/>
        <w:jc w:val="both"/>
        <w:rPr>
          <w:rFonts w:eastAsia="Calibri" w:cstheme="minorHAnsi"/>
        </w:rPr>
      </w:pPr>
    </w:p>
    <w:tbl>
      <w:tblPr>
        <w:tblStyle w:val="TableGrid"/>
        <w:tblW w:w="9606" w:type="dxa"/>
        <w:jc w:val="center"/>
        <w:tblLook w:val="04A0" w:firstRow="1" w:lastRow="0" w:firstColumn="1" w:lastColumn="0" w:noHBand="0" w:noVBand="1"/>
      </w:tblPr>
      <w:tblGrid>
        <w:gridCol w:w="1368"/>
        <w:gridCol w:w="1800"/>
        <w:gridCol w:w="6438"/>
      </w:tblGrid>
      <w:tr w:rsidR="00345AC4" w:rsidRPr="004C148E" w14:paraId="4A8208A4" w14:textId="77777777" w:rsidTr="00B624D7">
        <w:trPr>
          <w:jc w:val="center"/>
        </w:trPr>
        <w:tc>
          <w:tcPr>
            <w:tcW w:w="1368" w:type="dxa"/>
            <w:shd w:val="clear" w:color="auto" w:fill="F2F2F2" w:themeFill="background1" w:themeFillShade="F2"/>
            <w:vAlign w:val="center"/>
          </w:tcPr>
          <w:p w14:paraId="30704F96" w14:textId="1205EAEC" w:rsidR="00345AC4" w:rsidRPr="004C148E" w:rsidRDefault="00345AC4" w:rsidP="00B624D7">
            <w:pPr>
              <w:keepNext/>
              <w:jc w:val="both"/>
              <w:rPr>
                <w:rFonts w:cstheme="minorHAnsi"/>
                <w:b/>
                <w:bCs/>
              </w:rPr>
            </w:pPr>
            <w:r w:rsidRPr="004C148E">
              <w:rPr>
                <w:rFonts w:cstheme="minorHAnsi"/>
                <w:b/>
                <w:bCs/>
              </w:rPr>
              <w:t>1</w:t>
            </w:r>
            <w:r>
              <w:rPr>
                <w:rFonts w:cstheme="minorHAnsi"/>
                <w:b/>
                <w:bCs/>
              </w:rPr>
              <w:t>4</w:t>
            </w:r>
            <w:r w:rsidRPr="004C148E">
              <w:rPr>
                <w:rFonts w:cstheme="minorHAnsi"/>
                <w:b/>
                <w:bCs/>
              </w:rPr>
              <w:t>:</w:t>
            </w:r>
            <w:r w:rsidR="00091C2B">
              <w:rPr>
                <w:rFonts w:cstheme="minorHAnsi"/>
                <w:b/>
                <w:bCs/>
              </w:rPr>
              <w:t>4</w:t>
            </w:r>
            <w:r w:rsidRPr="004C148E">
              <w:rPr>
                <w:rFonts w:cstheme="minorHAnsi"/>
                <w:b/>
                <w:bCs/>
              </w:rPr>
              <w:t>0-1</w:t>
            </w:r>
            <w:r w:rsidR="00091C2B">
              <w:rPr>
                <w:rFonts w:cstheme="minorHAnsi"/>
                <w:b/>
                <w:bCs/>
              </w:rPr>
              <w:t>5</w:t>
            </w:r>
            <w:r w:rsidRPr="004C148E">
              <w:rPr>
                <w:rFonts w:cstheme="minorHAnsi"/>
                <w:b/>
                <w:bCs/>
              </w:rPr>
              <w:t>:</w:t>
            </w:r>
            <w:r w:rsidR="00091C2B">
              <w:rPr>
                <w:rFonts w:cstheme="minorHAnsi"/>
                <w:b/>
                <w:bCs/>
              </w:rPr>
              <w:t>35</w:t>
            </w:r>
          </w:p>
        </w:tc>
        <w:tc>
          <w:tcPr>
            <w:tcW w:w="1800" w:type="dxa"/>
            <w:shd w:val="clear" w:color="auto" w:fill="F2F2F2" w:themeFill="background1" w:themeFillShade="F2"/>
            <w:vAlign w:val="center"/>
          </w:tcPr>
          <w:p w14:paraId="5FAA03E2" w14:textId="1D69FA95" w:rsidR="00345AC4" w:rsidRPr="004C148E" w:rsidRDefault="00345AC4" w:rsidP="00B624D7">
            <w:pPr>
              <w:keepNext/>
              <w:jc w:val="both"/>
              <w:rPr>
                <w:rFonts w:cstheme="minorHAnsi"/>
                <w:b/>
                <w:bCs/>
              </w:rPr>
            </w:pPr>
            <w:r w:rsidRPr="004C148E">
              <w:rPr>
                <w:rFonts w:cstheme="minorHAnsi"/>
                <w:b/>
                <w:bCs/>
              </w:rPr>
              <w:t xml:space="preserve">AGENDA ITEM </w:t>
            </w:r>
            <w:r w:rsidR="00FE6F50">
              <w:rPr>
                <w:rFonts w:cstheme="minorHAnsi"/>
                <w:b/>
                <w:bCs/>
              </w:rPr>
              <w:t>9</w:t>
            </w:r>
          </w:p>
        </w:tc>
        <w:tc>
          <w:tcPr>
            <w:tcW w:w="6438" w:type="dxa"/>
            <w:shd w:val="clear" w:color="auto" w:fill="F2F2F2" w:themeFill="background1" w:themeFillShade="F2"/>
            <w:vAlign w:val="center"/>
          </w:tcPr>
          <w:p w14:paraId="1863DF81" w14:textId="2B5C8A8F" w:rsidR="00345AC4" w:rsidRPr="004C148E" w:rsidRDefault="00091C2B" w:rsidP="00B624D7">
            <w:pPr>
              <w:keepNext/>
              <w:jc w:val="both"/>
              <w:rPr>
                <w:rFonts w:cstheme="minorHAnsi"/>
                <w:b/>
              </w:rPr>
            </w:pPr>
            <w:r>
              <w:rPr>
                <w:rFonts w:cstheme="minorHAnsi"/>
                <w:b/>
              </w:rPr>
              <w:t>Medical Device</w:t>
            </w:r>
            <w:r w:rsidR="00345AC4" w:rsidRPr="004C148E">
              <w:rPr>
                <w:rFonts w:cstheme="minorHAnsi"/>
                <w:b/>
              </w:rPr>
              <w:t xml:space="preserve"> PWA</w:t>
            </w:r>
          </w:p>
        </w:tc>
      </w:tr>
    </w:tbl>
    <w:p w14:paraId="6606DD9A" w14:textId="77777777" w:rsidR="00345AC4" w:rsidRDefault="00345AC4" w:rsidP="00D57CD5">
      <w:pPr>
        <w:spacing w:after="0"/>
        <w:jc w:val="both"/>
        <w:rPr>
          <w:rFonts w:eastAsia="Calibri" w:cstheme="minorHAnsi"/>
        </w:rPr>
      </w:pPr>
    </w:p>
    <w:p w14:paraId="6CE68F44" w14:textId="09FF5D9B" w:rsidR="00D750F5" w:rsidRDefault="00D750F5" w:rsidP="00D750F5">
      <w:pPr>
        <w:pStyle w:val="BodyText"/>
        <w:ind w:firstLine="720"/>
        <w:rPr>
          <w:b/>
          <w:bCs/>
          <w:u w:val="single"/>
        </w:rPr>
      </w:pPr>
      <w:r>
        <w:rPr>
          <w:rFonts w:asciiTheme="minorHAnsi" w:hAnsiTheme="minorHAnsi" w:cstheme="minorHAnsi"/>
          <w:b/>
          <w:bCs/>
        </w:rPr>
        <w:t>9</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Pr="00D750F5">
        <w:rPr>
          <w:rFonts w:asciiTheme="minorHAnsi" w:hAnsiTheme="minorHAnsi" w:cstheme="minorHAnsi"/>
          <w:b/>
          <w:bCs/>
          <w:u w:val="single"/>
        </w:rPr>
        <w:t>PWA Co-Champion Update:  MFDS, Republic of Korea; PMDA, Japan; U.S. FDA</w:t>
      </w:r>
    </w:p>
    <w:p w14:paraId="0557FB9E" w14:textId="77777777" w:rsidR="00D750F5" w:rsidRDefault="00D750F5" w:rsidP="00DA65EF">
      <w:pPr>
        <w:spacing w:after="0"/>
        <w:ind w:firstLine="720"/>
        <w:jc w:val="both"/>
      </w:pPr>
    </w:p>
    <w:p w14:paraId="14446B45" w14:textId="5BA5DE8F" w:rsidR="00DA65EF" w:rsidRDefault="00DA65EF" w:rsidP="00DA65EF">
      <w:pPr>
        <w:spacing w:after="0"/>
        <w:ind w:firstLine="720"/>
        <w:jc w:val="both"/>
      </w:pPr>
      <w:r>
        <w:t>MFDS delivered the Co-Champion update, noting that the PWA continues to align its activities with the IMDRF strategic framework, particularly in conformity assessment, clinical evaluation, and post-market surveillance. The update outlined progress in refining the core curriculum with new IMDRF guidance and supporting economies in adopting reliance-based approaches. MFDS underscored that building regulatory trust remains essential to advancing reliance and mutual recognition. Members agreed that capacity building and harmonization of technical requirements are critical for enabling convergence in the medical device sector.</w:t>
      </w:r>
    </w:p>
    <w:p w14:paraId="67C80078" w14:textId="77777777" w:rsidR="005D145A" w:rsidRDefault="005D145A" w:rsidP="00DA65EF">
      <w:pPr>
        <w:spacing w:after="0"/>
        <w:ind w:firstLine="720"/>
        <w:jc w:val="both"/>
      </w:pPr>
    </w:p>
    <w:p w14:paraId="1A24DD81" w14:textId="7948DEBB" w:rsidR="005D145A" w:rsidRDefault="005D145A" w:rsidP="005D145A">
      <w:pPr>
        <w:pStyle w:val="BodyText"/>
        <w:ind w:firstLine="720"/>
        <w:rPr>
          <w:b/>
          <w:bCs/>
          <w:u w:val="single"/>
        </w:rPr>
      </w:pPr>
      <w:r>
        <w:rPr>
          <w:rFonts w:asciiTheme="minorHAnsi" w:hAnsiTheme="minorHAnsi" w:cstheme="minorHAnsi"/>
          <w:b/>
          <w:bCs/>
        </w:rPr>
        <w:t>9</w:t>
      </w:r>
      <w:r w:rsidRPr="004C148E">
        <w:rPr>
          <w:rFonts w:asciiTheme="minorHAnsi" w:hAnsiTheme="minorHAnsi" w:cstheme="minorHAnsi"/>
          <w:b/>
          <w:bCs/>
        </w:rPr>
        <w:t>.</w:t>
      </w:r>
      <w:r>
        <w:rPr>
          <w:rFonts w:asciiTheme="minorHAnsi" w:hAnsiTheme="minorHAnsi" w:cstheme="minorHAnsi"/>
          <w:b/>
          <w:bCs/>
        </w:rPr>
        <w:t>2</w:t>
      </w:r>
      <w:r w:rsidRPr="004C148E">
        <w:rPr>
          <w:rFonts w:asciiTheme="minorHAnsi" w:hAnsiTheme="minorHAnsi" w:cstheme="minorHAnsi"/>
          <w:b/>
          <w:bCs/>
        </w:rPr>
        <w:tab/>
      </w:r>
      <w:r w:rsidR="00E23131">
        <w:rPr>
          <w:rFonts w:asciiTheme="minorHAnsi" w:hAnsiTheme="minorHAnsi" w:cstheme="minorHAnsi"/>
          <w:b/>
          <w:bCs/>
          <w:u w:val="single"/>
        </w:rPr>
        <w:t xml:space="preserve">PWA Sub-Champion Update: </w:t>
      </w:r>
      <w:r w:rsidR="00CC5220">
        <w:rPr>
          <w:rFonts w:asciiTheme="minorHAnsi" w:hAnsiTheme="minorHAnsi" w:cstheme="minorHAnsi"/>
          <w:b/>
          <w:bCs/>
          <w:u w:val="single"/>
        </w:rPr>
        <w:t>Japan Medical Imaging and Radiological Systems Industries Association (JIRA)</w:t>
      </w:r>
      <w:r w:rsidR="00E23131">
        <w:rPr>
          <w:rFonts w:asciiTheme="minorHAnsi" w:hAnsiTheme="minorHAnsi" w:cstheme="minorHAnsi"/>
          <w:b/>
          <w:bCs/>
          <w:u w:val="single"/>
        </w:rPr>
        <w:t>; AdvaMed</w:t>
      </w:r>
    </w:p>
    <w:p w14:paraId="6234AEDA" w14:textId="77777777" w:rsidR="005D145A" w:rsidRDefault="005D145A" w:rsidP="00DA65EF">
      <w:pPr>
        <w:spacing w:after="0"/>
        <w:ind w:firstLine="720"/>
        <w:jc w:val="both"/>
      </w:pPr>
    </w:p>
    <w:p w14:paraId="2FE2335F" w14:textId="67551654" w:rsidR="005D145A" w:rsidRDefault="005D145A" w:rsidP="00DA65EF">
      <w:pPr>
        <w:spacing w:after="0"/>
        <w:ind w:firstLine="720"/>
        <w:jc w:val="both"/>
      </w:pPr>
      <w:r>
        <w:t>JIRA, speaking on behalf of the Sub-Champions, provided the update. The presentation highlighted ongoing collaboration with APEC regulators to advance convergence in medical device regulation, including alignment with IMDRF documents, expansion of reliance pathways, and opportunities for mutual recognition. JIRA emphasized the importance of sustained industry–regulator dialogue to address practical barriers to convergence and shared examples of how IMDRF outputs could be integrated into APEC training programs. The Sub-Champions reaffirmed their support for incorporating industry expertise into curriculum design and for promoting adoption of IMDRF best practices in conformity assessment and clinical evidence requirements across the region.</w:t>
      </w:r>
    </w:p>
    <w:p w14:paraId="78A30FF4" w14:textId="77777777" w:rsidR="00D30E2D" w:rsidRDefault="00D30E2D" w:rsidP="00DA65EF">
      <w:pPr>
        <w:spacing w:after="0"/>
        <w:ind w:firstLine="720"/>
        <w:jc w:val="both"/>
      </w:pPr>
    </w:p>
    <w:p w14:paraId="6BCD774E" w14:textId="60073A33" w:rsidR="00D30E2D" w:rsidRDefault="00D30E2D" w:rsidP="00D30E2D">
      <w:pPr>
        <w:pStyle w:val="BodyText"/>
        <w:ind w:firstLine="720"/>
        <w:rPr>
          <w:b/>
          <w:bCs/>
          <w:u w:val="single"/>
        </w:rPr>
      </w:pPr>
      <w:r>
        <w:rPr>
          <w:rFonts w:asciiTheme="minorHAnsi" w:hAnsiTheme="minorHAnsi" w:cstheme="minorHAnsi"/>
          <w:b/>
          <w:bCs/>
        </w:rPr>
        <w:t>9</w:t>
      </w:r>
      <w:r w:rsidRPr="004C148E">
        <w:rPr>
          <w:rFonts w:asciiTheme="minorHAnsi" w:hAnsiTheme="minorHAnsi" w:cstheme="minorHAnsi"/>
          <w:b/>
          <w:bCs/>
        </w:rPr>
        <w:t>.</w:t>
      </w:r>
      <w:r w:rsidR="00E23131">
        <w:rPr>
          <w:rFonts w:asciiTheme="minorHAnsi" w:hAnsiTheme="minorHAnsi" w:cstheme="minorHAnsi"/>
          <w:b/>
          <w:bCs/>
        </w:rPr>
        <w:t>3</w:t>
      </w:r>
      <w:r w:rsidRPr="004C148E">
        <w:rPr>
          <w:rFonts w:asciiTheme="minorHAnsi" w:hAnsiTheme="minorHAnsi" w:cstheme="minorHAnsi"/>
          <w:b/>
          <w:bCs/>
        </w:rPr>
        <w:tab/>
      </w:r>
      <w:r w:rsidRPr="00D30E2D">
        <w:rPr>
          <w:rFonts w:asciiTheme="minorHAnsi" w:hAnsiTheme="minorHAnsi" w:cstheme="minorHAnsi"/>
          <w:b/>
          <w:bCs/>
          <w:u w:val="single"/>
        </w:rPr>
        <w:t>Update from CoE</w:t>
      </w:r>
      <w:r>
        <w:rPr>
          <w:rFonts w:asciiTheme="minorHAnsi" w:hAnsiTheme="minorHAnsi" w:cstheme="minorHAnsi"/>
          <w:b/>
          <w:bCs/>
          <w:u w:val="single"/>
        </w:rPr>
        <w:t>:</w:t>
      </w:r>
      <w:r w:rsidRPr="00D30E2D">
        <w:rPr>
          <w:rFonts w:asciiTheme="minorHAnsi" w:hAnsiTheme="minorHAnsi" w:cstheme="minorHAnsi"/>
          <w:b/>
          <w:bCs/>
          <w:u w:val="single"/>
        </w:rPr>
        <w:t xml:space="preserve"> Soonchunhyang University (SCH) Medical Device Clinical Research Center, Republic of Korea</w:t>
      </w:r>
    </w:p>
    <w:p w14:paraId="2274898C" w14:textId="2084A70D" w:rsidR="00D30E2D" w:rsidRDefault="00D30E2D" w:rsidP="00DA65EF">
      <w:pPr>
        <w:spacing w:after="0"/>
        <w:ind w:firstLine="720"/>
        <w:jc w:val="both"/>
        <w:rPr>
          <w:rFonts w:eastAsia="Calibri" w:cstheme="minorHAnsi"/>
        </w:rPr>
      </w:pPr>
    </w:p>
    <w:p w14:paraId="2C26A715" w14:textId="772EE7E4" w:rsidR="00D30E2D" w:rsidRDefault="00D30E2D" w:rsidP="00DA65EF">
      <w:pPr>
        <w:spacing w:after="0"/>
        <w:ind w:firstLine="720"/>
        <w:jc w:val="both"/>
      </w:pPr>
      <w:r>
        <w:t xml:space="preserve">SCH provided an overview of recent training activities, including a workshop focused on clinical evaluation and safety requirements, conducted in hybrid format to reach participants across multiple APEC economies. The program drew significant regulator participation and featured interactive sessions on case </w:t>
      </w:r>
      <w:r>
        <w:lastRenderedPageBreak/>
        <w:t xml:space="preserve">studies and practical applications of IMDRF principles. Feedback was highly positive, with participants noting the training’s immediate applicability in their regulatory </w:t>
      </w:r>
      <w:r w:rsidR="00FC49D7">
        <w:t>roles.</w:t>
      </w:r>
    </w:p>
    <w:p w14:paraId="07AF1124" w14:textId="77777777" w:rsidR="00FC49D7" w:rsidRDefault="00FC49D7" w:rsidP="00DA65EF">
      <w:pPr>
        <w:spacing w:after="0"/>
        <w:ind w:firstLine="720"/>
        <w:jc w:val="both"/>
      </w:pPr>
    </w:p>
    <w:p w14:paraId="186E3CF1" w14:textId="015FAE0D" w:rsidR="00FC49D7" w:rsidRDefault="00FC49D7" w:rsidP="00CA0492">
      <w:pPr>
        <w:pStyle w:val="BodyText"/>
        <w:ind w:firstLine="720"/>
        <w:rPr>
          <w:rFonts w:asciiTheme="minorHAnsi" w:hAnsiTheme="minorHAnsi" w:cstheme="minorHAnsi"/>
          <w:b/>
          <w:bCs/>
          <w:u w:val="single"/>
        </w:rPr>
      </w:pPr>
      <w:r>
        <w:rPr>
          <w:rFonts w:asciiTheme="minorHAnsi" w:hAnsiTheme="minorHAnsi" w:cstheme="minorHAnsi"/>
          <w:b/>
          <w:bCs/>
        </w:rPr>
        <w:t>9</w:t>
      </w:r>
      <w:r w:rsidRPr="004C148E">
        <w:rPr>
          <w:rFonts w:asciiTheme="minorHAnsi" w:hAnsiTheme="minorHAnsi" w:cstheme="minorHAnsi"/>
          <w:b/>
          <w:bCs/>
        </w:rPr>
        <w:t>.</w:t>
      </w:r>
      <w:r w:rsidR="00E23131">
        <w:rPr>
          <w:rFonts w:asciiTheme="minorHAnsi" w:hAnsiTheme="minorHAnsi" w:cstheme="minorHAnsi"/>
          <w:b/>
          <w:bCs/>
        </w:rPr>
        <w:t>4</w:t>
      </w:r>
      <w:r w:rsidRPr="004C148E">
        <w:rPr>
          <w:rFonts w:asciiTheme="minorHAnsi" w:hAnsiTheme="minorHAnsi" w:cstheme="minorHAnsi"/>
          <w:b/>
          <w:bCs/>
        </w:rPr>
        <w:tab/>
      </w:r>
      <w:r w:rsidRPr="00D30E2D">
        <w:rPr>
          <w:rFonts w:asciiTheme="minorHAnsi" w:hAnsiTheme="minorHAnsi" w:cstheme="minorHAnsi"/>
          <w:b/>
          <w:bCs/>
          <w:u w:val="single"/>
        </w:rPr>
        <w:t>Update from CoE</w:t>
      </w:r>
      <w:r>
        <w:rPr>
          <w:rFonts w:asciiTheme="minorHAnsi" w:hAnsiTheme="minorHAnsi" w:cstheme="minorHAnsi"/>
          <w:b/>
          <w:bCs/>
          <w:u w:val="single"/>
        </w:rPr>
        <w:t>:</w:t>
      </w:r>
      <w:r w:rsidRPr="00D30E2D">
        <w:rPr>
          <w:rFonts w:asciiTheme="minorHAnsi" w:hAnsiTheme="minorHAnsi" w:cstheme="minorHAnsi"/>
          <w:b/>
          <w:bCs/>
          <w:u w:val="single"/>
        </w:rPr>
        <w:t xml:space="preserve"> </w:t>
      </w:r>
      <w:r w:rsidR="00CA0492" w:rsidRPr="00CA0492">
        <w:rPr>
          <w:rFonts w:asciiTheme="minorHAnsi" w:hAnsiTheme="minorHAnsi" w:cstheme="minorHAnsi"/>
          <w:b/>
          <w:bCs/>
          <w:u w:val="single"/>
        </w:rPr>
        <w:t>University of Southern California (USC), United States</w:t>
      </w:r>
    </w:p>
    <w:p w14:paraId="36CAF5EC" w14:textId="77777777" w:rsidR="00CA0492" w:rsidRDefault="00CA0492" w:rsidP="00CA0492">
      <w:pPr>
        <w:pStyle w:val="BodyText"/>
        <w:ind w:firstLine="720"/>
      </w:pPr>
    </w:p>
    <w:p w14:paraId="0F38CC43" w14:textId="4388EBBB" w:rsidR="00FC49D7" w:rsidRDefault="00FC49D7" w:rsidP="00DA65EF">
      <w:pPr>
        <w:spacing w:after="0"/>
        <w:ind w:firstLine="720"/>
        <w:jc w:val="both"/>
      </w:pPr>
      <w:r>
        <w:t>USC CoE</w:t>
      </w:r>
      <w:r w:rsidR="00814A43">
        <w:t xml:space="preserve"> reported that they</w:t>
      </w:r>
      <w:r>
        <w:t xml:space="preserve"> will host </w:t>
      </w:r>
      <w:r w:rsidR="00BD5D16">
        <w:t>their</w:t>
      </w:r>
      <w:r>
        <w:t xml:space="preserve"> 2025 workshop, </w:t>
      </w:r>
      <w:r>
        <w:rPr>
          <w:rStyle w:val="Emphasis"/>
        </w:rPr>
        <w:t>Foundational Principles of Medical Device Clinical Evidence and Risk Management</w:t>
      </w:r>
      <w:r>
        <w:t>, virtually on 4–5 November (Asia time). The program will cover clinical assessments on Day 1 and optimizing risk and safety on Day 2. The speaker roster, developed with input from the program committee, will be finalized in July, with registration opening in August. Feedback from the 2024 in-person event indicated strong demand for virtual delivery to expand access across APEC economies. USC will use participant feedback to inform its 2026 program format.</w:t>
      </w:r>
    </w:p>
    <w:p w14:paraId="12E83EDF" w14:textId="77777777" w:rsidR="00CA0492" w:rsidRDefault="00CA0492" w:rsidP="00DA65EF">
      <w:pPr>
        <w:spacing w:after="0"/>
        <w:ind w:firstLine="720"/>
        <w:jc w:val="both"/>
      </w:pPr>
    </w:p>
    <w:p w14:paraId="5EE455B9" w14:textId="14C3DE4A" w:rsidR="00866928" w:rsidRDefault="00866928" w:rsidP="00866928">
      <w:pPr>
        <w:pStyle w:val="BodyText"/>
        <w:ind w:firstLine="720"/>
        <w:rPr>
          <w:rFonts w:asciiTheme="minorHAnsi" w:hAnsiTheme="minorHAnsi" w:cstheme="minorHAnsi"/>
          <w:b/>
          <w:bCs/>
          <w:u w:val="single"/>
        </w:rPr>
      </w:pPr>
      <w:r>
        <w:rPr>
          <w:rFonts w:asciiTheme="minorHAnsi" w:hAnsiTheme="minorHAnsi" w:cstheme="minorHAnsi"/>
          <w:b/>
          <w:bCs/>
        </w:rPr>
        <w:t>9</w:t>
      </w:r>
      <w:r w:rsidRPr="004C148E">
        <w:rPr>
          <w:rFonts w:asciiTheme="minorHAnsi" w:hAnsiTheme="minorHAnsi" w:cstheme="minorHAnsi"/>
          <w:b/>
          <w:bCs/>
        </w:rPr>
        <w:t>.</w:t>
      </w:r>
      <w:r>
        <w:rPr>
          <w:rFonts w:asciiTheme="minorHAnsi" w:hAnsiTheme="minorHAnsi" w:cstheme="minorHAnsi"/>
          <w:b/>
          <w:bCs/>
        </w:rPr>
        <w:t>5</w:t>
      </w:r>
      <w:r w:rsidRPr="004C148E">
        <w:rPr>
          <w:rFonts w:asciiTheme="minorHAnsi" w:hAnsiTheme="minorHAnsi" w:cstheme="minorHAnsi"/>
          <w:b/>
          <w:bCs/>
        </w:rPr>
        <w:tab/>
      </w:r>
      <w:r w:rsidRPr="00D30E2D">
        <w:rPr>
          <w:rFonts w:asciiTheme="minorHAnsi" w:hAnsiTheme="minorHAnsi" w:cstheme="minorHAnsi"/>
          <w:b/>
          <w:bCs/>
          <w:u w:val="single"/>
        </w:rPr>
        <w:t>Update from CoE</w:t>
      </w:r>
      <w:r>
        <w:rPr>
          <w:rFonts w:asciiTheme="minorHAnsi" w:hAnsiTheme="minorHAnsi" w:cstheme="minorHAnsi"/>
          <w:b/>
          <w:bCs/>
          <w:u w:val="single"/>
        </w:rPr>
        <w:t>:</w:t>
      </w:r>
      <w:r w:rsidRPr="00D30E2D">
        <w:rPr>
          <w:rFonts w:asciiTheme="minorHAnsi" w:hAnsiTheme="minorHAnsi" w:cstheme="minorHAnsi"/>
          <w:b/>
          <w:bCs/>
          <w:u w:val="single"/>
        </w:rPr>
        <w:t xml:space="preserve"> </w:t>
      </w:r>
      <w:r w:rsidR="00F800D9" w:rsidRPr="00F800D9">
        <w:rPr>
          <w:rFonts w:asciiTheme="minorHAnsi" w:hAnsiTheme="minorHAnsi" w:cstheme="minorHAnsi"/>
          <w:b/>
          <w:bCs/>
          <w:u w:val="single"/>
        </w:rPr>
        <w:t>TFDA, Chinese Taipei</w:t>
      </w:r>
    </w:p>
    <w:p w14:paraId="66810968" w14:textId="78B98966" w:rsidR="00CA0492" w:rsidRDefault="00CA0492" w:rsidP="00DA65EF">
      <w:pPr>
        <w:spacing w:after="0"/>
        <w:ind w:firstLine="720"/>
        <w:jc w:val="both"/>
        <w:rPr>
          <w:rFonts w:eastAsia="Calibri" w:cstheme="minorHAnsi"/>
        </w:rPr>
      </w:pPr>
    </w:p>
    <w:p w14:paraId="07BD5054" w14:textId="06819C0A" w:rsidR="00F800D9" w:rsidRDefault="00F800D9" w:rsidP="00DA65EF">
      <w:pPr>
        <w:spacing w:after="0"/>
        <w:ind w:firstLine="720"/>
        <w:jc w:val="both"/>
      </w:pPr>
      <w:r>
        <w:t>TFDA reported on its upcoming 26–28 August 2025 hybrid workshop, which will cover device classification, conformity assessment, safety and performance principles, clinical evaluation, and adverse event reporting. The program will include case-based exercises using IMDRF terminology and has confirmed participation from regulators in Chile, Peru, the Philippines, Thailand, and Viet Nam.</w:t>
      </w:r>
    </w:p>
    <w:p w14:paraId="5FC45446" w14:textId="77777777" w:rsidR="00F800D9" w:rsidRDefault="00F800D9" w:rsidP="00DA65EF">
      <w:pPr>
        <w:spacing w:after="0"/>
        <w:ind w:firstLine="720"/>
        <w:jc w:val="both"/>
      </w:pPr>
    </w:p>
    <w:p w14:paraId="3E0A1A41" w14:textId="53C877BA" w:rsidR="00F800D9" w:rsidRDefault="00F800D9" w:rsidP="00F800D9">
      <w:pPr>
        <w:pStyle w:val="BodyText"/>
        <w:ind w:firstLine="720"/>
        <w:rPr>
          <w:rFonts w:asciiTheme="minorHAnsi" w:hAnsiTheme="minorHAnsi" w:cstheme="minorHAnsi"/>
          <w:b/>
          <w:bCs/>
          <w:u w:val="single"/>
        </w:rPr>
      </w:pPr>
      <w:r>
        <w:rPr>
          <w:rFonts w:asciiTheme="minorHAnsi" w:hAnsiTheme="minorHAnsi" w:cstheme="minorHAnsi"/>
          <w:b/>
          <w:bCs/>
        </w:rPr>
        <w:t>9</w:t>
      </w:r>
      <w:r w:rsidRPr="004C148E">
        <w:rPr>
          <w:rFonts w:asciiTheme="minorHAnsi" w:hAnsiTheme="minorHAnsi" w:cstheme="minorHAnsi"/>
          <w:b/>
          <w:bCs/>
        </w:rPr>
        <w:t>.</w:t>
      </w:r>
      <w:r>
        <w:rPr>
          <w:rFonts w:asciiTheme="minorHAnsi" w:hAnsiTheme="minorHAnsi" w:cstheme="minorHAnsi"/>
          <w:b/>
          <w:bCs/>
        </w:rPr>
        <w:t>6</w:t>
      </w:r>
      <w:r w:rsidRPr="004C148E">
        <w:rPr>
          <w:rFonts w:asciiTheme="minorHAnsi" w:hAnsiTheme="minorHAnsi" w:cstheme="minorHAnsi"/>
          <w:b/>
          <w:bCs/>
        </w:rPr>
        <w:tab/>
      </w:r>
      <w:r w:rsidRPr="00F800D9">
        <w:rPr>
          <w:rFonts w:asciiTheme="minorHAnsi" w:hAnsiTheme="minorHAnsi" w:cstheme="minorHAnsi"/>
          <w:b/>
          <w:bCs/>
          <w:u w:val="single"/>
        </w:rPr>
        <w:t>Medical Device Single Audit Program (MDSAP) Update – Australia</w:t>
      </w:r>
    </w:p>
    <w:p w14:paraId="670D730E" w14:textId="77777777" w:rsidR="00506863" w:rsidRDefault="00506863" w:rsidP="00DA65EF">
      <w:pPr>
        <w:spacing w:after="0"/>
        <w:ind w:firstLine="720"/>
        <w:jc w:val="both"/>
      </w:pPr>
    </w:p>
    <w:p w14:paraId="3BF89175" w14:textId="0A03C458" w:rsidR="00F800D9" w:rsidRDefault="00506863" w:rsidP="00DA65EF">
      <w:pPr>
        <w:spacing w:after="0"/>
        <w:ind w:firstLine="720"/>
        <w:jc w:val="both"/>
      </w:pPr>
      <w:r>
        <w:t>Australia provided an update on MDSAP participation and progress, highlighting the program’s growing acceptance and potential role in enabling reliance pathways across APEC. The presentation also covered updates to audit procedures and shared data on program uptake by manufacturers and regulators.</w:t>
      </w:r>
    </w:p>
    <w:p w14:paraId="52A2647A" w14:textId="77777777" w:rsidR="00506863" w:rsidRDefault="00506863" w:rsidP="00DA65EF">
      <w:pPr>
        <w:spacing w:after="0"/>
        <w:ind w:firstLine="720"/>
        <w:jc w:val="both"/>
      </w:pPr>
    </w:p>
    <w:p w14:paraId="75A615DB" w14:textId="0E2F1BB2" w:rsidR="00506863" w:rsidRDefault="00506863" w:rsidP="00506863">
      <w:pPr>
        <w:pStyle w:val="BodyText"/>
        <w:ind w:firstLine="720"/>
        <w:rPr>
          <w:rFonts w:asciiTheme="minorHAnsi" w:hAnsiTheme="minorHAnsi" w:cstheme="minorHAnsi"/>
          <w:b/>
          <w:bCs/>
          <w:u w:val="single"/>
        </w:rPr>
      </w:pPr>
      <w:r>
        <w:rPr>
          <w:rFonts w:asciiTheme="minorHAnsi" w:hAnsiTheme="minorHAnsi" w:cstheme="minorHAnsi"/>
          <w:b/>
          <w:bCs/>
        </w:rPr>
        <w:t>9</w:t>
      </w:r>
      <w:r w:rsidRPr="004C148E">
        <w:rPr>
          <w:rFonts w:asciiTheme="minorHAnsi" w:hAnsiTheme="minorHAnsi" w:cstheme="minorHAnsi"/>
          <w:b/>
          <w:bCs/>
        </w:rPr>
        <w:t>.</w:t>
      </w:r>
      <w:r>
        <w:rPr>
          <w:rFonts w:asciiTheme="minorHAnsi" w:hAnsiTheme="minorHAnsi" w:cstheme="minorHAnsi"/>
          <w:b/>
          <w:bCs/>
        </w:rPr>
        <w:t>7</w:t>
      </w:r>
      <w:r w:rsidRPr="004C148E">
        <w:rPr>
          <w:rFonts w:asciiTheme="minorHAnsi" w:hAnsiTheme="minorHAnsi" w:cstheme="minorHAnsi"/>
          <w:b/>
          <w:bCs/>
        </w:rPr>
        <w:tab/>
      </w:r>
      <w:r w:rsidRPr="00506863">
        <w:rPr>
          <w:rFonts w:asciiTheme="minorHAnsi" w:hAnsiTheme="minorHAnsi" w:cstheme="minorHAnsi"/>
          <w:b/>
          <w:bCs/>
          <w:u w:val="single"/>
        </w:rPr>
        <w:t>Promoting Abridged Pathway Based on Reliance through the Use of MDSAP – JIRA</w:t>
      </w:r>
    </w:p>
    <w:p w14:paraId="6C32FAB9" w14:textId="77777777" w:rsidR="0045546E" w:rsidRDefault="0045546E" w:rsidP="00506863">
      <w:pPr>
        <w:pStyle w:val="BodyText"/>
        <w:ind w:firstLine="720"/>
        <w:rPr>
          <w:rFonts w:asciiTheme="minorHAnsi" w:hAnsiTheme="minorHAnsi" w:cstheme="minorHAnsi"/>
          <w:b/>
          <w:bCs/>
          <w:u w:val="single"/>
        </w:rPr>
      </w:pPr>
    </w:p>
    <w:p w14:paraId="1C670166" w14:textId="13D593C8" w:rsidR="0045546E" w:rsidRDefault="0045546E" w:rsidP="00506863">
      <w:pPr>
        <w:pStyle w:val="BodyText"/>
        <w:ind w:firstLine="720"/>
      </w:pPr>
      <w:r>
        <w:t xml:space="preserve">JIRA presented on how MDSAP outcomes can be leveraged to support abridged approval pathways, reducing regulatory burden while maintaining safety and performance standards. The proposal emphasized that acceptance of MDSAP reports could serve as a foundation for reliance approaches, provided trust and equivalence in standards are established. RHSC members agreed to continue discussions on integrating reliance mechanisms within the PWA </w:t>
      </w:r>
      <w:r w:rsidR="00FE6F50">
        <w:t>framework.</w:t>
      </w:r>
    </w:p>
    <w:p w14:paraId="3C910E2E" w14:textId="77777777" w:rsidR="00FE6F50" w:rsidRDefault="00FE6F50" w:rsidP="00506863">
      <w:pPr>
        <w:pStyle w:val="BodyText"/>
        <w:ind w:firstLine="720"/>
      </w:pPr>
    </w:p>
    <w:tbl>
      <w:tblPr>
        <w:tblStyle w:val="TableGrid"/>
        <w:tblW w:w="9606" w:type="dxa"/>
        <w:jc w:val="center"/>
        <w:tblLook w:val="04A0" w:firstRow="1" w:lastRow="0" w:firstColumn="1" w:lastColumn="0" w:noHBand="0" w:noVBand="1"/>
      </w:tblPr>
      <w:tblGrid>
        <w:gridCol w:w="1368"/>
        <w:gridCol w:w="1905"/>
        <w:gridCol w:w="6333"/>
      </w:tblGrid>
      <w:tr w:rsidR="00FE6F50" w:rsidRPr="004C148E" w14:paraId="6C8A6343" w14:textId="77777777" w:rsidTr="00FE6F50">
        <w:trPr>
          <w:jc w:val="center"/>
        </w:trPr>
        <w:tc>
          <w:tcPr>
            <w:tcW w:w="1368" w:type="dxa"/>
            <w:shd w:val="clear" w:color="auto" w:fill="F2F2F2" w:themeFill="background1" w:themeFillShade="F2"/>
            <w:vAlign w:val="center"/>
          </w:tcPr>
          <w:p w14:paraId="6F2C1D92" w14:textId="0B8D6A16" w:rsidR="00FE6F50" w:rsidRPr="004C148E" w:rsidRDefault="00FE6F50" w:rsidP="00B624D7">
            <w:pPr>
              <w:keepNext/>
              <w:jc w:val="both"/>
              <w:rPr>
                <w:rFonts w:cstheme="minorHAnsi"/>
                <w:b/>
                <w:bCs/>
              </w:rPr>
            </w:pPr>
            <w:r w:rsidRPr="004C148E">
              <w:rPr>
                <w:rFonts w:cstheme="minorHAnsi"/>
                <w:b/>
                <w:bCs/>
              </w:rPr>
              <w:t>1</w:t>
            </w:r>
            <w:r w:rsidR="00244DAA">
              <w:rPr>
                <w:rFonts w:cstheme="minorHAnsi"/>
                <w:b/>
                <w:bCs/>
              </w:rPr>
              <w:t>5</w:t>
            </w:r>
            <w:r w:rsidRPr="004C148E">
              <w:rPr>
                <w:rFonts w:cstheme="minorHAnsi"/>
                <w:b/>
                <w:bCs/>
              </w:rPr>
              <w:t>:</w:t>
            </w:r>
            <w:r w:rsidR="00244DAA">
              <w:rPr>
                <w:rFonts w:cstheme="minorHAnsi"/>
                <w:b/>
                <w:bCs/>
              </w:rPr>
              <w:t>35</w:t>
            </w:r>
            <w:r w:rsidRPr="004C148E">
              <w:rPr>
                <w:rFonts w:cstheme="minorHAnsi"/>
                <w:b/>
                <w:bCs/>
              </w:rPr>
              <w:t>-1</w:t>
            </w:r>
            <w:r w:rsidR="00244DAA">
              <w:rPr>
                <w:rFonts w:cstheme="minorHAnsi"/>
                <w:b/>
                <w:bCs/>
              </w:rPr>
              <w:t>6</w:t>
            </w:r>
            <w:r w:rsidRPr="004C148E">
              <w:rPr>
                <w:rFonts w:cstheme="minorHAnsi"/>
                <w:b/>
                <w:bCs/>
              </w:rPr>
              <w:t>:</w:t>
            </w:r>
            <w:r w:rsidR="00244DAA">
              <w:rPr>
                <w:rFonts w:cstheme="minorHAnsi"/>
                <w:b/>
                <w:bCs/>
              </w:rPr>
              <w:t>10</w:t>
            </w:r>
          </w:p>
        </w:tc>
        <w:tc>
          <w:tcPr>
            <w:tcW w:w="1905" w:type="dxa"/>
            <w:shd w:val="clear" w:color="auto" w:fill="F2F2F2" w:themeFill="background1" w:themeFillShade="F2"/>
            <w:vAlign w:val="center"/>
          </w:tcPr>
          <w:p w14:paraId="0A776380" w14:textId="0AA628A3" w:rsidR="00FE6F50" w:rsidRPr="004C148E" w:rsidRDefault="00FE6F50" w:rsidP="00B624D7">
            <w:pPr>
              <w:keepNext/>
              <w:jc w:val="both"/>
              <w:rPr>
                <w:rFonts w:cstheme="minorHAnsi"/>
                <w:b/>
                <w:bCs/>
              </w:rPr>
            </w:pPr>
            <w:r w:rsidRPr="004C148E">
              <w:rPr>
                <w:rFonts w:cstheme="minorHAnsi"/>
                <w:b/>
                <w:bCs/>
              </w:rPr>
              <w:t xml:space="preserve">AGENDA ITEM </w:t>
            </w:r>
            <w:r>
              <w:rPr>
                <w:rFonts w:cstheme="minorHAnsi"/>
                <w:b/>
                <w:bCs/>
              </w:rPr>
              <w:t>10</w:t>
            </w:r>
          </w:p>
        </w:tc>
        <w:tc>
          <w:tcPr>
            <w:tcW w:w="6333" w:type="dxa"/>
            <w:shd w:val="clear" w:color="auto" w:fill="F2F2F2" w:themeFill="background1" w:themeFillShade="F2"/>
            <w:vAlign w:val="center"/>
          </w:tcPr>
          <w:p w14:paraId="2130E9E9" w14:textId="5254C30B" w:rsidR="00FE6F50" w:rsidRPr="004C148E" w:rsidRDefault="00FE6F50" w:rsidP="00B624D7">
            <w:pPr>
              <w:keepNext/>
              <w:jc w:val="both"/>
              <w:rPr>
                <w:rFonts w:cstheme="minorHAnsi"/>
                <w:b/>
              </w:rPr>
            </w:pPr>
            <w:r w:rsidRPr="00FE6F50">
              <w:rPr>
                <w:rFonts w:cstheme="minorHAnsi"/>
                <w:b/>
              </w:rPr>
              <w:t>Pharmacovigilance</w:t>
            </w:r>
            <w:r w:rsidR="008C0049">
              <w:rPr>
                <w:rFonts w:cstheme="minorHAnsi"/>
                <w:b/>
              </w:rPr>
              <w:t xml:space="preserve"> (PV)</w:t>
            </w:r>
            <w:r w:rsidRPr="00FE6F50">
              <w:rPr>
                <w:rFonts w:cstheme="minorHAnsi"/>
                <w:b/>
              </w:rPr>
              <w:t xml:space="preserve"> </w:t>
            </w:r>
            <w:r w:rsidRPr="004C148E">
              <w:rPr>
                <w:rFonts w:cstheme="minorHAnsi"/>
                <w:b/>
              </w:rPr>
              <w:t>PWA</w:t>
            </w:r>
          </w:p>
        </w:tc>
      </w:tr>
    </w:tbl>
    <w:p w14:paraId="74940FB9" w14:textId="77777777" w:rsidR="00FE6F50" w:rsidRDefault="00FE6F50" w:rsidP="00506863">
      <w:pPr>
        <w:pStyle w:val="BodyText"/>
        <w:ind w:firstLine="720"/>
        <w:rPr>
          <w:rFonts w:cstheme="minorHAnsi"/>
        </w:rPr>
      </w:pPr>
    </w:p>
    <w:p w14:paraId="38F9F29D" w14:textId="282F5661" w:rsidR="00F13354" w:rsidRDefault="00F13354" w:rsidP="00F13354">
      <w:pPr>
        <w:pStyle w:val="BodyText"/>
        <w:ind w:firstLine="720"/>
        <w:rPr>
          <w:rFonts w:asciiTheme="minorHAnsi" w:hAnsiTheme="minorHAnsi" w:cstheme="minorHAnsi"/>
          <w:b/>
          <w:bCs/>
          <w:u w:val="single"/>
        </w:rPr>
      </w:pPr>
      <w:r>
        <w:rPr>
          <w:rFonts w:asciiTheme="minorHAnsi" w:hAnsiTheme="minorHAnsi" w:cstheme="minorHAnsi"/>
          <w:b/>
          <w:bCs/>
        </w:rPr>
        <w:t>10</w:t>
      </w:r>
      <w:r w:rsidRPr="004C148E">
        <w:rPr>
          <w:rFonts w:asciiTheme="minorHAnsi" w:hAnsiTheme="minorHAnsi" w:cstheme="minorHAnsi"/>
          <w:b/>
          <w:bCs/>
        </w:rPr>
        <w:t>.</w:t>
      </w:r>
      <w:r>
        <w:rPr>
          <w:rFonts w:asciiTheme="minorHAnsi" w:hAnsiTheme="minorHAnsi" w:cstheme="minorHAnsi"/>
          <w:b/>
          <w:bCs/>
        </w:rPr>
        <w:t xml:space="preserve">1 </w:t>
      </w:r>
      <w:r w:rsidRPr="004C148E">
        <w:rPr>
          <w:rFonts w:asciiTheme="minorHAnsi" w:hAnsiTheme="minorHAnsi" w:cstheme="minorHAnsi"/>
          <w:b/>
          <w:bCs/>
        </w:rPr>
        <w:tab/>
      </w:r>
      <w:r w:rsidRPr="00F13354">
        <w:rPr>
          <w:rFonts w:asciiTheme="minorHAnsi" w:hAnsiTheme="minorHAnsi" w:cstheme="minorHAnsi"/>
          <w:b/>
          <w:bCs/>
          <w:u w:val="single"/>
        </w:rPr>
        <w:t>PWA Champion Update</w:t>
      </w:r>
      <w:r>
        <w:rPr>
          <w:rFonts w:asciiTheme="minorHAnsi" w:hAnsiTheme="minorHAnsi" w:cstheme="minorHAnsi"/>
          <w:b/>
          <w:bCs/>
          <w:u w:val="single"/>
        </w:rPr>
        <w:t>: MFD</w:t>
      </w:r>
      <w:r w:rsidR="000F3DFE">
        <w:rPr>
          <w:rFonts w:asciiTheme="minorHAnsi" w:hAnsiTheme="minorHAnsi" w:cstheme="minorHAnsi"/>
          <w:b/>
          <w:bCs/>
          <w:u w:val="single"/>
        </w:rPr>
        <w:t>S</w:t>
      </w:r>
      <w:r>
        <w:rPr>
          <w:rFonts w:asciiTheme="minorHAnsi" w:hAnsiTheme="minorHAnsi" w:cstheme="minorHAnsi"/>
          <w:b/>
          <w:bCs/>
          <w:u w:val="single"/>
        </w:rPr>
        <w:t>, Republic of Korea</w:t>
      </w:r>
    </w:p>
    <w:p w14:paraId="38C659D3" w14:textId="77777777" w:rsidR="00F13354" w:rsidRDefault="00F13354" w:rsidP="00F13354">
      <w:pPr>
        <w:pStyle w:val="BodyText"/>
        <w:ind w:firstLine="720"/>
        <w:rPr>
          <w:rFonts w:asciiTheme="minorHAnsi" w:hAnsiTheme="minorHAnsi" w:cstheme="minorHAnsi"/>
          <w:b/>
          <w:bCs/>
          <w:u w:val="single"/>
        </w:rPr>
      </w:pPr>
    </w:p>
    <w:p w14:paraId="7FA89925" w14:textId="1D1E9531" w:rsidR="005E22FA" w:rsidRPr="005E22FA" w:rsidRDefault="005E22FA" w:rsidP="005E22FA">
      <w:pPr>
        <w:pStyle w:val="BodyText"/>
        <w:ind w:firstLine="720"/>
        <w:rPr>
          <w:rFonts w:asciiTheme="minorHAnsi" w:hAnsiTheme="minorHAnsi" w:cstheme="minorHAnsi"/>
        </w:rPr>
      </w:pPr>
      <w:r>
        <w:rPr>
          <w:rFonts w:asciiTheme="minorHAnsi" w:hAnsiTheme="minorHAnsi" w:cstheme="minorHAnsi"/>
        </w:rPr>
        <w:t>MFD</w:t>
      </w:r>
      <w:r w:rsidR="000F3DFE">
        <w:rPr>
          <w:rFonts w:asciiTheme="minorHAnsi" w:hAnsiTheme="minorHAnsi" w:cstheme="minorHAnsi"/>
        </w:rPr>
        <w:t>S</w:t>
      </w:r>
      <w:r w:rsidR="00BD5D16">
        <w:rPr>
          <w:rFonts w:asciiTheme="minorHAnsi" w:hAnsiTheme="minorHAnsi" w:cstheme="minorHAnsi"/>
        </w:rPr>
        <w:t>, PWA Champion,</w:t>
      </w:r>
      <w:r>
        <w:rPr>
          <w:rFonts w:asciiTheme="minorHAnsi" w:hAnsiTheme="minorHAnsi" w:cstheme="minorHAnsi"/>
        </w:rPr>
        <w:t xml:space="preserve"> </w:t>
      </w:r>
      <w:r w:rsidRPr="005E22FA">
        <w:rPr>
          <w:rFonts w:asciiTheme="minorHAnsi" w:hAnsiTheme="minorHAnsi" w:cstheme="minorHAnsi"/>
        </w:rPr>
        <w:t>outlined the PWA’s long-standing objectives since its establishment in 2013, focusing on building PV capacity across APEC economies through training, workshops, and the development of a comprehensive core curriculum. The roadmap—most recently updated and endorsed in 2023—prioritizes risk management planning, adverse event reporting, and safety research across chemical, biological, blood, and herbal medicinal products.</w:t>
      </w:r>
    </w:p>
    <w:p w14:paraId="02082A04" w14:textId="77777777" w:rsidR="005E22FA" w:rsidRPr="005E22FA" w:rsidRDefault="005E22FA" w:rsidP="005E22FA">
      <w:pPr>
        <w:pStyle w:val="BodyText"/>
        <w:ind w:firstLine="720"/>
        <w:rPr>
          <w:rFonts w:asciiTheme="minorHAnsi" w:hAnsiTheme="minorHAnsi" w:cstheme="minorHAnsi"/>
        </w:rPr>
      </w:pPr>
    </w:p>
    <w:p w14:paraId="7BD36B9C" w14:textId="702AC9E1" w:rsidR="00F13354" w:rsidRPr="005E22FA" w:rsidRDefault="005E22FA" w:rsidP="005E22FA">
      <w:pPr>
        <w:pStyle w:val="BodyText"/>
        <w:ind w:firstLine="720"/>
        <w:rPr>
          <w:rFonts w:asciiTheme="minorHAnsi" w:hAnsiTheme="minorHAnsi" w:cstheme="minorHAnsi"/>
        </w:rPr>
      </w:pPr>
      <w:r w:rsidRPr="005E22FA">
        <w:rPr>
          <w:rFonts w:asciiTheme="minorHAnsi" w:hAnsiTheme="minorHAnsi" w:cstheme="minorHAnsi"/>
        </w:rPr>
        <w:t xml:space="preserve">MFDS reported KPIs for the PWA are divided into operational (e.g., status of ICH guideline adoption) and strategic (e.g., alignment with international PV standards) measures. Several roadmap </w:t>
      </w:r>
      <w:r w:rsidRPr="005E22FA">
        <w:rPr>
          <w:rFonts w:asciiTheme="minorHAnsi" w:hAnsiTheme="minorHAnsi" w:cstheme="minorHAnsi"/>
        </w:rPr>
        <w:lastRenderedPageBreak/>
        <w:t>elements, such as the core curriculum and CoE list, have been completed; others, including the library and guidelines, remain open for input from member economies. MFDS invited comments on additional reference materials that could strengthen these resources.</w:t>
      </w:r>
    </w:p>
    <w:p w14:paraId="398185E2" w14:textId="77777777" w:rsidR="00F13354" w:rsidRDefault="00F13354" w:rsidP="00506863">
      <w:pPr>
        <w:pStyle w:val="BodyText"/>
        <w:ind w:firstLine="720"/>
        <w:rPr>
          <w:rFonts w:cstheme="minorHAnsi"/>
        </w:rPr>
      </w:pPr>
    </w:p>
    <w:p w14:paraId="72FE4739" w14:textId="12D1FE72" w:rsidR="00497BCA" w:rsidRDefault="00497BCA" w:rsidP="00497BCA">
      <w:pPr>
        <w:pStyle w:val="BodyText"/>
        <w:ind w:firstLine="720"/>
        <w:rPr>
          <w:rFonts w:asciiTheme="minorHAnsi" w:hAnsiTheme="minorHAnsi" w:cstheme="minorHAnsi"/>
          <w:b/>
          <w:bCs/>
          <w:u w:val="single"/>
        </w:rPr>
      </w:pPr>
      <w:r>
        <w:rPr>
          <w:rFonts w:asciiTheme="minorHAnsi" w:hAnsiTheme="minorHAnsi" w:cstheme="minorHAnsi"/>
          <w:b/>
          <w:bCs/>
        </w:rPr>
        <w:t>10</w:t>
      </w:r>
      <w:r w:rsidRPr="004C148E">
        <w:rPr>
          <w:rFonts w:asciiTheme="minorHAnsi" w:hAnsiTheme="minorHAnsi" w:cstheme="minorHAnsi"/>
          <w:b/>
          <w:bCs/>
        </w:rPr>
        <w:t>.</w:t>
      </w:r>
      <w:r>
        <w:rPr>
          <w:rFonts w:asciiTheme="minorHAnsi" w:hAnsiTheme="minorHAnsi" w:cstheme="minorHAnsi"/>
          <w:b/>
          <w:bCs/>
        </w:rPr>
        <w:t>2</w:t>
      </w:r>
      <w:r w:rsidRPr="004C148E">
        <w:rPr>
          <w:rFonts w:asciiTheme="minorHAnsi" w:hAnsiTheme="minorHAnsi" w:cstheme="minorHAnsi"/>
          <w:b/>
          <w:bCs/>
        </w:rPr>
        <w:tab/>
      </w:r>
      <w:r w:rsidRPr="00D30E2D">
        <w:rPr>
          <w:rFonts w:asciiTheme="minorHAnsi" w:hAnsiTheme="minorHAnsi" w:cstheme="minorHAnsi"/>
          <w:b/>
          <w:bCs/>
          <w:u w:val="single"/>
        </w:rPr>
        <w:t>Update from CoE</w:t>
      </w:r>
      <w:r>
        <w:rPr>
          <w:rFonts w:asciiTheme="minorHAnsi" w:hAnsiTheme="minorHAnsi" w:cstheme="minorHAnsi"/>
          <w:b/>
          <w:bCs/>
          <w:u w:val="single"/>
        </w:rPr>
        <w:t>:</w:t>
      </w:r>
      <w:r w:rsidRPr="00D30E2D">
        <w:rPr>
          <w:rFonts w:asciiTheme="minorHAnsi" w:hAnsiTheme="minorHAnsi" w:cstheme="minorHAnsi"/>
          <w:b/>
          <w:bCs/>
          <w:u w:val="single"/>
        </w:rPr>
        <w:t xml:space="preserve"> </w:t>
      </w:r>
      <w:r w:rsidR="00881EC1" w:rsidRPr="00881EC1">
        <w:rPr>
          <w:rFonts w:asciiTheme="minorHAnsi" w:hAnsiTheme="minorHAnsi" w:cstheme="minorHAnsi"/>
          <w:b/>
          <w:bCs/>
          <w:u w:val="single"/>
        </w:rPr>
        <w:t>Korea Institute of Drug Safety and Risk Management (KIDS), Republic of Korea</w:t>
      </w:r>
    </w:p>
    <w:p w14:paraId="2B1580E3" w14:textId="77777777" w:rsidR="00497BCA" w:rsidRDefault="00497BCA" w:rsidP="00506863">
      <w:pPr>
        <w:pStyle w:val="BodyText"/>
        <w:ind w:firstLine="720"/>
        <w:rPr>
          <w:rFonts w:cstheme="minorHAnsi"/>
        </w:rPr>
      </w:pPr>
    </w:p>
    <w:p w14:paraId="0107827B" w14:textId="04020A60" w:rsidR="00C05D7B" w:rsidRDefault="00A85069" w:rsidP="00C05D7B">
      <w:pPr>
        <w:pStyle w:val="BodyText"/>
        <w:ind w:firstLine="720"/>
      </w:pPr>
      <w:r>
        <w:t>Korea Institute of Drug safety and Risk management(KIDS)</w:t>
      </w:r>
      <w:r w:rsidDel="00A85069">
        <w:t xml:space="preserve"> </w:t>
      </w:r>
      <w:r w:rsidR="00C05D7B">
        <w:t>reported that the 2025 APEC PV training will be held online on 28–29 October 2025, covering AI in PV, pharmacoepidemiology, real-world data/evidence, benefit–risk assessment, and risk management planning. The program builds on feedback from previous sessions, alignment with ICH guidelines, and topics highlighted at international PV meetings.</w:t>
      </w:r>
    </w:p>
    <w:p w14:paraId="182550A0" w14:textId="77777777" w:rsidR="00C05D7B" w:rsidRDefault="00C05D7B" w:rsidP="00C05D7B">
      <w:pPr>
        <w:pStyle w:val="BodyText"/>
        <w:ind w:firstLine="720"/>
      </w:pPr>
    </w:p>
    <w:p w14:paraId="40A974BD" w14:textId="6A92B67B" w:rsidR="00497BCA" w:rsidRDefault="00C05D7B" w:rsidP="00C05D7B">
      <w:pPr>
        <w:pStyle w:val="BodyText"/>
        <w:ind w:firstLine="720"/>
      </w:pPr>
      <w:r>
        <w:t>In 2024, KIDS trained 181 officials from 17 APEC economies, delivering interactive, case-based sessions that received high satisfaction ratings. The 2025 course will retain this practical, participatory approach, with speakers from regulatory authorities and international organizations.</w:t>
      </w:r>
    </w:p>
    <w:p w14:paraId="557B4AB1" w14:textId="77777777" w:rsidR="00A35838" w:rsidRDefault="00A35838" w:rsidP="00C05D7B">
      <w:pPr>
        <w:pStyle w:val="BodyText"/>
        <w:ind w:firstLine="720"/>
      </w:pPr>
    </w:p>
    <w:tbl>
      <w:tblPr>
        <w:tblStyle w:val="TableGrid"/>
        <w:tblW w:w="9606" w:type="dxa"/>
        <w:jc w:val="center"/>
        <w:tblLook w:val="04A0" w:firstRow="1" w:lastRow="0" w:firstColumn="1" w:lastColumn="0" w:noHBand="0" w:noVBand="1"/>
      </w:tblPr>
      <w:tblGrid>
        <w:gridCol w:w="1368"/>
        <w:gridCol w:w="1905"/>
        <w:gridCol w:w="6333"/>
      </w:tblGrid>
      <w:tr w:rsidR="00A35838" w:rsidRPr="004C148E" w14:paraId="3FD39A67" w14:textId="77777777" w:rsidTr="00B624D7">
        <w:trPr>
          <w:jc w:val="center"/>
        </w:trPr>
        <w:tc>
          <w:tcPr>
            <w:tcW w:w="1368" w:type="dxa"/>
            <w:shd w:val="clear" w:color="auto" w:fill="F2F2F2" w:themeFill="background1" w:themeFillShade="F2"/>
            <w:vAlign w:val="center"/>
          </w:tcPr>
          <w:p w14:paraId="3B5B6E8C" w14:textId="052738CF" w:rsidR="00A35838" w:rsidRPr="004C148E" w:rsidRDefault="00A35838" w:rsidP="00B624D7">
            <w:pPr>
              <w:keepNext/>
              <w:jc w:val="both"/>
              <w:rPr>
                <w:rFonts w:cstheme="minorHAnsi"/>
                <w:b/>
                <w:bCs/>
              </w:rPr>
            </w:pPr>
            <w:r w:rsidRPr="004C148E">
              <w:rPr>
                <w:rFonts w:cstheme="minorHAnsi"/>
                <w:b/>
                <w:bCs/>
              </w:rPr>
              <w:t>1</w:t>
            </w:r>
            <w:r w:rsidR="000035A8">
              <w:rPr>
                <w:rFonts w:cstheme="minorHAnsi"/>
                <w:b/>
                <w:bCs/>
              </w:rPr>
              <w:t>6</w:t>
            </w:r>
            <w:r w:rsidRPr="004C148E">
              <w:rPr>
                <w:rFonts w:cstheme="minorHAnsi"/>
                <w:b/>
                <w:bCs/>
              </w:rPr>
              <w:t>:</w:t>
            </w:r>
            <w:r w:rsidR="000035A8">
              <w:rPr>
                <w:rFonts w:cstheme="minorHAnsi"/>
                <w:b/>
                <w:bCs/>
              </w:rPr>
              <w:t>1</w:t>
            </w:r>
            <w:r w:rsidRPr="004C148E">
              <w:rPr>
                <w:rFonts w:cstheme="minorHAnsi"/>
                <w:b/>
                <w:bCs/>
              </w:rPr>
              <w:t>0-1</w:t>
            </w:r>
            <w:r w:rsidR="000035A8">
              <w:rPr>
                <w:rFonts w:cstheme="minorHAnsi"/>
                <w:b/>
                <w:bCs/>
              </w:rPr>
              <w:t>6</w:t>
            </w:r>
            <w:r w:rsidRPr="004C148E">
              <w:rPr>
                <w:rFonts w:cstheme="minorHAnsi"/>
                <w:b/>
                <w:bCs/>
              </w:rPr>
              <w:t>:</w:t>
            </w:r>
            <w:r w:rsidR="000035A8">
              <w:rPr>
                <w:rFonts w:cstheme="minorHAnsi"/>
                <w:b/>
                <w:bCs/>
              </w:rPr>
              <w:t>30</w:t>
            </w:r>
          </w:p>
        </w:tc>
        <w:tc>
          <w:tcPr>
            <w:tcW w:w="1905" w:type="dxa"/>
            <w:shd w:val="clear" w:color="auto" w:fill="F2F2F2" w:themeFill="background1" w:themeFillShade="F2"/>
            <w:vAlign w:val="center"/>
          </w:tcPr>
          <w:p w14:paraId="3DACCED2" w14:textId="22BFEE83" w:rsidR="00A35838" w:rsidRPr="004C148E" w:rsidRDefault="00A35838" w:rsidP="00B624D7">
            <w:pPr>
              <w:keepNext/>
              <w:jc w:val="both"/>
              <w:rPr>
                <w:rFonts w:cstheme="minorHAnsi"/>
                <w:b/>
                <w:bCs/>
              </w:rPr>
            </w:pPr>
            <w:r w:rsidRPr="004C148E">
              <w:rPr>
                <w:rFonts w:cstheme="minorHAnsi"/>
                <w:b/>
                <w:bCs/>
              </w:rPr>
              <w:t xml:space="preserve">AGENDA ITEM </w:t>
            </w:r>
            <w:r>
              <w:rPr>
                <w:rFonts w:cstheme="minorHAnsi"/>
                <w:b/>
                <w:bCs/>
              </w:rPr>
              <w:t>11</w:t>
            </w:r>
          </w:p>
        </w:tc>
        <w:tc>
          <w:tcPr>
            <w:tcW w:w="6333" w:type="dxa"/>
            <w:shd w:val="clear" w:color="auto" w:fill="F2F2F2" w:themeFill="background1" w:themeFillShade="F2"/>
            <w:vAlign w:val="center"/>
          </w:tcPr>
          <w:p w14:paraId="29871F97" w14:textId="3C1E8912" w:rsidR="00A35838" w:rsidRPr="004C148E" w:rsidRDefault="00A35838" w:rsidP="00B624D7">
            <w:pPr>
              <w:keepNext/>
              <w:jc w:val="both"/>
              <w:rPr>
                <w:rFonts w:cstheme="minorHAnsi"/>
                <w:b/>
              </w:rPr>
            </w:pPr>
            <w:r>
              <w:rPr>
                <w:rFonts w:cstheme="minorHAnsi"/>
                <w:b/>
              </w:rPr>
              <w:t>Good Registration Management</w:t>
            </w:r>
            <w:r w:rsidRPr="00FE6F50">
              <w:rPr>
                <w:rFonts w:cstheme="minorHAnsi"/>
                <w:b/>
              </w:rPr>
              <w:t xml:space="preserve"> </w:t>
            </w:r>
            <w:r w:rsidRPr="004C148E">
              <w:rPr>
                <w:rFonts w:cstheme="minorHAnsi"/>
                <w:b/>
              </w:rPr>
              <w:t>PWA</w:t>
            </w:r>
          </w:p>
        </w:tc>
      </w:tr>
    </w:tbl>
    <w:p w14:paraId="2A87EB52" w14:textId="77777777" w:rsidR="00A35838" w:rsidRDefault="00A35838" w:rsidP="00C05D7B">
      <w:pPr>
        <w:pStyle w:val="BodyText"/>
        <w:ind w:firstLine="720"/>
        <w:rPr>
          <w:rFonts w:cstheme="minorHAnsi"/>
        </w:rPr>
      </w:pPr>
    </w:p>
    <w:p w14:paraId="5D905C66" w14:textId="348F9ED2" w:rsidR="00FB05F6" w:rsidRPr="004445C8" w:rsidRDefault="004976FF" w:rsidP="004976FF">
      <w:pPr>
        <w:pStyle w:val="BodyText"/>
        <w:ind w:left="1440" w:hanging="720"/>
        <w:rPr>
          <w:rFonts w:asciiTheme="minorHAnsi" w:hAnsiTheme="minorHAnsi" w:cstheme="minorHAnsi"/>
          <w:b/>
          <w:bCs/>
          <w:u w:val="single"/>
          <w:lang w:val="it-IT"/>
        </w:rPr>
      </w:pPr>
      <w:r w:rsidRPr="004445C8">
        <w:rPr>
          <w:rFonts w:asciiTheme="minorHAnsi" w:hAnsiTheme="minorHAnsi" w:cstheme="minorHAnsi"/>
          <w:b/>
          <w:bCs/>
          <w:lang w:val="it-IT"/>
        </w:rPr>
        <w:t xml:space="preserve">11.1 </w:t>
      </w:r>
      <w:r w:rsidRPr="004445C8">
        <w:rPr>
          <w:rFonts w:asciiTheme="minorHAnsi" w:hAnsiTheme="minorHAnsi" w:cstheme="minorHAnsi"/>
          <w:b/>
          <w:bCs/>
          <w:lang w:val="it-IT"/>
        </w:rPr>
        <w:tab/>
      </w:r>
      <w:r w:rsidRPr="004445C8">
        <w:rPr>
          <w:rFonts w:asciiTheme="minorHAnsi" w:hAnsiTheme="minorHAnsi" w:cstheme="minorHAnsi"/>
          <w:b/>
          <w:bCs/>
          <w:u w:val="single"/>
          <w:lang w:val="it-IT"/>
        </w:rPr>
        <w:t>PWA Co-Champion Update: TFDA, Chinese Taipei; PMDA, Japan</w:t>
      </w:r>
    </w:p>
    <w:p w14:paraId="52BFD5F2" w14:textId="77777777" w:rsidR="00FB05F6" w:rsidRPr="004445C8" w:rsidRDefault="00FB05F6" w:rsidP="00C05D7B">
      <w:pPr>
        <w:pStyle w:val="BodyText"/>
        <w:ind w:firstLine="720"/>
        <w:rPr>
          <w:rFonts w:cstheme="minorHAnsi"/>
          <w:lang w:val="it-IT"/>
        </w:rPr>
      </w:pPr>
    </w:p>
    <w:p w14:paraId="6EA65A14" w14:textId="49033DFF" w:rsidR="00FB05F6" w:rsidRPr="00FB05F6" w:rsidRDefault="00C177BF" w:rsidP="00FB05F6">
      <w:pPr>
        <w:pStyle w:val="BodyText"/>
        <w:ind w:firstLine="720"/>
        <w:rPr>
          <w:rFonts w:cstheme="minorHAnsi"/>
        </w:rPr>
      </w:pPr>
      <w:r>
        <w:rPr>
          <w:rFonts w:cstheme="minorHAnsi"/>
        </w:rPr>
        <w:t>TFDA</w:t>
      </w:r>
      <w:r w:rsidR="00BD5D16">
        <w:rPr>
          <w:rFonts w:cstheme="minorHAnsi"/>
        </w:rPr>
        <w:t>, PWA Co-Champion,</w:t>
      </w:r>
      <w:r w:rsidR="00FB05F6" w:rsidRPr="00FB05F6">
        <w:rPr>
          <w:rFonts w:cstheme="minorHAnsi"/>
        </w:rPr>
        <w:t xml:space="preserve"> reported that since February 2025, the GRM PWA has held virtual Steering and Program Committee meetings and supported the Thai FDA’s June 18 online GRM training. The Steering Committee, meeting on March 28, confirmed agendas for the Thai FDA and TFDA CoE workshops and recommended highlighting case studies, combination product reviews, and narrowing review timeline gaps.</w:t>
      </w:r>
    </w:p>
    <w:p w14:paraId="7EDAAB9F" w14:textId="77777777" w:rsidR="00FB05F6" w:rsidRPr="00FB05F6" w:rsidRDefault="00FB05F6" w:rsidP="00FB05F6">
      <w:pPr>
        <w:pStyle w:val="BodyText"/>
        <w:ind w:firstLine="720"/>
        <w:rPr>
          <w:rFonts w:cstheme="minorHAnsi"/>
        </w:rPr>
      </w:pPr>
    </w:p>
    <w:p w14:paraId="25F6E46E" w14:textId="77212DB7" w:rsidR="00FB05F6" w:rsidRDefault="00FB05F6" w:rsidP="00FB05F6">
      <w:pPr>
        <w:pStyle w:val="BodyText"/>
        <w:ind w:firstLine="720"/>
        <w:rPr>
          <w:rFonts w:cstheme="minorHAnsi"/>
        </w:rPr>
      </w:pPr>
      <w:r w:rsidRPr="00FB05F6">
        <w:rPr>
          <w:rFonts w:cstheme="minorHAnsi"/>
        </w:rPr>
        <w:t xml:space="preserve">The Program Committee reviewed TFDA’s draft agenda for its August 26–28 workshop in Taipei, which will run alongside select </w:t>
      </w:r>
      <w:r w:rsidR="00C177BF">
        <w:rPr>
          <w:rFonts w:cstheme="minorHAnsi"/>
        </w:rPr>
        <w:t>m</w:t>
      </w:r>
      <w:r w:rsidRPr="00FB05F6">
        <w:rPr>
          <w:rFonts w:cstheme="minorHAnsi"/>
        </w:rPr>
        <w:t xml:space="preserve">edical </w:t>
      </w:r>
      <w:r w:rsidR="00C177BF">
        <w:rPr>
          <w:rFonts w:cstheme="minorHAnsi"/>
        </w:rPr>
        <w:t>d</w:t>
      </w:r>
      <w:r w:rsidRPr="00FB05F6">
        <w:rPr>
          <w:rFonts w:cstheme="minorHAnsi"/>
        </w:rPr>
        <w:t xml:space="preserve">evice sessions. An in-person </w:t>
      </w:r>
      <w:r w:rsidR="00C177BF">
        <w:rPr>
          <w:rFonts w:cstheme="minorHAnsi"/>
        </w:rPr>
        <w:t>p</w:t>
      </w:r>
      <w:r w:rsidRPr="00FB05F6">
        <w:rPr>
          <w:rFonts w:cstheme="minorHAnsi"/>
        </w:rPr>
        <w:t xml:space="preserve">rogram </w:t>
      </w:r>
      <w:r w:rsidR="00C177BF">
        <w:rPr>
          <w:rFonts w:cstheme="minorHAnsi"/>
        </w:rPr>
        <w:t>c</w:t>
      </w:r>
      <w:r w:rsidRPr="00FB05F6">
        <w:rPr>
          <w:rFonts w:cstheme="minorHAnsi"/>
        </w:rPr>
        <w:t>ommittee meeting is set for August 29 to review outcomes.</w:t>
      </w:r>
    </w:p>
    <w:p w14:paraId="2E794924" w14:textId="77777777" w:rsidR="00943E03" w:rsidRDefault="00943E03" w:rsidP="00FB05F6">
      <w:pPr>
        <w:pStyle w:val="BodyText"/>
        <w:ind w:firstLine="720"/>
        <w:rPr>
          <w:rFonts w:cstheme="minorHAnsi"/>
        </w:rPr>
      </w:pPr>
    </w:p>
    <w:p w14:paraId="555CFF30" w14:textId="476D537A" w:rsidR="00943E03" w:rsidRPr="004976FF" w:rsidRDefault="00943E03" w:rsidP="00943E03">
      <w:pPr>
        <w:pStyle w:val="BodyText"/>
        <w:ind w:left="1440" w:hanging="720"/>
        <w:rPr>
          <w:rFonts w:asciiTheme="minorHAnsi" w:hAnsiTheme="minorHAnsi" w:cstheme="minorHAnsi"/>
          <w:b/>
          <w:bCs/>
          <w:u w:val="single"/>
        </w:rPr>
      </w:pPr>
      <w:r>
        <w:rPr>
          <w:rFonts w:asciiTheme="minorHAnsi" w:hAnsiTheme="minorHAnsi" w:cstheme="minorHAnsi"/>
          <w:b/>
          <w:bCs/>
        </w:rPr>
        <w:t>11</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0075367E" w:rsidRPr="0075367E">
        <w:rPr>
          <w:rFonts w:asciiTheme="minorHAnsi" w:hAnsiTheme="minorHAnsi" w:cstheme="minorHAnsi"/>
          <w:b/>
          <w:bCs/>
          <w:u w:val="single"/>
        </w:rPr>
        <w:t>Update from CoE</w:t>
      </w:r>
      <w:r w:rsidR="0075367E">
        <w:rPr>
          <w:rFonts w:asciiTheme="minorHAnsi" w:hAnsiTheme="minorHAnsi" w:cstheme="minorHAnsi"/>
          <w:b/>
          <w:bCs/>
          <w:u w:val="single"/>
        </w:rPr>
        <w:t>:</w:t>
      </w:r>
      <w:r w:rsidR="0075367E" w:rsidRPr="0075367E">
        <w:rPr>
          <w:rFonts w:asciiTheme="minorHAnsi" w:hAnsiTheme="minorHAnsi" w:cstheme="minorHAnsi"/>
          <w:b/>
          <w:bCs/>
          <w:u w:val="single"/>
        </w:rPr>
        <w:t xml:space="preserve"> TFDA, Chinese Taipei</w:t>
      </w:r>
    </w:p>
    <w:p w14:paraId="22F07965" w14:textId="77777777" w:rsidR="00943E03" w:rsidRPr="00FB05F6" w:rsidRDefault="00943E03" w:rsidP="00FB05F6">
      <w:pPr>
        <w:pStyle w:val="BodyText"/>
        <w:ind w:firstLine="720"/>
        <w:rPr>
          <w:rFonts w:cstheme="minorHAnsi"/>
        </w:rPr>
      </w:pPr>
    </w:p>
    <w:p w14:paraId="71055925" w14:textId="77777777" w:rsidR="0075367E" w:rsidRPr="0075367E" w:rsidRDefault="0075367E" w:rsidP="0075367E">
      <w:pPr>
        <w:pStyle w:val="BodyText"/>
        <w:ind w:firstLine="720"/>
        <w:rPr>
          <w:rFonts w:cstheme="minorHAnsi"/>
        </w:rPr>
      </w:pPr>
      <w:r w:rsidRPr="0075367E">
        <w:rPr>
          <w:rFonts w:cstheme="minorHAnsi"/>
        </w:rPr>
        <w:t>TFDA outlined plans for its 2025 APEC GRM CoE workshop, to be held August 26–28, 2025 in Taipei. The 2.5-day in-person program will be co-located with select sessions of the Medical Device CoE workshop, sharing opening and closing ceremonies. Confirmed speakers include experts from TFDA, MHLW/PMDA, APAC, EMA, CDE, IRPMA, and U.S. FDA.</w:t>
      </w:r>
    </w:p>
    <w:p w14:paraId="7539DD1F" w14:textId="77777777" w:rsidR="0075367E" w:rsidRPr="0075367E" w:rsidRDefault="0075367E" w:rsidP="0075367E">
      <w:pPr>
        <w:pStyle w:val="BodyText"/>
        <w:ind w:firstLine="720"/>
        <w:rPr>
          <w:rFonts w:cstheme="minorHAnsi"/>
        </w:rPr>
      </w:pPr>
    </w:p>
    <w:p w14:paraId="29263D83" w14:textId="47E4D1B1" w:rsidR="0075367E" w:rsidRDefault="0075367E" w:rsidP="0075367E">
      <w:pPr>
        <w:pStyle w:val="BodyText"/>
        <w:ind w:firstLine="720"/>
        <w:rPr>
          <w:rFonts w:cstheme="minorHAnsi"/>
        </w:rPr>
      </w:pPr>
      <w:r w:rsidRPr="0075367E">
        <w:rPr>
          <w:rFonts w:cstheme="minorHAnsi"/>
        </w:rPr>
        <w:t>The agenda will cover applicant and reviewer competencies, managing reviews for drugs addressing unmet medical needs, dossier preparation, economy case-sharing, and critical thinking in regulatory decision-making. Promotional materials have been circulated, and feedback from the Program Committee has been incorporated.</w:t>
      </w:r>
    </w:p>
    <w:p w14:paraId="548B8985" w14:textId="77777777" w:rsidR="0075367E" w:rsidRDefault="0075367E" w:rsidP="00FB05F6">
      <w:pPr>
        <w:pStyle w:val="BodyText"/>
        <w:ind w:firstLine="720"/>
        <w:rPr>
          <w:rFonts w:cstheme="minorHAnsi"/>
        </w:rPr>
      </w:pPr>
    </w:p>
    <w:p w14:paraId="2F8A76D4" w14:textId="737B9FA8" w:rsidR="0075367E" w:rsidRPr="004976FF" w:rsidRDefault="0075367E" w:rsidP="0075367E">
      <w:pPr>
        <w:pStyle w:val="BodyText"/>
        <w:ind w:left="1440" w:hanging="720"/>
        <w:rPr>
          <w:rFonts w:asciiTheme="minorHAnsi" w:hAnsiTheme="minorHAnsi" w:cstheme="minorHAnsi"/>
          <w:b/>
          <w:bCs/>
          <w:u w:val="single"/>
        </w:rPr>
      </w:pPr>
      <w:r>
        <w:rPr>
          <w:rFonts w:asciiTheme="minorHAnsi" w:hAnsiTheme="minorHAnsi" w:cstheme="minorHAnsi"/>
          <w:b/>
          <w:bCs/>
        </w:rPr>
        <w:t>11</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Pr="0075367E">
        <w:rPr>
          <w:rFonts w:asciiTheme="minorHAnsi" w:hAnsiTheme="minorHAnsi" w:cstheme="minorHAnsi"/>
          <w:b/>
          <w:bCs/>
          <w:u w:val="single"/>
        </w:rPr>
        <w:t>Update from CoE</w:t>
      </w:r>
      <w:r>
        <w:rPr>
          <w:rFonts w:asciiTheme="minorHAnsi" w:hAnsiTheme="minorHAnsi" w:cstheme="minorHAnsi"/>
          <w:b/>
          <w:bCs/>
          <w:u w:val="single"/>
        </w:rPr>
        <w:t>:</w:t>
      </w:r>
      <w:r w:rsidRPr="0075367E">
        <w:rPr>
          <w:rFonts w:asciiTheme="minorHAnsi" w:hAnsiTheme="minorHAnsi" w:cstheme="minorHAnsi"/>
          <w:b/>
          <w:bCs/>
          <w:u w:val="single"/>
        </w:rPr>
        <w:t xml:space="preserve"> </w:t>
      </w:r>
      <w:r w:rsidR="00385AE5">
        <w:rPr>
          <w:rFonts w:asciiTheme="minorHAnsi" w:hAnsiTheme="minorHAnsi" w:cstheme="minorHAnsi"/>
          <w:b/>
          <w:bCs/>
          <w:u w:val="single"/>
        </w:rPr>
        <w:t>Thai FDA</w:t>
      </w:r>
      <w:r w:rsidRPr="0075367E">
        <w:rPr>
          <w:rFonts w:asciiTheme="minorHAnsi" w:hAnsiTheme="minorHAnsi" w:cstheme="minorHAnsi"/>
          <w:b/>
          <w:bCs/>
          <w:u w:val="single"/>
        </w:rPr>
        <w:t xml:space="preserve">, </w:t>
      </w:r>
      <w:r w:rsidR="00385AE5">
        <w:rPr>
          <w:rFonts w:asciiTheme="minorHAnsi" w:hAnsiTheme="minorHAnsi" w:cstheme="minorHAnsi"/>
          <w:b/>
          <w:bCs/>
          <w:u w:val="single"/>
        </w:rPr>
        <w:t>Thailand</w:t>
      </w:r>
    </w:p>
    <w:p w14:paraId="63CC4BF2" w14:textId="77777777" w:rsidR="0075367E" w:rsidRDefault="0075367E" w:rsidP="00FB05F6">
      <w:pPr>
        <w:pStyle w:val="BodyText"/>
        <w:ind w:firstLine="720"/>
        <w:rPr>
          <w:rFonts w:cstheme="minorHAnsi"/>
        </w:rPr>
      </w:pPr>
    </w:p>
    <w:p w14:paraId="4A1784D2" w14:textId="75F4750F" w:rsidR="00FB05F6" w:rsidRDefault="0075367E" w:rsidP="00FB05F6">
      <w:pPr>
        <w:pStyle w:val="BodyText"/>
        <w:ind w:firstLine="720"/>
        <w:rPr>
          <w:rFonts w:cstheme="minorHAnsi"/>
        </w:rPr>
      </w:pPr>
      <w:r>
        <w:rPr>
          <w:rFonts w:cstheme="minorHAnsi"/>
        </w:rPr>
        <w:t xml:space="preserve">Thai FDA </w:t>
      </w:r>
      <w:r w:rsidR="00385AE5">
        <w:rPr>
          <w:rFonts w:cstheme="minorHAnsi"/>
        </w:rPr>
        <w:t xml:space="preserve">reported that their </w:t>
      </w:r>
      <w:r w:rsidR="00FB05F6" w:rsidRPr="00FB05F6">
        <w:rPr>
          <w:rFonts w:cstheme="minorHAnsi"/>
        </w:rPr>
        <w:t xml:space="preserve">training, themed “GRM in the Light of Reliance Pathway,” drew 620 participants from 12 APEC economies, including 200 regulators (4 APEC, 1 non-APEC) and 81 industry representatives (11 APEC, 3 non-APEC). Content covered PQCRP, SRACRP, bilateral reliance, digital tools </w:t>
      </w:r>
      <w:r w:rsidR="00FB05F6" w:rsidRPr="00FB05F6">
        <w:rPr>
          <w:rFonts w:cstheme="minorHAnsi"/>
        </w:rPr>
        <w:lastRenderedPageBreak/>
        <w:t>such as Skynet, and case studies showing reliance can cut review times by 30–50%. Feedback indicated high satisfaction and strong applicability, particularly for improving access to medicines in low- and middle-income economies.</w:t>
      </w:r>
    </w:p>
    <w:p w14:paraId="2C750695" w14:textId="77777777" w:rsidR="00323508" w:rsidRDefault="00323508" w:rsidP="00FB05F6">
      <w:pPr>
        <w:pStyle w:val="BodyText"/>
        <w:ind w:firstLine="720"/>
        <w:rPr>
          <w:rFonts w:cstheme="minorHAnsi"/>
        </w:rPr>
      </w:pPr>
    </w:p>
    <w:tbl>
      <w:tblPr>
        <w:tblStyle w:val="TableGrid"/>
        <w:tblW w:w="9606" w:type="dxa"/>
        <w:jc w:val="center"/>
        <w:tblLook w:val="04A0" w:firstRow="1" w:lastRow="0" w:firstColumn="1" w:lastColumn="0" w:noHBand="0" w:noVBand="1"/>
      </w:tblPr>
      <w:tblGrid>
        <w:gridCol w:w="1368"/>
        <w:gridCol w:w="1905"/>
        <w:gridCol w:w="6333"/>
      </w:tblGrid>
      <w:tr w:rsidR="00323508" w:rsidRPr="004C148E" w14:paraId="32086D0B" w14:textId="77777777" w:rsidTr="00B624D7">
        <w:trPr>
          <w:jc w:val="center"/>
        </w:trPr>
        <w:tc>
          <w:tcPr>
            <w:tcW w:w="1368" w:type="dxa"/>
            <w:shd w:val="clear" w:color="auto" w:fill="F2F2F2" w:themeFill="background1" w:themeFillShade="F2"/>
            <w:vAlign w:val="center"/>
          </w:tcPr>
          <w:p w14:paraId="6B5FF1F4" w14:textId="2798EE15" w:rsidR="00323508" w:rsidRPr="004C148E" w:rsidRDefault="00323508" w:rsidP="00B624D7">
            <w:pPr>
              <w:keepNext/>
              <w:jc w:val="both"/>
              <w:rPr>
                <w:rFonts w:cstheme="minorHAnsi"/>
                <w:b/>
                <w:bCs/>
              </w:rPr>
            </w:pPr>
            <w:r w:rsidRPr="004C148E">
              <w:rPr>
                <w:rFonts w:cstheme="minorHAnsi"/>
                <w:b/>
                <w:bCs/>
              </w:rPr>
              <w:t>1</w:t>
            </w:r>
            <w:r w:rsidR="000035A8">
              <w:rPr>
                <w:rFonts w:cstheme="minorHAnsi"/>
                <w:b/>
                <w:bCs/>
              </w:rPr>
              <w:t>6</w:t>
            </w:r>
            <w:r w:rsidRPr="004C148E">
              <w:rPr>
                <w:rFonts w:cstheme="minorHAnsi"/>
                <w:b/>
                <w:bCs/>
              </w:rPr>
              <w:t>:</w:t>
            </w:r>
            <w:r w:rsidR="000035A8">
              <w:rPr>
                <w:rFonts w:cstheme="minorHAnsi"/>
                <w:b/>
                <w:bCs/>
              </w:rPr>
              <w:t>30</w:t>
            </w:r>
            <w:r w:rsidRPr="004C148E">
              <w:rPr>
                <w:rFonts w:cstheme="minorHAnsi"/>
                <w:b/>
                <w:bCs/>
              </w:rPr>
              <w:t>-1</w:t>
            </w:r>
            <w:r w:rsidR="000035A8">
              <w:rPr>
                <w:rFonts w:cstheme="minorHAnsi"/>
                <w:b/>
                <w:bCs/>
              </w:rPr>
              <w:t>6</w:t>
            </w:r>
            <w:r w:rsidRPr="004C148E">
              <w:rPr>
                <w:rFonts w:cstheme="minorHAnsi"/>
                <w:b/>
                <w:bCs/>
              </w:rPr>
              <w:t>:</w:t>
            </w:r>
            <w:r w:rsidR="000035A8">
              <w:rPr>
                <w:rFonts w:cstheme="minorHAnsi"/>
                <w:b/>
                <w:bCs/>
              </w:rPr>
              <w:t>40</w:t>
            </w:r>
          </w:p>
        </w:tc>
        <w:tc>
          <w:tcPr>
            <w:tcW w:w="1905" w:type="dxa"/>
            <w:shd w:val="clear" w:color="auto" w:fill="F2F2F2" w:themeFill="background1" w:themeFillShade="F2"/>
            <w:vAlign w:val="center"/>
          </w:tcPr>
          <w:p w14:paraId="5AD1FE86" w14:textId="542FC108" w:rsidR="00323508" w:rsidRPr="004C148E" w:rsidRDefault="00323508" w:rsidP="00B624D7">
            <w:pPr>
              <w:keepNext/>
              <w:jc w:val="both"/>
              <w:rPr>
                <w:rFonts w:cstheme="minorHAnsi"/>
                <w:b/>
                <w:bCs/>
              </w:rPr>
            </w:pPr>
            <w:r w:rsidRPr="004C148E">
              <w:rPr>
                <w:rFonts w:cstheme="minorHAnsi"/>
                <w:b/>
                <w:bCs/>
              </w:rPr>
              <w:t xml:space="preserve">AGENDA ITEM </w:t>
            </w:r>
            <w:r>
              <w:rPr>
                <w:rFonts w:cstheme="minorHAnsi"/>
                <w:b/>
                <w:bCs/>
              </w:rPr>
              <w:t>1</w:t>
            </w:r>
            <w:r w:rsidR="00AA6C83">
              <w:rPr>
                <w:rFonts w:cstheme="minorHAnsi"/>
                <w:b/>
                <w:bCs/>
              </w:rPr>
              <w:t>2</w:t>
            </w:r>
          </w:p>
        </w:tc>
        <w:tc>
          <w:tcPr>
            <w:tcW w:w="6333" w:type="dxa"/>
            <w:shd w:val="clear" w:color="auto" w:fill="F2F2F2" w:themeFill="background1" w:themeFillShade="F2"/>
            <w:vAlign w:val="center"/>
          </w:tcPr>
          <w:p w14:paraId="451E2F46" w14:textId="0C31239C" w:rsidR="00323508" w:rsidRPr="004C148E" w:rsidRDefault="00AA6C83" w:rsidP="00B624D7">
            <w:pPr>
              <w:keepNext/>
              <w:jc w:val="both"/>
              <w:rPr>
                <w:rFonts w:cstheme="minorHAnsi"/>
                <w:b/>
              </w:rPr>
            </w:pPr>
            <w:r w:rsidRPr="00AA6C83">
              <w:rPr>
                <w:rFonts w:cstheme="minorHAnsi"/>
                <w:b/>
              </w:rPr>
              <w:t xml:space="preserve">Electronic Data Standards </w:t>
            </w:r>
            <w:r w:rsidR="00323508" w:rsidRPr="004C148E">
              <w:rPr>
                <w:rFonts w:cstheme="minorHAnsi"/>
                <w:b/>
              </w:rPr>
              <w:t>PWA</w:t>
            </w:r>
          </w:p>
        </w:tc>
      </w:tr>
    </w:tbl>
    <w:p w14:paraId="72EC3952" w14:textId="77777777" w:rsidR="00323508" w:rsidRDefault="00323508" w:rsidP="00FB05F6">
      <w:pPr>
        <w:pStyle w:val="BodyText"/>
        <w:ind w:firstLine="720"/>
        <w:rPr>
          <w:rFonts w:cstheme="minorHAnsi"/>
        </w:rPr>
      </w:pPr>
    </w:p>
    <w:p w14:paraId="6DDB8730" w14:textId="16F920F6" w:rsidR="00AA6C83" w:rsidRDefault="00AA6C83" w:rsidP="00FB05F6">
      <w:pPr>
        <w:pStyle w:val="BodyText"/>
        <w:ind w:firstLine="720"/>
        <w:rPr>
          <w:rFonts w:asciiTheme="minorHAnsi" w:hAnsiTheme="minorHAnsi" w:cstheme="minorHAnsi"/>
          <w:b/>
          <w:bCs/>
          <w:u w:val="single"/>
        </w:rPr>
      </w:pPr>
      <w:r>
        <w:rPr>
          <w:rFonts w:asciiTheme="minorHAnsi" w:hAnsiTheme="minorHAnsi" w:cstheme="minorHAnsi"/>
          <w:b/>
          <w:bCs/>
        </w:rPr>
        <w:t>12</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Pr="004976FF">
        <w:rPr>
          <w:rFonts w:asciiTheme="minorHAnsi" w:hAnsiTheme="minorHAnsi" w:cstheme="minorHAnsi"/>
          <w:b/>
          <w:bCs/>
          <w:u w:val="single"/>
        </w:rPr>
        <w:t>PWA Champion Update</w:t>
      </w:r>
      <w:r>
        <w:rPr>
          <w:rFonts w:asciiTheme="minorHAnsi" w:hAnsiTheme="minorHAnsi" w:cstheme="minorHAnsi"/>
          <w:b/>
          <w:bCs/>
          <w:u w:val="single"/>
        </w:rPr>
        <w:t>:</w:t>
      </w:r>
      <w:r w:rsidRPr="004976FF">
        <w:rPr>
          <w:rFonts w:asciiTheme="minorHAnsi" w:hAnsiTheme="minorHAnsi" w:cstheme="minorHAnsi"/>
          <w:b/>
          <w:bCs/>
          <w:u w:val="single"/>
        </w:rPr>
        <w:t xml:space="preserve"> </w:t>
      </w:r>
      <w:r w:rsidR="00BE340F">
        <w:rPr>
          <w:rFonts w:asciiTheme="minorHAnsi" w:hAnsiTheme="minorHAnsi" w:cstheme="minorHAnsi"/>
          <w:b/>
          <w:bCs/>
          <w:u w:val="single"/>
        </w:rPr>
        <w:t>U.S. FDA, United States</w:t>
      </w:r>
    </w:p>
    <w:p w14:paraId="6458602D" w14:textId="77777777" w:rsidR="00E34484" w:rsidRDefault="00E34484" w:rsidP="00FB05F6">
      <w:pPr>
        <w:pStyle w:val="BodyText"/>
        <w:ind w:firstLine="720"/>
        <w:rPr>
          <w:rFonts w:asciiTheme="minorHAnsi" w:hAnsiTheme="minorHAnsi" w:cstheme="minorHAnsi"/>
          <w:b/>
          <w:bCs/>
          <w:u w:val="single"/>
        </w:rPr>
      </w:pPr>
    </w:p>
    <w:p w14:paraId="382B01A6" w14:textId="2F4C942F" w:rsidR="006F484E" w:rsidRDefault="00E34484" w:rsidP="005A58A2">
      <w:pPr>
        <w:pStyle w:val="NormalWeb"/>
        <w:spacing w:before="0" w:beforeAutospacing="0" w:after="0" w:afterAutospacing="0"/>
        <w:rPr>
          <w:rFonts w:asciiTheme="minorHAnsi" w:eastAsia="Calibri" w:hAnsiTheme="minorHAnsi" w:cstheme="minorHAnsi"/>
          <w:color w:val="000000" w:themeColor="text1"/>
          <w:spacing w:val="3"/>
          <w:kern w:val="24"/>
          <w:sz w:val="22"/>
          <w:szCs w:val="22"/>
        </w:rPr>
      </w:pPr>
      <w:r w:rsidRPr="00366E7A">
        <w:rPr>
          <w:rFonts w:asciiTheme="minorHAnsi" w:hAnsiTheme="minorHAnsi" w:cstheme="minorHAnsi"/>
          <w:sz w:val="22"/>
          <w:szCs w:val="22"/>
        </w:rPr>
        <w:t>The U.S. FDA, as PWA Champion, provided a high-level update to the Electronic Data Standards roadmap. Work is underway to confirm the Steering Committee membership, which will bring together regulatory authorities, industry representatives, and technical experts.</w:t>
      </w:r>
      <w:r w:rsidR="00366E7A" w:rsidRPr="00366E7A">
        <w:rPr>
          <w:rFonts w:asciiTheme="minorHAnsi" w:eastAsia="Calibri" w:hAnsiTheme="minorHAnsi" w:cstheme="minorHAnsi"/>
          <w:color w:val="000000" w:themeColor="text1"/>
          <w:spacing w:val="3"/>
          <w:kern w:val="24"/>
          <w:sz w:val="22"/>
          <w:szCs w:val="22"/>
        </w:rPr>
        <w:t xml:space="preserve"> U.S. FDA proposed </w:t>
      </w:r>
      <w:r w:rsidR="00366E7A" w:rsidRPr="00366E7A">
        <w:rPr>
          <w:rFonts w:asciiTheme="minorHAnsi" w:eastAsia="Calibri" w:hAnsiTheme="minorHAnsi" w:cstheme="minorHAnsi"/>
          <w:color w:val="000000" w:themeColor="text1"/>
          <w:spacing w:val="3"/>
          <w:kern w:val="24"/>
          <w:sz w:val="22"/>
          <w:szCs w:val="22"/>
          <w14:ligatures w14:val="none"/>
        </w:rPr>
        <w:t xml:space="preserve">to increase data standards awareness by conducting </w:t>
      </w:r>
      <w:r w:rsidR="0040331B">
        <w:rPr>
          <w:rFonts w:asciiTheme="minorHAnsi" w:eastAsia="Calibri" w:hAnsiTheme="minorHAnsi" w:cstheme="minorHAnsi"/>
          <w:color w:val="000000" w:themeColor="text1"/>
          <w:spacing w:val="3"/>
          <w:kern w:val="24"/>
          <w:sz w:val="22"/>
          <w:szCs w:val="22"/>
          <w14:ligatures w14:val="none"/>
        </w:rPr>
        <w:t>trainings</w:t>
      </w:r>
      <w:r w:rsidR="00366E7A" w:rsidRPr="00366E7A">
        <w:rPr>
          <w:rFonts w:asciiTheme="minorHAnsi" w:eastAsia="Calibri" w:hAnsiTheme="minorHAnsi" w:cstheme="minorHAnsi"/>
          <w:color w:val="000000" w:themeColor="text1"/>
          <w:spacing w:val="3"/>
          <w:kern w:val="24"/>
          <w:sz w:val="22"/>
          <w:szCs w:val="22"/>
          <w14:ligatures w14:val="none"/>
        </w:rPr>
        <w:t xml:space="preserve"> to address the importance and benefits of data standards. One </w:t>
      </w:r>
      <w:r w:rsidR="0040331B">
        <w:rPr>
          <w:rFonts w:asciiTheme="minorHAnsi" w:eastAsia="Calibri" w:hAnsiTheme="minorHAnsi" w:cstheme="minorHAnsi"/>
          <w:color w:val="000000" w:themeColor="text1"/>
          <w:spacing w:val="3"/>
          <w:kern w:val="24"/>
          <w:sz w:val="22"/>
          <w:szCs w:val="22"/>
          <w14:ligatures w14:val="none"/>
        </w:rPr>
        <w:t xml:space="preserve">idea </w:t>
      </w:r>
      <w:r w:rsidR="00366E7A" w:rsidRPr="00366E7A">
        <w:rPr>
          <w:rFonts w:asciiTheme="minorHAnsi" w:eastAsia="Calibri" w:hAnsiTheme="minorHAnsi" w:cstheme="minorHAnsi"/>
          <w:color w:val="000000" w:themeColor="text1"/>
          <w:spacing w:val="3"/>
          <w:kern w:val="24"/>
          <w:sz w:val="22"/>
          <w:szCs w:val="22"/>
          <w14:ligatures w14:val="none"/>
        </w:rPr>
        <w:t>was to initiate training programs using IDMP and offer online and in-person training sessions. Additionally, the U.S. FDA proposed that the PWA establish working groups</w:t>
      </w:r>
      <w:r w:rsidR="0040331B">
        <w:rPr>
          <w:rFonts w:asciiTheme="minorHAnsi" w:eastAsia="Calibri" w:hAnsiTheme="minorHAnsi" w:cstheme="minorHAnsi"/>
          <w:color w:val="000000" w:themeColor="text1"/>
          <w:spacing w:val="3"/>
          <w:kern w:val="24"/>
          <w:sz w:val="22"/>
          <w:szCs w:val="22"/>
          <w14:ligatures w14:val="none"/>
        </w:rPr>
        <w:t xml:space="preserve"> to focus on specific standards</w:t>
      </w:r>
      <w:r w:rsidR="00366E7A" w:rsidRPr="00366E7A">
        <w:rPr>
          <w:rFonts w:asciiTheme="minorHAnsi" w:eastAsia="Calibri" w:hAnsiTheme="minorHAnsi" w:cstheme="minorHAnsi"/>
          <w:color w:val="000000" w:themeColor="text1"/>
          <w:spacing w:val="3"/>
          <w:kern w:val="24"/>
          <w:sz w:val="22"/>
          <w:szCs w:val="22"/>
          <w14:ligatures w14:val="none"/>
        </w:rPr>
        <w:t xml:space="preserve"> that include </w:t>
      </w:r>
      <w:r w:rsidR="00366E7A" w:rsidRPr="00366E7A">
        <w:rPr>
          <w:rFonts w:asciiTheme="minorHAnsi" w:eastAsia="Calibri" w:hAnsiTheme="minorHAnsi" w:cstheme="minorHAnsi"/>
          <w:color w:val="000000" w:themeColor="text1"/>
          <w:spacing w:val="3"/>
          <w:kern w:val="24"/>
          <w:sz w:val="22"/>
          <w:szCs w:val="22"/>
        </w:rPr>
        <w:t>regulatory authorities, industry representatives, and technical experts to promote collaboration among APEC economies and the international community.</w:t>
      </w:r>
    </w:p>
    <w:p w14:paraId="67F114EA" w14:textId="77777777" w:rsidR="005A58A2" w:rsidRPr="005A58A2" w:rsidRDefault="005A58A2" w:rsidP="005A58A2">
      <w:pPr>
        <w:pStyle w:val="NormalWeb"/>
        <w:spacing w:before="0" w:beforeAutospacing="0" w:after="0" w:afterAutospacing="0"/>
        <w:rPr>
          <w:rFonts w:asciiTheme="minorHAnsi" w:hAnsiTheme="minorHAnsi" w:cstheme="minorHAnsi"/>
          <w:sz w:val="22"/>
          <w:szCs w:val="22"/>
          <w14:ligatures w14:val="none"/>
        </w:rPr>
      </w:pPr>
    </w:p>
    <w:p w14:paraId="27F26E7D" w14:textId="30C327E1" w:rsidR="006F484E" w:rsidRDefault="006F484E" w:rsidP="00FB05F6">
      <w:pPr>
        <w:pStyle w:val="BodyText"/>
        <w:ind w:firstLine="720"/>
      </w:pPr>
      <w:r>
        <w:t xml:space="preserve">Next steps include </w:t>
      </w:r>
      <w:r w:rsidR="00D13F05">
        <w:t xml:space="preserve">confirming the steering committee, </w:t>
      </w:r>
      <w:r>
        <w:t>a baseline evaluation of data standards adoption across APEC economies, impact assessments of training, and prioritization of key standards based on feedback.</w:t>
      </w:r>
    </w:p>
    <w:p w14:paraId="6FDA9D6D" w14:textId="77777777" w:rsidR="00E74A6E" w:rsidRDefault="00E74A6E" w:rsidP="00FB05F6">
      <w:pPr>
        <w:pStyle w:val="BodyText"/>
        <w:ind w:firstLine="720"/>
      </w:pPr>
    </w:p>
    <w:tbl>
      <w:tblPr>
        <w:tblStyle w:val="TableGrid"/>
        <w:tblW w:w="9606" w:type="dxa"/>
        <w:jc w:val="center"/>
        <w:tblLook w:val="04A0" w:firstRow="1" w:lastRow="0" w:firstColumn="1" w:lastColumn="0" w:noHBand="0" w:noVBand="1"/>
      </w:tblPr>
      <w:tblGrid>
        <w:gridCol w:w="1368"/>
        <w:gridCol w:w="1905"/>
        <w:gridCol w:w="6333"/>
      </w:tblGrid>
      <w:tr w:rsidR="00E74A6E" w:rsidRPr="004C148E" w14:paraId="5FA9EEAA" w14:textId="77777777" w:rsidTr="00B624D7">
        <w:trPr>
          <w:jc w:val="center"/>
        </w:trPr>
        <w:tc>
          <w:tcPr>
            <w:tcW w:w="1368" w:type="dxa"/>
            <w:shd w:val="clear" w:color="auto" w:fill="F2F2F2" w:themeFill="background1" w:themeFillShade="F2"/>
            <w:vAlign w:val="center"/>
          </w:tcPr>
          <w:p w14:paraId="7F9BE74A" w14:textId="25E1BCBF" w:rsidR="00E74A6E" w:rsidRPr="004C148E" w:rsidRDefault="00E74A6E" w:rsidP="00B624D7">
            <w:pPr>
              <w:keepNext/>
              <w:jc w:val="both"/>
              <w:rPr>
                <w:rFonts w:cstheme="minorHAnsi"/>
                <w:b/>
                <w:bCs/>
              </w:rPr>
            </w:pPr>
            <w:r w:rsidRPr="004C148E">
              <w:rPr>
                <w:rFonts w:cstheme="minorHAnsi"/>
                <w:b/>
                <w:bCs/>
              </w:rPr>
              <w:t>1</w:t>
            </w:r>
            <w:r>
              <w:rPr>
                <w:rFonts w:cstheme="minorHAnsi"/>
                <w:b/>
                <w:bCs/>
              </w:rPr>
              <w:t>6</w:t>
            </w:r>
            <w:r w:rsidRPr="004C148E">
              <w:rPr>
                <w:rFonts w:cstheme="minorHAnsi"/>
                <w:b/>
                <w:bCs/>
              </w:rPr>
              <w:t>:</w:t>
            </w:r>
            <w:r w:rsidR="00DB3A10">
              <w:rPr>
                <w:rFonts w:cstheme="minorHAnsi"/>
                <w:b/>
                <w:bCs/>
              </w:rPr>
              <w:t>4</w:t>
            </w:r>
            <w:r>
              <w:rPr>
                <w:rFonts w:cstheme="minorHAnsi"/>
                <w:b/>
                <w:bCs/>
              </w:rPr>
              <w:t>0</w:t>
            </w:r>
            <w:r w:rsidRPr="004C148E">
              <w:rPr>
                <w:rFonts w:cstheme="minorHAnsi"/>
                <w:b/>
                <w:bCs/>
              </w:rPr>
              <w:t>-1</w:t>
            </w:r>
            <w:r>
              <w:rPr>
                <w:rFonts w:cstheme="minorHAnsi"/>
                <w:b/>
                <w:bCs/>
              </w:rPr>
              <w:t>6</w:t>
            </w:r>
            <w:r w:rsidRPr="004C148E">
              <w:rPr>
                <w:rFonts w:cstheme="minorHAnsi"/>
                <w:b/>
                <w:bCs/>
              </w:rPr>
              <w:t>:</w:t>
            </w:r>
            <w:r>
              <w:rPr>
                <w:rFonts w:cstheme="minorHAnsi"/>
                <w:b/>
                <w:bCs/>
              </w:rPr>
              <w:t>40</w:t>
            </w:r>
          </w:p>
        </w:tc>
        <w:tc>
          <w:tcPr>
            <w:tcW w:w="1905" w:type="dxa"/>
            <w:shd w:val="clear" w:color="auto" w:fill="F2F2F2" w:themeFill="background1" w:themeFillShade="F2"/>
            <w:vAlign w:val="center"/>
          </w:tcPr>
          <w:p w14:paraId="1B04EE75" w14:textId="35EB0B7E" w:rsidR="00E74A6E" w:rsidRPr="004C148E" w:rsidRDefault="00E74A6E" w:rsidP="00B624D7">
            <w:pPr>
              <w:keepNext/>
              <w:jc w:val="both"/>
              <w:rPr>
                <w:rFonts w:cstheme="minorHAnsi"/>
                <w:b/>
                <w:bCs/>
              </w:rPr>
            </w:pPr>
            <w:r w:rsidRPr="004C148E">
              <w:rPr>
                <w:rFonts w:cstheme="minorHAnsi"/>
                <w:b/>
                <w:bCs/>
              </w:rPr>
              <w:t xml:space="preserve">AGENDA ITEM </w:t>
            </w:r>
            <w:r>
              <w:rPr>
                <w:rFonts w:cstheme="minorHAnsi"/>
                <w:b/>
                <w:bCs/>
              </w:rPr>
              <w:t>1</w:t>
            </w:r>
            <w:r w:rsidR="00DB3A10">
              <w:rPr>
                <w:rFonts w:cstheme="minorHAnsi"/>
                <w:b/>
                <w:bCs/>
              </w:rPr>
              <w:t>3</w:t>
            </w:r>
          </w:p>
        </w:tc>
        <w:tc>
          <w:tcPr>
            <w:tcW w:w="6333" w:type="dxa"/>
            <w:shd w:val="clear" w:color="auto" w:fill="F2F2F2" w:themeFill="background1" w:themeFillShade="F2"/>
            <w:vAlign w:val="center"/>
          </w:tcPr>
          <w:p w14:paraId="273CB9A0" w14:textId="11A0AA31" w:rsidR="00E74A6E" w:rsidRPr="004C148E" w:rsidRDefault="00DB3A10" w:rsidP="00B624D7">
            <w:pPr>
              <w:keepNext/>
              <w:jc w:val="both"/>
              <w:rPr>
                <w:rFonts w:cstheme="minorHAnsi"/>
                <w:b/>
              </w:rPr>
            </w:pPr>
            <w:r>
              <w:rPr>
                <w:rFonts w:cstheme="minorHAnsi"/>
                <w:b/>
              </w:rPr>
              <w:t>Pharmaceutical Quality</w:t>
            </w:r>
            <w:r w:rsidR="00E74A6E" w:rsidRPr="00AA6C83">
              <w:rPr>
                <w:rFonts w:cstheme="minorHAnsi"/>
                <w:b/>
              </w:rPr>
              <w:t xml:space="preserve"> </w:t>
            </w:r>
            <w:r w:rsidR="00E74A6E" w:rsidRPr="004C148E">
              <w:rPr>
                <w:rFonts w:cstheme="minorHAnsi"/>
                <w:b/>
              </w:rPr>
              <w:t>PWA</w:t>
            </w:r>
          </w:p>
        </w:tc>
      </w:tr>
    </w:tbl>
    <w:p w14:paraId="5EEB497B" w14:textId="77777777" w:rsidR="00DB3A10" w:rsidRDefault="00DB3A10" w:rsidP="00DB3A10">
      <w:pPr>
        <w:pStyle w:val="BodyText"/>
        <w:ind w:firstLine="720"/>
        <w:rPr>
          <w:rFonts w:asciiTheme="minorHAnsi" w:hAnsiTheme="minorHAnsi" w:cstheme="minorHAnsi"/>
          <w:b/>
          <w:bCs/>
        </w:rPr>
      </w:pPr>
    </w:p>
    <w:p w14:paraId="3A51EAA7" w14:textId="04C362D8" w:rsidR="00DB3A10" w:rsidRDefault="00DB3A10" w:rsidP="00DB3A10">
      <w:pPr>
        <w:pStyle w:val="BodyText"/>
        <w:ind w:firstLine="720"/>
        <w:rPr>
          <w:rFonts w:asciiTheme="minorHAnsi" w:hAnsiTheme="minorHAnsi" w:cstheme="minorHAnsi"/>
          <w:b/>
          <w:bCs/>
          <w:u w:val="single"/>
        </w:rPr>
      </w:pPr>
      <w:r>
        <w:rPr>
          <w:rFonts w:asciiTheme="minorHAnsi" w:hAnsiTheme="minorHAnsi" w:cstheme="minorHAnsi"/>
          <w:b/>
          <w:bCs/>
        </w:rPr>
        <w:t>13</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Pr="004976FF">
        <w:rPr>
          <w:rFonts w:asciiTheme="minorHAnsi" w:hAnsiTheme="minorHAnsi" w:cstheme="minorHAnsi"/>
          <w:b/>
          <w:bCs/>
          <w:u w:val="single"/>
        </w:rPr>
        <w:t xml:space="preserve">PWA </w:t>
      </w:r>
      <w:r>
        <w:rPr>
          <w:rFonts w:asciiTheme="minorHAnsi" w:hAnsiTheme="minorHAnsi" w:cstheme="minorHAnsi"/>
          <w:b/>
          <w:bCs/>
          <w:u w:val="single"/>
        </w:rPr>
        <w:t>Sub-</w:t>
      </w:r>
      <w:r w:rsidRPr="004976FF">
        <w:rPr>
          <w:rFonts w:asciiTheme="minorHAnsi" w:hAnsiTheme="minorHAnsi" w:cstheme="minorHAnsi"/>
          <w:b/>
          <w:bCs/>
          <w:u w:val="single"/>
        </w:rPr>
        <w:t>Champion Update</w:t>
      </w:r>
      <w:r>
        <w:rPr>
          <w:rFonts w:asciiTheme="minorHAnsi" w:hAnsiTheme="minorHAnsi" w:cstheme="minorHAnsi"/>
          <w:b/>
          <w:bCs/>
          <w:u w:val="single"/>
        </w:rPr>
        <w:t>:</w:t>
      </w:r>
      <w:r w:rsidRPr="004976FF">
        <w:rPr>
          <w:rFonts w:asciiTheme="minorHAnsi" w:hAnsiTheme="minorHAnsi" w:cstheme="minorHAnsi"/>
          <w:b/>
          <w:bCs/>
          <w:u w:val="single"/>
        </w:rPr>
        <w:t xml:space="preserve"> </w:t>
      </w:r>
      <w:r>
        <w:rPr>
          <w:rFonts w:asciiTheme="minorHAnsi" w:hAnsiTheme="minorHAnsi" w:cstheme="minorHAnsi"/>
          <w:b/>
          <w:bCs/>
          <w:u w:val="single"/>
        </w:rPr>
        <w:t>PhRMA</w:t>
      </w:r>
    </w:p>
    <w:p w14:paraId="441AA8A2" w14:textId="77777777" w:rsidR="00DB3A10" w:rsidRDefault="00DB3A10" w:rsidP="00DB3A10">
      <w:pPr>
        <w:pStyle w:val="BodyText"/>
        <w:ind w:firstLine="720"/>
        <w:rPr>
          <w:rFonts w:asciiTheme="minorHAnsi" w:hAnsiTheme="minorHAnsi" w:cstheme="minorHAnsi"/>
          <w:b/>
          <w:bCs/>
          <w:u w:val="single"/>
        </w:rPr>
      </w:pPr>
    </w:p>
    <w:p w14:paraId="774617E5" w14:textId="06E6A588" w:rsidR="00DB3A10" w:rsidRDefault="00010EC6" w:rsidP="00DB3A10">
      <w:pPr>
        <w:pStyle w:val="BodyText"/>
        <w:ind w:firstLine="720"/>
        <w:rPr>
          <w:rFonts w:asciiTheme="minorHAnsi" w:hAnsiTheme="minorHAnsi" w:cstheme="minorHAnsi"/>
        </w:rPr>
      </w:pPr>
      <w:r>
        <w:rPr>
          <w:rFonts w:asciiTheme="minorHAnsi" w:hAnsiTheme="minorHAnsi" w:cstheme="minorHAnsi"/>
        </w:rPr>
        <w:t>PhRMA</w:t>
      </w:r>
      <w:r w:rsidR="00C7456B" w:rsidRPr="00C7456B">
        <w:rPr>
          <w:rFonts w:asciiTheme="minorHAnsi" w:hAnsiTheme="minorHAnsi" w:cstheme="minorHAnsi"/>
        </w:rPr>
        <w:t xml:space="preserve"> </w:t>
      </w:r>
      <w:r>
        <w:rPr>
          <w:rFonts w:asciiTheme="minorHAnsi" w:hAnsiTheme="minorHAnsi" w:cstheme="minorHAnsi"/>
        </w:rPr>
        <w:t>p</w:t>
      </w:r>
      <w:r w:rsidR="00C7456B" w:rsidRPr="00C7456B">
        <w:rPr>
          <w:rFonts w:asciiTheme="minorHAnsi" w:hAnsiTheme="minorHAnsi" w:cstheme="minorHAnsi"/>
        </w:rPr>
        <w:t xml:space="preserve">resented the update on the Pharmaceutical Quality PWA. She reviewed the background of the PWA, noting that the concept was first proposed in 2018, with roadmap development beginning in 2019. Work was paused from 2020–2023 during the RHSC Terms of Reference </w:t>
      </w:r>
      <w:r w:rsidR="00B2630D" w:rsidRPr="00C7456B">
        <w:rPr>
          <w:rFonts w:asciiTheme="minorHAnsi" w:hAnsiTheme="minorHAnsi" w:cstheme="minorHAnsi"/>
        </w:rPr>
        <w:t>renegotiations but</w:t>
      </w:r>
      <w:r w:rsidR="00C7456B" w:rsidRPr="00C7456B">
        <w:rPr>
          <w:rFonts w:asciiTheme="minorHAnsi" w:hAnsiTheme="minorHAnsi" w:cstheme="minorHAnsi"/>
        </w:rPr>
        <w:t xml:space="preserve"> resumed in 2024 when the RHSC endorsed the concept in principle. A draft roadmap was circulated in December 2024 and, with no comments received, was considered approved by the end of the year.</w:t>
      </w:r>
    </w:p>
    <w:p w14:paraId="3FE8B465" w14:textId="77777777" w:rsidR="00BA0BF7" w:rsidRDefault="00BA0BF7" w:rsidP="00DB3A10">
      <w:pPr>
        <w:pStyle w:val="BodyText"/>
        <w:ind w:firstLine="720"/>
        <w:rPr>
          <w:rFonts w:asciiTheme="minorHAnsi" w:hAnsiTheme="minorHAnsi" w:cstheme="minorHAnsi"/>
        </w:rPr>
      </w:pPr>
    </w:p>
    <w:p w14:paraId="6041EA9D" w14:textId="27819DD1" w:rsidR="00BA0BF7" w:rsidRDefault="00010EC6" w:rsidP="00DB3A10">
      <w:pPr>
        <w:pStyle w:val="BodyText"/>
        <w:ind w:firstLine="720"/>
      </w:pPr>
      <w:r>
        <w:t xml:space="preserve">PhRMA </w:t>
      </w:r>
      <w:r w:rsidR="00BA0BF7">
        <w:t>explained that the PWA originally had the U.S. FDA as Champion and PhRMA as Sub-Champion; however, the FDA lead had since departed, and the PWA was seeking a new Champion. She emphasized the importance of this PWA given the active ICH work on pharmaceutical quality guidelines, the early stage of adoption in many APEC economies, and the need for convergence in regulatory review, inspection practices, post-approval changes, and risk-based approaches to testing.</w:t>
      </w:r>
    </w:p>
    <w:p w14:paraId="445F21BE" w14:textId="77777777" w:rsidR="00BA0BF7" w:rsidRDefault="00BA0BF7" w:rsidP="00DB3A10">
      <w:pPr>
        <w:pStyle w:val="BodyText"/>
        <w:ind w:firstLine="720"/>
      </w:pPr>
    </w:p>
    <w:p w14:paraId="2495C105" w14:textId="594E7882" w:rsidR="00BA0BF7" w:rsidRDefault="00BA0BF7" w:rsidP="00DB3A10">
      <w:pPr>
        <w:pStyle w:val="BodyText"/>
        <w:ind w:firstLine="720"/>
      </w:pPr>
      <w:r>
        <w:t>During discussion, the United States confirmed it would maintain its role as Champion for the PWA, with PhRMA continuing as Sub-Champion. Members welcomed the reaffirmation. With the Champion role reconfirmed, the PWA will proceed to initiate its Steering Committee and begin roadmap implementation.</w:t>
      </w:r>
    </w:p>
    <w:p w14:paraId="672C91B6" w14:textId="77777777" w:rsidR="001668F4" w:rsidRPr="00C7456B" w:rsidRDefault="001668F4" w:rsidP="00DB3A10">
      <w:pPr>
        <w:pStyle w:val="BodyText"/>
        <w:ind w:firstLine="720"/>
        <w:rPr>
          <w:rFonts w:asciiTheme="minorHAnsi" w:hAnsiTheme="minorHAnsi" w:cstheme="minorHAnsi"/>
        </w:rPr>
      </w:pPr>
    </w:p>
    <w:tbl>
      <w:tblPr>
        <w:tblStyle w:val="TableGrid"/>
        <w:tblW w:w="9606" w:type="dxa"/>
        <w:jc w:val="center"/>
        <w:tblLook w:val="04A0" w:firstRow="1" w:lastRow="0" w:firstColumn="1" w:lastColumn="0" w:noHBand="0" w:noVBand="1"/>
      </w:tblPr>
      <w:tblGrid>
        <w:gridCol w:w="1368"/>
        <w:gridCol w:w="1905"/>
        <w:gridCol w:w="6333"/>
      </w:tblGrid>
      <w:tr w:rsidR="00306DC8" w:rsidRPr="004C148E" w14:paraId="68BC547F" w14:textId="77777777" w:rsidTr="00B624D7">
        <w:trPr>
          <w:jc w:val="center"/>
        </w:trPr>
        <w:tc>
          <w:tcPr>
            <w:tcW w:w="1368" w:type="dxa"/>
            <w:shd w:val="clear" w:color="auto" w:fill="F2F2F2" w:themeFill="background1" w:themeFillShade="F2"/>
            <w:vAlign w:val="center"/>
          </w:tcPr>
          <w:p w14:paraId="376E1807" w14:textId="272F23BC" w:rsidR="00306DC8" w:rsidRPr="004C148E" w:rsidRDefault="00306DC8" w:rsidP="00B624D7">
            <w:pPr>
              <w:keepNext/>
              <w:jc w:val="both"/>
              <w:rPr>
                <w:rFonts w:cstheme="minorHAnsi"/>
                <w:b/>
                <w:bCs/>
              </w:rPr>
            </w:pPr>
            <w:r w:rsidRPr="004C148E">
              <w:rPr>
                <w:rFonts w:cstheme="minorHAnsi"/>
                <w:b/>
                <w:bCs/>
              </w:rPr>
              <w:t>1</w:t>
            </w:r>
            <w:r>
              <w:rPr>
                <w:rFonts w:cstheme="minorHAnsi"/>
                <w:b/>
                <w:bCs/>
              </w:rPr>
              <w:t>6</w:t>
            </w:r>
            <w:r w:rsidRPr="004C148E">
              <w:rPr>
                <w:rFonts w:cstheme="minorHAnsi"/>
                <w:b/>
                <w:bCs/>
              </w:rPr>
              <w:t>:</w:t>
            </w:r>
            <w:r>
              <w:rPr>
                <w:rFonts w:cstheme="minorHAnsi"/>
                <w:b/>
                <w:bCs/>
              </w:rPr>
              <w:t>40</w:t>
            </w:r>
            <w:r w:rsidRPr="004C148E">
              <w:rPr>
                <w:rFonts w:cstheme="minorHAnsi"/>
                <w:b/>
                <w:bCs/>
              </w:rPr>
              <w:t>-1</w:t>
            </w:r>
            <w:r>
              <w:rPr>
                <w:rFonts w:cstheme="minorHAnsi"/>
                <w:b/>
                <w:bCs/>
              </w:rPr>
              <w:t>6</w:t>
            </w:r>
            <w:r w:rsidRPr="004C148E">
              <w:rPr>
                <w:rFonts w:cstheme="minorHAnsi"/>
                <w:b/>
                <w:bCs/>
              </w:rPr>
              <w:t>:</w:t>
            </w:r>
            <w:r w:rsidR="00986475">
              <w:rPr>
                <w:rFonts w:cstheme="minorHAnsi"/>
                <w:b/>
                <w:bCs/>
              </w:rPr>
              <w:t>5</w:t>
            </w:r>
            <w:r>
              <w:rPr>
                <w:rFonts w:cstheme="minorHAnsi"/>
                <w:b/>
                <w:bCs/>
              </w:rPr>
              <w:t>0</w:t>
            </w:r>
          </w:p>
        </w:tc>
        <w:tc>
          <w:tcPr>
            <w:tcW w:w="1905" w:type="dxa"/>
            <w:shd w:val="clear" w:color="auto" w:fill="F2F2F2" w:themeFill="background1" w:themeFillShade="F2"/>
            <w:vAlign w:val="center"/>
          </w:tcPr>
          <w:p w14:paraId="159C8C1A" w14:textId="33BD2AC0" w:rsidR="00306DC8" w:rsidRPr="004C148E" w:rsidRDefault="00306DC8" w:rsidP="00B624D7">
            <w:pPr>
              <w:keepNext/>
              <w:jc w:val="both"/>
              <w:rPr>
                <w:rFonts w:cstheme="minorHAnsi"/>
                <w:b/>
                <w:bCs/>
              </w:rPr>
            </w:pPr>
            <w:r w:rsidRPr="004C148E">
              <w:rPr>
                <w:rFonts w:cstheme="minorHAnsi"/>
                <w:b/>
                <w:bCs/>
              </w:rPr>
              <w:t xml:space="preserve">AGENDA ITEM </w:t>
            </w:r>
            <w:r>
              <w:rPr>
                <w:rFonts w:cstheme="minorHAnsi"/>
                <w:b/>
                <w:bCs/>
              </w:rPr>
              <w:t>1</w:t>
            </w:r>
            <w:r w:rsidR="006721FA">
              <w:rPr>
                <w:rFonts w:cstheme="minorHAnsi"/>
                <w:b/>
                <w:bCs/>
              </w:rPr>
              <w:t>4</w:t>
            </w:r>
          </w:p>
        </w:tc>
        <w:tc>
          <w:tcPr>
            <w:tcW w:w="6333" w:type="dxa"/>
            <w:shd w:val="clear" w:color="auto" w:fill="F2F2F2" w:themeFill="background1" w:themeFillShade="F2"/>
            <w:vAlign w:val="center"/>
          </w:tcPr>
          <w:p w14:paraId="31B786D5" w14:textId="13F3631B" w:rsidR="00306DC8" w:rsidRPr="004C148E" w:rsidRDefault="00986475" w:rsidP="00B624D7">
            <w:pPr>
              <w:keepNext/>
              <w:jc w:val="both"/>
              <w:rPr>
                <w:rFonts w:cstheme="minorHAnsi"/>
                <w:b/>
              </w:rPr>
            </w:pPr>
            <w:r w:rsidRPr="00986475">
              <w:rPr>
                <w:rFonts w:cstheme="minorHAnsi"/>
                <w:b/>
              </w:rPr>
              <w:t>Coalition Reports</w:t>
            </w:r>
          </w:p>
        </w:tc>
      </w:tr>
    </w:tbl>
    <w:p w14:paraId="26680531" w14:textId="77777777" w:rsidR="00E74A6E" w:rsidRDefault="00E74A6E" w:rsidP="00FB05F6">
      <w:pPr>
        <w:pStyle w:val="BodyText"/>
        <w:ind w:firstLine="720"/>
        <w:rPr>
          <w:rFonts w:cstheme="minorHAnsi"/>
          <w:b/>
          <w:bCs/>
        </w:rPr>
      </w:pPr>
    </w:p>
    <w:p w14:paraId="6370287D" w14:textId="0CBAB388" w:rsidR="006721FA" w:rsidRDefault="006721FA" w:rsidP="006721FA">
      <w:pPr>
        <w:pStyle w:val="BodyText"/>
        <w:ind w:firstLine="720"/>
        <w:rPr>
          <w:rFonts w:asciiTheme="minorHAnsi" w:hAnsiTheme="minorHAnsi" w:cstheme="minorHAnsi"/>
          <w:b/>
          <w:bCs/>
          <w:u w:val="single"/>
        </w:rPr>
      </w:pPr>
      <w:r>
        <w:rPr>
          <w:rFonts w:asciiTheme="minorHAnsi" w:hAnsiTheme="minorHAnsi" w:cstheme="minorHAnsi"/>
          <w:b/>
          <w:bCs/>
        </w:rPr>
        <w:t>14</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Pr>
          <w:rFonts w:asciiTheme="minorHAnsi" w:hAnsiTheme="minorHAnsi" w:cstheme="minorHAnsi"/>
          <w:b/>
          <w:bCs/>
          <w:u w:val="single"/>
        </w:rPr>
        <w:t>CoE Co-Chairs</w:t>
      </w:r>
    </w:p>
    <w:p w14:paraId="613C4ED6" w14:textId="77777777" w:rsidR="006930FE" w:rsidRDefault="006930FE" w:rsidP="006721FA">
      <w:pPr>
        <w:pStyle w:val="BodyText"/>
        <w:ind w:firstLine="720"/>
        <w:rPr>
          <w:rFonts w:asciiTheme="minorHAnsi" w:hAnsiTheme="minorHAnsi" w:cstheme="minorHAnsi"/>
          <w:b/>
          <w:bCs/>
          <w:u w:val="single"/>
        </w:rPr>
      </w:pPr>
    </w:p>
    <w:p w14:paraId="5D772BB2" w14:textId="52F83D06" w:rsidR="00586971" w:rsidRPr="00586971" w:rsidRDefault="00DD3790" w:rsidP="00586971">
      <w:pPr>
        <w:pStyle w:val="BodyText"/>
        <w:ind w:firstLine="720"/>
        <w:rPr>
          <w:rFonts w:asciiTheme="minorHAnsi" w:hAnsiTheme="minorHAnsi" w:cstheme="minorHAnsi"/>
        </w:rPr>
      </w:pPr>
      <w:r>
        <w:rPr>
          <w:rFonts w:asciiTheme="minorHAnsi" w:hAnsiTheme="minorHAnsi" w:cstheme="minorHAnsi"/>
        </w:rPr>
        <w:t>N</w:t>
      </w:r>
      <w:r w:rsidRPr="00586971">
        <w:rPr>
          <w:rFonts w:asciiTheme="minorHAnsi" w:hAnsiTheme="minorHAnsi" w:cstheme="minorHAnsi"/>
        </w:rPr>
        <w:t xml:space="preserve">ortheastern University, Co-Chair of the CoE Coalition alongside Duke-NUS and Vice-Champion </w:t>
      </w:r>
      <w:r w:rsidRPr="00586971">
        <w:rPr>
          <w:rFonts w:asciiTheme="minorHAnsi" w:hAnsiTheme="minorHAnsi" w:cstheme="minorHAnsi"/>
        </w:rPr>
        <w:lastRenderedPageBreak/>
        <w:t>USP</w:t>
      </w:r>
      <w:r w:rsidR="00586971" w:rsidRPr="00586971">
        <w:rPr>
          <w:rFonts w:asciiTheme="minorHAnsi" w:hAnsiTheme="minorHAnsi" w:cstheme="minorHAnsi"/>
        </w:rPr>
        <w:t xml:space="preserve"> provided an update. He encouraged all CoEs present to meet </w:t>
      </w:r>
      <w:r>
        <w:rPr>
          <w:rFonts w:asciiTheme="minorHAnsi" w:hAnsiTheme="minorHAnsi" w:cstheme="minorHAnsi"/>
        </w:rPr>
        <w:t>w</w:t>
      </w:r>
      <w:r w:rsidR="00586971" w:rsidRPr="00586971">
        <w:rPr>
          <w:rFonts w:asciiTheme="minorHAnsi" w:hAnsiTheme="minorHAnsi" w:cstheme="minorHAnsi"/>
        </w:rPr>
        <w:t xml:space="preserve">ith him during the meeting to update </w:t>
      </w:r>
      <w:r>
        <w:rPr>
          <w:rFonts w:asciiTheme="minorHAnsi" w:hAnsiTheme="minorHAnsi" w:cstheme="minorHAnsi"/>
        </w:rPr>
        <w:t xml:space="preserve">CoE </w:t>
      </w:r>
      <w:r w:rsidR="00586971" w:rsidRPr="00586971">
        <w:rPr>
          <w:rFonts w:asciiTheme="minorHAnsi" w:hAnsiTheme="minorHAnsi" w:cstheme="minorHAnsi"/>
        </w:rPr>
        <w:t>contact information, noting this will support regular coalition engagement. Although a pre-meeting had been scheduled earlier in the day, only the Co-Chairs attended; members were invited to share concerns or issues to be raised on their behalf.</w:t>
      </w:r>
    </w:p>
    <w:p w14:paraId="3FD430AB" w14:textId="77777777" w:rsidR="00586971" w:rsidRPr="00586971" w:rsidRDefault="00586971" w:rsidP="00586971">
      <w:pPr>
        <w:pStyle w:val="BodyText"/>
        <w:ind w:firstLine="720"/>
        <w:rPr>
          <w:rFonts w:asciiTheme="minorHAnsi" w:hAnsiTheme="minorHAnsi" w:cstheme="minorHAnsi"/>
        </w:rPr>
      </w:pPr>
    </w:p>
    <w:p w14:paraId="4A5BE444" w14:textId="04636A9C" w:rsidR="00586971" w:rsidRPr="00586971" w:rsidRDefault="005A58A2" w:rsidP="00586971">
      <w:pPr>
        <w:pStyle w:val="BodyText"/>
        <w:ind w:firstLine="720"/>
        <w:rPr>
          <w:rFonts w:asciiTheme="minorHAnsi" w:hAnsiTheme="minorHAnsi" w:cstheme="minorHAnsi"/>
        </w:rPr>
      </w:pPr>
      <w:r>
        <w:rPr>
          <w:rFonts w:asciiTheme="minorHAnsi" w:hAnsiTheme="minorHAnsi" w:cstheme="minorHAnsi"/>
        </w:rPr>
        <w:t xml:space="preserve">Northeastern University </w:t>
      </w:r>
      <w:r w:rsidR="00586971" w:rsidRPr="00586971">
        <w:rPr>
          <w:rFonts w:asciiTheme="minorHAnsi" w:hAnsiTheme="minorHAnsi" w:cstheme="minorHAnsi"/>
        </w:rPr>
        <w:t>proposed holding coalition meetings two to four times per year and reminded members that the updated CoE operating model, approved at SOM1, outlines roles, responsibilities, and procedures for steering committees, program committees, and training program development. He highlighted the inclusion of an assessment plan and a checklist for becoming a CoE, and encouraged active participation and welcoming of new CoEs in both existing and new PWAs.</w:t>
      </w:r>
    </w:p>
    <w:p w14:paraId="4250DDDE" w14:textId="77777777" w:rsidR="00586971" w:rsidRPr="00586971" w:rsidRDefault="00586971" w:rsidP="00586971">
      <w:pPr>
        <w:pStyle w:val="BodyText"/>
        <w:ind w:firstLine="720"/>
        <w:rPr>
          <w:rFonts w:asciiTheme="minorHAnsi" w:hAnsiTheme="minorHAnsi" w:cstheme="minorHAnsi"/>
        </w:rPr>
      </w:pPr>
    </w:p>
    <w:p w14:paraId="36CCB137" w14:textId="344D430B" w:rsidR="006930FE" w:rsidRPr="00586971" w:rsidRDefault="005A58A2" w:rsidP="00586971">
      <w:pPr>
        <w:pStyle w:val="BodyText"/>
        <w:ind w:firstLine="720"/>
        <w:rPr>
          <w:rFonts w:asciiTheme="minorHAnsi" w:hAnsiTheme="minorHAnsi" w:cstheme="minorHAnsi"/>
        </w:rPr>
      </w:pPr>
      <w:r>
        <w:rPr>
          <w:rFonts w:asciiTheme="minorHAnsi" w:hAnsiTheme="minorHAnsi" w:cstheme="minorHAnsi"/>
        </w:rPr>
        <w:t xml:space="preserve">Duke-NUS </w:t>
      </w:r>
      <w:r w:rsidR="00586971" w:rsidRPr="00586971">
        <w:rPr>
          <w:rFonts w:asciiTheme="minorHAnsi" w:hAnsiTheme="minorHAnsi" w:cstheme="minorHAnsi"/>
        </w:rPr>
        <w:t>added a call for compliance with the operating model, noting that some PWA curricula developed several years ago now need review and refresh. He encouraged steering committees to reassess training needs to address any gaps and adapt to evolving priorities.</w:t>
      </w:r>
    </w:p>
    <w:p w14:paraId="54A545B6" w14:textId="77777777" w:rsidR="006721FA" w:rsidRDefault="006721FA" w:rsidP="00FB05F6">
      <w:pPr>
        <w:pStyle w:val="BodyText"/>
        <w:ind w:firstLine="720"/>
        <w:rPr>
          <w:rFonts w:cstheme="minorHAnsi"/>
          <w:b/>
          <w:bCs/>
        </w:rPr>
      </w:pPr>
    </w:p>
    <w:tbl>
      <w:tblPr>
        <w:tblStyle w:val="TableGrid"/>
        <w:tblW w:w="9606" w:type="dxa"/>
        <w:jc w:val="center"/>
        <w:tblLook w:val="04A0" w:firstRow="1" w:lastRow="0" w:firstColumn="1" w:lastColumn="0" w:noHBand="0" w:noVBand="1"/>
      </w:tblPr>
      <w:tblGrid>
        <w:gridCol w:w="1368"/>
        <w:gridCol w:w="1905"/>
        <w:gridCol w:w="6333"/>
      </w:tblGrid>
      <w:tr w:rsidR="005D3AE0" w:rsidRPr="004C148E" w14:paraId="508DB238" w14:textId="77777777" w:rsidTr="00B624D7">
        <w:trPr>
          <w:jc w:val="center"/>
        </w:trPr>
        <w:tc>
          <w:tcPr>
            <w:tcW w:w="1368" w:type="dxa"/>
            <w:shd w:val="clear" w:color="auto" w:fill="F2F2F2" w:themeFill="background1" w:themeFillShade="F2"/>
            <w:vAlign w:val="center"/>
          </w:tcPr>
          <w:p w14:paraId="7A95ED10" w14:textId="1E7308CF" w:rsidR="005D3AE0" w:rsidRPr="004C148E" w:rsidRDefault="005D3AE0" w:rsidP="00B624D7">
            <w:pPr>
              <w:keepNext/>
              <w:jc w:val="both"/>
              <w:rPr>
                <w:rFonts w:cstheme="minorHAnsi"/>
                <w:b/>
                <w:bCs/>
              </w:rPr>
            </w:pPr>
            <w:r w:rsidRPr="004C148E">
              <w:rPr>
                <w:rFonts w:cstheme="minorHAnsi"/>
                <w:b/>
                <w:bCs/>
              </w:rPr>
              <w:t>1</w:t>
            </w:r>
            <w:r>
              <w:rPr>
                <w:rFonts w:cstheme="minorHAnsi"/>
                <w:b/>
                <w:bCs/>
              </w:rPr>
              <w:t>6</w:t>
            </w:r>
            <w:r w:rsidRPr="004C148E">
              <w:rPr>
                <w:rFonts w:cstheme="minorHAnsi"/>
                <w:b/>
                <w:bCs/>
              </w:rPr>
              <w:t>:</w:t>
            </w:r>
            <w:r>
              <w:rPr>
                <w:rFonts w:cstheme="minorHAnsi"/>
                <w:b/>
                <w:bCs/>
              </w:rPr>
              <w:t>50</w:t>
            </w:r>
            <w:r w:rsidRPr="004C148E">
              <w:rPr>
                <w:rFonts w:cstheme="minorHAnsi"/>
                <w:b/>
                <w:bCs/>
              </w:rPr>
              <w:t>-1</w:t>
            </w:r>
            <w:r>
              <w:rPr>
                <w:rFonts w:cstheme="minorHAnsi"/>
                <w:b/>
                <w:bCs/>
              </w:rPr>
              <w:t>7</w:t>
            </w:r>
            <w:r w:rsidRPr="004C148E">
              <w:rPr>
                <w:rFonts w:cstheme="minorHAnsi"/>
                <w:b/>
                <w:bCs/>
              </w:rPr>
              <w:t>:</w:t>
            </w:r>
            <w:r>
              <w:rPr>
                <w:rFonts w:cstheme="minorHAnsi"/>
                <w:b/>
                <w:bCs/>
              </w:rPr>
              <w:t>00</w:t>
            </w:r>
          </w:p>
        </w:tc>
        <w:tc>
          <w:tcPr>
            <w:tcW w:w="1905" w:type="dxa"/>
            <w:shd w:val="clear" w:color="auto" w:fill="F2F2F2" w:themeFill="background1" w:themeFillShade="F2"/>
            <w:vAlign w:val="center"/>
          </w:tcPr>
          <w:p w14:paraId="64B46C48" w14:textId="7BEB4485" w:rsidR="005D3AE0" w:rsidRPr="004C148E" w:rsidRDefault="005D3AE0" w:rsidP="00B624D7">
            <w:pPr>
              <w:keepNext/>
              <w:jc w:val="both"/>
              <w:rPr>
                <w:rFonts w:cstheme="minorHAnsi"/>
                <w:b/>
                <w:bCs/>
              </w:rPr>
            </w:pPr>
            <w:r w:rsidRPr="004C148E">
              <w:rPr>
                <w:rFonts w:cstheme="minorHAnsi"/>
                <w:b/>
                <w:bCs/>
              </w:rPr>
              <w:t xml:space="preserve">AGENDA ITEM </w:t>
            </w:r>
            <w:r>
              <w:rPr>
                <w:rFonts w:cstheme="minorHAnsi"/>
                <w:b/>
                <w:bCs/>
              </w:rPr>
              <w:t>15</w:t>
            </w:r>
          </w:p>
        </w:tc>
        <w:tc>
          <w:tcPr>
            <w:tcW w:w="6333" w:type="dxa"/>
            <w:shd w:val="clear" w:color="auto" w:fill="F2F2F2" w:themeFill="background1" w:themeFillShade="F2"/>
            <w:vAlign w:val="center"/>
          </w:tcPr>
          <w:p w14:paraId="78AAEE87" w14:textId="1BF8AB94" w:rsidR="005D3AE0" w:rsidRPr="004C148E" w:rsidRDefault="005D3AE0" w:rsidP="00B624D7">
            <w:pPr>
              <w:keepNext/>
              <w:jc w:val="both"/>
              <w:rPr>
                <w:rFonts w:cstheme="minorHAnsi"/>
                <w:b/>
              </w:rPr>
            </w:pPr>
            <w:r>
              <w:rPr>
                <w:rFonts w:cstheme="minorHAnsi"/>
                <w:b/>
              </w:rPr>
              <w:t>Day 1 Closing Remarks</w:t>
            </w:r>
          </w:p>
        </w:tc>
      </w:tr>
    </w:tbl>
    <w:p w14:paraId="47121CF0" w14:textId="77777777" w:rsidR="00FA5516" w:rsidRDefault="00FA5516" w:rsidP="00FB05F6">
      <w:pPr>
        <w:pStyle w:val="BodyText"/>
        <w:ind w:firstLine="720"/>
        <w:rPr>
          <w:rFonts w:cstheme="minorHAnsi"/>
          <w:b/>
          <w:bCs/>
        </w:rPr>
      </w:pPr>
    </w:p>
    <w:p w14:paraId="68F36A0E" w14:textId="77777777" w:rsidR="00C618CC" w:rsidRDefault="00C618CC" w:rsidP="00FB05F6">
      <w:pPr>
        <w:pStyle w:val="BodyText"/>
        <w:ind w:firstLine="720"/>
        <w:rPr>
          <w:rFonts w:cstheme="minorHAnsi"/>
          <w:b/>
          <w:bCs/>
        </w:rPr>
      </w:pPr>
    </w:p>
    <w:tbl>
      <w:tblPr>
        <w:tblStyle w:val="TableGrid1"/>
        <w:tblW w:w="9635" w:type="dxa"/>
        <w:jc w:val="center"/>
        <w:tblLook w:val="04A0" w:firstRow="1" w:lastRow="0" w:firstColumn="1" w:lastColumn="0" w:noHBand="0" w:noVBand="1"/>
      </w:tblPr>
      <w:tblGrid>
        <w:gridCol w:w="9635"/>
      </w:tblGrid>
      <w:tr w:rsidR="00C618CC" w:rsidRPr="004C148E" w14:paraId="6F50D291" w14:textId="77777777" w:rsidTr="00B624D7">
        <w:trPr>
          <w:trHeight w:val="356"/>
          <w:jc w:val="center"/>
        </w:trPr>
        <w:tc>
          <w:tcPr>
            <w:tcW w:w="9635" w:type="dxa"/>
            <w:shd w:val="clear" w:color="auto" w:fill="A1C6E7"/>
          </w:tcPr>
          <w:p w14:paraId="7F22A640" w14:textId="42D69C44" w:rsidR="00C618CC" w:rsidRPr="00C618CC" w:rsidRDefault="00C618CC" w:rsidP="00B624D7">
            <w:pPr>
              <w:spacing w:before="120" w:after="120" w:line="257" w:lineRule="auto"/>
              <w:jc w:val="center"/>
              <w:rPr>
                <w:rFonts w:cstheme="minorHAnsi"/>
                <w:b/>
                <w:u w:color="000000"/>
                <w:lang w:eastAsia="zh-CN"/>
              </w:rPr>
            </w:pPr>
            <w:r w:rsidRPr="00C618CC">
              <w:rPr>
                <w:rFonts w:cstheme="minorHAnsi"/>
                <w:b/>
                <w:u w:color="000000"/>
                <w:lang w:eastAsia="zh-CN"/>
              </w:rPr>
              <w:t>Regulatory Harmonization Steering Committee – Day 2</w:t>
            </w:r>
          </w:p>
        </w:tc>
      </w:tr>
    </w:tbl>
    <w:p w14:paraId="5ABF3033" w14:textId="77777777" w:rsidR="00C618CC" w:rsidRDefault="00C618CC" w:rsidP="00FB05F6">
      <w:pPr>
        <w:pStyle w:val="BodyText"/>
        <w:ind w:firstLine="720"/>
        <w:rPr>
          <w:rFonts w:cstheme="minorHAnsi"/>
          <w:b/>
          <w:bCs/>
        </w:rPr>
      </w:pPr>
    </w:p>
    <w:tbl>
      <w:tblPr>
        <w:tblStyle w:val="TableGrid"/>
        <w:tblW w:w="9606" w:type="dxa"/>
        <w:jc w:val="center"/>
        <w:tblLook w:val="04A0" w:firstRow="1" w:lastRow="0" w:firstColumn="1" w:lastColumn="0" w:noHBand="0" w:noVBand="1"/>
      </w:tblPr>
      <w:tblGrid>
        <w:gridCol w:w="1368"/>
        <w:gridCol w:w="1905"/>
        <w:gridCol w:w="6333"/>
      </w:tblGrid>
      <w:tr w:rsidR="00341D0D" w:rsidRPr="004C148E" w14:paraId="4C7732E2" w14:textId="77777777" w:rsidTr="00B624D7">
        <w:trPr>
          <w:jc w:val="center"/>
        </w:trPr>
        <w:tc>
          <w:tcPr>
            <w:tcW w:w="1368" w:type="dxa"/>
            <w:shd w:val="clear" w:color="auto" w:fill="F2F2F2" w:themeFill="background1" w:themeFillShade="F2"/>
            <w:vAlign w:val="center"/>
          </w:tcPr>
          <w:p w14:paraId="090FA680" w14:textId="7B9121F9" w:rsidR="00341D0D" w:rsidRPr="004C148E" w:rsidRDefault="00341D0D" w:rsidP="00B624D7">
            <w:pPr>
              <w:keepNext/>
              <w:jc w:val="both"/>
              <w:rPr>
                <w:rFonts w:cstheme="minorHAnsi"/>
                <w:b/>
                <w:bCs/>
              </w:rPr>
            </w:pPr>
            <w:r>
              <w:rPr>
                <w:rFonts w:cstheme="minorHAnsi"/>
                <w:b/>
                <w:bCs/>
              </w:rPr>
              <w:t>9</w:t>
            </w:r>
            <w:r w:rsidRPr="004C148E">
              <w:rPr>
                <w:rFonts w:cstheme="minorHAnsi"/>
                <w:b/>
                <w:bCs/>
              </w:rPr>
              <w:t>:</w:t>
            </w:r>
            <w:r>
              <w:rPr>
                <w:rFonts w:cstheme="minorHAnsi"/>
                <w:b/>
                <w:bCs/>
              </w:rPr>
              <w:t>00</w:t>
            </w:r>
            <w:r w:rsidRPr="004C148E">
              <w:rPr>
                <w:rFonts w:cstheme="minorHAnsi"/>
                <w:b/>
                <w:bCs/>
              </w:rPr>
              <w:t>-</w:t>
            </w:r>
            <w:r>
              <w:rPr>
                <w:rFonts w:cstheme="minorHAnsi"/>
                <w:b/>
                <w:bCs/>
              </w:rPr>
              <w:t>9</w:t>
            </w:r>
            <w:r w:rsidRPr="004C148E">
              <w:rPr>
                <w:rFonts w:cstheme="minorHAnsi"/>
                <w:b/>
                <w:bCs/>
              </w:rPr>
              <w:t>:</w:t>
            </w:r>
            <w:r>
              <w:rPr>
                <w:rFonts w:cstheme="minorHAnsi"/>
                <w:b/>
                <w:bCs/>
              </w:rPr>
              <w:t>05</w:t>
            </w:r>
          </w:p>
        </w:tc>
        <w:tc>
          <w:tcPr>
            <w:tcW w:w="1905" w:type="dxa"/>
            <w:shd w:val="clear" w:color="auto" w:fill="F2F2F2" w:themeFill="background1" w:themeFillShade="F2"/>
            <w:vAlign w:val="center"/>
          </w:tcPr>
          <w:p w14:paraId="38733239" w14:textId="714E07C1" w:rsidR="00341D0D" w:rsidRPr="004C148E" w:rsidRDefault="00341D0D" w:rsidP="00B624D7">
            <w:pPr>
              <w:keepNext/>
              <w:jc w:val="both"/>
              <w:rPr>
                <w:rFonts w:cstheme="minorHAnsi"/>
                <w:b/>
                <w:bCs/>
              </w:rPr>
            </w:pPr>
            <w:r w:rsidRPr="004C148E">
              <w:rPr>
                <w:rFonts w:cstheme="minorHAnsi"/>
                <w:b/>
                <w:bCs/>
              </w:rPr>
              <w:t xml:space="preserve">AGENDA ITEM </w:t>
            </w:r>
            <w:r>
              <w:rPr>
                <w:rFonts w:cstheme="minorHAnsi"/>
                <w:b/>
                <w:bCs/>
              </w:rPr>
              <w:t>1</w:t>
            </w:r>
            <w:r w:rsidR="00AA1A99">
              <w:rPr>
                <w:rFonts w:cstheme="minorHAnsi"/>
                <w:b/>
                <w:bCs/>
              </w:rPr>
              <w:t>6</w:t>
            </w:r>
          </w:p>
        </w:tc>
        <w:tc>
          <w:tcPr>
            <w:tcW w:w="6333" w:type="dxa"/>
            <w:shd w:val="clear" w:color="auto" w:fill="F2F2F2" w:themeFill="background1" w:themeFillShade="F2"/>
            <w:vAlign w:val="center"/>
          </w:tcPr>
          <w:p w14:paraId="365A979D" w14:textId="77ADCB00" w:rsidR="00341D0D" w:rsidRPr="004C148E" w:rsidRDefault="00341D0D" w:rsidP="00B624D7">
            <w:pPr>
              <w:keepNext/>
              <w:jc w:val="both"/>
              <w:rPr>
                <w:rFonts w:cstheme="minorHAnsi"/>
                <w:b/>
              </w:rPr>
            </w:pPr>
            <w:r>
              <w:rPr>
                <w:rFonts w:cstheme="minorHAnsi"/>
                <w:b/>
              </w:rPr>
              <w:t xml:space="preserve">Day </w:t>
            </w:r>
            <w:r w:rsidR="0024122A">
              <w:rPr>
                <w:rFonts w:cstheme="minorHAnsi"/>
                <w:b/>
              </w:rPr>
              <w:t>2</w:t>
            </w:r>
            <w:r>
              <w:rPr>
                <w:rFonts w:cstheme="minorHAnsi"/>
                <w:b/>
              </w:rPr>
              <w:t xml:space="preserve"> </w:t>
            </w:r>
            <w:r w:rsidR="0024122A">
              <w:rPr>
                <w:rFonts w:cstheme="minorHAnsi"/>
                <w:b/>
              </w:rPr>
              <w:t>Opening</w:t>
            </w:r>
            <w:r>
              <w:rPr>
                <w:rFonts w:cstheme="minorHAnsi"/>
                <w:b/>
              </w:rPr>
              <w:t xml:space="preserve"> Remarks</w:t>
            </w:r>
          </w:p>
        </w:tc>
      </w:tr>
    </w:tbl>
    <w:p w14:paraId="22C8B68B" w14:textId="77777777" w:rsidR="00341D0D" w:rsidRDefault="00341D0D" w:rsidP="00FB05F6">
      <w:pPr>
        <w:pStyle w:val="BodyText"/>
        <w:ind w:firstLine="720"/>
        <w:rPr>
          <w:rFonts w:cstheme="minorHAnsi"/>
          <w:b/>
          <w:bCs/>
        </w:rPr>
      </w:pPr>
    </w:p>
    <w:p w14:paraId="160EC0C5" w14:textId="558E9BA6" w:rsidR="00332489" w:rsidRDefault="00332489" w:rsidP="00332489">
      <w:pPr>
        <w:ind w:firstLine="720"/>
        <w:jc w:val="both"/>
        <w:rPr>
          <w:rFonts w:cstheme="minorHAnsi"/>
          <w:lang w:val="en-SG"/>
        </w:rPr>
      </w:pPr>
      <w:r w:rsidRPr="004C148E">
        <w:rPr>
          <w:rFonts w:cstheme="minorHAnsi"/>
          <w:lang w:val="en-SG"/>
        </w:rPr>
        <w:t>The Chair recapped Day 1 activities and previewed the Day 2 schedule, discussion on the Phase 2 RHSC KPIs, strategic discussion</w:t>
      </w:r>
      <w:r>
        <w:rPr>
          <w:rFonts w:cstheme="minorHAnsi"/>
          <w:lang w:val="en-SG"/>
        </w:rPr>
        <w:t>, and dialogues</w:t>
      </w:r>
      <w:r w:rsidRPr="004C148E">
        <w:rPr>
          <w:rFonts w:cstheme="minorHAnsi"/>
          <w:lang w:val="en-SG"/>
        </w:rPr>
        <w:t>.</w:t>
      </w:r>
    </w:p>
    <w:tbl>
      <w:tblPr>
        <w:tblStyle w:val="TableGrid"/>
        <w:tblW w:w="9606" w:type="dxa"/>
        <w:jc w:val="center"/>
        <w:tblLook w:val="04A0" w:firstRow="1" w:lastRow="0" w:firstColumn="1" w:lastColumn="0" w:noHBand="0" w:noVBand="1"/>
      </w:tblPr>
      <w:tblGrid>
        <w:gridCol w:w="1368"/>
        <w:gridCol w:w="1905"/>
        <w:gridCol w:w="6333"/>
      </w:tblGrid>
      <w:tr w:rsidR="006B5CEB" w:rsidRPr="004C148E" w14:paraId="6CE42392" w14:textId="77777777" w:rsidTr="00B624D7">
        <w:trPr>
          <w:jc w:val="center"/>
        </w:trPr>
        <w:tc>
          <w:tcPr>
            <w:tcW w:w="1368" w:type="dxa"/>
            <w:shd w:val="clear" w:color="auto" w:fill="F2F2F2" w:themeFill="background1" w:themeFillShade="F2"/>
            <w:vAlign w:val="center"/>
          </w:tcPr>
          <w:p w14:paraId="4D204B13" w14:textId="310E7A08" w:rsidR="006B5CEB" w:rsidRPr="004C148E" w:rsidRDefault="006B5CEB" w:rsidP="00B624D7">
            <w:pPr>
              <w:keepNext/>
              <w:jc w:val="both"/>
              <w:rPr>
                <w:rFonts w:cstheme="minorHAnsi"/>
                <w:b/>
                <w:bCs/>
              </w:rPr>
            </w:pPr>
            <w:r>
              <w:rPr>
                <w:rFonts w:cstheme="minorHAnsi"/>
                <w:b/>
                <w:bCs/>
              </w:rPr>
              <w:t>9</w:t>
            </w:r>
            <w:r w:rsidRPr="004C148E">
              <w:rPr>
                <w:rFonts w:cstheme="minorHAnsi"/>
                <w:b/>
                <w:bCs/>
              </w:rPr>
              <w:t>:</w:t>
            </w:r>
            <w:r>
              <w:rPr>
                <w:rFonts w:cstheme="minorHAnsi"/>
                <w:b/>
                <w:bCs/>
              </w:rPr>
              <w:t>0</w:t>
            </w:r>
            <w:r w:rsidR="00B4786A">
              <w:rPr>
                <w:rFonts w:cstheme="minorHAnsi"/>
                <w:b/>
                <w:bCs/>
              </w:rPr>
              <w:t>5</w:t>
            </w:r>
            <w:r w:rsidRPr="004C148E">
              <w:rPr>
                <w:rFonts w:cstheme="minorHAnsi"/>
                <w:b/>
                <w:bCs/>
              </w:rPr>
              <w:t>-</w:t>
            </w:r>
            <w:r>
              <w:rPr>
                <w:rFonts w:cstheme="minorHAnsi"/>
                <w:b/>
                <w:bCs/>
              </w:rPr>
              <w:t>9</w:t>
            </w:r>
            <w:r w:rsidRPr="004C148E">
              <w:rPr>
                <w:rFonts w:cstheme="minorHAnsi"/>
                <w:b/>
                <w:bCs/>
              </w:rPr>
              <w:t>:</w:t>
            </w:r>
            <w:r w:rsidR="00B4786A">
              <w:rPr>
                <w:rFonts w:cstheme="minorHAnsi"/>
                <w:b/>
                <w:bCs/>
              </w:rPr>
              <w:t>50</w:t>
            </w:r>
          </w:p>
        </w:tc>
        <w:tc>
          <w:tcPr>
            <w:tcW w:w="1905" w:type="dxa"/>
            <w:shd w:val="clear" w:color="auto" w:fill="F2F2F2" w:themeFill="background1" w:themeFillShade="F2"/>
            <w:vAlign w:val="center"/>
          </w:tcPr>
          <w:p w14:paraId="6AECE527" w14:textId="73DBC28E" w:rsidR="006B5CEB" w:rsidRPr="004C148E" w:rsidRDefault="006B5CEB" w:rsidP="00B624D7">
            <w:pPr>
              <w:keepNext/>
              <w:jc w:val="both"/>
              <w:rPr>
                <w:rFonts w:cstheme="minorHAnsi"/>
                <w:b/>
                <w:bCs/>
              </w:rPr>
            </w:pPr>
            <w:r w:rsidRPr="004C148E">
              <w:rPr>
                <w:rFonts w:cstheme="minorHAnsi"/>
                <w:b/>
                <w:bCs/>
              </w:rPr>
              <w:t xml:space="preserve">AGENDA ITEM </w:t>
            </w:r>
            <w:r w:rsidR="00B4786A">
              <w:rPr>
                <w:rFonts w:cstheme="minorHAnsi"/>
                <w:b/>
                <w:bCs/>
              </w:rPr>
              <w:t>5 (Revisited)</w:t>
            </w:r>
          </w:p>
        </w:tc>
        <w:tc>
          <w:tcPr>
            <w:tcW w:w="6333" w:type="dxa"/>
            <w:shd w:val="clear" w:color="auto" w:fill="F2F2F2" w:themeFill="background1" w:themeFillShade="F2"/>
            <w:vAlign w:val="center"/>
          </w:tcPr>
          <w:p w14:paraId="1D1FED6D" w14:textId="4A24EAD6" w:rsidR="006B5CEB" w:rsidRPr="004C148E" w:rsidRDefault="00B4786A" w:rsidP="00B624D7">
            <w:pPr>
              <w:keepNext/>
              <w:jc w:val="both"/>
              <w:rPr>
                <w:rFonts w:cstheme="minorHAnsi"/>
                <w:b/>
              </w:rPr>
            </w:pPr>
            <w:r>
              <w:rPr>
                <w:rFonts w:cstheme="minorHAnsi"/>
                <w:b/>
              </w:rPr>
              <w:t>RHSC Projects</w:t>
            </w:r>
          </w:p>
        </w:tc>
      </w:tr>
    </w:tbl>
    <w:p w14:paraId="42CD276A" w14:textId="77777777" w:rsidR="006B5CEB" w:rsidRDefault="006B5CEB" w:rsidP="006B5CEB">
      <w:pPr>
        <w:jc w:val="both"/>
        <w:rPr>
          <w:rFonts w:cstheme="minorHAnsi"/>
          <w:lang w:val="en-SG"/>
        </w:rPr>
      </w:pPr>
    </w:p>
    <w:p w14:paraId="2CD799E7" w14:textId="2CD9ED5B" w:rsidR="00332489" w:rsidRDefault="00A41D44" w:rsidP="00332489">
      <w:pPr>
        <w:ind w:firstLine="720"/>
        <w:jc w:val="both"/>
        <w:rPr>
          <w:rFonts w:cstheme="minorHAnsi"/>
          <w:lang w:val="en-SG"/>
        </w:rPr>
      </w:pPr>
      <w:r>
        <w:t xml:space="preserve">The RHSC Advisor’s Office led the discussion to </w:t>
      </w:r>
      <w:r w:rsidR="00241EE6">
        <w:t xml:space="preserve">revisit </w:t>
      </w:r>
      <w:r w:rsidR="00EC3DE7">
        <w:t>the development of Phase 2 Key Performance Indicators (KPIs) for regulatory reliance and information sharing. Members reviewed detailed comments from stakeholders on the draft indicators, beginning with a U.S. FDA proposal to add a question to each KPI asking whether economies that currently respond “no” intend to move toward reliance or information sharing in the future. This addition was broadly supported as a way to track both current status and future plans.</w:t>
      </w:r>
    </w:p>
    <w:p w14:paraId="0D5A16A8" w14:textId="194AA231" w:rsidR="00332489" w:rsidRPr="004C148E" w:rsidRDefault="00A41D44" w:rsidP="00332489">
      <w:pPr>
        <w:ind w:firstLine="720"/>
        <w:jc w:val="both"/>
        <w:rPr>
          <w:rFonts w:cstheme="minorHAnsi"/>
          <w:lang w:val="en-SG"/>
        </w:rPr>
      </w:pPr>
      <w:r>
        <w:t>A proposal to include ICH, PIC/S, and IPRP in KPI questions was discussed</w:t>
      </w:r>
      <w:r w:rsidR="00125DE8">
        <w:t>, where m</w:t>
      </w:r>
      <w:r>
        <w:t>embers agreed these are distinct from work-sharing consortia and should be captured separately to avoid confusion, with a new KPI added for participation or plans to join such harmonization fora. There was also consensus to merge Phase 1 and Phase 2 KPIs into a single set to ensure sustainable data collection, retiring outdated indicators where appropriate.</w:t>
      </w:r>
    </w:p>
    <w:p w14:paraId="181FC67F" w14:textId="0A902733" w:rsidR="00332489" w:rsidRDefault="00A41D44" w:rsidP="00FB05F6">
      <w:pPr>
        <w:pStyle w:val="BodyText"/>
        <w:ind w:firstLine="720"/>
      </w:pPr>
      <w:r>
        <w:t>Members debated wording changes, such as clarifying “publishes” to “publicly publishes” assessment reports and specifying that such reports should be made available to sponsors. Several suggestions to split questions for greater clarity were adopted, including differentiating between registration testing and import testing, and between established reliance pathways and whether such pathways are faster than standard processes.</w:t>
      </w:r>
    </w:p>
    <w:p w14:paraId="7D77526D" w14:textId="77777777" w:rsidR="00A41D44" w:rsidRDefault="00A41D44" w:rsidP="00FB05F6">
      <w:pPr>
        <w:pStyle w:val="BodyText"/>
        <w:ind w:firstLine="720"/>
      </w:pPr>
    </w:p>
    <w:p w14:paraId="18E13F41" w14:textId="175B5B71" w:rsidR="00A41D44" w:rsidRDefault="00A41D44" w:rsidP="00FB05F6">
      <w:pPr>
        <w:pStyle w:val="BodyText"/>
        <w:ind w:firstLine="720"/>
      </w:pPr>
      <w:r>
        <w:t>The group cautioned against making the survey overly burdensome, noting challenges in eliciting responses from 21 regulatory authorities and the workload for academic partners compiling the data. It was agreed that KPIs should remain high-level for RHSC benchmarking, with more detailed indicators developed within specific PWAs if needed.</w:t>
      </w:r>
    </w:p>
    <w:p w14:paraId="21ACD4BF" w14:textId="77777777" w:rsidR="00E816CE" w:rsidRDefault="00E816CE" w:rsidP="00FB05F6">
      <w:pPr>
        <w:pStyle w:val="BodyText"/>
        <w:ind w:firstLine="720"/>
        <w:rPr>
          <w:rFonts w:cstheme="minorHAnsi"/>
          <w:b/>
          <w:bCs/>
        </w:rPr>
      </w:pPr>
    </w:p>
    <w:p w14:paraId="1C53EFD2" w14:textId="532FA742" w:rsidR="00176D57" w:rsidRDefault="00176D57" w:rsidP="00FB05F6">
      <w:pPr>
        <w:pStyle w:val="BodyText"/>
        <w:ind w:firstLine="720"/>
      </w:pPr>
      <w:r>
        <w:t>The Chair confirmed that the current KPIs do not include medical devices, and any device-specific indicators should be developed as a separate set of questions. New device-related suggestions raised during the meeting will be saved for later consideration by interested experts.</w:t>
      </w:r>
    </w:p>
    <w:p w14:paraId="42021DC7" w14:textId="77777777" w:rsidR="00176D57" w:rsidRDefault="00176D57" w:rsidP="00176D57">
      <w:pPr>
        <w:pStyle w:val="BodyText"/>
        <w:ind w:firstLine="720"/>
      </w:pPr>
    </w:p>
    <w:p w14:paraId="663D2612" w14:textId="407B841F" w:rsidR="00176D57" w:rsidRDefault="00176D57" w:rsidP="00176D57">
      <w:pPr>
        <w:pStyle w:val="ListParagraph"/>
        <w:spacing w:after="0"/>
        <w:ind w:left="0" w:firstLine="810"/>
        <w:jc w:val="both"/>
        <w:rPr>
          <w:rFonts w:eastAsia="Calibri" w:cstheme="minorHAnsi"/>
        </w:rPr>
      </w:pPr>
      <w:r w:rsidRPr="00B8703E">
        <w:rPr>
          <w:rFonts w:eastAsia="Calibri" w:cstheme="minorHAnsi"/>
        </w:rPr>
        <w:t xml:space="preserve">The Advisors will incorporate the </w:t>
      </w:r>
      <w:r>
        <w:rPr>
          <w:rFonts w:eastAsia="Calibri" w:cstheme="minorHAnsi"/>
        </w:rPr>
        <w:t>discussed</w:t>
      </w:r>
      <w:r w:rsidRPr="00B8703E">
        <w:rPr>
          <w:rFonts w:eastAsia="Calibri" w:cstheme="minorHAnsi"/>
        </w:rPr>
        <w:t xml:space="preserve"> revisions into the Phase 2 KPI survey. Once finalized, the revised KPI package will be circulated to RHSC members for intersessional review, with a minimum two-week comment period ahead of SOM1 2026. </w:t>
      </w:r>
      <w:r w:rsidR="005D424E">
        <w:rPr>
          <w:rFonts w:eastAsia="Calibri" w:cstheme="minorHAnsi"/>
        </w:rPr>
        <w:t>T</w:t>
      </w:r>
      <w:r w:rsidRPr="00B8703E">
        <w:rPr>
          <w:rFonts w:eastAsia="Calibri" w:cstheme="minorHAnsi"/>
        </w:rPr>
        <w:t>he approved Phase 1 KPI infographic will be published on the RHSC webpage and shared with other relevant APEC fora to highlight progress toward regulatory convergence.</w:t>
      </w:r>
    </w:p>
    <w:p w14:paraId="076FC8F6" w14:textId="77777777" w:rsidR="00D578B7" w:rsidRDefault="00D578B7" w:rsidP="00176D57">
      <w:pPr>
        <w:pStyle w:val="ListParagraph"/>
        <w:spacing w:after="0"/>
        <w:ind w:left="0" w:firstLine="810"/>
        <w:jc w:val="both"/>
        <w:rPr>
          <w:rFonts w:eastAsia="Calibri" w:cstheme="minorHAnsi"/>
        </w:rPr>
      </w:pPr>
    </w:p>
    <w:tbl>
      <w:tblPr>
        <w:tblStyle w:val="TableGrid"/>
        <w:tblW w:w="9606" w:type="dxa"/>
        <w:jc w:val="center"/>
        <w:tblLook w:val="04A0" w:firstRow="1" w:lastRow="0" w:firstColumn="1" w:lastColumn="0" w:noHBand="0" w:noVBand="1"/>
      </w:tblPr>
      <w:tblGrid>
        <w:gridCol w:w="1368"/>
        <w:gridCol w:w="1905"/>
        <w:gridCol w:w="6333"/>
      </w:tblGrid>
      <w:tr w:rsidR="00D578B7" w:rsidRPr="004C148E" w14:paraId="73B42B44" w14:textId="77777777" w:rsidTr="00B624D7">
        <w:trPr>
          <w:jc w:val="center"/>
        </w:trPr>
        <w:tc>
          <w:tcPr>
            <w:tcW w:w="1368" w:type="dxa"/>
            <w:shd w:val="clear" w:color="auto" w:fill="F2F2F2" w:themeFill="background1" w:themeFillShade="F2"/>
            <w:vAlign w:val="center"/>
          </w:tcPr>
          <w:p w14:paraId="2D490546" w14:textId="5581F1FD" w:rsidR="00D578B7" w:rsidRPr="004C148E" w:rsidRDefault="00D578B7" w:rsidP="00B624D7">
            <w:pPr>
              <w:keepNext/>
              <w:jc w:val="both"/>
              <w:rPr>
                <w:rFonts w:cstheme="minorHAnsi"/>
                <w:b/>
                <w:bCs/>
              </w:rPr>
            </w:pPr>
            <w:r>
              <w:rPr>
                <w:rFonts w:cstheme="minorHAnsi"/>
                <w:b/>
                <w:bCs/>
              </w:rPr>
              <w:t>9</w:t>
            </w:r>
            <w:r w:rsidRPr="004C148E">
              <w:rPr>
                <w:rFonts w:cstheme="minorHAnsi"/>
                <w:b/>
                <w:bCs/>
              </w:rPr>
              <w:t>:</w:t>
            </w:r>
            <w:r w:rsidR="00BD3937">
              <w:rPr>
                <w:rFonts w:cstheme="minorHAnsi"/>
                <w:b/>
                <w:bCs/>
              </w:rPr>
              <w:t>50</w:t>
            </w:r>
            <w:r w:rsidRPr="004C148E">
              <w:rPr>
                <w:rFonts w:cstheme="minorHAnsi"/>
                <w:b/>
                <w:bCs/>
              </w:rPr>
              <w:t>-</w:t>
            </w:r>
            <w:r w:rsidR="00AB7F82">
              <w:rPr>
                <w:rFonts w:cstheme="minorHAnsi"/>
                <w:b/>
                <w:bCs/>
              </w:rPr>
              <w:t>10</w:t>
            </w:r>
            <w:r w:rsidRPr="004C148E">
              <w:rPr>
                <w:rFonts w:cstheme="minorHAnsi"/>
                <w:b/>
                <w:bCs/>
              </w:rPr>
              <w:t>:</w:t>
            </w:r>
            <w:r>
              <w:rPr>
                <w:rFonts w:cstheme="minorHAnsi"/>
                <w:b/>
                <w:bCs/>
              </w:rPr>
              <w:t>05</w:t>
            </w:r>
          </w:p>
        </w:tc>
        <w:tc>
          <w:tcPr>
            <w:tcW w:w="1905" w:type="dxa"/>
            <w:shd w:val="clear" w:color="auto" w:fill="F2F2F2" w:themeFill="background1" w:themeFillShade="F2"/>
            <w:vAlign w:val="center"/>
          </w:tcPr>
          <w:p w14:paraId="655C0C05" w14:textId="6BAFF703" w:rsidR="00D578B7" w:rsidRPr="004C148E" w:rsidRDefault="00D578B7" w:rsidP="00B624D7">
            <w:pPr>
              <w:keepNext/>
              <w:jc w:val="both"/>
              <w:rPr>
                <w:rFonts w:cstheme="minorHAnsi"/>
                <w:b/>
                <w:bCs/>
              </w:rPr>
            </w:pPr>
            <w:r w:rsidRPr="004C148E">
              <w:rPr>
                <w:rFonts w:cstheme="minorHAnsi"/>
                <w:b/>
                <w:bCs/>
              </w:rPr>
              <w:t xml:space="preserve">AGENDA ITEM </w:t>
            </w:r>
            <w:r>
              <w:rPr>
                <w:rFonts w:cstheme="minorHAnsi"/>
                <w:b/>
                <w:bCs/>
              </w:rPr>
              <w:t>17</w:t>
            </w:r>
          </w:p>
        </w:tc>
        <w:tc>
          <w:tcPr>
            <w:tcW w:w="6333" w:type="dxa"/>
            <w:shd w:val="clear" w:color="auto" w:fill="F2F2F2" w:themeFill="background1" w:themeFillShade="F2"/>
            <w:vAlign w:val="center"/>
          </w:tcPr>
          <w:p w14:paraId="1746017F" w14:textId="44D5C282" w:rsidR="00D578B7" w:rsidRPr="004C148E" w:rsidRDefault="00D578B7" w:rsidP="00B624D7">
            <w:pPr>
              <w:keepNext/>
              <w:jc w:val="both"/>
              <w:rPr>
                <w:rFonts w:cstheme="minorHAnsi"/>
                <w:b/>
              </w:rPr>
            </w:pPr>
            <w:r>
              <w:rPr>
                <w:rFonts w:cstheme="minorHAnsi"/>
                <w:b/>
              </w:rPr>
              <w:t>RHSC Strategic Discussion</w:t>
            </w:r>
          </w:p>
        </w:tc>
      </w:tr>
    </w:tbl>
    <w:p w14:paraId="673D9ECD" w14:textId="77777777" w:rsidR="00176D57" w:rsidRDefault="00176D57" w:rsidP="00FB05F6">
      <w:pPr>
        <w:pStyle w:val="BodyText"/>
        <w:ind w:firstLine="720"/>
        <w:rPr>
          <w:rFonts w:cstheme="minorHAnsi"/>
          <w:b/>
          <w:bCs/>
        </w:rPr>
      </w:pPr>
    </w:p>
    <w:p w14:paraId="715874AF" w14:textId="17001D0F" w:rsidR="003D6A6D" w:rsidRDefault="00A14750" w:rsidP="00A14750">
      <w:pPr>
        <w:pStyle w:val="BodyText"/>
        <w:ind w:firstLine="720"/>
        <w:rPr>
          <w:rFonts w:cstheme="minorHAnsi"/>
        </w:rPr>
      </w:pPr>
      <w:r>
        <w:rPr>
          <w:rFonts w:cstheme="minorHAnsi"/>
        </w:rPr>
        <w:t>T</w:t>
      </w:r>
      <w:r w:rsidRPr="00A14750">
        <w:rPr>
          <w:rFonts w:cstheme="minorHAnsi"/>
        </w:rPr>
        <w:t xml:space="preserve">he Chair led a strategic discussion on </w:t>
      </w:r>
      <w:r w:rsidR="00267C24">
        <w:rPr>
          <w:rFonts w:cstheme="minorHAnsi"/>
        </w:rPr>
        <w:t xml:space="preserve">progress of </w:t>
      </w:r>
      <w:r w:rsidRPr="00A14750">
        <w:rPr>
          <w:rFonts w:cstheme="minorHAnsi"/>
        </w:rPr>
        <w:t>the PWA roadmap</w:t>
      </w:r>
      <w:r w:rsidR="00267C24">
        <w:rPr>
          <w:rFonts w:cstheme="minorHAnsi"/>
        </w:rPr>
        <w:t>s</w:t>
      </w:r>
      <w:r w:rsidRPr="00A14750">
        <w:rPr>
          <w:rFonts w:cstheme="minorHAnsi"/>
        </w:rPr>
        <w:t xml:space="preserve">, which included a review of each </w:t>
      </w:r>
      <w:r w:rsidRPr="006B06DB">
        <w:rPr>
          <w:rFonts w:cstheme="minorHAnsi"/>
        </w:rPr>
        <w:t xml:space="preserve">PWA’s status in areas such as champion identification, curriculum development, performance measurement, and dialogues. The Chair highlighted that performance </w:t>
      </w:r>
      <w:r w:rsidR="003D6A6D" w:rsidRPr="006B06DB">
        <w:rPr>
          <w:rFonts w:cstheme="minorHAnsi"/>
        </w:rPr>
        <w:t xml:space="preserve">measures </w:t>
      </w:r>
      <w:r w:rsidRPr="006B06DB">
        <w:rPr>
          <w:rFonts w:cstheme="minorHAnsi"/>
        </w:rPr>
        <w:t xml:space="preserve">remained unclear for most PWAs, </w:t>
      </w:r>
      <w:r w:rsidR="00054D28" w:rsidRPr="006B06DB">
        <w:rPr>
          <w:rFonts w:cstheme="minorHAnsi"/>
        </w:rPr>
        <w:t xml:space="preserve">nothing that only </w:t>
      </w:r>
      <w:r w:rsidRPr="006B06DB">
        <w:rPr>
          <w:rFonts w:cstheme="minorHAnsi"/>
        </w:rPr>
        <w:t xml:space="preserve">the Supply Chain Integrity PWA </w:t>
      </w:r>
      <w:r w:rsidR="00054D28" w:rsidRPr="006B06DB">
        <w:rPr>
          <w:rFonts w:cstheme="minorHAnsi"/>
        </w:rPr>
        <w:t xml:space="preserve">and the Pharmacovigilance PWA  had only </w:t>
      </w:r>
      <w:r w:rsidRPr="006B06DB">
        <w:rPr>
          <w:rFonts w:cstheme="minorHAnsi"/>
        </w:rPr>
        <w:t xml:space="preserve">recently updated </w:t>
      </w:r>
      <w:r w:rsidR="00054D28" w:rsidRPr="006B06DB">
        <w:rPr>
          <w:rFonts w:cstheme="minorHAnsi"/>
        </w:rPr>
        <w:t xml:space="preserve">the </w:t>
      </w:r>
      <w:r w:rsidRPr="006B06DB">
        <w:rPr>
          <w:rFonts w:cstheme="minorHAnsi"/>
        </w:rPr>
        <w:t>KPIs.</w:t>
      </w:r>
      <w:r w:rsidR="003D6A6D" w:rsidRPr="006B06DB">
        <w:rPr>
          <w:rFonts w:cstheme="minorHAnsi"/>
        </w:rPr>
        <w:t xml:space="preserve"> </w:t>
      </w:r>
      <w:r w:rsidRPr="006B06DB">
        <w:rPr>
          <w:rFonts w:cstheme="minorHAnsi"/>
        </w:rPr>
        <w:t>During the review, Japan noted that the MRCT and GCP PWAs were missing from the table despite being established work areas. The Chair confirmed they would be added.</w:t>
      </w:r>
      <w:r w:rsidRPr="00A14750">
        <w:rPr>
          <w:rFonts w:cstheme="minorHAnsi"/>
        </w:rPr>
        <w:t xml:space="preserve"> </w:t>
      </w:r>
    </w:p>
    <w:p w14:paraId="37165896" w14:textId="77777777" w:rsidR="005A58A2" w:rsidRDefault="005A58A2" w:rsidP="00A14750">
      <w:pPr>
        <w:pStyle w:val="BodyText"/>
        <w:ind w:firstLine="720"/>
        <w:rPr>
          <w:rFonts w:cstheme="minorHAnsi"/>
        </w:rPr>
      </w:pPr>
    </w:p>
    <w:p w14:paraId="58E92110" w14:textId="490E2DA5" w:rsidR="00A14750" w:rsidRPr="00A14750" w:rsidRDefault="00A14750" w:rsidP="00A14750">
      <w:pPr>
        <w:pStyle w:val="BodyText"/>
        <w:ind w:firstLine="720"/>
        <w:rPr>
          <w:rFonts w:cstheme="minorHAnsi"/>
        </w:rPr>
      </w:pPr>
      <w:r w:rsidRPr="00A14750">
        <w:rPr>
          <w:rFonts w:cstheme="minorHAnsi"/>
        </w:rPr>
        <w:t>The Chair proposed adopting a life cycle approach for PWAs, with defined inception, development, execution, and completion phases, as well as clear criteria for sunsetting activities and associated COEs when objectives have been met. This would ensure PWAs remain relevant, avoid indefinite continuation without tangible outcomes, and free resources for new priorities.</w:t>
      </w:r>
    </w:p>
    <w:p w14:paraId="02A64772" w14:textId="77777777" w:rsidR="00A14750" w:rsidRPr="00A14750" w:rsidRDefault="00A14750" w:rsidP="00A14750">
      <w:pPr>
        <w:pStyle w:val="BodyText"/>
        <w:ind w:firstLine="720"/>
        <w:rPr>
          <w:rFonts w:cstheme="minorHAnsi"/>
        </w:rPr>
      </w:pPr>
    </w:p>
    <w:p w14:paraId="400F91B8" w14:textId="7FE430ED" w:rsidR="00A14750" w:rsidRPr="00A14750" w:rsidRDefault="00A14750" w:rsidP="00A14750">
      <w:pPr>
        <w:pStyle w:val="BodyText"/>
        <w:ind w:firstLine="720"/>
        <w:rPr>
          <w:rFonts w:cstheme="minorHAnsi"/>
        </w:rPr>
      </w:pPr>
      <w:r w:rsidRPr="00A14750">
        <w:rPr>
          <w:rFonts w:cstheme="minorHAnsi"/>
        </w:rPr>
        <w:t>Members responded positively. Industry representatives welcomed the proposal, noting that targeted deliverables and alignment with dialogues could help keep training content relevant. Regulators also supported the approach, with some noting that it may be easier to sunset inactive COEs than entire PWAs. Others stressed the importance of having well-defined processes for sunsetting to avoid subjective decisions.</w:t>
      </w:r>
    </w:p>
    <w:p w14:paraId="30560741" w14:textId="77777777" w:rsidR="00A14750" w:rsidRPr="00A14750" w:rsidRDefault="00A14750" w:rsidP="00A14750">
      <w:pPr>
        <w:pStyle w:val="BodyText"/>
        <w:ind w:firstLine="720"/>
        <w:rPr>
          <w:rFonts w:cstheme="minorHAnsi"/>
        </w:rPr>
      </w:pPr>
    </w:p>
    <w:p w14:paraId="6F611710" w14:textId="77777777" w:rsidR="00A14750" w:rsidRPr="00A14750" w:rsidRDefault="00A14750" w:rsidP="00A14750">
      <w:pPr>
        <w:pStyle w:val="BodyText"/>
        <w:ind w:firstLine="720"/>
        <w:rPr>
          <w:rFonts w:cstheme="minorHAnsi"/>
        </w:rPr>
      </w:pPr>
      <w:r w:rsidRPr="00F57407">
        <w:rPr>
          <w:rFonts w:cstheme="minorHAnsi"/>
        </w:rPr>
        <w:t>Japan, PMDA, and other members emphasized the need to prioritize resources, review the role of each PWA and COE, and consider where the RHSC should be in the next four to five years. Northeastern</w:t>
      </w:r>
      <w:r w:rsidRPr="00A14750">
        <w:rPr>
          <w:rFonts w:cstheme="minorHAnsi"/>
        </w:rPr>
        <w:t xml:space="preserve"> University raised the need to avoid redundancy between product-based PWAs and explore more cross-collaboration. The Chair reminded members that the Vision 2030 document already calls for a five-year PWA review and a two-year curriculum review, and that the next review cycle would be due in 2025.</w:t>
      </w:r>
    </w:p>
    <w:p w14:paraId="7ABEA177" w14:textId="77777777" w:rsidR="00A14750" w:rsidRPr="00A14750" w:rsidRDefault="00A14750" w:rsidP="00A14750">
      <w:pPr>
        <w:pStyle w:val="BodyText"/>
        <w:ind w:firstLine="720"/>
        <w:rPr>
          <w:rFonts w:cstheme="minorHAnsi"/>
        </w:rPr>
      </w:pPr>
    </w:p>
    <w:p w14:paraId="7E455EB8" w14:textId="368A90C9" w:rsidR="00A14750" w:rsidRPr="00A14750" w:rsidRDefault="00A14750" w:rsidP="00A14750">
      <w:pPr>
        <w:pStyle w:val="BodyText"/>
        <w:ind w:firstLine="720"/>
        <w:rPr>
          <w:rFonts w:cstheme="minorHAnsi"/>
        </w:rPr>
      </w:pPr>
      <w:r w:rsidRPr="00A14750">
        <w:rPr>
          <w:rFonts w:cstheme="minorHAnsi"/>
        </w:rPr>
        <w:t>To operationalize this, the Chair proposed developing a concept paper on PWA life cycles and sunsetting processes for circulation before SOM</w:t>
      </w:r>
      <w:r w:rsidR="009A775B">
        <w:rPr>
          <w:rFonts w:cstheme="minorHAnsi"/>
        </w:rPr>
        <w:t>1 2026</w:t>
      </w:r>
      <w:r w:rsidR="003D6A6D">
        <w:rPr>
          <w:rFonts w:cstheme="minorHAnsi"/>
        </w:rPr>
        <w:t>a</w:t>
      </w:r>
      <w:r w:rsidRPr="00A14750">
        <w:rPr>
          <w:rFonts w:cstheme="minorHAnsi"/>
        </w:rPr>
        <w:t>. The COE Coalition offered to prepare</w:t>
      </w:r>
      <w:r w:rsidR="003D6A6D">
        <w:rPr>
          <w:rFonts w:cstheme="minorHAnsi"/>
        </w:rPr>
        <w:t xml:space="preserve"> a </w:t>
      </w:r>
      <w:r w:rsidRPr="00A14750">
        <w:rPr>
          <w:rFonts w:cstheme="minorHAnsi"/>
        </w:rPr>
        <w:t xml:space="preserve">best practices </w:t>
      </w:r>
      <w:r w:rsidR="003D6A6D">
        <w:rPr>
          <w:rFonts w:cstheme="minorHAnsi"/>
        </w:rPr>
        <w:t>document</w:t>
      </w:r>
      <w:r w:rsidRPr="00A14750">
        <w:rPr>
          <w:rFonts w:cstheme="minorHAnsi"/>
        </w:rPr>
        <w:t xml:space="preserve"> covering </w:t>
      </w:r>
      <w:r w:rsidR="00DB5C94">
        <w:rPr>
          <w:rFonts w:cstheme="minorHAnsi"/>
        </w:rPr>
        <w:t>COEs</w:t>
      </w:r>
      <w:r w:rsidRPr="00A14750">
        <w:rPr>
          <w:rFonts w:cstheme="minorHAnsi"/>
        </w:rPr>
        <w:t xml:space="preserve">, noting that the operating model already requires COE assessments every three years. There was agreement that </w:t>
      </w:r>
      <w:r w:rsidR="00DB5C94">
        <w:rPr>
          <w:rFonts w:cstheme="minorHAnsi"/>
        </w:rPr>
        <w:t>COE assessments</w:t>
      </w:r>
      <w:r w:rsidR="00DB5C94" w:rsidRPr="00A14750">
        <w:rPr>
          <w:rFonts w:cstheme="minorHAnsi"/>
        </w:rPr>
        <w:t xml:space="preserve"> </w:t>
      </w:r>
      <w:r w:rsidRPr="00A14750">
        <w:rPr>
          <w:rFonts w:cstheme="minorHAnsi"/>
        </w:rPr>
        <w:t>should be staggered to avoid all coming due at once.</w:t>
      </w:r>
    </w:p>
    <w:p w14:paraId="464FA8DD" w14:textId="77777777" w:rsidR="00A14750" w:rsidRPr="00A14750" w:rsidRDefault="00A14750" w:rsidP="00A14750">
      <w:pPr>
        <w:pStyle w:val="BodyText"/>
        <w:ind w:firstLine="720"/>
        <w:rPr>
          <w:rFonts w:cstheme="minorHAnsi"/>
        </w:rPr>
      </w:pPr>
    </w:p>
    <w:p w14:paraId="6C908693" w14:textId="5E0AEA80" w:rsidR="00D71117" w:rsidRDefault="00972B49" w:rsidP="00A14750">
      <w:pPr>
        <w:pStyle w:val="BodyText"/>
        <w:ind w:firstLine="720"/>
        <w:rPr>
          <w:rFonts w:cstheme="minorHAnsi"/>
        </w:rPr>
      </w:pPr>
      <w:r w:rsidRPr="00972B49">
        <w:rPr>
          <w:rFonts w:cstheme="minorHAnsi"/>
        </w:rPr>
        <w:t xml:space="preserve">The Chair will </w:t>
      </w:r>
      <w:r w:rsidR="00DB5C94">
        <w:rPr>
          <w:rFonts w:cstheme="minorHAnsi"/>
        </w:rPr>
        <w:t>draft</w:t>
      </w:r>
      <w:r w:rsidR="00DB5C94" w:rsidRPr="00972B49">
        <w:rPr>
          <w:rFonts w:cstheme="minorHAnsi"/>
        </w:rPr>
        <w:t xml:space="preserve"> </w:t>
      </w:r>
      <w:r w:rsidRPr="00972B49">
        <w:rPr>
          <w:rFonts w:cstheme="minorHAnsi"/>
        </w:rPr>
        <w:t xml:space="preserve">a concept paper, and the CoE Coalition Chairs will </w:t>
      </w:r>
      <w:r w:rsidR="00DB5C94">
        <w:rPr>
          <w:rFonts w:cstheme="minorHAnsi"/>
        </w:rPr>
        <w:t>create</w:t>
      </w:r>
      <w:r w:rsidRPr="00972B49">
        <w:rPr>
          <w:rFonts w:cstheme="minorHAnsi"/>
        </w:rPr>
        <w:t xml:space="preserve"> a CoE best practices document. </w:t>
      </w:r>
    </w:p>
    <w:p w14:paraId="4B3646AA" w14:textId="77777777" w:rsidR="00972B49" w:rsidRDefault="00972B49" w:rsidP="00A14750">
      <w:pPr>
        <w:pStyle w:val="BodyText"/>
        <w:ind w:firstLine="720"/>
        <w:rPr>
          <w:rFonts w:cstheme="minorHAnsi"/>
        </w:rPr>
      </w:pPr>
    </w:p>
    <w:tbl>
      <w:tblPr>
        <w:tblStyle w:val="TableGrid"/>
        <w:tblW w:w="9606" w:type="dxa"/>
        <w:jc w:val="center"/>
        <w:tblLook w:val="04A0" w:firstRow="1" w:lastRow="0" w:firstColumn="1" w:lastColumn="0" w:noHBand="0" w:noVBand="1"/>
      </w:tblPr>
      <w:tblGrid>
        <w:gridCol w:w="1368"/>
        <w:gridCol w:w="1905"/>
        <w:gridCol w:w="6333"/>
      </w:tblGrid>
      <w:tr w:rsidR="00D71117" w:rsidRPr="00F57407" w14:paraId="7BA99AD7" w14:textId="77777777" w:rsidTr="00B624D7">
        <w:trPr>
          <w:jc w:val="center"/>
        </w:trPr>
        <w:tc>
          <w:tcPr>
            <w:tcW w:w="1368" w:type="dxa"/>
            <w:shd w:val="clear" w:color="auto" w:fill="F2F2F2" w:themeFill="background1" w:themeFillShade="F2"/>
            <w:vAlign w:val="center"/>
          </w:tcPr>
          <w:p w14:paraId="65EEA76C" w14:textId="578E0508" w:rsidR="00D71117" w:rsidRPr="004C148E" w:rsidRDefault="00AB7F82" w:rsidP="00B624D7">
            <w:pPr>
              <w:keepNext/>
              <w:jc w:val="both"/>
              <w:rPr>
                <w:rFonts w:cstheme="minorHAnsi"/>
                <w:b/>
                <w:bCs/>
              </w:rPr>
            </w:pPr>
            <w:r>
              <w:rPr>
                <w:rFonts w:cstheme="minorHAnsi"/>
                <w:b/>
                <w:bCs/>
              </w:rPr>
              <w:t>10</w:t>
            </w:r>
            <w:r w:rsidR="00D71117" w:rsidRPr="004C148E">
              <w:rPr>
                <w:rFonts w:cstheme="minorHAnsi"/>
                <w:b/>
                <w:bCs/>
              </w:rPr>
              <w:t>:</w:t>
            </w:r>
            <w:r>
              <w:rPr>
                <w:rFonts w:cstheme="minorHAnsi"/>
                <w:b/>
                <w:bCs/>
              </w:rPr>
              <w:t>15</w:t>
            </w:r>
            <w:r w:rsidR="00D71117" w:rsidRPr="004C148E">
              <w:rPr>
                <w:rFonts w:cstheme="minorHAnsi"/>
                <w:b/>
                <w:bCs/>
              </w:rPr>
              <w:t>-</w:t>
            </w:r>
            <w:r>
              <w:rPr>
                <w:rFonts w:cstheme="minorHAnsi"/>
                <w:b/>
                <w:bCs/>
              </w:rPr>
              <w:t>12</w:t>
            </w:r>
            <w:r w:rsidR="00D71117" w:rsidRPr="004C148E">
              <w:rPr>
                <w:rFonts w:cstheme="minorHAnsi"/>
                <w:b/>
                <w:bCs/>
              </w:rPr>
              <w:t>:</w:t>
            </w:r>
            <w:r>
              <w:rPr>
                <w:rFonts w:cstheme="minorHAnsi"/>
                <w:b/>
                <w:bCs/>
              </w:rPr>
              <w:t>1</w:t>
            </w:r>
            <w:r w:rsidR="00D71117">
              <w:rPr>
                <w:rFonts w:cstheme="minorHAnsi"/>
                <w:b/>
                <w:bCs/>
              </w:rPr>
              <w:t>5</w:t>
            </w:r>
          </w:p>
        </w:tc>
        <w:tc>
          <w:tcPr>
            <w:tcW w:w="1905" w:type="dxa"/>
            <w:shd w:val="clear" w:color="auto" w:fill="F2F2F2" w:themeFill="background1" w:themeFillShade="F2"/>
            <w:vAlign w:val="center"/>
          </w:tcPr>
          <w:p w14:paraId="0F99BAE5" w14:textId="752D5DB5" w:rsidR="00D71117" w:rsidRPr="004C148E" w:rsidRDefault="00D71117" w:rsidP="00B624D7">
            <w:pPr>
              <w:keepNext/>
              <w:jc w:val="both"/>
              <w:rPr>
                <w:rFonts w:cstheme="minorHAnsi"/>
                <w:b/>
                <w:bCs/>
              </w:rPr>
            </w:pPr>
            <w:r w:rsidRPr="004C148E">
              <w:rPr>
                <w:rFonts w:cstheme="minorHAnsi"/>
                <w:b/>
                <w:bCs/>
              </w:rPr>
              <w:t xml:space="preserve">AGENDA ITEM </w:t>
            </w:r>
            <w:r>
              <w:rPr>
                <w:rFonts w:cstheme="minorHAnsi"/>
                <w:b/>
                <w:bCs/>
              </w:rPr>
              <w:t>1</w:t>
            </w:r>
            <w:r w:rsidR="00AB7F82">
              <w:rPr>
                <w:rFonts w:cstheme="minorHAnsi"/>
                <w:b/>
                <w:bCs/>
              </w:rPr>
              <w:t>8</w:t>
            </w:r>
          </w:p>
        </w:tc>
        <w:tc>
          <w:tcPr>
            <w:tcW w:w="6333" w:type="dxa"/>
            <w:shd w:val="clear" w:color="auto" w:fill="F2F2F2" w:themeFill="background1" w:themeFillShade="F2"/>
            <w:vAlign w:val="center"/>
          </w:tcPr>
          <w:p w14:paraId="17A3A2CF" w14:textId="76867D3E" w:rsidR="00D71117" w:rsidRPr="004445C8" w:rsidRDefault="00AE44BB" w:rsidP="00B624D7">
            <w:pPr>
              <w:keepNext/>
              <w:jc w:val="both"/>
              <w:rPr>
                <w:rFonts w:cstheme="minorHAnsi"/>
                <w:b/>
                <w:lang w:val="fr-BE"/>
              </w:rPr>
            </w:pPr>
            <w:r w:rsidRPr="004445C8">
              <w:rPr>
                <w:rFonts w:cstheme="minorHAnsi"/>
                <w:b/>
                <w:lang w:val="fr-BE"/>
              </w:rPr>
              <w:t>Dialogue on ICH E17 Implementation</w:t>
            </w:r>
          </w:p>
        </w:tc>
      </w:tr>
    </w:tbl>
    <w:p w14:paraId="104C9B4E" w14:textId="77777777" w:rsidR="00D71117" w:rsidRPr="004445C8" w:rsidRDefault="00D71117" w:rsidP="00A14750">
      <w:pPr>
        <w:pStyle w:val="BodyText"/>
        <w:ind w:firstLine="720"/>
        <w:rPr>
          <w:rFonts w:cstheme="minorHAnsi"/>
          <w:lang w:val="fr-BE"/>
        </w:rPr>
      </w:pPr>
    </w:p>
    <w:p w14:paraId="65AEFDA5" w14:textId="0C39F4A5" w:rsidR="00AE44BB" w:rsidRDefault="00AE44BB" w:rsidP="00AE44BB">
      <w:pPr>
        <w:pStyle w:val="BodyText"/>
        <w:ind w:firstLine="720"/>
        <w:rPr>
          <w:rFonts w:asciiTheme="minorHAnsi" w:hAnsiTheme="minorHAnsi" w:cstheme="minorHAnsi"/>
          <w:b/>
          <w:bCs/>
          <w:u w:val="single"/>
        </w:rPr>
      </w:pPr>
      <w:r>
        <w:rPr>
          <w:rFonts w:asciiTheme="minorHAnsi" w:hAnsiTheme="minorHAnsi" w:cstheme="minorHAnsi"/>
          <w:b/>
          <w:bCs/>
        </w:rPr>
        <w:t>1</w:t>
      </w:r>
      <w:r w:rsidR="00C35C49">
        <w:rPr>
          <w:rFonts w:asciiTheme="minorHAnsi" w:hAnsiTheme="minorHAnsi" w:cstheme="minorHAnsi"/>
          <w:b/>
          <w:bCs/>
        </w:rPr>
        <w:t>8</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00F4454C" w:rsidRPr="00F4454C">
        <w:rPr>
          <w:rFonts w:asciiTheme="minorHAnsi" w:hAnsiTheme="minorHAnsi" w:cstheme="minorHAnsi"/>
          <w:b/>
          <w:bCs/>
          <w:u w:val="single"/>
        </w:rPr>
        <w:t>Welcome &amp; Introductory Remarks</w:t>
      </w:r>
    </w:p>
    <w:p w14:paraId="299EA1A0" w14:textId="77777777" w:rsidR="00F4454C" w:rsidRDefault="00F4454C" w:rsidP="00AE44BB">
      <w:pPr>
        <w:pStyle w:val="BodyText"/>
        <w:ind w:firstLine="720"/>
        <w:rPr>
          <w:rFonts w:asciiTheme="minorHAnsi" w:hAnsiTheme="minorHAnsi" w:cstheme="minorHAnsi"/>
          <w:b/>
          <w:bCs/>
          <w:u w:val="single"/>
        </w:rPr>
      </w:pPr>
    </w:p>
    <w:p w14:paraId="38DBDCB6" w14:textId="3C946D25" w:rsidR="00AE44BB" w:rsidRDefault="007A093C" w:rsidP="00A14750">
      <w:pPr>
        <w:pStyle w:val="BodyText"/>
        <w:ind w:firstLine="720"/>
      </w:pPr>
      <w:r>
        <w:t xml:space="preserve">The RHSC Chair opened the first dialogue session, expressing enthusiasm for </w:t>
      </w:r>
      <w:r w:rsidR="00DB5C94">
        <w:t>the dialogue</w:t>
      </w:r>
      <w:r>
        <w:t xml:space="preserve"> and encouraging participants to share feedback on how it could be improved</w:t>
      </w:r>
      <w:r w:rsidR="00F70856">
        <w:t xml:space="preserve"> in the future</w:t>
      </w:r>
      <w:r>
        <w:t xml:space="preserve">. The Chair emphasized the importance of the ICH E17 guideline </w:t>
      </w:r>
      <w:r w:rsidR="00F70856">
        <w:t xml:space="preserve">for </w:t>
      </w:r>
      <w:r>
        <w:t xml:space="preserve">multi-regional clinical trials (MRCTs), noting its role in </w:t>
      </w:r>
      <w:r w:rsidR="00F70856">
        <w:t>more efficient drug development by reducing duplication</w:t>
      </w:r>
      <w:r w:rsidR="00896786">
        <w:t>, which in turn can speed patient access to new medicines</w:t>
      </w:r>
      <w:r>
        <w:t>.</w:t>
      </w:r>
    </w:p>
    <w:p w14:paraId="08E68746" w14:textId="77777777" w:rsidR="007A093C" w:rsidRDefault="007A093C" w:rsidP="00A14750">
      <w:pPr>
        <w:pStyle w:val="BodyText"/>
        <w:ind w:firstLine="720"/>
      </w:pPr>
    </w:p>
    <w:p w14:paraId="561BAAD7" w14:textId="725D4080" w:rsidR="007A093C" w:rsidRDefault="007A093C" w:rsidP="007A093C">
      <w:pPr>
        <w:pStyle w:val="BodyText"/>
        <w:ind w:firstLine="720"/>
        <w:rPr>
          <w:rFonts w:asciiTheme="minorHAnsi" w:hAnsiTheme="minorHAnsi" w:cstheme="minorHAnsi"/>
          <w:b/>
          <w:bCs/>
          <w:u w:val="single"/>
        </w:rPr>
      </w:pPr>
      <w:r>
        <w:rPr>
          <w:rFonts w:asciiTheme="minorHAnsi" w:hAnsiTheme="minorHAnsi" w:cstheme="minorHAnsi"/>
          <w:b/>
          <w:bCs/>
        </w:rPr>
        <w:t>1</w:t>
      </w:r>
      <w:r w:rsidR="00C35C49">
        <w:rPr>
          <w:rFonts w:asciiTheme="minorHAnsi" w:hAnsiTheme="minorHAnsi" w:cstheme="minorHAnsi"/>
          <w:b/>
          <w:bCs/>
        </w:rPr>
        <w:t>8</w:t>
      </w:r>
      <w:r w:rsidRPr="004C148E">
        <w:rPr>
          <w:rFonts w:asciiTheme="minorHAnsi" w:hAnsiTheme="minorHAnsi" w:cstheme="minorHAnsi"/>
          <w:b/>
          <w:bCs/>
        </w:rPr>
        <w:t>.</w:t>
      </w:r>
      <w:r>
        <w:rPr>
          <w:rFonts w:asciiTheme="minorHAnsi" w:hAnsiTheme="minorHAnsi" w:cstheme="minorHAnsi"/>
          <w:b/>
          <w:bCs/>
        </w:rPr>
        <w:t>2</w:t>
      </w:r>
      <w:r w:rsidRPr="004C148E">
        <w:rPr>
          <w:rFonts w:asciiTheme="minorHAnsi" w:hAnsiTheme="minorHAnsi" w:cstheme="minorHAnsi"/>
          <w:b/>
          <w:bCs/>
        </w:rPr>
        <w:t xml:space="preserve"> </w:t>
      </w:r>
      <w:r w:rsidRPr="004C148E">
        <w:rPr>
          <w:rFonts w:asciiTheme="minorHAnsi" w:hAnsiTheme="minorHAnsi" w:cstheme="minorHAnsi"/>
          <w:b/>
          <w:bCs/>
        </w:rPr>
        <w:tab/>
      </w:r>
      <w:r w:rsidR="00472DCC" w:rsidRPr="00472DCC">
        <w:rPr>
          <w:rFonts w:asciiTheme="minorHAnsi" w:hAnsiTheme="minorHAnsi" w:cstheme="minorHAnsi"/>
          <w:b/>
          <w:bCs/>
          <w:u w:val="single"/>
        </w:rPr>
        <w:t>ICH E17 Overview</w:t>
      </w:r>
    </w:p>
    <w:p w14:paraId="4AE88AA5" w14:textId="77777777" w:rsidR="007A093C" w:rsidRDefault="007A093C" w:rsidP="00A14750">
      <w:pPr>
        <w:pStyle w:val="BodyText"/>
        <w:ind w:firstLine="720"/>
        <w:rPr>
          <w:rFonts w:cstheme="minorHAnsi"/>
        </w:rPr>
      </w:pPr>
    </w:p>
    <w:p w14:paraId="797259E7" w14:textId="77777777" w:rsidR="00D40928" w:rsidRPr="00D40928" w:rsidRDefault="00D40928" w:rsidP="00D40928">
      <w:pPr>
        <w:pStyle w:val="BodyText"/>
        <w:ind w:firstLine="720"/>
        <w:rPr>
          <w:rFonts w:cstheme="minorHAnsi"/>
        </w:rPr>
      </w:pPr>
      <w:r w:rsidRPr="00D40928">
        <w:rPr>
          <w:rFonts w:cstheme="minorHAnsi"/>
        </w:rPr>
        <w:t>Aloka Chakravarty, Vice President of Statistical Data Insight and Advanced Analytics at Eli Lilly, delivered a presentation on the history, principles, and implementation challenges of the ICH E17 guideline on general principles for the planning and design of multi-regional clinical trials (MRCTs).</w:t>
      </w:r>
    </w:p>
    <w:p w14:paraId="32EFF96A" w14:textId="77777777" w:rsidR="00D40928" w:rsidRPr="00D40928" w:rsidRDefault="00D40928" w:rsidP="00D40928">
      <w:pPr>
        <w:pStyle w:val="BodyText"/>
        <w:ind w:firstLine="720"/>
        <w:rPr>
          <w:rFonts w:cstheme="minorHAnsi"/>
        </w:rPr>
      </w:pPr>
    </w:p>
    <w:p w14:paraId="3B403325" w14:textId="77777777" w:rsidR="00D40928" w:rsidRPr="00D40928" w:rsidRDefault="00D40928" w:rsidP="00D40928">
      <w:pPr>
        <w:pStyle w:val="BodyText"/>
        <w:ind w:firstLine="720"/>
        <w:rPr>
          <w:rFonts w:cstheme="minorHAnsi"/>
        </w:rPr>
      </w:pPr>
      <w:r w:rsidRPr="00D40928">
        <w:rPr>
          <w:rFonts w:cstheme="minorHAnsi"/>
        </w:rPr>
        <w:t>Drawing from her experience as the lead for ICH E17 during both the Expert Working Group and Implementation Working Group phases, Ms. Chakravarty explained that the guideline was created to support more efficient global drug development by enabling simultaneous MRCTs that can achieve approvals in multiple regions. The approach allows recruitment of sufficient trial subjects in a reasonable timeframe and facilitates examination of treatment effects across regions and populations, while recognizing that MRCTs are not universally applicable.</w:t>
      </w:r>
    </w:p>
    <w:p w14:paraId="28F6F1E7" w14:textId="77777777" w:rsidR="00D40928" w:rsidRPr="00D40928" w:rsidRDefault="00D40928" w:rsidP="00D40928">
      <w:pPr>
        <w:pStyle w:val="BodyText"/>
        <w:ind w:firstLine="720"/>
        <w:rPr>
          <w:rFonts w:cstheme="minorHAnsi"/>
        </w:rPr>
      </w:pPr>
    </w:p>
    <w:p w14:paraId="24AAEE21" w14:textId="689A3579" w:rsidR="00D40928" w:rsidRPr="00D40928" w:rsidRDefault="00D40928" w:rsidP="00D40928">
      <w:pPr>
        <w:pStyle w:val="BodyText"/>
        <w:ind w:firstLine="720"/>
        <w:rPr>
          <w:rFonts w:cstheme="minorHAnsi"/>
        </w:rPr>
      </w:pPr>
      <w:r w:rsidRPr="00D40928">
        <w:rPr>
          <w:rFonts w:cstheme="minorHAnsi"/>
        </w:rPr>
        <w:t xml:space="preserve">ICH E17 builds on ICH E5’s framework for considering ethnic factors and bridging studies, incorporating both intrinsic and extrinsic factors into design strategies such as sample size allocation and pooling. </w:t>
      </w:r>
      <w:r w:rsidR="008A5917">
        <w:rPr>
          <w:rFonts w:cstheme="minorHAnsi"/>
        </w:rPr>
        <w:t>APEC</w:t>
      </w:r>
      <w:r w:rsidRPr="00D40928">
        <w:rPr>
          <w:rFonts w:cstheme="minorHAnsi"/>
        </w:rPr>
        <w:t xml:space="preserve"> economies—including Japan (rapporteur), the United States, China, </w:t>
      </w:r>
      <w:r w:rsidR="00B777E4">
        <w:rPr>
          <w:rFonts w:cstheme="minorHAnsi"/>
        </w:rPr>
        <w:t>Chinese Taipei</w:t>
      </w:r>
      <w:r w:rsidRPr="00D40928">
        <w:rPr>
          <w:rFonts w:cstheme="minorHAnsi"/>
        </w:rPr>
        <w:t>, Korea, and Singapore—played active roles in development, with follow-on training delivered in partnership with Duke-NUS from 2017–2019.</w:t>
      </w:r>
    </w:p>
    <w:p w14:paraId="4C7E3F34" w14:textId="77777777" w:rsidR="00D40928" w:rsidRPr="00D40928" w:rsidRDefault="00D40928" w:rsidP="00D40928">
      <w:pPr>
        <w:pStyle w:val="BodyText"/>
        <w:ind w:firstLine="720"/>
        <w:rPr>
          <w:rFonts w:cstheme="minorHAnsi"/>
        </w:rPr>
      </w:pPr>
    </w:p>
    <w:p w14:paraId="224B9837" w14:textId="1985BF1D" w:rsidR="00D40928" w:rsidRPr="00D40928" w:rsidRDefault="00D40928" w:rsidP="00D40928">
      <w:pPr>
        <w:pStyle w:val="BodyText"/>
        <w:ind w:firstLine="720"/>
        <w:rPr>
          <w:rFonts w:cstheme="minorHAnsi"/>
        </w:rPr>
      </w:pPr>
      <w:r w:rsidRPr="00D40928">
        <w:rPr>
          <w:rFonts w:cstheme="minorHAnsi"/>
        </w:rPr>
        <w:t xml:space="preserve">Ms. Chakravarty outlined the </w:t>
      </w:r>
      <w:r w:rsidR="00E35DDB">
        <w:rPr>
          <w:rFonts w:cstheme="minorHAnsi"/>
        </w:rPr>
        <w:t>seven</w:t>
      </w:r>
      <w:r w:rsidRPr="00D40928">
        <w:rPr>
          <w:rFonts w:cstheme="minorHAnsi"/>
        </w:rPr>
        <w:t xml:space="preserve"> principles for good MRCT design, covering strategic trial use, consideration of population factors, sample size allocation, pooling strategies, assessment of treatment effect consistency, quality study design, and effective sponsor–regulator communication. She noted that while some economies implemented the guideline soon after its 2017 issuance, others only did so by 2023, and misalignment with local guidance remains a source of inefficiency.</w:t>
      </w:r>
    </w:p>
    <w:p w14:paraId="491B4627" w14:textId="77777777" w:rsidR="00D40928" w:rsidRPr="00D40928" w:rsidRDefault="00D40928" w:rsidP="00D40928">
      <w:pPr>
        <w:pStyle w:val="BodyText"/>
        <w:ind w:firstLine="720"/>
        <w:rPr>
          <w:rFonts w:cstheme="minorHAnsi"/>
        </w:rPr>
      </w:pPr>
    </w:p>
    <w:p w14:paraId="365F2DA5" w14:textId="1B465991" w:rsidR="00D40928" w:rsidRPr="00D40928" w:rsidRDefault="00D40928" w:rsidP="00D40928">
      <w:pPr>
        <w:pStyle w:val="BodyText"/>
        <w:ind w:firstLine="720"/>
        <w:rPr>
          <w:rFonts w:cstheme="minorHAnsi"/>
        </w:rPr>
      </w:pPr>
      <w:r w:rsidRPr="00D40928">
        <w:rPr>
          <w:rFonts w:cstheme="minorHAnsi"/>
        </w:rPr>
        <w:t xml:space="preserve">She emphasized what E17 is not—a regulation, a step-by-step manual, or a guarantee that MRCTs are appropriate in all cases—and </w:t>
      </w:r>
      <w:r w:rsidR="00E35DDB">
        <w:rPr>
          <w:rFonts w:cstheme="minorHAnsi"/>
        </w:rPr>
        <w:t>noted</w:t>
      </w:r>
      <w:r w:rsidRPr="00D40928">
        <w:rPr>
          <w:rFonts w:cstheme="minorHAnsi"/>
        </w:rPr>
        <w:t xml:space="preserve"> that 40–60% of participants in U.S. trials are from outside the U.S., with oncology trials reaching 86%.</w:t>
      </w:r>
    </w:p>
    <w:p w14:paraId="7C66E6DC" w14:textId="77777777" w:rsidR="00D40928" w:rsidRPr="00D40928" w:rsidRDefault="00D40928" w:rsidP="00D40928">
      <w:pPr>
        <w:pStyle w:val="BodyText"/>
        <w:ind w:firstLine="720"/>
        <w:rPr>
          <w:rFonts w:cstheme="minorHAnsi"/>
        </w:rPr>
      </w:pPr>
    </w:p>
    <w:p w14:paraId="08F1709F" w14:textId="1096F5FF" w:rsidR="00D40928" w:rsidRPr="00D40928" w:rsidRDefault="00D40928" w:rsidP="00D40928">
      <w:pPr>
        <w:pStyle w:val="BodyText"/>
        <w:ind w:firstLine="720"/>
        <w:rPr>
          <w:rFonts w:cstheme="minorHAnsi"/>
        </w:rPr>
      </w:pPr>
      <w:r w:rsidRPr="00D40928">
        <w:rPr>
          <w:rFonts w:cstheme="minorHAnsi"/>
        </w:rPr>
        <w:t>The presentation closed with key implementation challenges, including:</w:t>
      </w:r>
    </w:p>
    <w:p w14:paraId="394409B8" w14:textId="560333A5" w:rsidR="00D40928" w:rsidRPr="00D40928" w:rsidRDefault="00D40928" w:rsidP="00D40928">
      <w:pPr>
        <w:pStyle w:val="BodyText"/>
        <w:numPr>
          <w:ilvl w:val="0"/>
          <w:numId w:val="7"/>
        </w:numPr>
        <w:rPr>
          <w:rFonts w:cstheme="minorHAnsi"/>
        </w:rPr>
      </w:pPr>
      <w:r w:rsidRPr="00D40928">
        <w:rPr>
          <w:rFonts w:cstheme="minorHAnsi"/>
        </w:rPr>
        <w:t>Difficulty applying MRCTs to personalized medicine.</w:t>
      </w:r>
    </w:p>
    <w:p w14:paraId="616432F1" w14:textId="2D482DDB" w:rsidR="00D40928" w:rsidRPr="00D40928" w:rsidRDefault="00D40928" w:rsidP="00D40928">
      <w:pPr>
        <w:pStyle w:val="BodyText"/>
        <w:numPr>
          <w:ilvl w:val="0"/>
          <w:numId w:val="7"/>
        </w:numPr>
        <w:rPr>
          <w:rFonts w:cstheme="minorHAnsi"/>
        </w:rPr>
      </w:pPr>
      <w:r w:rsidRPr="00D40928">
        <w:rPr>
          <w:rFonts w:cstheme="minorHAnsi"/>
        </w:rPr>
        <w:t>Coordination issues caused by expedited regulatory pathways across regions.</w:t>
      </w:r>
    </w:p>
    <w:p w14:paraId="02805B57" w14:textId="3ED20BE6" w:rsidR="00D40928" w:rsidRPr="00D40928" w:rsidRDefault="00D40928" w:rsidP="00D40928">
      <w:pPr>
        <w:pStyle w:val="BodyText"/>
        <w:numPr>
          <w:ilvl w:val="0"/>
          <w:numId w:val="7"/>
        </w:numPr>
        <w:rPr>
          <w:rFonts w:cstheme="minorHAnsi"/>
        </w:rPr>
      </w:pPr>
      <w:r w:rsidRPr="00D40928">
        <w:rPr>
          <w:rFonts w:cstheme="minorHAnsi"/>
        </w:rPr>
        <w:t>Challenges in patient centricity and patient-reported outcomes due to translation and engagement barriers.</w:t>
      </w:r>
    </w:p>
    <w:p w14:paraId="6251AB9D" w14:textId="35E80422" w:rsidR="00D40928" w:rsidRPr="00D40928" w:rsidRDefault="00D40928" w:rsidP="00D40928">
      <w:pPr>
        <w:pStyle w:val="BodyText"/>
        <w:numPr>
          <w:ilvl w:val="0"/>
          <w:numId w:val="7"/>
        </w:numPr>
        <w:rPr>
          <w:rFonts w:cstheme="minorHAnsi"/>
        </w:rPr>
      </w:pPr>
      <w:r w:rsidRPr="00D40928">
        <w:rPr>
          <w:rFonts w:cstheme="minorHAnsi"/>
        </w:rPr>
        <w:lastRenderedPageBreak/>
        <w:t>Acceptance and applicability of foreign data.</w:t>
      </w:r>
    </w:p>
    <w:p w14:paraId="7484322F" w14:textId="5261F40F" w:rsidR="00D40928" w:rsidRPr="00D40928" w:rsidRDefault="00D40928" w:rsidP="00D40928">
      <w:pPr>
        <w:pStyle w:val="BodyText"/>
        <w:numPr>
          <w:ilvl w:val="0"/>
          <w:numId w:val="7"/>
        </w:numPr>
        <w:rPr>
          <w:rFonts w:cstheme="minorHAnsi"/>
        </w:rPr>
      </w:pPr>
      <w:r w:rsidRPr="00D40928">
        <w:rPr>
          <w:rFonts w:cstheme="minorHAnsi"/>
        </w:rPr>
        <w:t>Data quality, privacy, and interoperability issues in decentralized trials (DCTs) and real-world data use.</w:t>
      </w:r>
    </w:p>
    <w:p w14:paraId="4D383C3B" w14:textId="33553587" w:rsidR="00D40928" w:rsidRPr="00D40928" w:rsidRDefault="00D40928" w:rsidP="00D40928">
      <w:pPr>
        <w:pStyle w:val="BodyText"/>
        <w:numPr>
          <w:ilvl w:val="0"/>
          <w:numId w:val="7"/>
        </w:numPr>
        <w:rPr>
          <w:rFonts w:cstheme="minorHAnsi"/>
        </w:rPr>
      </w:pPr>
      <w:r w:rsidRPr="00D40928">
        <w:rPr>
          <w:rFonts w:cstheme="minorHAnsi"/>
        </w:rPr>
        <w:t>Evolving understanding of ethnic factors since ICH E5.</w:t>
      </w:r>
    </w:p>
    <w:p w14:paraId="1317A398" w14:textId="016B794E" w:rsidR="00D40928" w:rsidRDefault="00D40928" w:rsidP="00D40928">
      <w:pPr>
        <w:pStyle w:val="BodyText"/>
        <w:numPr>
          <w:ilvl w:val="0"/>
          <w:numId w:val="7"/>
        </w:numPr>
        <w:rPr>
          <w:rFonts w:cstheme="minorHAnsi"/>
        </w:rPr>
      </w:pPr>
      <w:r w:rsidRPr="00D40928">
        <w:rPr>
          <w:rFonts w:cstheme="minorHAnsi"/>
        </w:rPr>
        <w:t>Complications when drug development is split between multiple sponsors.</w:t>
      </w:r>
    </w:p>
    <w:p w14:paraId="204E180B" w14:textId="77777777" w:rsidR="00D40928" w:rsidRDefault="00D40928" w:rsidP="00D40928">
      <w:pPr>
        <w:pStyle w:val="BodyText"/>
        <w:rPr>
          <w:rFonts w:cstheme="minorHAnsi"/>
        </w:rPr>
      </w:pPr>
    </w:p>
    <w:p w14:paraId="26B0D4E8" w14:textId="63363BF8" w:rsidR="00C35C49" w:rsidRDefault="00C35C49" w:rsidP="00C35C49">
      <w:pPr>
        <w:pStyle w:val="BodyText"/>
        <w:ind w:firstLine="720"/>
        <w:rPr>
          <w:rFonts w:asciiTheme="minorHAnsi" w:hAnsiTheme="minorHAnsi" w:cstheme="minorHAnsi"/>
          <w:b/>
          <w:bCs/>
          <w:u w:val="single"/>
        </w:rPr>
      </w:pPr>
      <w:r>
        <w:rPr>
          <w:rFonts w:asciiTheme="minorHAnsi" w:hAnsiTheme="minorHAnsi" w:cstheme="minorHAnsi"/>
          <w:b/>
          <w:bCs/>
        </w:rPr>
        <w:t>18</w:t>
      </w:r>
      <w:r w:rsidRPr="004C148E">
        <w:rPr>
          <w:rFonts w:asciiTheme="minorHAnsi" w:hAnsiTheme="minorHAnsi" w:cstheme="minorHAnsi"/>
          <w:b/>
          <w:bCs/>
        </w:rPr>
        <w:t>.</w:t>
      </w:r>
      <w:r>
        <w:rPr>
          <w:rFonts w:asciiTheme="minorHAnsi" w:hAnsiTheme="minorHAnsi" w:cstheme="minorHAnsi"/>
          <w:b/>
          <w:bCs/>
        </w:rPr>
        <w:t>3</w:t>
      </w:r>
      <w:r w:rsidRPr="004C148E">
        <w:rPr>
          <w:rFonts w:asciiTheme="minorHAnsi" w:hAnsiTheme="minorHAnsi" w:cstheme="minorHAnsi"/>
          <w:b/>
          <w:bCs/>
        </w:rPr>
        <w:t xml:space="preserve"> </w:t>
      </w:r>
      <w:r w:rsidRPr="004C148E">
        <w:rPr>
          <w:rFonts w:asciiTheme="minorHAnsi" w:hAnsiTheme="minorHAnsi" w:cstheme="minorHAnsi"/>
          <w:b/>
          <w:bCs/>
        </w:rPr>
        <w:tab/>
      </w:r>
      <w:r w:rsidR="00F3167F" w:rsidRPr="00F3167F">
        <w:rPr>
          <w:rFonts w:asciiTheme="minorHAnsi" w:hAnsiTheme="minorHAnsi" w:cstheme="minorHAnsi"/>
          <w:b/>
          <w:bCs/>
          <w:u w:val="single"/>
        </w:rPr>
        <w:t>Strategic Value of ICH E17 for APEC Economies</w:t>
      </w:r>
    </w:p>
    <w:p w14:paraId="7F37CDBE" w14:textId="77777777" w:rsidR="00D40928" w:rsidRDefault="00D40928" w:rsidP="00D40928">
      <w:pPr>
        <w:pStyle w:val="BodyText"/>
        <w:rPr>
          <w:rFonts w:cstheme="minorHAnsi"/>
        </w:rPr>
      </w:pPr>
    </w:p>
    <w:p w14:paraId="5D4A0249" w14:textId="34085336" w:rsidR="00F3167F" w:rsidRPr="00F3167F" w:rsidRDefault="00F3167F" w:rsidP="00F3167F">
      <w:pPr>
        <w:pStyle w:val="BodyText"/>
        <w:ind w:firstLine="720"/>
        <w:rPr>
          <w:rFonts w:cstheme="minorHAnsi"/>
        </w:rPr>
      </w:pPr>
      <w:r w:rsidRPr="00F3167F">
        <w:rPr>
          <w:rFonts w:cstheme="minorHAnsi"/>
        </w:rPr>
        <w:t xml:space="preserve">The session, moderated by </w:t>
      </w:r>
      <w:r w:rsidR="00E35DDB">
        <w:rPr>
          <w:rFonts w:cstheme="minorHAnsi"/>
        </w:rPr>
        <w:t>Professor</w:t>
      </w:r>
      <w:r w:rsidRPr="00F3167F">
        <w:rPr>
          <w:rFonts w:cstheme="minorHAnsi"/>
        </w:rPr>
        <w:t xml:space="preserve"> John Skerritt</w:t>
      </w:r>
      <w:r w:rsidR="005D279D">
        <w:rPr>
          <w:rFonts w:cstheme="minorHAnsi"/>
        </w:rPr>
        <w:t xml:space="preserve"> (University of Melbourne</w:t>
      </w:r>
      <w:r w:rsidR="00E35DDB">
        <w:rPr>
          <w:rFonts w:cstheme="minorHAnsi"/>
        </w:rPr>
        <w:t>, Australia</w:t>
      </w:r>
      <w:r w:rsidR="005D279D">
        <w:rPr>
          <w:rFonts w:cstheme="minorHAnsi"/>
        </w:rPr>
        <w:t>)</w:t>
      </w:r>
      <w:r w:rsidRPr="00F3167F">
        <w:rPr>
          <w:rFonts w:cstheme="minorHAnsi"/>
        </w:rPr>
        <w:t xml:space="preserve">, featured three panelists: </w:t>
      </w:r>
      <w:r w:rsidR="00E90D50">
        <w:rPr>
          <w:rFonts w:cstheme="minorHAnsi"/>
        </w:rPr>
        <w:t xml:space="preserve">Ms. </w:t>
      </w:r>
      <w:r w:rsidRPr="00F3167F">
        <w:rPr>
          <w:rFonts w:cstheme="minorHAnsi"/>
        </w:rPr>
        <w:t xml:space="preserve">Miwa Kanematsu (PMDA, Japan), Dr. Jean Lai (Taiwan Center for Drug Evaluation), and </w:t>
      </w:r>
      <w:r w:rsidR="008731D8">
        <w:rPr>
          <w:rFonts w:cstheme="minorHAnsi"/>
        </w:rPr>
        <w:t xml:space="preserve">Dr. </w:t>
      </w:r>
      <w:r w:rsidRPr="00F3167F">
        <w:rPr>
          <w:rFonts w:cstheme="minorHAnsi"/>
        </w:rPr>
        <w:t>Aloka Chakravarty (Eli Lilly).</w:t>
      </w:r>
    </w:p>
    <w:p w14:paraId="7B4686C1" w14:textId="77777777" w:rsidR="00F3167F" w:rsidRPr="00F3167F" w:rsidRDefault="00F3167F" w:rsidP="00F3167F">
      <w:pPr>
        <w:pStyle w:val="BodyText"/>
        <w:ind w:firstLine="720"/>
        <w:rPr>
          <w:rFonts w:cstheme="minorHAnsi"/>
        </w:rPr>
      </w:pPr>
    </w:p>
    <w:p w14:paraId="5BAC8AF4" w14:textId="4C525DF3" w:rsidR="00F3167F" w:rsidRPr="00F3167F" w:rsidRDefault="00F3167F" w:rsidP="00F3167F">
      <w:pPr>
        <w:pStyle w:val="BodyText"/>
        <w:ind w:firstLine="720"/>
        <w:rPr>
          <w:rFonts w:cstheme="minorHAnsi"/>
        </w:rPr>
      </w:pPr>
      <w:r w:rsidRPr="00F57407">
        <w:rPr>
          <w:rFonts w:cstheme="minorHAnsi"/>
        </w:rPr>
        <w:t xml:space="preserve">Miwa Kanematsu opened by outlining PMDA’s perspective on the challenges and opportunities of implementing ICH E17 in the APEC region. She explained that the guideline provides general principles for planning and designing MRCTs with the goal of enhancing their acceptability for regulatory applications across regions. By facilitating simultaneous approvals, MRCTs can shorten drug development timelines, reduce duplication of studies, and provide earlier patient access to innovative therapies. </w:t>
      </w:r>
      <w:r w:rsidR="00E90D50" w:rsidRPr="00F57407">
        <w:rPr>
          <w:rFonts w:cstheme="minorHAnsi"/>
        </w:rPr>
        <w:t xml:space="preserve">Ms. </w:t>
      </w:r>
      <w:r w:rsidRPr="00F57407">
        <w:rPr>
          <w:rFonts w:cstheme="minorHAnsi"/>
        </w:rPr>
        <w:t>Kanematsu noted that</w:t>
      </w:r>
      <w:r w:rsidR="005E33A2" w:rsidRPr="00F57407">
        <w:rPr>
          <w:rFonts w:cstheme="minorHAnsi"/>
        </w:rPr>
        <w:t xml:space="preserve"> both patients and industry in</w:t>
      </w:r>
      <w:r w:rsidRPr="00F57407">
        <w:rPr>
          <w:rFonts w:cstheme="minorHAnsi"/>
        </w:rPr>
        <w:t xml:space="preserve"> the APEC region could benefit significantly from broader MRCT adoption. However, disparities remain in regulators’ abilities to assess trial results, the maturity of </w:t>
      </w:r>
      <w:r w:rsidR="005E33A2" w:rsidRPr="00F57407">
        <w:rPr>
          <w:rFonts w:cstheme="minorHAnsi"/>
        </w:rPr>
        <w:t xml:space="preserve">economy-level </w:t>
      </w:r>
      <w:r w:rsidRPr="00F57407">
        <w:rPr>
          <w:rFonts w:cstheme="minorHAnsi"/>
        </w:rPr>
        <w:t>clinical trial regulations, and the availability of effective consultation systems. PMDA sees the dual priorities as increasing MRCT activity in the region and enhancing regulator and site capabilities.</w:t>
      </w:r>
    </w:p>
    <w:p w14:paraId="055BA1C3" w14:textId="77777777" w:rsidR="00F3167F" w:rsidRPr="00F3167F" w:rsidRDefault="00F3167F" w:rsidP="00F3167F">
      <w:pPr>
        <w:pStyle w:val="BodyText"/>
        <w:ind w:firstLine="720"/>
        <w:rPr>
          <w:rFonts w:cstheme="minorHAnsi"/>
        </w:rPr>
      </w:pPr>
    </w:p>
    <w:p w14:paraId="2E4F2166" w14:textId="1CB91D52" w:rsidR="00F3167F" w:rsidRDefault="00006BF6" w:rsidP="00F3167F">
      <w:pPr>
        <w:pStyle w:val="BodyText"/>
        <w:ind w:firstLine="720"/>
        <w:rPr>
          <w:rFonts w:cstheme="minorHAnsi"/>
        </w:rPr>
      </w:pPr>
      <w:r w:rsidRPr="00006BF6">
        <w:rPr>
          <w:rFonts w:cstheme="minorHAnsi"/>
        </w:rPr>
        <w:t xml:space="preserve">Dr. Jean Lai described </w:t>
      </w:r>
      <w:r w:rsidR="000F2BB6">
        <w:rPr>
          <w:rFonts w:cstheme="minorHAnsi"/>
        </w:rPr>
        <w:t>Chinese Taipei’s</w:t>
      </w:r>
      <w:r w:rsidRPr="00006BF6">
        <w:rPr>
          <w:rFonts w:cstheme="minorHAnsi"/>
        </w:rPr>
        <w:t xml:space="preserve"> experience applying ICH E5 and ICH E17 in regulatory review. She emphasized ICH E17’s pooled region concept, which groups regions with similar intrinsic and extrinsic factors to streamline analysis. Lai outlined </w:t>
      </w:r>
      <w:r w:rsidR="000F2BB6">
        <w:rPr>
          <w:rFonts w:cstheme="minorHAnsi"/>
        </w:rPr>
        <w:t>Chinese Taipei’s</w:t>
      </w:r>
      <w:r w:rsidRPr="00006BF6">
        <w:rPr>
          <w:rFonts w:cstheme="minorHAnsi"/>
        </w:rPr>
        <w:t xml:space="preserve"> two-step review approach: first, determining if pooling within East Asia is appropriate, and second, assessing whether results from regions in East Asia and Western regions are clinically comparable. Using the example of the MRCT of finerenone for chronic kidney disease, she demonstrated how East Asia was pooled based on generally comparable pharmacokinetics, efficacy, and safety profiles. While mild hyperkalemia incidence was slightly higher in East Asian patients, no additional safety concerns were identified, leading to Chinese Taipei’s approval without any additional local data, just months after European Medicines Agency and U.S. FDA. Lai concluded that early inclusion of Asian patients in MRCTs can meaningfully accelerate approvals and reduce redundancy.</w:t>
      </w:r>
    </w:p>
    <w:p w14:paraId="2502641E" w14:textId="77777777" w:rsidR="00006BF6" w:rsidRPr="00F3167F" w:rsidRDefault="00006BF6" w:rsidP="00F3167F">
      <w:pPr>
        <w:pStyle w:val="BodyText"/>
        <w:ind w:firstLine="720"/>
        <w:rPr>
          <w:rFonts w:cstheme="minorHAnsi"/>
        </w:rPr>
      </w:pPr>
    </w:p>
    <w:p w14:paraId="2CC10B97" w14:textId="3595B354" w:rsidR="00F3167F" w:rsidRPr="00F3167F" w:rsidRDefault="008731D8" w:rsidP="00F3167F">
      <w:pPr>
        <w:pStyle w:val="BodyText"/>
        <w:ind w:firstLine="720"/>
        <w:rPr>
          <w:rFonts w:cstheme="minorHAnsi"/>
        </w:rPr>
      </w:pPr>
      <w:r>
        <w:rPr>
          <w:rFonts w:cstheme="minorHAnsi"/>
        </w:rPr>
        <w:t>Dr.</w:t>
      </w:r>
      <w:r w:rsidR="00F3167F" w:rsidRPr="00F3167F">
        <w:rPr>
          <w:rFonts w:cstheme="minorHAnsi"/>
        </w:rPr>
        <w:t xml:space="preserve"> Chakravarty focused on the strategic use of pooling and sample size allocation under E17. She reviewed the five allocation strategies described in the guideline, noting that a balance between proportional and equal allocation offers the best compromise between statistical power and operational feasibility. Drawing from industry experience, she highlighted persistent challenges such as inconsistent definitions of regions, misalignment between local regulations and E17 principles, and variability in sponsor commitment. Chakravarty illustrated how early PK/PD studies, use of real-world data, and proactive regulatory engagement can improve trial design and pooling strategies. She also presented a case study from Chinese Taipei where pooled East Asian data supported approval without additional local trials. Looking ahead, she advocated for broader use of adaptive designs, decentralized trials, and AI/ML tools, and suggested a Q&amp;A document on E17 to address common implementation issues.</w:t>
      </w:r>
    </w:p>
    <w:p w14:paraId="04E668EA" w14:textId="77777777" w:rsidR="00F3167F" w:rsidRPr="00F3167F" w:rsidRDefault="00F3167F" w:rsidP="00F3167F">
      <w:pPr>
        <w:pStyle w:val="BodyText"/>
        <w:ind w:firstLine="720"/>
        <w:rPr>
          <w:rFonts w:cstheme="minorHAnsi"/>
        </w:rPr>
      </w:pPr>
    </w:p>
    <w:p w14:paraId="1ED3DC20" w14:textId="55506F89" w:rsidR="00F3167F" w:rsidRDefault="00DF688F" w:rsidP="00F3167F">
      <w:pPr>
        <w:pStyle w:val="BodyText"/>
        <w:ind w:firstLine="720"/>
        <w:rPr>
          <w:rFonts w:cstheme="minorHAnsi"/>
        </w:rPr>
      </w:pPr>
      <w:r w:rsidRPr="00DF688F">
        <w:rPr>
          <w:rFonts w:cstheme="minorHAnsi"/>
        </w:rPr>
        <w:t xml:space="preserve">In the Q&amp;A session, Prof. Skerritt asked the speakers how E17 can support regulatory convergence. </w:t>
      </w:r>
      <w:r w:rsidRPr="00F57407">
        <w:rPr>
          <w:rFonts w:cstheme="minorHAnsi"/>
        </w:rPr>
        <w:t xml:space="preserve">Kanematsu emphasized that consistent application of E17 across economies would build </w:t>
      </w:r>
      <w:r w:rsidRPr="00F57407">
        <w:rPr>
          <w:rFonts w:cstheme="minorHAnsi"/>
        </w:rPr>
        <w:lastRenderedPageBreak/>
        <w:t>shared knowledge on ethnic factors and foster future MRCT collaboration. Lai added that early regulatory</w:t>
      </w:r>
      <w:r w:rsidRPr="00DF688F">
        <w:rPr>
          <w:rFonts w:cstheme="minorHAnsi"/>
        </w:rPr>
        <w:t xml:space="preserve"> agreement on pooling strategies could reduce overall sample sizes and facilitate near-simultaneous global registrations. When asked about industry constraints, Dr. Chakravarty pointed to varying levels of regulatory readiness to evaluate MRCTs, with some agencies still requiring local patient data. She suggested that sharing long-standing experiences from agencies such as U.S. FDA could help accelerate acceptance.</w:t>
      </w:r>
    </w:p>
    <w:p w14:paraId="510EF618" w14:textId="77777777" w:rsidR="00DF688F" w:rsidRPr="00F3167F" w:rsidRDefault="00DF688F" w:rsidP="00F3167F">
      <w:pPr>
        <w:pStyle w:val="BodyText"/>
        <w:ind w:firstLine="720"/>
        <w:rPr>
          <w:rFonts w:cstheme="minorHAnsi"/>
        </w:rPr>
      </w:pPr>
    </w:p>
    <w:p w14:paraId="5D9AA4DD" w14:textId="40B07EA8" w:rsidR="00F3167F" w:rsidRDefault="00F3167F" w:rsidP="00F3167F">
      <w:pPr>
        <w:pStyle w:val="BodyText"/>
        <w:ind w:firstLine="720"/>
        <w:rPr>
          <w:rFonts w:cstheme="minorHAnsi"/>
        </w:rPr>
      </w:pPr>
      <w:r w:rsidRPr="00F3167F">
        <w:rPr>
          <w:rFonts w:cstheme="minorHAnsi"/>
        </w:rPr>
        <w:t>The panel concluded with consensus that E17, when implemented consistently, offers a powerful framework for faster, more harmonized drug development across the APEC region, but requires coordinated capacity-building and early, sustained dialogue between regulators and sponsors.</w:t>
      </w:r>
    </w:p>
    <w:p w14:paraId="734FB3F8" w14:textId="77777777" w:rsidR="00D33401" w:rsidRDefault="00D33401" w:rsidP="00F3167F">
      <w:pPr>
        <w:pStyle w:val="BodyText"/>
        <w:ind w:firstLine="720"/>
        <w:rPr>
          <w:rFonts w:cstheme="minorHAnsi"/>
        </w:rPr>
      </w:pPr>
    </w:p>
    <w:p w14:paraId="479054AB" w14:textId="7B185770" w:rsidR="00D33401" w:rsidRDefault="00D33401" w:rsidP="00D33401">
      <w:pPr>
        <w:pStyle w:val="BodyText"/>
        <w:ind w:firstLine="720"/>
        <w:rPr>
          <w:rFonts w:asciiTheme="minorHAnsi" w:hAnsiTheme="minorHAnsi" w:cstheme="minorHAnsi"/>
          <w:b/>
          <w:bCs/>
          <w:u w:val="single"/>
        </w:rPr>
      </w:pPr>
      <w:r>
        <w:rPr>
          <w:rFonts w:asciiTheme="minorHAnsi" w:hAnsiTheme="minorHAnsi" w:cstheme="minorHAnsi"/>
          <w:b/>
          <w:bCs/>
        </w:rPr>
        <w:t>18</w:t>
      </w:r>
      <w:r w:rsidRPr="004C148E">
        <w:rPr>
          <w:rFonts w:asciiTheme="minorHAnsi" w:hAnsiTheme="minorHAnsi" w:cstheme="minorHAnsi"/>
          <w:b/>
          <w:bCs/>
        </w:rPr>
        <w:t>.</w:t>
      </w:r>
      <w:r w:rsidR="00223101">
        <w:rPr>
          <w:rFonts w:asciiTheme="minorHAnsi" w:hAnsiTheme="minorHAnsi" w:cstheme="minorHAnsi"/>
          <w:b/>
          <w:bCs/>
        </w:rPr>
        <w:t>4</w:t>
      </w:r>
      <w:r w:rsidRPr="004C148E">
        <w:rPr>
          <w:rFonts w:asciiTheme="minorHAnsi" w:hAnsiTheme="minorHAnsi" w:cstheme="minorHAnsi"/>
          <w:b/>
          <w:bCs/>
        </w:rPr>
        <w:t xml:space="preserve"> </w:t>
      </w:r>
      <w:r w:rsidRPr="004C148E">
        <w:rPr>
          <w:rFonts w:asciiTheme="minorHAnsi" w:hAnsiTheme="minorHAnsi" w:cstheme="minorHAnsi"/>
          <w:b/>
          <w:bCs/>
        </w:rPr>
        <w:tab/>
      </w:r>
      <w:r w:rsidR="00154A57" w:rsidRPr="00154A57">
        <w:rPr>
          <w:rFonts w:asciiTheme="minorHAnsi" w:hAnsiTheme="minorHAnsi" w:cstheme="minorHAnsi"/>
          <w:b/>
          <w:bCs/>
          <w:u w:val="single"/>
        </w:rPr>
        <w:t>Advancing Improved E17 Implementation in APEC Economies</w:t>
      </w:r>
    </w:p>
    <w:p w14:paraId="74694974" w14:textId="77777777" w:rsidR="00994AD5" w:rsidRDefault="00994AD5" w:rsidP="00D33401">
      <w:pPr>
        <w:pStyle w:val="BodyText"/>
        <w:ind w:firstLine="720"/>
        <w:rPr>
          <w:rFonts w:asciiTheme="minorHAnsi" w:hAnsiTheme="minorHAnsi" w:cstheme="minorHAnsi"/>
          <w:b/>
          <w:bCs/>
          <w:u w:val="single"/>
        </w:rPr>
      </w:pPr>
    </w:p>
    <w:p w14:paraId="42F7FEAD" w14:textId="7A6785AA" w:rsidR="00994AD5" w:rsidRDefault="00510B95" w:rsidP="00994AD5">
      <w:pPr>
        <w:pStyle w:val="BodyText"/>
        <w:ind w:firstLine="720"/>
        <w:rPr>
          <w:rFonts w:asciiTheme="minorHAnsi" w:hAnsiTheme="minorHAnsi" w:cstheme="minorHAnsi"/>
        </w:rPr>
      </w:pPr>
      <w:r w:rsidRPr="00510B95">
        <w:rPr>
          <w:rFonts w:asciiTheme="minorHAnsi" w:hAnsiTheme="minorHAnsi" w:cstheme="minorHAnsi"/>
        </w:rPr>
        <w:t xml:space="preserve">The session was moderated by Eric Obscherning (Access Partnership) and featured Prof. Yan Hou (Peking University Clinical Research Institute), </w:t>
      </w:r>
      <w:r w:rsidR="00A43D64">
        <w:rPr>
          <w:rFonts w:asciiTheme="minorHAnsi" w:hAnsiTheme="minorHAnsi" w:cstheme="minorHAnsi"/>
        </w:rPr>
        <w:t>Dr</w:t>
      </w:r>
      <w:r w:rsidRPr="00510B95">
        <w:rPr>
          <w:rFonts w:asciiTheme="minorHAnsi" w:hAnsiTheme="minorHAnsi" w:cstheme="minorHAnsi"/>
        </w:rPr>
        <w:t>.</w:t>
      </w:r>
      <w:r w:rsidR="00E15758">
        <w:rPr>
          <w:rFonts w:asciiTheme="minorHAnsi" w:hAnsiTheme="minorHAnsi" w:cstheme="minorHAnsi"/>
        </w:rPr>
        <w:t xml:space="preserve"> </w:t>
      </w:r>
      <w:r w:rsidRPr="00510B95">
        <w:rPr>
          <w:rFonts w:asciiTheme="minorHAnsi" w:hAnsiTheme="minorHAnsi" w:cstheme="minorHAnsi"/>
        </w:rPr>
        <w:t>John Skerritt (University of Melbourne, Australia), Sannie Chong (PhRMA), and Jackie Klin</w:t>
      </w:r>
      <w:r w:rsidR="00A47924">
        <w:rPr>
          <w:rFonts w:asciiTheme="minorHAnsi" w:hAnsiTheme="minorHAnsi" w:cstheme="minorHAnsi"/>
        </w:rPr>
        <w:t>e</w:t>
      </w:r>
      <w:r w:rsidRPr="00510B95">
        <w:rPr>
          <w:rFonts w:asciiTheme="minorHAnsi" w:hAnsiTheme="minorHAnsi" w:cstheme="minorHAnsi"/>
        </w:rPr>
        <w:t xml:space="preserve"> (Amgen).</w:t>
      </w:r>
    </w:p>
    <w:p w14:paraId="2D3C4ACC" w14:textId="77777777" w:rsidR="00510B95" w:rsidRPr="00994AD5" w:rsidRDefault="00510B95" w:rsidP="00994AD5">
      <w:pPr>
        <w:pStyle w:val="BodyText"/>
        <w:ind w:firstLine="720"/>
        <w:rPr>
          <w:rFonts w:asciiTheme="minorHAnsi" w:hAnsiTheme="minorHAnsi" w:cstheme="minorHAnsi"/>
        </w:rPr>
      </w:pPr>
    </w:p>
    <w:p w14:paraId="66D4EDFF" w14:textId="54B9ABBD" w:rsidR="00994AD5" w:rsidRDefault="000F233A" w:rsidP="00994AD5">
      <w:pPr>
        <w:pStyle w:val="BodyText"/>
        <w:ind w:firstLine="720"/>
        <w:rPr>
          <w:rFonts w:asciiTheme="minorHAnsi" w:hAnsiTheme="minorHAnsi" w:cstheme="minorHAnsi"/>
        </w:rPr>
      </w:pPr>
      <w:r w:rsidRPr="000F233A">
        <w:rPr>
          <w:rFonts w:asciiTheme="minorHAnsi" w:hAnsiTheme="minorHAnsi" w:cstheme="minorHAnsi"/>
        </w:rPr>
        <w:t>Prof. Hou, speaking via prerecorded remarks, outlined recent collaborative work between Chinese regulatory authorities, academia, and multinational companies to advance ICH E17 implementation in China. Hou highlighted achievements including the development of three industry rule books, a “blue book,” and expert consensus documents focused on consistency evaluations, pooling strategies, and enrollment strategies, along with related publications in Drug Information Association journals. Hou stressed the importance of statistical methodology, tailored implementation for the Chinese context, and ongoing regulatory–academic–industry cooperation to address local challenges and integrate innovative trial designs.</w:t>
      </w:r>
    </w:p>
    <w:p w14:paraId="40B07931" w14:textId="77777777" w:rsidR="000F233A" w:rsidRPr="00994AD5" w:rsidRDefault="000F233A" w:rsidP="00994AD5">
      <w:pPr>
        <w:pStyle w:val="BodyText"/>
        <w:ind w:firstLine="720"/>
        <w:rPr>
          <w:rFonts w:asciiTheme="minorHAnsi" w:hAnsiTheme="minorHAnsi" w:cstheme="minorHAnsi"/>
        </w:rPr>
      </w:pPr>
    </w:p>
    <w:p w14:paraId="55FC0A6E" w14:textId="17BF2DB2" w:rsidR="00994AD5" w:rsidRDefault="00A43D64" w:rsidP="00994AD5">
      <w:pPr>
        <w:pStyle w:val="BodyText"/>
        <w:ind w:firstLine="720"/>
        <w:rPr>
          <w:rFonts w:asciiTheme="minorHAnsi" w:hAnsiTheme="minorHAnsi" w:cstheme="minorHAnsi"/>
        </w:rPr>
      </w:pPr>
      <w:r>
        <w:rPr>
          <w:rFonts w:asciiTheme="minorHAnsi" w:hAnsiTheme="minorHAnsi" w:cstheme="minorHAnsi"/>
        </w:rPr>
        <w:t>Dr</w:t>
      </w:r>
      <w:r w:rsidR="00E45230" w:rsidRPr="00E45230">
        <w:rPr>
          <w:rFonts w:asciiTheme="minorHAnsi" w:hAnsiTheme="minorHAnsi" w:cstheme="minorHAnsi"/>
        </w:rPr>
        <w:t xml:space="preserve">. Skerritt summarized findings from an extensive literature review he has conducted on intrinsic and extrinsic factors influencing MRCT outcomes, concluding that East Asia could often be treated as a single ICH E17 region, with most clinically significant differences being rare and due to individual genetic differences. In general, medicines that have recently been approved or are currently in clinical development show far fewer ethnic differences in PK, PD, efficacy or safety than older medicines. Differences in label doses between East Asian </w:t>
      </w:r>
      <w:r w:rsidR="00E45230">
        <w:rPr>
          <w:rFonts w:asciiTheme="minorHAnsi" w:hAnsiTheme="minorHAnsi" w:cstheme="minorHAnsi"/>
        </w:rPr>
        <w:t>economies</w:t>
      </w:r>
      <w:r w:rsidR="00E45230" w:rsidRPr="00E45230">
        <w:rPr>
          <w:rFonts w:asciiTheme="minorHAnsi" w:hAnsiTheme="minorHAnsi" w:cstheme="minorHAnsi"/>
        </w:rPr>
        <w:t xml:space="preserve"> and the U</w:t>
      </w:r>
      <w:r w:rsidR="00E45230">
        <w:rPr>
          <w:rFonts w:asciiTheme="minorHAnsi" w:hAnsiTheme="minorHAnsi" w:cstheme="minorHAnsi"/>
        </w:rPr>
        <w:t>.</w:t>
      </w:r>
      <w:r w:rsidR="00E45230" w:rsidRPr="00E45230">
        <w:rPr>
          <w:rFonts w:asciiTheme="minorHAnsi" w:hAnsiTheme="minorHAnsi" w:cstheme="minorHAnsi"/>
        </w:rPr>
        <w:t>S</w:t>
      </w:r>
      <w:r w:rsidR="00E45230">
        <w:rPr>
          <w:rFonts w:asciiTheme="minorHAnsi" w:hAnsiTheme="minorHAnsi" w:cstheme="minorHAnsi"/>
        </w:rPr>
        <w:t>.</w:t>
      </w:r>
      <w:r w:rsidR="00E45230" w:rsidRPr="00E45230">
        <w:rPr>
          <w:rFonts w:asciiTheme="minorHAnsi" w:hAnsiTheme="minorHAnsi" w:cstheme="minorHAnsi"/>
        </w:rPr>
        <w:t xml:space="preserve"> FDA are often due to differences in regulatory posture (relative emphasis on safety versus efficacy) than to any clinically significant PK or PD differences. He emphasized pooling by region rather than economy, earlier collaboration between regulators and developers, and limiting local study requirements only to cases with strong scientific justification.</w:t>
      </w:r>
    </w:p>
    <w:p w14:paraId="0A1134F0" w14:textId="77777777" w:rsidR="00E45230" w:rsidRPr="00994AD5" w:rsidRDefault="00E45230" w:rsidP="00994AD5">
      <w:pPr>
        <w:pStyle w:val="BodyText"/>
        <w:ind w:firstLine="720"/>
        <w:rPr>
          <w:rFonts w:asciiTheme="minorHAnsi" w:hAnsiTheme="minorHAnsi" w:cstheme="minorHAnsi"/>
        </w:rPr>
      </w:pPr>
    </w:p>
    <w:p w14:paraId="4128F447" w14:textId="5AE515AD" w:rsidR="00994AD5" w:rsidRPr="00994AD5" w:rsidRDefault="00994AD5" w:rsidP="00994AD5">
      <w:pPr>
        <w:pStyle w:val="BodyText"/>
        <w:ind w:firstLine="720"/>
        <w:rPr>
          <w:rFonts w:asciiTheme="minorHAnsi" w:hAnsiTheme="minorHAnsi" w:cstheme="minorHAnsi"/>
        </w:rPr>
      </w:pPr>
      <w:r w:rsidRPr="00994AD5">
        <w:rPr>
          <w:rFonts w:asciiTheme="minorHAnsi" w:hAnsiTheme="minorHAnsi" w:cstheme="minorHAnsi"/>
        </w:rPr>
        <w:t xml:space="preserve">Sannie Chong shared survey results from </w:t>
      </w:r>
      <w:r w:rsidR="00924DBA" w:rsidRPr="00924DBA">
        <w:rPr>
          <w:rFonts w:asciiTheme="minorHAnsi" w:hAnsiTheme="minorHAnsi" w:cstheme="minorHAnsi"/>
        </w:rPr>
        <w:t>European Federation of Pharmaceutical Industries and Associations</w:t>
      </w:r>
      <w:r w:rsidR="00924DBA">
        <w:rPr>
          <w:rFonts w:asciiTheme="minorHAnsi" w:hAnsiTheme="minorHAnsi" w:cstheme="minorHAnsi"/>
        </w:rPr>
        <w:t xml:space="preserve"> </w:t>
      </w:r>
      <w:r w:rsidRPr="00994AD5">
        <w:rPr>
          <w:rFonts w:asciiTheme="minorHAnsi" w:hAnsiTheme="minorHAnsi" w:cstheme="minorHAnsi"/>
        </w:rPr>
        <w:t>members showing that local study requirements, inconsistent acceptance of pooling strategies, varying definitions of “region,” and rigid sample size expectations remain the most significant hurdles. She called for expanded regulator–industry training, ICH Q&amp;A guidance to address ambiguities, and a more holistic regulatory assessment of pooling strategies, including attention to extrinsic factors.</w:t>
      </w:r>
    </w:p>
    <w:p w14:paraId="5B302B39" w14:textId="77777777" w:rsidR="00994AD5" w:rsidRPr="00994AD5" w:rsidRDefault="00994AD5" w:rsidP="00994AD5">
      <w:pPr>
        <w:pStyle w:val="BodyText"/>
        <w:ind w:firstLine="720"/>
        <w:rPr>
          <w:rFonts w:asciiTheme="minorHAnsi" w:hAnsiTheme="minorHAnsi" w:cstheme="minorHAnsi"/>
        </w:rPr>
      </w:pPr>
    </w:p>
    <w:p w14:paraId="61F704F8" w14:textId="707FB3F4" w:rsidR="00994AD5" w:rsidRPr="00994AD5" w:rsidRDefault="00994AD5" w:rsidP="00994AD5">
      <w:pPr>
        <w:pStyle w:val="BodyText"/>
        <w:ind w:firstLine="720"/>
        <w:rPr>
          <w:rFonts w:asciiTheme="minorHAnsi" w:hAnsiTheme="minorHAnsi" w:cstheme="minorHAnsi"/>
        </w:rPr>
      </w:pPr>
      <w:r w:rsidRPr="00994AD5">
        <w:rPr>
          <w:rFonts w:asciiTheme="minorHAnsi" w:hAnsiTheme="minorHAnsi" w:cstheme="minorHAnsi"/>
        </w:rPr>
        <w:t>Jackie Klin</w:t>
      </w:r>
      <w:r w:rsidR="006C7593">
        <w:rPr>
          <w:rFonts w:asciiTheme="minorHAnsi" w:hAnsiTheme="minorHAnsi" w:cstheme="minorHAnsi"/>
        </w:rPr>
        <w:t>e</w:t>
      </w:r>
      <w:r w:rsidRPr="00994AD5">
        <w:rPr>
          <w:rFonts w:asciiTheme="minorHAnsi" w:hAnsiTheme="minorHAnsi" w:cstheme="minorHAnsi"/>
        </w:rPr>
        <w:t xml:space="preserve"> discussed operational and design challenges to MRCT implementation, including drug lag, inconsistent comparator availability, divergent regulator expectations for innovative designs, and fragmented data due to privacy rules. She proposed potential solutions such as expanding reliance pathways like Project Orbis, creating secure portals for </w:t>
      </w:r>
      <w:r w:rsidR="00AC769E">
        <w:rPr>
          <w:rFonts w:asciiTheme="minorHAnsi" w:hAnsiTheme="minorHAnsi" w:cstheme="minorHAnsi"/>
        </w:rPr>
        <w:t xml:space="preserve">information </w:t>
      </w:r>
      <w:r w:rsidRPr="00994AD5">
        <w:rPr>
          <w:rFonts w:asciiTheme="minorHAnsi" w:hAnsiTheme="minorHAnsi" w:cstheme="minorHAnsi"/>
        </w:rPr>
        <w:t>sharing</w:t>
      </w:r>
      <w:r w:rsidR="00E843E0">
        <w:rPr>
          <w:rFonts w:asciiTheme="minorHAnsi" w:hAnsiTheme="minorHAnsi" w:cstheme="minorHAnsi"/>
        </w:rPr>
        <w:t>, a standard</w:t>
      </w:r>
      <w:r w:rsidRPr="00994AD5">
        <w:rPr>
          <w:rFonts w:asciiTheme="minorHAnsi" w:hAnsiTheme="minorHAnsi" w:cstheme="minorHAnsi"/>
        </w:rPr>
        <w:t xml:space="preserve"> </w:t>
      </w:r>
      <w:r w:rsidR="00E17A9B">
        <w:rPr>
          <w:rFonts w:asciiTheme="minorHAnsi" w:hAnsiTheme="minorHAnsi" w:cstheme="minorHAnsi"/>
        </w:rPr>
        <w:t xml:space="preserve">template for </w:t>
      </w:r>
      <w:r w:rsidRPr="00994AD5">
        <w:rPr>
          <w:rFonts w:asciiTheme="minorHAnsi" w:hAnsiTheme="minorHAnsi" w:cstheme="minorHAnsi"/>
        </w:rPr>
        <w:t xml:space="preserve">regulator </w:t>
      </w:r>
      <w:r w:rsidR="00E17A9B">
        <w:rPr>
          <w:rFonts w:asciiTheme="minorHAnsi" w:hAnsiTheme="minorHAnsi" w:cstheme="minorHAnsi"/>
        </w:rPr>
        <w:t>queries</w:t>
      </w:r>
      <w:r w:rsidRPr="00994AD5">
        <w:rPr>
          <w:rFonts w:asciiTheme="minorHAnsi" w:hAnsiTheme="minorHAnsi" w:cstheme="minorHAnsi"/>
        </w:rPr>
        <w:t>, exploring an APEC model for cross-border clinical data transfer</w:t>
      </w:r>
      <w:r w:rsidR="00E17A9B">
        <w:rPr>
          <w:rFonts w:asciiTheme="minorHAnsi" w:hAnsiTheme="minorHAnsi" w:cstheme="minorHAnsi"/>
        </w:rPr>
        <w:t xml:space="preserve">, and extending </w:t>
      </w:r>
      <w:r w:rsidR="00E52C0D">
        <w:rPr>
          <w:rFonts w:asciiTheme="minorHAnsi" w:hAnsiTheme="minorHAnsi" w:cstheme="minorHAnsi"/>
        </w:rPr>
        <w:t xml:space="preserve">the </w:t>
      </w:r>
      <w:r w:rsidR="00E52C0D" w:rsidRPr="00E52C0D">
        <w:rPr>
          <w:rFonts w:asciiTheme="minorHAnsi" w:hAnsiTheme="minorHAnsi" w:cstheme="minorHAnsi"/>
        </w:rPr>
        <w:lastRenderedPageBreak/>
        <w:t>Global Cross-Border Privacy Rules</w:t>
      </w:r>
      <w:r w:rsidR="00056D95">
        <w:rPr>
          <w:rFonts w:asciiTheme="minorHAnsi" w:hAnsiTheme="minorHAnsi" w:cstheme="minorHAnsi"/>
        </w:rPr>
        <w:t xml:space="preserve"> (CBPR) certification to clinical labs/clinical research organizations to facilitate mutual recognition by regulatory authorities</w:t>
      </w:r>
      <w:r w:rsidRPr="00994AD5">
        <w:rPr>
          <w:rFonts w:asciiTheme="minorHAnsi" w:hAnsiTheme="minorHAnsi" w:cstheme="minorHAnsi"/>
        </w:rPr>
        <w:t>.</w:t>
      </w:r>
    </w:p>
    <w:p w14:paraId="5C868113" w14:textId="77777777" w:rsidR="00994AD5" w:rsidRPr="00994AD5" w:rsidRDefault="00994AD5" w:rsidP="00994AD5">
      <w:pPr>
        <w:pStyle w:val="BodyText"/>
        <w:ind w:firstLine="720"/>
        <w:rPr>
          <w:rFonts w:asciiTheme="minorHAnsi" w:hAnsiTheme="minorHAnsi" w:cstheme="minorHAnsi"/>
        </w:rPr>
      </w:pPr>
    </w:p>
    <w:p w14:paraId="4E5E2BA7" w14:textId="6E2798BD" w:rsidR="000F7E97" w:rsidRDefault="003E3A77" w:rsidP="00994AD5">
      <w:pPr>
        <w:pStyle w:val="BodyText"/>
        <w:ind w:firstLine="720"/>
        <w:rPr>
          <w:rFonts w:asciiTheme="minorHAnsi" w:hAnsiTheme="minorHAnsi" w:cstheme="minorHAnsi"/>
        </w:rPr>
      </w:pPr>
      <w:r w:rsidRPr="003E3A77">
        <w:rPr>
          <w:rFonts w:asciiTheme="minorHAnsi" w:hAnsiTheme="minorHAnsi" w:cstheme="minorHAnsi"/>
        </w:rPr>
        <w:t>In closing, panelists identified the single most impactful reform for E17 implementation. All three live panelists—Skerritt, Chong, and Klin</w:t>
      </w:r>
      <w:r w:rsidR="006C7593">
        <w:rPr>
          <w:rFonts w:asciiTheme="minorHAnsi" w:hAnsiTheme="minorHAnsi" w:cstheme="minorHAnsi"/>
        </w:rPr>
        <w:t>e</w:t>
      </w:r>
      <w:r w:rsidRPr="003E3A77">
        <w:rPr>
          <w:rFonts w:asciiTheme="minorHAnsi" w:hAnsiTheme="minorHAnsi" w:cstheme="minorHAnsi"/>
        </w:rPr>
        <w:t>—prioritized greater acceptance of pooling by region rather than by economy.</w:t>
      </w:r>
    </w:p>
    <w:p w14:paraId="264F8907" w14:textId="77777777" w:rsidR="003E3A77" w:rsidRDefault="003E3A77" w:rsidP="00994AD5">
      <w:pPr>
        <w:pStyle w:val="BodyText"/>
        <w:ind w:firstLine="720"/>
        <w:rPr>
          <w:rFonts w:asciiTheme="minorHAnsi" w:hAnsiTheme="minorHAnsi" w:cstheme="minorHAnsi"/>
        </w:rPr>
      </w:pPr>
    </w:p>
    <w:p w14:paraId="10C606B7" w14:textId="1129019B" w:rsidR="00994AD5" w:rsidRPr="00994AD5" w:rsidRDefault="00B55707" w:rsidP="00994AD5">
      <w:pPr>
        <w:pStyle w:val="BodyText"/>
        <w:ind w:firstLine="720"/>
        <w:rPr>
          <w:rFonts w:asciiTheme="minorHAnsi" w:hAnsiTheme="minorHAnsi" w:cstheme="minorHAnsi"/>
        </w:rPr>
      </w:pPr>
      <w:r w:rsidRPr="00B55707">
        <w:rPr>
          <w:rFonts w:asciiTheme="minorHAnsi" w:hAnsiTheme="minorHAnsi" w:cstheme="minorHAnsi"/>
        </w:rPr>
        <w:t>The discussion had generated actionable ideas across RHSC’s three strategic pillars—regulatory cooperation, capacity building, and building political will—and all recommendations from the session will be circulated to RHSC members.</w:t>
      </w:r>
    </w:p>
    <w:p w14:paraId="5D2DF802" w14:textId="77777777" w:rsidR="00D33401" w:rsidRDefault="00D33401" w:rsidP="00F3167F">
      <w:pPr>
        <w:pStyle w:val="BodyText"/>
        <w:ind w:firstLine="720"/>
        <w:rPr>
          <w:rFonts w:cstheme="minorHAnsi"/>
        </w:rPr>
      </w:pPr>
    </w:p>
    <w:p w14:paraId="2F187108" w14:textId="2782B6DC" w:rsidR="00223101" w:rsidRDefault="00223101" w:rsidP="00223101">
      <w:pPr>
        <w:pStyle w:val="BodyText"/>
        <w:ind w:firstLine="720"/>
        <w:rPr>
          <w:rFonts w:asciiTheme="minorHAnsi" w:hAnsiTheme="minorHAnsi" w:cstheme="minorHAnsi"/>
          <w:b/>
          <w:bCs/>
          <w:u w:val="single"/>
        </w:rPr>
      </w:pPr>
      <w:r>
        <w:rPr>
          <w:rFonts w:asciiTheme="minorHAnsi" w:hAnsiTheme="minorHAnsi" w:cstheme="minorHAnsi"/>
          <w:b/>
          <w:bCs/>
        </w:rPr>
        <w:t>18</w:t>
      </w:r>
      <w:r w:rsidRPr="004C148E">
        <w:rPr>
          <w:rFonts w:asciiTheme="minorHAnsi" w:hAnsiTheme="minorHAnsi" w:cstheme="minorHAnsi"/>
          <w:b/>
          <w:bCs/>
        </w:rPr>
        <w:t>.</w:t>
      </w:r>
      <w:r w:rsidR="00CE649A">
        <w:rPr>
          <w:rFonts w:asciiTheme="minorHAnsi" w:hAnsiTheme="minorHAnsi" w:cstheme="minorHAnsi"/>
          <w:b/>
          <w:bCs/>
        </w:rPr>
        <w:t>5</w:t>
      </w:r>
      <w:r w:rsidRPr="004C148E">
        <w:rPr>
          <w:rFonts w:asciiTheme="minorHAnsi" w:hAnsiTheme="minorHAnsi" w:cstheme="minorHAnsi"/>
          <w:b/>
          <w:bCs/>
        </w:rPr>
        <w:t xml:space="preserve"> </w:t>
      </w:r>
      <w:r w:rsidRPr="004C148E">
        <w:rPr>
          <w:rFonts w:asciiTheme="minorHAnsi" w:hAnsiTheme="minorHAnsi" w:cstheme="minorHAnsi"/>
          <w:b/>
          <w:bCs/>
        </w:rPr>
        <w:tab/>
      </w:r>
      <w:r>
        <w:rPr>
          <w:rFonts w:asciiTheme="minorHAnsi" w:hAnsiTheme="minorHAnsi" w:cstheme="minorHAnsi"/>
          <w:b/>
          <w:bCs/>
          <w:u w:val="single"/>
        </w:rPr>
        <w:t>Economy Intervention</w:t>
      </w:r>
    </w:p>
    <w:p w14:paraId="3B9C9303" w14:textId="77777777" w:rsidR="00223101" w:rsidRDefault="00223101" w:rsidP="00223101">
      <w:pPr>
        <w:pStyle w:val="BodyText"/>
        <w:ind w:firstLine="720"/>
        <w:rPr>
          <w:rFonts w:asciiTheme="minorHAnsi" w:hAnsiTheme="minorHAnsi" w:cstheme="minorHAnsi"/>
        </w:rPr>
      </w:pPr>
    </w:p>
    <w:p w14:paraId="5343A953" w14:textId="091DE376" w:rsidR="00223101" w:rsidRPr="00994AD5" w:rsidRDefault="00223101" w:rsidP="00223101">
      <w:pPr>
        <w:pStyle w:val="BodyText"/>
        <w:ind w:firstLine="720"/>
        <w:rPr>
          <w:rFonts w:asciiTheme="minorHAnsi" w:hAnsiTheme="minorHAnsi" w:cstheme="minorHAnsi"/>
        </w:rPr>
      </w:pPr>
      <w:r w:rsidRPr="00F57407">
        <w:rPr>
          <w:rFonts w:asciiTheme="minorHAnsi" w:hAnsiTheme="minorHAnsi" w:cstheme="minorHAnsi"/>
        </w:rPr>
        <w:t>Miwa Kanematsu (PMDA) stressed the importance of COE workshops in building regulator and site capacity for E17 implementation across the region, suggesting fit-for-purpose workshops and possible updates to the MRCT core curriculum.</w:t>
      </w:r>
    </w:p>
    <w:p w14:paraId="43CAB9B8" w14:textId="77777777" w:rsidR="00223101" w:rsidRDefault="00223101" w:rsidP="00F3167F">
      <w:pPr>
        <w:pStyle w:val="BodyText"/>
        <w:ind w:firstLine="720"/>
        <w:rPr>
          <w:rFonts w:cstheme="minorHAnsi"/>
        </w:rPr>
      </w:pPr>
    </w:p>
    <w:p w14:paraId="178C00BF" w14:textId="6919B51E" w:rsidR="00CE649A" w:rsidRDefault="00CE649A" w:rsidP="00CE649A">
      <w:pPr>
        <w:pStyle w:val="BodyText"/>
        <w:ind w:firstLine="720"/>
        <w:rPr>
          <w:rFonts w:asciiTheme="minorHAnsi" w:hAnsiTheme="minorHAnsi" w:cstheme="minorHAnsi"/>
          <w:b/>
          <w:bCs/>
          <w:u w:val="single"/>
        </w:rPr>
      </w:pPr>
      <w:r>
        <w:rPr>
          <w:rFonts w:asciiTheme="minorHAnsi" w:hAnsiTheme="minorHAnsi" w:cstheme="minorHAnsi"/>
          <w:b/>
          <w:bCs/>
        </w:rPr>
        <w:t>18</w:t>
      </w:r>
      <w:r w:rsidRPr="004C148E">
        <w:rPr>
          <w:rFonts w:asciiTheme="minorHAnsi" w:hAnsiTheme="minorHAnsi" w:cstheme="minorHAnsi"/>
          <w:b/>
          <w:bCs/>
        </w:rPr>
        <w:t>.</w:t>
      </w:r>
      <w:r>
        <w:rPr>
          <w:rFonts w:asciiTheme="minorHAnsi" w:hAnsiTheme="minorHAnsi" w:cstheme="minorHAnsi"/>
          <w:b/>
          <w:bCs/>
        </w:rPr>
        <w:t>5</w:t>
      </w:r>
      <w:r w:rsidRPr="004C148E">
        <w:rPr>
          <w:rFonts w:asciiTheme="minorHAnsi" w:hAnsiTheme="minorHAnsi" w:cstheme="minorHAnsi"/>
          <w:b/>
          <w:bCs/>
        </w:rPr>
        <w:t xml:space="preserve"> </w:t>
      </w:r>
      <w:r w:rsidRPr="004C148E">
        <w:rPr>
          <w:rFonts w:asciiTheme="minorHAnsi" w:hAnsiTheme="minorHAnsi" w:cstheme="minorHAnsi"/>
          <w:b/>
          <w:bCs/>
        </w:rPr>
        <w:tab/>
      </w:r>
      <w:r>
        <w:rPr>
          <w:rFonts w:asciiTheme="minorHAnsi" w:hAnsiTheme="minorHAnsi" w:cstheme="minorHAnsi"/>
          <w:b/>
          <w:bCs/>
          <w:u w:val="single"/>
        </w:rPr>
        <w:t>Concluding Remarks</w:t>
      </w:r>
    </w:p>
    <w:p w14:paraId="100565F0" w14:textId="77777777" w:rsidR="00CE649A" w:rsidRDefault="00CE649A" w:rsidP="00CE649A">
      <w:pPr>
        <w:pStyle w:val="BodyText"/>
        <w:ind w:firstLine="720"/>
        <w:rPr>
          <w:rFonts w:asciiTheme="minorHAnsi" w:hAnsiTheme="minorHAnsi" w:cstheme="minorHAnsi"/>
          <w:b/>
          <w:bCs/>
          <w:u w:val="single"/>
        </w:rPr>
      </w:pPr>
    </w:p>
    <w:p w14:paraId="1F2562B5" w14:textId="1FEB87E1" w:rsidR="00CE649A" w:rsidRDefault="00CE649A" w:rsidP="00CE649A">
      <w:pPr>
        <w:pStyle w:val="BodyText"/>
        <w:ind w:firstLine="720"/>
        <w:rPr>
          <w:rFonts w:asciiTheme="minorHAnsi" w:hAnsiTheme="minorHAnsi" w:cstheme="minorHAnsi"/>
        </w:rPr>
      </w:pPr>
      <w:r>
        <w:rPr>
          <w:rFonts w:asciiTheme="minorHAnsi" w:hAnsiTheme="minorHAnsi" w:cstheme="minorHAnsi"/>
        </w:rPr>
        <w:t xml:space="preserve">RHSC Chair thanked </w:t>
      </w:r>
      <w:r w:rsidR="00595672">
        <w:rPr>
          <w:rFonts w:asciiTheme="minorHAnsi" w:hAnsiTheme="minorHAnsi" w:cstheme="minorHAnsi"/>
        </w:rPr>
        <w:t xml:space="preserve">panelists and moderators for their </w:t>
      </w:r>
      <w:r w:rsidR="00AE517C">
        <w:rPr>
          <w:rFonts w:asciiTheme="minorHAnsi" w:hAnsiTheme="minorHAnsi" w:cstheme="minorHAnsi"/>
        </w:rPr>
        <w:t>contribution</w:t>
      </w:r>
      <w:r w:rsidR="00DB5C94">
        <w:rPr>
          <w:rFonts w:asciiTheme="minorHAnsi" w:hAnsiTheme="minorHAnsi" w:cstheme="minorHAnsi"/>
        </w:rPr>
        <w:t xml:space="preserve">s. </w:t>
      </w:r>
    </w:p>
    <w:p w14:paraId="13E7FE18" w14:textId="77777777" w:rsidR="005B68CA" w:rsidRDefault="005B68CA" w:rsidP="00CE649A">
      <w:pPr>
        <w:pStyle w:val="BodyText"/>
        <w:ind w:firstLine="720"/>
        <w:rPr>
          <w:rFonts w:asciiTheme="minorHAnsi" w:hAnsiTheme="minorHAnsi" w:cstheme="minorHAnsi"/>
        </w:rPr>
      </w:pPr>
    </w:p>
    <w:tbl>
      <w:tblPr>
        <w:tblStyle w:val="TableGrid1"/>
        <w:tblW w:w="9630" w:type="dxa"/>
        <w:jc w:val="center"/>
        <w:tblLook w:val="04A0" w:firstRow="1" w:lastRow="0" w:firstColumn="1" w:lastColumn="0" w:noHBand="0" w:noVBand="1"/>
      </w:tblPr>
      <w:tblGrid>
        <w:gridCol w:w="9630"/>
      </w:tblGrid>
      <w:tr w:rsidR="005B68CA" w:rsidRPr="004C148E" w14:paraId="43DA2106" w14:textId="77777777" w:rsidTr="00B624D7">
        <w:trPr>
          <w:trHeight w:val="356"/>
          <w:jc w:val="center"/>
        </w:trPr>
        <w:tc>
          <w:tcPr>
            <w:tcW w:w="9630" w:type="dxa"/>
            <w:shd w:val="clear" w:color="auto" w:fill="A1C6E7"/>
          </w:tcPr>
          <w:p w14:paraId="48717674" w14:textId="77777777" w:rsidR="005B68CA" w:rsidRPr="000C19B5" w:rsidRDefault="005B68CA" w:rsidP="00B624D7">
            <w:pPr>
              <w:spacing w:before="120" w:after="120" w:line="257" w:lineRule="auto"/>
              <w:jc w:val="center"/>
              <w:rPr>
                <w:rFonts w:cstheme="minorHAnsi"/>
                <w:b/>
                <w:u w:color="000000"/>
                <w:lang w:eastAsia="zh-CN"/>
              </w:rPr>
            </w:pPr>
            <w:r w:rsidRPr="000C19B5">
              <w:rPr>
                <w:rFonts w:cstheme="minorHAnsi"/>
                <w:b/>
                <w:u w:color="000000"/>
                <w:lang w:eastAsia="zh-CN"/>
              </w:rPr>
              <w:t>LUNCH</w:t>
            </w:r>
          </w:p>
        </w:tc>
      </w:tr>
    </w:tbl>
    <w:p w14:paraId="443C621D" w14:textId="77777777" w:rsidR="005B68CA" w:rsidRDefault="005B68CA" w:rsidP="00CE649A">
      <w:pPr>
        <w:pStyle w:val="BodyText"/>
        <w:ind w:firstLine="720"/>
        <w:rPr>
          <w:rFonts w:asciiTheme="minorHAnsi" w:hAnsiTheme="minorHAnsi" w:cstheme="minorHAnsi"/>
        </w:rPr>
      </w:pPr>
    </w:p>
    <w:p w14:paraId="3B27C6C2" w14:textId="77777777" w:rsidR="005B68CA" w:rsidRPr="00CE649A" w:rsidRDefault="005B68CA" w:rsidP="00CE649A">
      <w:pPr>
        <w:pStyle w:val="BodyText"/>
        <w:ind w:firstLine="720"/>
        <w:rPr>
          <w:rFonts w:asciiTheme="minorHAnsi" w:hAnsiTheme="minorHAnsi" w:cstheme="minorHAnsi"/>
        </w:rPr>
      </w:pPr>
    </w:p>
    <w:tbl>
      <w:tblPr>
        <w:tblStyle w:val="TableGrid"/>
        <w:tblW w:w="9606" w:type="dxa"/>
        <w:jc w:val="center"/>
        <w:tblLook w:val="04A0" w:firstRow="1" w:lastRow="0" w:firstColumn="1" w:lastColumn="0" w:noHBand="0" w:noVBand="1"/>
      </w:tblPr>
      <w:tblGrid>
        <w:gridCol w:w="1368"/>
        <w:gridCol w:w="1905"/>
        <w:gridCol w:w="6333"/>
      </w:tblGrid>
      <w:tr w:rsidR="005B68CA" w:rsidRPr="004C148E" w14:paraId="0CE3DE4A" w14:textId="77777777" w:rsidTr="00B624D7">
        <w:trPr>
          <w:jc w:val="center"/>
        </w:trPr>
        <w:tc>
          <w:tcPr>
            <w:tcW w:w="1368" w:type="dxa"/>
            <w:shd w:val="clear" w:color="auto" w:fill="F2F2F2" w:themeFill="background1" w:themeFillShade="F2"/>
            <w:vAlign w:val="center"/>
          </w:tcPr>
          <w:p w14:paraId="014A0D09" w14:textId="2A80BFE7" w:rsidR="005B68CA" w:rsidRPr="004C148E" w:rsidRDefault="005B68CA" w:rsidP="00B624D7">
            <w:pPr>
              <w:keepNext/>
              <w:jc w:val="both"/>
              <w:rPr>
                <w:rFonts w:cstheme="minorHAnsi"/>
                <w:b/>
                <w:bCs/>
              </w:rPr>
            </w:pPr>
            <w:r>
              <w:rPr>
                <w:rFonts w:cstheme="minorHAnsi"/>
                <w:b/>
                <w:bCs/>
              </w:rPr>
              <w:t>13</w:t>
            </w:r>
            <w:r w:rsidRPr="004C148E">
              <w:rPr>
                <w:rFonts w:cstheme="minorHAnsi"/>
                <w:b/>
                <w:bCs/>
              </w:rPr>
              <w:t>:</w:t>
            </w:r>
            <w:r w:rsidR="00E46C0A">
              <w:rPr>
                <w:rFonts w:cstheme="minorHAnsi"/>
                <w:b/>
                <w:bCs/>
              </w:rPr>
              <w:t>4</w:t>
            </w:r>
            <w:r>
              <w:rPr>
                <w:rFonts w:cstheme="minorHAnsi"/>
                <w:b/>
                <w:bCs/>
              </w:rPr>
              <w:t>5</w:t>
            </w:r>
            <w:r w:rsidRPr="004C148E">
              <w:rPr>
                <w:rFonts w:cstheme="minorHAnsi"/>
                <w:b/>
                <w:bCs/>
              </w:rPr>
              <w:t>-</w:t>
            </w:r>
            <w:r>
              <w:rPr>
                <w:rFonts w:cstheme="minorHAnsi"/>
                <w:b/>
                <w:bCs/>
              </w:rPr>
              <w:t>1</w:t>
            </w:r>
            <w:r w:rsidR="00E46C0A">
              <w:rPr>
                <w:rFonts w:cstheme="minorHAnsi"/>
                <w:b/>
                <w:bCs/>
              </w:rPr>
              <w:t>5</w:t>
            </w:r>
            <w:r w:rsidRPr="004C148E">
              <w:rPr>
                <w:rFonts w:cstheme="minorHAnsi"/>
                <w:b/>
                <w:bCs/>
              </w:rPr>
              <w:t>:</w:t>
            </w:r>
            <w:r w:rsidR="00E46C0A">
              <w:rPr>
                <w:rFonts w:cstheme="minorHAnsi"/>
                <w:b/>
                <w:bCs/>
              </w:rPr>
              <w:t>4</w:t>
            </w:r>
            <w:r>
              <w:rPr>
                <w:rFonts w:cstheme="minorHAnsi"/>
                <w:b/>
                <w:bCs/>
              </w:rPr>
              <w:t>5</w:t>
            </w:r>
          </w:p>
        </w:tc>
        <w:tc>
          <w:tcPr>
            <w:tcW w:w="1905" w:type="dxa"/>
            <w:shd w:val="clear" w:color="auto" w:fill="F2F2F2" w:themeFill="background1" w:themeFillShade="F2"/>
            <w:vAlign w:val="center"/>
          </w:tcPr>
          <w:p w14:paraId="10E2D63C" w14:textId="284EBE70" w:rsidR="005B68CA" w:rsidRPr="004C148E" w:rsidRDefault="005B68CA" w:rsidP="00B624D7">
            <w:pPr>
              <w:keepNext/>
              <w:jc w:val="both"/>
              <w:rPr>
                <w:rFonts w:cstheme="minorHAnsi"/>
                <w:b/>
                <w:bCs/>
              </w:rPr>
            </w:pPr>
            <w:r w:rsidRPr="004C148E">
              <w:rPr>
                <w:rFonts w:cstheme="minorHAnsi"/>
                <w:b/>
                <w:bCs/>
              </w:rPr>
              <w:t xml:space="preserve">AGENDA ITEM </w:t>
            </w:r>
            <w:r>
              <w:rPr>
                <w:rFonts w:cstheme="minorHAnsi"/>
                <w:b/>
                <w:bCs/>
              </w:rPr>
              <w:t>1</w:t>
            </w:r>
            <w:r w:rsidR="00E46C0A">
              <w:rPr>
                <w:rFonts w:cstheme="minorHAnsi"/>
                <w:b/>
                <w:bCs/>
              </w:rPr>
              <w:t>9</w:t>
            </w:r>
          </w:p>
        </w:tc>
        <w:tc>
          <w:tcPr>
            <w:tcW w:w="6333" w:type="dxa"/>
            <w:shd w:val="clear" w:color="auto" w:fill="F2F2F2" w:themeFill="background1" w:themeFillShade="F2"/>
            <w:vAlign w:val="center"/>
          </w:tcPr>
          <w:p w14:paraId="6941659B" w14:textId="49BA788A" w:rsidR="005B68CA" w:rsidRPr="004C148E" w:rsidRDefault="005B68CA" w:rsidP="00D11318">
            <w:pPr>
              <w:keepNext/>
              <w:rPr>
                <w:rFonts w:cstheme="minorHAnsi"/>
                <w:b/>
              </w:rPr>
            </w:pPr>
            <w:r w:rsidRPr="00AE44BB">
              <w:rPr>
                <w:rFonts w:cstheme="minorHAnsi"/>
                <w:b/>
              </w:rPr>
              <w:t xml:space="preserve">Dialogue on </w:t>
            </w:r>
            <w:r w:rsidR="00D11318" w:rsidRPr="00D11318">
              <w:rPr>
                <w:rFonts w:cstheme="minorHAnsi"/>
                <w:b/>
              </w:rPr>
              <w:t>Rare Disease Therapies</w:t>
            </w:r>
            <w:r w:rsidR="00A516C0">
              <w:rPr>
                <w:rFonts w:cstheme="minorHAnsi"/>
                <w:b/>
              </w:rPr>
              <w:t xml:space="preserve"> (RD)</w:t>
            </w:r>
            <w:r w:rsidR="00D11318" w:rsidRPr="00D11318">
              <w:rPr>
                <w:rFonts w:cstheme="minorHAnsi"/>
                <w:b/>
              </w:rPr>
              <w:t xml:space="preserve"> &amp; Orphan Medical Products</w:t>
            </w:r>
          </w:p>
        </w:tc>
      </w:tr>
    </w:tbl>
    <w:p w14:paraId="4053F207" w14:textId="77777777" w:rsidR="00154A57" w:rsidRDefault="00154A57" w:rsidP="00F3167F">
      <w:pPr>
        <w:pStyle w:val="BodyText"/>
        <w:ind w:firstLine="720"/>
        <w:rPr>
          <w:rFonts w:cstheme="minorHAnsi"/>
        </w:rPr>
      </w:pPr>
    </w:p>
    <w:p w14:paraId="73E14160" w14:textId="380E18E9" w:rsidR="00DD1134" w:rsidRDefault="00DD1134" w:rsidP="00DD1134">
      <w:pPr>
        <w:pStyle w:val="BodyText"/>
        <w:ind w:firstLine="720"/>
        <w:rPr>
          <w:rFonts w:asciiTheme="minorHAnsi" w:hAnsiTheme="minorHAnsi" w:cstheme="minorHAnsi"/>
          <w:b/>
          <w:bCs/>
          <w:u w:val="single"/>
        </w:rPr>
      </w:pPr>
      <w:r>
        <w:rPr>
          <w:rFonts w:asciiTheme="minorHAnsi" w:hAnsiTheme="minorHAnsi" w:cstheme="minorHAnsi"/>
          <w:b/>
          <w:bCs/>
        </w:rPr>
        <w:t>19</w:t>
      </w:r>
      <w:r w:rsidRPr="004C148E">
        <w:rPr>
          <w:rFonts w:asciiTheme="minorHAnsi" w:hAnsiTheme="minorHAnsi" w:cstheme="minorHAnsi"/>
          <w:b/>
          <w:bCs/>
        </w:rPr>
        <w:t>.</w:t>
      </w:r>
      <w:r w:rsidR="00F22950">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sidR="00D05D77" w:rsidRPr="00D05D77">
        <w:rPr>
          <w:rFonts w:asciiTheme="minorHAnsi" w:hAnsiTheme="minorHAnsi" w:cstheme="minorHAnsi"/>
          <w:b/>
          <w:bCs/>
          <w:u w:val="single"/>
        </w:rPr>
        <w:t>Welcome &amp; Opening Remarks</w:t>
      </w:r>
    </w:p>
    <w:p w14:paraId="7E0CF526" w14:textId="7E42F206" w:rsidR="00AE517C" w:rsidRPr="00A43D64" w:rsidRDefault="00AE517C" w:rsidP="00A43D64">
      <w:pPr>
        <w:shd w:val="clear" w:color="auto" w:fill="FFFFFF"/>
        <w:spacing w:before="100" w:beforeAutospacing="1" w:after="100" w:afterAutospacing="1" w:line="240" w:lineRule="auto"/>
        <w:ind w:firstLine="720"/>
        <w:rPr>
          <w:rFonts w:eastAsia="Times New Roman"/>
          <w:color w:val="333333"/>
          <w14:ligatures w14:val="none"/>
        </w:rPr>
      </w:pPr>
      <w:r w:rsidRPr="00F70856">
        <w:t xml:space="preserve">The </w:t>
      </w:r>
      <w:r w:rsidRPr="00776DE2">
        <w:rPr>
          <w:rStyle w:val="Strong"/>
          <w:b w:val="0"/>
          <w:bCs w:val="0"/>
        </w:rPr>
        <w:t>RHSC Chair</w:t>
      </w:r>
      <w:r w:rsidRPr="00F70856">
        <w:t xml:space="preserve"> opened agenda item 19.1, highlighting </w:t>
      </w:r>
      <w:r w:rsidR="000C7474" w:rsidRPr="00B2630D">
        <w:rPr>
          <w:rFonts w:eastAsia="Times New Roman"/>
          <w:color w:val="333333"/>
          <w:kern w:val="0"/>
          <w14:ligatures w14:val="none"/>
        </w:rPr>
        <w:t xml:space="preserve">that the development and evaluation of new treatments for rare </w:t>
      </w:r>
      <w:r w:rsidR="004A1A7C" w:rsidRPr="004A1A7C">
        <w:rPr>
          <w:rFonts w:eastAsia="Times New Roman"/>
          <w:color w:val="333333"/>
          <w:kern w:val="0"/>
          <w14:ligatures w14:val="none"/>
        </w:rPr>
        <w:t xml:space="preserve">diseases </w:t>
      </w:r>
      <w:r w:rsidR="004A1A7C" w:rsidRPr="00F70856">
        <w:t>is</w:t>
      </w:r>
      <w:r w:rsidR="000C7474" w:rsidRPr="00F70856">
        <w:t xml:space="preserve"> </w:t>
      </w:r>
      <w:r w:rsidRPr="00F70856">
        <w:t xml:space="preserve">a priority for many APEC economies and </w:t>
      </w:r>
      <w:r w:rsidR="000C7474" w:rsidRPr="00F70856">
        <w:t xml:space="preserve">how </w:t>
      </w:r>
      <w:r w:rsidR="000C7474" w:rsidRPr="00B2630D">
        <w:rPr>
          <w:rFonts w:eastAsia="Times New Roman"/>
        </w:rPr>
        <w:t>understanding the basis for different rare disease frameworks among economies is an important step toward harmonization and ultimately more streamlined orphan product development. Learnings from established and ongoing collaborations may offer insights for greater regulatory convergence for orphan medicines.</w:t>
      </w:r>
    </w:p>
    <w:p w14:paraId="459CC8C9" w14:textId="779DF670" w:rsidR="00AE517C" w:rsidRDefault="00AE517C" w:rsidP="00AE517C">
      <w:pPr>
        <w:pStyle w:val="BodyText"/>
        <w:ind w:firstLine="720"/>
        <w:rPr>
          <w:rFonts w:asciiTheme="minorHAnsi" w:hAnsiTheme="minorHAnsi" w:cstheme="minorHAnsi"/>
          <w:b/>
          <w:bCs/>
          <w:u w:val="single"/>
        </w:rPr>
      </w:pPr>
      <w:r>
        <w:rPr>
          <w:rFonts w:asciiTheme="minorHAnsi" w:hAnsiTheme="minorHAnsi" w:cstheme="minorHAnsi"/>
          <w:b/>
          <w:bCs/>
        </w:rPr>
        <w:t>19</w:t>
      </w:r>
      <w:r w:rsidRPr="004C148E">
        <w:rPr>
          <w:rFonts w:asciiTheme="minorHAnsi" w:hAnsiTheme="minorHAnsi" w:cstheme="minorHAnsi"/>
          <w:b/>
          <w:bCs/>
        </w:rPr>
        <w:t>.</w:t>
      </w:r>
      <w:r>
        <w:rPr>
          <w:rFonts w:asciiTheme="minorHAnsi" w:hAnsiTheme="minorHAnsi" w:cstheme="minorHAnsi"/>
          <w:b/>
          <w:bCs/>
        </w:rPr>
        <w:t>2</w:t>
      </w:r>
      <w:r w:rsidRPr="004C148E">
        <w:rPr>
          <w:rFonts w:asciiTheme="minorHAnsi" w:hAnsiTheme="minorHAnsi" w:cstheme="minorHAnsi"/>
          <w:b/>
          <w:bCs/>
        </w:rPr>
        <w:t xml:space="preserve"> </w:t>
      </w:r>
      <w:r w:rsidRPr="004C148E">
        <w:rPr>
          <w:rFonts w:asciiTheme="minorHAnsi" w:hAnsiTheme="minorHAnsi" w:cstheme="minorHAnsi"/>
          <w:b/>
          <w:bCs/>
        </w:rPr>
        <w:tab/>
      </w:r>
      <w:r w:rsidR="00F074D3" w:rsidRPr="00F074D3">
        <w:rPr>
          <w:rFonts w:asciiTheme="minorHAnsi" w:hAnsiTheme="minorHAnsi" w:cstheme="minorHAnsi"/>
          <w:b/>
          <w:bCs/>
          <w:u w:val="single"/>
        </w:rPr>
        <w:t>Converging on Definitions of &amp; Pathways for RD Therapies</w:t>
      </w:r>
    </w:p>
    <w:p w14:paraId="08126AED" w14:textId="77777777" w:rsidR="00AE517C" w:rsidRDefault="00AE517C" w:rsidP="00F3167F">
      <w:pPr>
        <w:pStyle w:val="BodyText"/>
        <w:ind w:firstLine="720"/>
        <w:rPr>
          <w:rFonts w:cstheme="minorHAnsi"/>
        </w:rPr>
      </w:pPr>
    </w:p>
    <w:p w14:paraId="39FC7722" w14:textId="00CA4CE2" w:rsidR="00245A38" w:rsidRPr="00245A38" w:rsidRDefault="00245A38" w:rsidP="00245A38">
      <w:pPr>
        <w:pStyle w:val="BodyText"/>
        <w:ind w:firstLine="720"/>
        <w:rPr>
          <w:rFonts w:cstheme="minorHAnsi"/>
        </w:rPr>
      </w:pPr>
      <w:r w:rsidRPr="00245A38">
        <w:rPr>
          <w:rFonts w:cstheme="minorHAnsi"/>
        </w:rPr>
        <w:t xml:space="preserve">This panel, moderated by </w:t>
      </w:r>
      <w:r>
        <w:rPr>
          <w:rFonts w:cstheme="minorHAnsi"/>
        </w:rPr>
        <w:t xml:space="preserve">Mr. </w:t>
      </w:r>
      <w:r w:rsidRPr="00245A38">
        <w:rPr>
          <w:rFonts w:cstheme="minorHAnsi"/>
        </w:rPr>
        <w:t>Eric Obscherning (</w:t>
      </w:r>
      <w:r w:rsidR="001A3180">
        <w:rPr>
          <w:rFonts w:cstheme="minorHAnsi"/>
        </w:rPr>
        <w:t>Access Partnership</w:t>
      </w:r>
      <w:r w:rsidRPr="00245A38">
        <w:rPr>
          <w:rFonts w:cstheme="minorHAnsi"/>
        </w:rPr>
        <w:t xml:space="preserve">), featured presentations from </w:t>
      </w:r>
      <w:r>
        <w:rPr>
          <w:rFonts w:cstheme="minorHAnsi"/>
        </w:rPr>
        <w:t xml:space="preserve">Ms. </w:t>
      </w:r>
      <w:r w:rsidRPr="00245A38">
        <w:rPr>
          <w:rFonts w:cstheme="minorHAnsi"/>
        </w:rPr>
        <w:t xml:space="preserve">Miwa Kanematsu (PMDA, Japan) and </w:t>
      </w:r>
      <w:r>
        <w:rPr>
          <w:rFonts w:cstheme="minorHAnsi"/>
        </w:rPr>
        <w:t xml:space="preserve">Dr. </w:t>
      </w:r>
      <w:r w:rsidRPr="00245A38">
        <w:rPr>
          <w:rFonts w:cstheme="minorHAnsi"/>
        </w:rPr>
        <w:t>Jared Auclair (Northeastern University), followed by a Q&amp;A with economy and industry interventions.</w:t>
      </w:r>
    </w:p>
    <w:p w14:paraId="257320C1" w14:textId="77777777" w:rsidR="00245A38" w:rsidRPr="00245A38" w:rsidRDefault="00245A38" w:rsidP="00245A38">
      <w:pPr>
        <w:pStyle w:val="BodyText"/>
        <w:ind w:firstLine="720"/>
        <w:rPr>
          <w:rFonts w:cstheme="minorHAnsi"/>
        </w:rPr>
      </w:pPr>
    </w:p>
    <w:p w14:paraId="4CBC57F1" w14:textId="728F7F58" w:rsidR="00245A38" w:rsidRPr="00245A38" w:rsidRDefault="00245A38" w:rsidP="00245A38">
      <w:pPr>
        <w:pStyle w:val="BodyText"/>
        <w:ind w:firstLine="720"/>
        <w:rPr>
          <w:rFonts w:cstheme="minorHAnsi"/>
        </w:rPr>
      </w:pPr>
      <w:r w:rsidRPr="00F57407">
        <w:rPr>
          <w:rFonts w:cstheme="minorHAnsi"/>
        </w:rPr>
        <w:t xml:space="preserve">Ms. Kanematsu outlined Japan’s orphan drug designation framework, noting differences from the U.S. and EU in prevalence thresholds and incentive structures. She described Japan’s range of preferential measures—such as fee reductions, tax incentives, and development support—available at various stages of orphan product development. She also highlighted a 2024 policy revision enabling earlier-stage designations, which led to a sharp increase in applications, and shared data showing oncology as the most common therapeutic area. Ms. Kanematsu closed by posing questions for discussion on necessary </w:t>
      </w:r>
      <w:r w:rsidRPr="00F57407">
        <w:rPr>
          <w:rFonts w:cstheme="minorHAnsi"/>
        </w:rPr>
        <w:lastRenderedPageBreak/>
        <w:t>regulatory systems, possibilities for harmonization, and areas for regulator–industry collaboration.</w:t>
      </w:r>
    </w:p>
    <w:p w14:paraId="70868B7E" w14:textId="77777777" w:rsidR="00245A38" w:rsidRPr="00245A38" w:rsidRDefault="00245A38" w:rsidP="00245A38">
      <w:pPr>
        <w:pStyle w:val="BodyText"/>
        <w:ind w:firstLine="720"/>
        <w:rPr>
          <w:rFonts w:cstheme="minorHAnsi"/>
        </w:rPr>
      </w:pPr>
    </w:p>
    <w:p w14:paraId="74A263E5" w14:textId="733E0061" w:rsidR="00245A38" w:rsidRPr="00245A38" w:rsidRDefault="00245A38" w:rsidP="00245A38">
      <w:pPr>
        <w:pStyle w:val="BodyText"/>
        <w:ind w:firstLine="720"/>
        <w:rPr>
          <w:rFonts w:cstheme="minorHAnsi"/>
        </w:rPr>
      </w:pPr>
      <w:r>
        <w:rPr>
          <w:rFonts w:cstheme="minorHAnsi"/>
        </w:rPr>
        <w:t xml:space="preserve">Dr. </w:t>
      </w:r>
      <w:r w:rsidRPr="00245A38">
        <w:rPr>
          <w:rFonts w:cstheme="minorHAnsi"/>
        </w:rPr>
        <w:t>Auclair provided an academic perspective, drawing on his rare disease research background and COE coalition training experience. He emphasized the large variation in rare disease definitions across APEC economies—ranging from 1 in 10,000 in Peru to 65 in 10,000 in Brazil—and explained how such disparities affect regulatory strategy, incentives, and patient access. He identified three common implementation gaps:</w:t>
      </w:r>
    </w:p>
    <w:p w14:paraId="14DF439A" w14:textId="77777777" w:rsidR="00245A38" w:rsidRPr="00245A38" w:rsidRDefault="00245A38" w:rsidP="00245A38">
      <w:pPr>
        <w:pStyle w:val="BodyText"/>
        <w:ind w:firstLine="720"/>
        <w:rPr>
          <w:rFonts w:cstheme="minorHAnsi"/>
        </w:rPr>
      </w:pPr>
    </w:p>
    <w:p w14:paraId="7C5A5C0A" w14:textId="29DADE8F" w:rsidR="00245A38" w:rsidRPr="00245A38" w:rsidRDefault="00245A38" w:rsidP="00A43D64">
      <w:pPr>
        <w:pStyle w:val="BodyText"/>
        <w:numPr>
          <w:ilvl w:val="0"/>
          <w:numId w:val="8"/>
        </w:numPr>
        <w:ind w:left="810"/>
        <w:rPr>
          <w:rFonts w:cstheme="minorHAnsi"/>
        </w:rPr>
      </w:pPr>
      <w:r w:rsidRPr="00245A38">
        <w:rPr>
          <w:rFonts w:cstheme="minorHAnsi"/>
        </w:rPr>
        <w:t>Knowledge gaps – regulators and sponsors unaware of orphan pathways or uncertain how to use them.</w:t>
      </w:r>
    </w:p>
    <w:p w14:paraId="12F584D2" w14:textId="4E5737EA" w:rsidR="00245A38" w:rsidRPr="00245A38" w:rsidRDefault="00245A38" w:rsidP="00A43D64">
      <w:pPr>
        <w:pStyle w:val="BodyText"/>
        <w:numPr>
          <w:ilvl w:val="0"/>
          <w:numId w:val="8"/>
        </w:numPr>
        <w:ind w:left="810"/>
        <w:rPr>
          <w:rFonts w:cstheme="minorHAnsi"/>
        </w:rPr>
      </w:pPr>
      <w:r w:rsidRPr="00245A38">
        <w:rPr>
          <w:rFonts w:cstheme="minorHAnsi"/>
        </w:rPr>
        <w:t>Capacity constraints – lack of expertise in evaluating small datasets, innovative trial designs, and surrogate endpoints.</w:t>
      </w:r>
    </w:p>
    <w:p w14:paraId="6FF523BC" w14:textId="77777777" w:rsidR="00245A38" w:rsidRPr="00245A38" w:rsidRDefault="00245A38" w:rsidP="00A43D64">
      <w:pPr>
        <w:pStyle w:val="BodyText"/>
        <w:numPr>
          <w:ilvl w:val="0"/>
          <w:numId w:val="8"/>
        </w:numPr>
        <w:ind w:left="810"/>
        <w:rPr>
          <w:rFonts w:cstheme="minorHAnsi"/>
        </w:rPr>
      </w:pPr>
      <w:r w:rsidRPr="00245A38">
        <w:rPr>
          <w:rFonts w:cstheme="minorHAnsi"/>
        </w:rPr>
        <w:t>Coordination failures – delays caused by poor interdepartmental communication despite statutory review timelines.</w:t>
      </w:r>
    </w:p>
    <w:p w14:paraId="2A68CD06" w14:textId="77777777" w:rsidR="00245A38" w:rsidRPr="00245A38" w:rsidRDefault="00245A38" w:rsidP="00245A38">
      <w:pPr>
        <w:pStyle w:val="BodyText"/>
        <w:ind w:firstLine="720"/>
        <w:rPr>
          <w:rFonts w:cstheme="minorHAnsi"/>
        </w:rPr>
      </w:pPr>
    </w:p>
    <w:p w14:paraId="118E1E0C" w14:textId="1A9E0A13" w:rsidR="00245A38" w:rsidRPr="00245A38" w:rsidRDefault="00A43D64" w:rsidP="00245A38">
      <w:pPr>
        <w:pStyle w:val="BodyText"/>
        <w:ind w:firstLine="720"/>
        <w:rPr>
          <w:rFonts w:cstheme="minorHAnsi"/>
        </w:rPr>
      </w:pPr>
      <w:r>
        <w:rPr>
          <w:rFonts w:cstheme="minorHAnsi"/>
        </w:rPr>
        <w:t xml:space="preserve">Dr. </w:t>
      </w:r>
      <w:r w:rsidR="00245A38" w:rsidRPr="00245A38">
        <w:rPr>
          <w:rFonts w:cstheme="minorHAnsi"/>
        </w:rPr>
        <w:t>Auclair proposed concrete actions, including phased convergence on definitions (e.g., WHO’s 1 in 2,000 threshold), mutual recognition of orphan designations, investment in regulatory training programs, mentorship between mature and emerging agencies, and adoption of implementation KPIs.</w:t>
      </w:r>
    </w:p>
    <w:p w14:paraId="1423750C" w14:textId="77777777" w:rsidR="00245A38" w:rsidRPr="00245A38" w:rsidRDefault="00245A38" w:rsidP="00245A38">
      <w:pPr>
        <w:pStyle w:val="BodyText"/>
        <w:ind w:firstLine="720"/>
        <w:rPr>
          <w:rFonts w:cstheme="minorHAnsi"/>
        </w:rPr>
      </w:pPr>
    </w:p>
    <w:p w14:paraId="0C33EF25" w14:textId="001B89AB" w:rsidR="00245A38" w:rsidRDefault="00245A38" w:rsidP="00245A38">
      <w:pPr>
        <w:pStyle w:val="BodyText"/>
        <w:ind w:firstLine="720"/>
        <w:rPr>
          <w:rFonts w:cstheme="minorHAnsi"/>
        </w:rPr>
      </w:pPr>
      <w:r w:rsidRPr="00F57407">
        <w:rPr>
          <w:rFonts w:cstheme="minorHAnsi"/>
        </w:rPr>
        <w:t xml:space="preserve">During the Q&amp;A, </w:t>
      </w:r>
      <w:r w:rsidR="00ED3554" w:rsidRPr="00F57407">
        <w:rPr>
          <w:rFonts w:cstheme="minorHAnsi"/>
        </w:rPr>
        <w:t xml:space="preserve">Ms. </w:t>
      </w:r>
      <w:r w:rsidRPr="00F57407">
        <w:rPr>
          <w:rFonts w:cstheme="minorHAnsi"/>
        </w:rPr>
        <w:t xml:space="preserve">Kanematsu stressed that aligning definitions across economies would be difficult given that designation systems are embedded in each economy’s broader rare disease policies, and invited industry views on the impact of definitional inconsistencies. Jackie </w:t>
      </w:r>
      <w:r w:rsidR="003D5195">
        <w:rPr>
          <w:rFonts w:cstheme="minorHAnsi"/>
        </w:rPr>
        <w:t>Kline</w:t>
      </w:r>
      <w:r w:rsidRPr="00F57407">
        <w:rPr>
          <w:rFonts w:cstheme="minorHAnsi"/>
        </w:rPr>
        <w:t xml:space="preserve"> (Amgen) responded that such inconsistencies complicate global development planning and study design. Discussion with </w:t>
      </w:r>
      <w:r w:rsidR="00ED3554" w:rsidRPr="00F57407">
        <w:rPr>
          <w:rFonts w:cstheme="minorHAnsi"/>
        </w:rPr>
        <w:t>Dr.</w:t>
      </w:r>
      <w:r w:rsidR="00ED3554">
        <w:rPr>
          <w:rFonts w:cstheme="minorHAnsi"/>
        </w:rPr>
        <w:t xml:space="preserve"> </w:t>
      </w:r>
      <w:r w:rsidRPr="00245A38">
        <w:rPr>
          <w:rFonts w:cstheme="minorHAnsi"/>
        </w:rPr>
        <w:t>Auclair explored the role of APEC COEs in rare disease–specific training, the potential for cross-cutting RHSC priority work in this area, and the value of sharing case studies to foster regulator-to-regulator learning.</w:t>
      </w:r>
    </w:p>
    <w:p w14:paraId="7E7F2691" w14:textId="77777777" w:rsidR="005E2A09" w:rsidRDefault="005E2A09" w:rsidP="00245A38">
      <w:pPr>
        <w:pStyle w:val="BodyText"/>
        <w:ind w:firstLine="720"/>
        <w:rPr>
          <w:rFonts w:cstheme="minorHAnsi"/>
        </w:rPr>
      </w:pPr>
    </w:p>
    <w:p w14:paraId="72900030" w14:textId="4CD0B102" w:rsidR="005E2A09" w:rsidRDefault="005E2A09" w:rsidP="005E2A09">
      <w:pPr>
        <w:pStyle w:val="BodyText"/>
        <w:ind w:firstLine="720"/>
        <w:rPr>
          <w:rFonts w:asciiTheme="minorHAnsi" w:hAnsiTheme="minorHAnsi" w:cstheme="minorHAnsi"/>
          <w:b/>
          <w:bCs/>
          <w:u w:val="single"/>
        </w:rPr>
      </w:pPr>
      <w:r>
        <w:rPr>
          <w:rFonts w:asciiTheme="minorHAnsi" w:hAnsiTheme="minorHAnsi" w:cstheme="minorHAnsi"/>
          <w:b/>
          <w:bCs/>
        </w:rPr>
        <w:t>19</w:t>
      </w:r>
      <w:r w:rsidRPr="004C148E">
        <w:rPr>
          <w:rFonts w:asciiTheme="minorHAnsi" w:hAnsiTheme="minorHAnsi" w:cstheme="minorHAnsi"/>
          <w:b/>
          <w:bCs/>
        </w:rPr>
        <w:t>.</w:t>
      </w:r>
      <w:r>
        <w:rPr>
          <w:rFonts w:asciiTheme="minorHAnsi" w:hAnsiTheme="minorHAnsi" w:cstheme="minorHAnsi"/>
          <w:b/>
          <w:bCs/>
        </w:rPr>
        <w:t>3</w:t>
      </w:r>
      <w:r w:rsidRPr="004C148E">
        <w:rPr>
          <w:rFonts w:asciiTheme="minorHAnsi" w:hAnsiTheme="minorHAnsi" w:cstheme="minorHAnsi"/>
          <w:b/>
          <w:bCs/>
        </w:rPr>
        <w:t xml:space="preserve"> </w:t>
      </w:r>
      <w:r w:rsidRPr="004C148E">
        <w:rPr>
          <w:rFonts w:asciiTheme="minorHAnsi" w:hAnsiTheme="minorHAnsi" w:cstheme="minorHAnsi"/>
          <w:b/>
          <w:bCs/>
        </w:rPr>
        <w:tab/>
      </w:r>
      <w:r w:rsidR="00D43D17" w:rsidRPr="00D43D17">
        <w:rPr>
          <w:rFonts w:asciiTheme="minorHAnsi" w:hAnsiTheme="minorHAnsi" w:cstheme="minorHAnsi"/>
          <w:b/>
          <w:bCs/>
          <w:u w:val="single"/>
        </w:rPr>
        <w:t>Enabling Regulatory Agility &amp; Collaboration for RD Therapies</w:t>
      </w:r>
    </w:p>
    <w:p w14:paraId="27794670" w14:textId="77777777" w:rsidR="005E2A09" w:rsidRDefault="005E2A09" w:rsidP="00245A38">
      <w:pPr>
        <w:pStyle w:val="BodyText"/>
        <w:ind w:firstLine="720"/>
        <w:rPr>
          <w:rFonts w:cstheme="minorHAnsi"/>
        </w:rPr>
      </w:pPr>
    </w:p>
    <w:p w14:paraId="72D05BB9" w14:textId="10CD34AE" w:rsidR="007C10F6" w:rsidRDefault="007C10F6" w:rsidP="00245A38">
      <w:pPr>
        <w:pStyle w:val="BodyText"/>
        <w:ind w:firstLine="720"/>
      </w:pPr>
      <w:r>
        <w:t xml:space="preserve">This panel, moderated by </w:t>
      </w:r>
      <w:r w:rsidRPr="007C10F6">
        <w:rPr>
          <w:rStyle w:val="Strong"/>
          <w:b w:val="0"/>
          <w:bCs w:val="0"/>
        </w:rPr>
        <w:t>Eric Obscherning</w:t>
      </w:r>
      <w:r>
        <w:rPr>
          <w:rStyle w:val="Strong"/>
          <w:b w:val="0"/>
          <w:bCs w:val="0"/>
        </w:rPr>
        <w:t xml:space="preserve"> (Access Partnership),</w:t>
      </w:r>
      <w:r w:rsidRPr="007C10F6">
        <w:t xml:space="preserve"> featured </w:t>
      </w:r>
      <w:r w:rsidR="00A43D64">
        <w:t xml:space="preserve">Dr. </w:t>
      </w:r>
      <w:r w:rsidRPr="007C10F6">
        <w:rPr>
          <w:rStyle w:val="Strong"/>
          <w:b w:val="0"/>
          <w:bCs w:val="0"/>
        </w:rPr>
        <w:t>John Skerritt</w:t>
      </w:r>
      <w:r w:rsidRPr="007C10F6">
        <w:t xml:space="preserve"> (</w:t>
      </w:r>
      <w:r>
        <w:t>University of Melbourne</w:t>
      </w:r>
      <w:r w:rsidRPr="007C10F6">
        <w:t xml:space="preserve">) and </w:t>
      </w:r>
      <w:r>
        <w:t xml:space="preserve">Prof. </w:t>
      </w:r>
      <w:r w:rsidRPr="007C10F6">
        <w:rPr>
          <w:rStyle w:val="Strong"/>
          <w:b w:val="0"/>
          <w:bCs w:val="0"/>
        </w:rPr>
        <w:t>James Leong</w:t>
      </w:r>
      <w:r>
        <w:t xml:space="preserve"> (Duke–NUS).</w:t>
      </w:r>
    </w:p>
    <w:p w14:paraId="2AFEE3C6" w14:textId="77777777" w:rsidR="00CF462D" w:rsidRDefault="00CF462D" w:rsidP="00245A38">
      <w:pPr>
        <w:pStyle w:val="BodyText"/>
        <w:ind w:firstLine="720"/>
      </w:pPr>
    </w:p>
    <w:p w14:paraId="73A10920" w14:textId="1F053E7A" w:rsidR="00CF462D" w:rsidRPr="00CF462D" w:rsidRDefault="00A43D64" w:rsidP="00CF462D">
      <w:pPr>
        <w:pStyle w:val="BodyText"/>
        <w:ind w:firstLine="720"/>
        <w:rPr>
          <w:rFonts w:cstheme="minorHAnsi"/>
        </w:rPr>
      </w:pPr>
      <w:r>
        <w:rPr>
          <w:rFonts w:cstheme="minorHAnsi"/>
        </w:rPr>
        <w:t>D</w:t>
      </w:r>
      <w:r w:rsidR="00CF462D">
        <w:rPr>
          <w:rFonts w:cstheme="minorHAnsi"/>
        </w:rPr>
        <w:t xml:space="preserve">r. </w:t>
      </w:r>
      <w:r w:rsidR="00CF462D" w:rsidRPr="00CF462D">
        <w:rPr>
          <w:rFonts w:cstheme="minorHAnsi"/>
        </w:rPr>
        <w:t>Skerritt</w:t>
      </w:r>
      <w:r w:rsidR="00CF462D">
        <w:rPr>
          <w:rFonts w:cstheme="minorHAnsi"/>
        </w:rPr>
        <w:t xml:space="preserve"> </w:t>
      </w:r>
      <w:r w:rsidR="00CF462D" w:rsidRPr="00CF462D">
        <w:rPr>
          <w:rFonts w:cstheme="minorHAnsi"/>
        </w:rPr>
        <w:t>presented findings from recent CIRS work on rare disease trends, bottlenecks, and policy recommendations. He emphasized that despite increases in orphan designations in some economies, access to rare disease therapies remains limited—particularly outside oncology—due to gaps in disease understanding, poor natural history data, heterogeneity of patient populations, and small trial sizes. Many rare disease products are never submitted in smaller markets, and current regulatory approaches are unlikely to address the scale of unmet need. Drawing on CIRS’ metrics work, policy dialogues, and contributions to the Lancet Commission on Rare Diseases, he outlined recommendations in three areas:</w:t>
      </w:r>
    </w:p>
    <w:p w14:paraId="03E7FCFA" w14:textId="77777777" w:rsidR="00CF462D" w:rsidRPr="00CF462D" w:rsidRDefault="00CF462D" w:rsidP="00CF462D">
      <w:pPr>
        <w:pStyle w:val="BodyText"/>
        <w:ind w:firstLine="720"/>
        <w:rPr>
          <w:rFonts w:cstheme="minorHAnsi"/>
        </w:rPr>
      </w:pPr>
    </w:p>
    <w:p w14:paraId="46C46A0B" w14:textId="1CC04AE4" w:rsidR="00CF462D" w:rsidRPr="00CF462D" w:rsidRDefault="00CF462D" w:rsidP="00A43D64">
      <w:pPr>
        <w:pStyle w:val="BodyText"/>
        <w:numPr>
          <w:ilvl w:val="0"/>
          <w:numId w:val="9"/>
        </w:numPr>
        <w:tabs>
          <w:tab w:val="left" w:pos="810"/>
        </w:tabs>
        <w:ind w:left="810"/>
        <w:rPr>
          <w:rFonts w:cstheme="minorHAnsi"/>
        </w:rPr>
      </w:pPr>
      <w:r w:rsidRPr="00CF462D">
        <w:rPr>
          <w:rFonts w:cstheme="minorHAnsi"/>
        </w:rPr>
        <w:t>Development – expand research funding, improve diagnostics, develop biomarkers, and strengthen clinical trial design guidance.</w:t>
      </w:r>
    </w:p>
    <w:p w14:paraId="3E2EC724" w14:textId="323C2602" w:rsidR="00CF462D" w:rsidRPr="00CF462D" w:rsidRDefault="00CF462D" w:rsidP="00A43D64">
      <w:pPr>
        <w:pStyle w:val="BodyText"/>
        <w:numPr>
          <w:ilvl w:val="0"/>
          <w:numId w:val="9"/>
        </w:numPr>
        <w:tabs>
          <w:tab w:val="left" w:pos="810"/>
        </w:tabs>
        <w:ind w:left="810"/>
        <w:rPr>
          <w:rFonts w:cstheme="minorHAnsi"/>
        </w:rPr>
      </w:pPr>
      <w:r w:rsidRPr="00CF462D">
        <w:rPr>
          <w:rFonts w:cstheme="minorHAnsi"/>
        </w:rPr>
        <w:t>Regulation – align criteria and incentives for orphan designation, expand reliance/recognition pathways, harmonize facilitated pathway criteria, increase pre-submission scientific advice, and leverage platform technologies to accelerate review.</w:t>
      </w:r>
    </w:p>
    <w:p w14:paraId="239A79BC" w14:textId="77777777" w:rsidR="00CF462D" w:rsidRPr="00CF462D" w:rsidRDefault="00CF462D" w:rsidP="00A43D64">
      <w:pPr>
        <w:pStyle w:val="BodyText"/>
        <w:numPr>
          <w:ilvl w:val="0"/>
          <w:numId w:val="9"/>
        </w:numPr>
        <w:tabs>
          <w:tab w:val="left" w:pos="810"/>
        </w:tabs>
        <w:ind w:left="810"/>
        <w:rPr>
          <w:rFonts w:cstheme="minorHAnsi"/>
        </w:rPr>
      </w:pPr>
      <w:r w:rsidRPr="00CF462D">
        <w:rPr>
          <w:rFonts w:cstheme="minorHAnsi"/>
        </w:rPr>
        <w:t xml:space="preserve">Funding &amp; Access – adapt HTA tools for rare diseases, align regulatory and HTA evidence </w:t>
      </w:r>
      <w:r w:rsidRPr="00CF462D">
        <w:rPr>
          <w:rFonts w:cstheme="minorHAnsi"/>
        </w:rPr>
        <w:lastRenderedPageBreak/>
        <w:t>requirements, and explore innovative payment models.</w:t>
      </w:r>
    </w:p>
    <w:p w14:paraId="783CE9F9" w14:textId="77777777" w:rsidR="00CF462D" w:rsidRPr="00CF462D" w:rsidRDefault="00CF462D" w:rsidP="00CF462D">
      <w:pPr>
        <w:pStyle w:val="BodyText"/>
        <w:ind w:firstLine="720"/>
        <w:rPr>
          <w:rFonts w:cstheme="minorHAnsi"/>
        </w:rPr>
      </w:pPr>
    </w:p>
    <w:p w14:paraId="53E8FD00" w14:textId="23188B87" w:rsidR="00CF462D" w:rsidRPr="00CF462D" w:rsidRDefault="00CF462D" w:rsidP="00CF462D">
      <w:pPr>
        <w:pStyle w:val="BodyText"/>
        <w:ind w:firstLine="720"/>
        <w:rPr>
          <w:rFonts w:cstheme="minorHAnsi"/>
        </w:rPr>
      </w:pPr>
      <w:r>
        <w:rPr>
          <w:rFonts w:cstheme="minorHAnsi"/>
        </w:rPr>
        <w:t xml:space="preserve">Prof. </w:t>
      </w:r>
      <w:r w:rsidRPr="00CF462D">
        <w:rPr>
          <w:rFonts w:cstheme="minorHAnsi"/>
        </w:rPr>
        <w:t>Leong reinforced the importance of regulatory agility and collaboration, noting the challenges regulators face in applying benefit–risk assessments to foreign-generated data in rare diseases. He stressed the need for competency building so regulators can evaluate local relevance, align to domestic clinical practice, and mitigate product risks post-approval. He proposed expanding collaborative mechanisms beyond market authorization into ongoing safety and effectiveness monitoring, and identified two COE training priorities: strengthening benefit–risk assessment skills for rare diseases and building systems for post-market data sharing across economies.</w:t>
      </w:r>
    </w:p>
    <w:p w14:paraId="2C3ED978" w14:textId="77777777" w:rsidR="00CF462D" w:rsidRPr="00CF462D" w:rsidRDefault="00CF462D" w:rsidP="00CF462D">
      <w:pPr>
        <w:pStyle w:val="BodyText"/>
        <w:ind w:firstLine="720"/>
        <w:rPr>
          <w:rFonts w:cstheme="minorHAnsi"/>
        </w:rPr>
      </w:pPr>
    </w:p>
    <w:p w14:paraId="02299CBA" w14:textId="1BF1A876" w:rsidR="00CF462D" w:rsidRPr="00CF462D" w:rsidRDefault="00CF462D" w:rsidP="00CF462D">
      <w:pPr>
        <w:pStyle w:val="BodyText"/>
        <w:ind w:firstLine="720"/>
        <w:rPr>
          <w:rFonts w:cstheme="minorHAnsi"/>
        </w:rPr>
      </w:pPr>
      <w:r w:rsidRPr="00CF462D">
        <w:rPr>
          <w:rFonts w:cstheme="minorHAnsi"/>
        </w:rPr>
        <w:t xml:space="preserve">In the Q&amp;A, </w:t>
      </w:r>
      <w:r>
        <w:rPr>
          <w:rFonts w:cstheme="minorHAnsi"/>
        </w:rPr>
        <w:t xml:space="preserve">Mr. </w:t>
      </w:r>
      <w:r w:rsidRPr="00CF462D">
        <w:rPr>
          <w:rFonts w:cstheme="minorHAnsi"/>
        </w:rPr>
        <w:t xml:space="preserve">Obscherning invited both speakers to discuss how RHSC could advance regulatory discussions on rare diseases while also engaging with APEC’s Health Working Group and HTA bodies. Leong suggested leveraging existing platforms and pilot projects for regulator–HTA collaboration, sharing good practices rather than pursuing full harmonization. </w:t>
      </w:r>
      <w:r w:rsidR="00A43D64">
        <w:rPr>
          <w:rFonts w:cstheme="minorHAnsi"/>
        </w:rPr>
        <w:t>D</w:t>
      </w:r>
      <w:r>
        <w:rPr>
          <w:rFonts w:cstheme="minorHAnsi"/>
        </w:rPr>
        <w:t xml:space="preserve">r. </w:t>
      </w:r>
      <w:r w:rsidRPr="00CF462D">
        <w:rPr>
          <w:rFonts w:cstheme="minorHAnsi"/>
        </w:rPr>
        <w:t>Skerritt argued for closer integration of regulatory and HTA evidence requirements to minimize duplicate post-approval commitments, emphasizing that alignment benefits patients by reducing trial burden.</w:t>
      </w:r>
    </w:p>
    <w:p w14:paraId="116E2DAA" w14:textId="77777777" w:rsidR="00CF462D" w:rsidRPr="00CF462D" w:rsidRDefault="00CF462D" w:rsidP="00CF462D">
      <w:pPr>
        <w:pStyle w:val="BodyText"/>
        <w:ind w:firstLine="720"/>
        <w:rPr>
          <w:rFonts w:cstheme="minorHAnsi"/>
        </w:rPr>
      </w:pPr>
    </w:p>
    <w:p w14:paraId="11F012D5" w14:textId="42577D26" w:rsidR="00CF462D" w:rsidRDefault="00CF462D" w:rsidP="00CF462D">
      <w:pPr>
        <w:pStyle w:val="BodyText"/>
        <w:ind w:firstLine="720"/>
        <w:rPr>
          <w:rFonts w:cstheme="minorHAnsi"/>
        </w:rPr>
      </w:pPr>
      <w:r w:rsidRPr="00CF462D">
        <w:rPr>
          <w:rFonts w:cstheme="minorHAnsi"/>
        </w:rPr>
        <w:t xml:space="preserve">The discussion turned to patient engagement, with </w:t>
      </w:r>
      <w:r>
        <w:rPr>
          <w:rFonts w:cstheme="minorHAnsi"/>
        </w:rPr>
        <w:t xml:space="preserve">Prof. </w:t>
      </w:r>
      <w:r w:rsidRPr="00CF462D">
        <w:rPr>
          <w:rFonts w:cstheme="minorHAnsi"/>
        </w:rPr>
        <w:t>Leong noting wide variation in how economies involve patients in health decision-making and proposing pilot initiatives in rare disease as a test case. Skerritt stressed that patient input is essential—particularly in identifying meaningful endpoints—and suggested sharing models from economies and companies with mature engagement practices. Both panelists agreed that information sharing, rather than uniform approaches, would help economies strengthen patient engagement in the regulatory process.</w:t>
      </w:r>
    </w:p>
    <w:p w14:paraId="0B0A94E0" w14:textId="77777777" w:rsidR="00425969" w:rsidRDefault="00425969" w:rsidP="00CF462D">
      <w:pPr>
        <w:pStyle w:val="BodyText"/>
        <w:ind w:firstLine="720"/>
        <w:rPr>
          <w:rFonts w:cstheme="minorHAnsi"/>
        </w:rPr>
      </w:pPr>
    </w:p>
    <w:p w14:paraId="76FAE65B" w14:textId="548657D9" w:rsidR="00425969" w:rsidRDefault="00425969" w:rsidP="00425969">
      <w:pPr>
        <w:pStyle w:val="BodyText"/>
        <w:ind w:firstLine="720"/>
        <w:rPr>
          <w:rFonts w:asciiTheme="minorHAnsi" w:hAnsiTheme="minorHAnsi" w:cstheme="minorHAnsi"/>
          <w:b/>
          <w:bCs/>
          <w:u w:val="single"/>
        </w:rPr>
      </w:pPr>
      <w:r>
        <w:rPr>
          <w:rFonts w:asciiTheme="minorHAnsi" w:hAnsiTheme="minorHAnsi" w:cstheme="minorHAnsi"/>
          <w:b/>
          <w:bCs/>
        </w:rPr>
        <w:t>19</w:t>
      </w:r>
      <w:r w:rsidRPr="004C148E">
        <w:rPr>
          <w:rFonts w:asciiTheme="minorHAnsi" w:hAnsiTheme="minorHAnsi" w:cstheme="minorHAnsi"/>
          <w:b/>
          <w:bCs/>
        </w:rPr>
        <w:t>.</w:t>
      </w:r>
      <w:r w:rsidR="00B46C1F">
        <w:rPr>
          <w:rFonts w:asciiTheme="minorHAnsi" w:hAnsiTheme="minorHAnsi" w:cstheme="minorHAnsi"/>
          <w:b/>
          <w:bCs/>
        </w:rPr>
        <w:t>4</w:t>
      </w:r>
      <w:r w:rsidRPr="004C148E">
        <w:rPr>
          <w:rFonts w:asciiTheme="minorHAnsi" w:hAnsiTheme="minorHAnsi" w:cstheme="minorHAnsi"/>
          <w:b/>
          <w:bCs/>
        </w:rPr>
        <w:t xml:space="preserve"> </w:t>
      </w:r>
      <w:r w:rsidRPr="004C148E">
        <w:rPr>
          <w:rFonts w:asciiTheme="minorHAnsi" w:hAnsiTheme="minorHAnsi" w:cstheme="minorHAnsi"/>
          <w:b/>
          <w:bCs/>
        </w:rPr>
        <w:tab/>
      </w:r>
      <w:r w:rsidR="00683639" w:rsidRPr="00683639">
        <w:rPr>
          <w:rFonts w:asciiTheme="minorHAnsi" w:hAnsiTheme="minorHAnsi" w:cstheme="minorHAnsi"/>
          <w:b/>
          <w:bCs/>
          <w:u w:val="single"/>
        </w:rPr>
        <w:t>Economy Interventions</w:t>
      </w:r>
    </w:p>
    <w:p w14:paraId="251C4494" w14:textId="77777777" w:rsidR="00683639" w:rsidRDefault="00683639" w:rsidP="00425969">
      <w:pPr>
        <w:pStyle w:val="BodyText"/>
        <w:ind w:firstLine="720"/>
        <w:rPr>
          <w:rFonts w:asciiTheme="minorHAnsi" w:hAnsiTheme="minorHAnsi" w:cstheme="minorHAnsi"/>
          <w:b/>
          <w:bCs/>
          <w:u w:val="single"/>
        </w:rPr>
      </w:pPr>
    </w:p>
    <w:p w14:paraId="09B7B5D9" w14:textId="77777777" w:rsidR="00683639" w:rsidRPr="00683639" w:rsidRDefault="00683639" w:rsidP="00683639">
      <w:pPr>
        <w:pStyle w:val="BodyText"/>
        <w:ind w:firstLine="720"/>
        <w:rPr>
          <w:rFonts w:asciiTheme="minorHAnsi" w:hAnsiTheme="minorHAnsi" w:cstheme="minorHAnsi"/>
        </w:rPr>
      </w:pPr>
      <w:r w:rsidRPr="00683639">
        <w:rPr>
          <w:rFonts w:asciiTheme="minorHAnsi" w:hAnsiTheme="minorHAnsi" w:cstheme="minorHAnsi"/>
        </w:rPr>
        <w:t>During the economy intervention segment, Malaysia, Japan, and Chinese Taipei provided updates on national rare disease policies and regulatory initiatives, followed by open discussion.</w:t>
      </w:r>
    </w:p>
    <w:p w14:paraId="67C7EF31" w14:textId="77777777" w:rsidR="00683639" w:rsidRPr="00683639" w:rsidRDefault="00683639" w:rsidP="00683639">
      <w:pPr>
        <w:pStyle w:val="BodyText"/>
        <w:ind w:firstLine="720"/>
        <w:rPr>
          <w:rFonts w:asciiTheme="minorHAnsi" w:hAnsiTheme="minorHAnsi" w:cstheme="minorHAnsi"/>
        </w:rPr>
      </w:pPr>
    </w:p>
    <w:p w14:paraId="7C300ED4" w14:textId="4878FF04" w:rsidR="00683639" w:rsidRPr="00683639" w:rsidRDefault="00683639" w:rsidP="00683639">
      <w:pPr>
        <w:pStyle w:val="BodyText"/>
        <w:ind w:firstLine="720"/>
        <w:rPr>
          <w:rFonts w:asciiTheme="minorHAnsi" w:hAnsiTheme="minorHAnsi" w:cstheme="minorHAnsi"/>
        </w:rPr>
      </w:pPr>
      <w:r w:rsidRPr="00F86CC6">
        <w:rPr>
          <w:rFonts w:asciiTheme="minorHAnsi" w:hAnsiTheme="minorHAnsi" w:cstheme="minorHAnsi"/>
        </w:rPr>
        <w:t xml:space="preserve">Malaysia – </w:t>
      </w:r>
      <w:r w:rsidR="00B35451" w:rsidRPr="006B06DB">
        <w:rPr>
          <w:rFonts w:asciiTheme="minorHAnsi" w:hAnsiTheme="minorHAnsi" w:cstheme="minorHAnsi"/>
        </w:rPr>
        <w:t>Ms. Norhafizah Mohd Salleh</w:t>
      </w:r>
      <w:r w:rsidR="00B35451" w:rsidRPr="00F86CC6">
        <w:rPr>
          <w:rFonts w:asciiTheme="minorHAnsi" w:hAnsiTheme="minorHAnsi" w:cstheme="minorHAnsi"/>
          <w:b/>
          <w:bCs/>
        </w:rPr>
        <w:t xml:space="preserve"> </w:t>
      </w:r>
      <w:r w:rsidRPr="00F86CC6">
        <w:rPr>
          <w:rFonts w:asciiTheme="minorHAnsi" w:hAnsiTheme="minorHAnsi" w:cstheme="minorHAnsi"/>
        </w:rPr>
        <w:t>(Medical Device Authority) outlined the Ministry of Health’s policy framework for rare diseases. Malaysia established a national framework</w:t>
      </w:r>
      <w:r w:rsidRPr="00683639">
        <w:rPr>
          <w:rFonts w:asciiTheme="minorHAnsi" w:hAnsiTheme="minorHAnsi" w:cstheme="minorHAnsi"/>
        </w:rPr>
        <w:t xml:space="preserve"> in 2019, approved a strategic plan in 2020, and will launch its official national rare disease policy in August 2025. The definition of rare disease covers life-threatening or chronically debilitating conditions, with 492 diseases currently listed on the MOH website. Implementation is staged across short-, medium-, and long-term phases, focusing on foundational system building, policy development, and sustainability. Current initiatives include early screening and treatment tailored to patient needs. For medical devices, a “special access route” under the Medical Device Exemption Order 2024 enables expedited approval for devices needed in life-threatening conditions, including rare diseases, with a 14-day review target. For orphan medicines, Malaysia has integrated access into its National Medicines Policy since 2012, with expedited registration, special approvals for unregistered essential medicines, and orphan designation criteria tied to the national rare disease list. Malaysia also participates in international initiatives, including APEC rare disease policy dialogues, UN resolutions, and co-sponsorship of the WHA 2025 Global Action Plan on Rare Disease.</w:t>
      </w:r>
    </w:p>
    <w:p w14:paraId="5AB5C7A9" w14:textId="77777777" w:rsidR="00683639" w:rsidRPr="00683639" w:rsidRDefault="00683639" w:rsidP="00683639">
      <w:pPr>
        <w:pStyle w:val="BodyText"/>
        <w:ind w:firstLine="720"/>
        <w:rPr>
          <w:rFonts w:asciiTheme="minorHAnsi" w:hAnsiTheme="minorHAnsi" w:cstheme="minorHAnsi"/>
        </w:rPr>
      </w:pPr>
    </w:p>
    <w:p w14:paraId="0AB986EC" w14:textId="64DC0EF2" w:rsidR="00683639" w:rsidRPr="00683639" w:rsidRDefault="00683639" w:rsidP="00683639">
      <w:pPr>
        <w:pStyle w:val="BodyText"/>
        <w:ind w:firstLine="720"/>
        <w:rPr>
          <w:rFonts w:asciiTheme="minorHAnsi" w:hAnsiTheme="minorHAnsi" w:cstheme="minorHAnsi"/>
        </w:rPr>
      </w:pPr>
      <w:r w:rsidRPr="00F57407">
        <w:rPr>
          <w:rFonts w:asciiTheme="minorHAnsi" w:hAnsiTheme="minorHAnsi" w:cstheme="minorHAnsi"/>
        </w:rPr>
        <w:t xml:space="preserve">Japan – </w:t>
      </w:r>
      <w:r w:rsidR="002D3E81" w:rsidRPr="00F57407">
        <w:rPr>
          <w:rFonts w:asciiTheme="minorHAnsi" w:hAnsiTheme="minorHAnsi" w:cstheme="minorHAnsi"/>
        </w:rPr>
        <w:t xml:space="preserve">Ms. </w:t>
      </w:r>
      <w:r w:rsidRPr="00F57407">
        <w:rPr>
          <w:rFonts w:asciiTheme="minorHAnsi" w:hAnsiTheme="minorHAnsi" w:cstheme="minorHAnsi"/>
        </w:rPr>
        <w:t xml:space="preserve">Miwa Kanematsu (PMDA) noted that while regulators have engaged extensively on rare disease product issues, industry participation in such discussions appears limited. </w:t>
      </w:r>
      <w:r w:rsidR="00A72E11" w:rsidRPr="00AD1C7E">
        <w:rPr>
          <w:rFonts w:asciiTheme="minorHAnsi" w:eastAsiaTheme="minorEastAsia" w:hAnsiTheme="minorHAnsi" w:cstheme="minorHAnsi"/>
          <w:lang w:eastAsia="ja-JP"/>
        </w:rPr>
        <w:t xml:space="preserve">Therefore, she questioned whether it was appropriate to discuss this topic at the RHSC meeting. </w:t>
      </w:r>
    </w:p>
    <w:p w14:paraId="0A79CE20" w14:textId="77777777" w:rsidR="00683639" w:rsidRPr="00683639" w:rsidRDefault="00683639" w:rsidP="00683639">
      <w:pPr>
        <w:pStyle w:val="BodyText"/>
        <w:ind w:firstLine="720"/>
        <w:rPr>
          <w:rFonts w:asciiTheme="minorHAnsi" w:hAnsiTheme="minorHAnsi" w:cstheme="minorHAnsi"/>
        </w:rPr>
      </w:pPr>
    </w:p>
    <w:p w14:paraId="64813B2E" w14:textId="2E588052" w:rsidR="00683639" w:rsidRPr="00CD5245" w:rsidRDefault="00683639" w:rsidP="00683639">
      <w:pPr>
        <w:pStyle w:val="BodyText"/>
        <w:ind w:firstLine="720"/>
        <w:rPr>
          <w:rFonts w:asciiTheme="minorHAnsi" w:hAnsiTheme="minorHAnsi" w:cstheme="minorHAnsi"/>
        </w:rPr>
      </w:pPr>
      <w:r w:rsidRPr="00683639">
        <w:rPr>
          <w:rFonts w:asciiTheme="minorHAnsi" w:hAnsiTheme="minorHAnsi" w:cstheme="minorHAnsi"/>
        </w:rPr>
        <w:lastRenderedPageBreak/>
        <w:t>Chinese Taipei –</w:t>
      </w:r>
      <w:r w:rsidR="002D3E81">
        <w:rPr>
          <w:rFonts w:asciiTheme="minorHAnsi" w:hAnsiTheme="minorHAnsi" w:cstheme="minorHAnsi"/>
        </w:rPr>
        <w:t xml:space="preserve"> Mr.</w:t>
      </w:r>
      <w:r w:rsidRPr="00683639">
        <w:rPr>
          <w:rFonts w:asciiTheme="minorHAnsi" w:hAnsiTheme="minorHAnsi" w:cstheme="minorHAnsi"/>
        </w:rPr>
        <w:t xml:space="preserve"> Weiting Chen (TFDA) described a pilot program (2024–2026) for accelerated orphan drug designation and registration, applicable to products already approved by the US FDA, EU EMA, or Japan MHLW. Under the program, designation and registration applications are submitted concurrently with full supporting documentation from the reference authority, enabling a reliance-based review within 240 days. Final approval remains subject to </w:t>
      </w:r>
      <w:r w:rsidRPr="00CD5245">
        <w:rPr>
          <w:rFonts w:asciiTheme="minorHAnsi" w:hAnsiTheme="minorHAnsi" w:cstheme="minorHAnsi"/>
        </w:rPr>
        <w:t>the Rare Disease and Orphan Drug Review Committee of the Ministry of Health and Welfare.</w:t>
      </w:r>
    </w:p>
    <w:p w14:paraId="41ABCD97" w14:textId="77777777" w:rsidR="00425969" w:rsidRDefault="00425969" w:rsidP="00CF462D">
      <w:pPr>
        <w:pStyle w:val="BodyText"/>
        <w:ind w:firstLine="720"/>
        <w:rPr>
          <w:rFonts w:cstheme="minorHAnsi"/>
        </w:rPr>
      </w:pPr>
    </w:p>
    <w:p w14:paraId="021480D8" w14:textId="7A3629F1" w:rsidR="00CD5245" w:rsidRDefault="00CD5245" w:rsidP="00CF462D">
      <w:pPr>
        <w:pStyle w:val="BodyText"/>
        <w:ind w:firstLine="720"/>
        <w:rPr>
          <w:rFonts w:cstheme="minorHAnsi"/>
        </w:rPr>
      </w:pPr>
      <w:r w:rsidRPr="00CD5245">
        <w:rPr>
          <w:rFonts w:cstheme="minorHAnsi"/>
        </w:rPr>
        <w:t>In the open discussion, Eric Obscherning emphasized that rare disease work spans multiple regulatory domains—pharmaceuticals, advanced therapies, diagnostics, and medical devices—and suggested this breadth underscored the need for follow-up exchanges between regulators and industry. Australia noted the absence of patient representatives in the session and urged their inclusion in future RHSC rare disease dialogues, echoing earlier conversations on enhancing patient engagement. Participants agreed to compile the proposed next steps from the discussion, with plans to circulate them to RHSC members. These would include exploring expanded reliance mechanisms, sharing good regulatory practices, and developing structured models for patient engagement.</w:t>
      </w:r>
    </w:p>
    <w:p w14:paraId="3A18E5D9" w14:textId="77777777" w:rsidR="00B46C1F" w:rsidRDefault="00B46C1F" w:rsidP="00CF462D">
      <w:pPr>
        <w:pStyle w:val="BodyText"/>
        <w:ind w:firstLine="720"/>
        <w:rPr>
          <w:rFonts w:cstheme="minorHAnsi"/>
        </w:rPr>
      </w:pPr>
    </w:p>
    <w:p w14:paraId="70C11A79" w14:textId="5C5D2363" w:rsidR="00B46C1F" w:rsidRDefault="00B46C1F" w:rsidP="00B46C1F">
      <w:pPr>
        <w:pStyle w:val="BodyText"/>
        <w:ind w:firstLine="720"/>
        <w:rPr>
          <w:rFonts w:asciiTheme="minorHAnsi" w:hAnsiTheme="minorHAnsi" w:cstheme="minorHAnsi"/>
          <w:b/>
          <w:bCs/>
          <w:u w:val="single"/>
        </w:rPr>
      </w:pPr>
      <w:r>
        <w:rPr>
          <w:rFonts w:asciiTheme="minorHAnsi" w:hAnsiTheme="minorHAnsi" w:cstheme="minorHAnsi"/>
          <w:b/>
          <w:bCs/>
        </w:rPr>
        <w:t>19</w:t>
      </w:r>
      <w:r w:rsidRPr="004C148E">
        <w:rPr>
          <w:rFonts w:asciiTheme="minorHAnsi" w:hAnsiTheme="minorHAnsi" w:cstheme="minorHAnsi"/>
          <w:b/>
          <w:bCs/>
        </w:rPr>
        <w:t>.</w:t>
      </w:r>
      <w:r w:rsidR="00FB4038">
        <w:rPr>
          <w:rFonts w:asciiTheme="minorHAnsi" w:hAnsiTheme="minorHAnsi" w:cstheme="minorHAnsi"/>
          <w:b/>
          <w:bCs/>
        </w:rPr>
        <w:t>5</w:t>
      </w:r>
      <w:r w:rsidRPr="004C148E">
        <w:rPr>
          <w:rFonts w:asciiTheme="minorHAnsi" w:hAnsiTheme="minorHAnsi" w:cstheme="minorHAnsi"/>
          <w:b/>
          <w:bCs/>
        </w:rPr>
        <w:t xml:space="preserve"> </w:t>
      </w:r>
      <w:r w:rsidRPr="004C148E">
        <w:rPr>
          <w:rFonts w:asciiTheme="minorHAnsi" w:hAnsiTheme="minorHAnsi" w:cstheme="minorHAnsi"/>
          <w:b/>
          <w:bCs/>
        </w:rPr>
        <w:tab/>
      </w:r>
      <w:r w:rsidR="00D44438">
        <w:rPr>
          <w:rFonts w:asciiTheme="minorHAnsi" w:hAnsiTheme="minorHAnsi" w:cstheme="minorHAnsi"/>
          <w:b/>
          <w:bCs/>
          <w:u w:val="single"/>
        </w:rPr>
        <w:t>Concluding Remarks</w:t>
      </w:r>
    </w:p>
    <w:p w14:paraId="0D5E2BC0" w14:textId="77777777" w:rsidR="00B46C1F" w:rsidRDefault="00B46C1F" w:rsidP="00CF462D">
      <w:pPr>
        <w:pStyle w:val="BodyText"/>
        <w:ind w:firstLine="720"/>
        <w:rPr>
          <w:rFonts w:cstheme="minorHAnsi"/>
        </w:rPr>
      </w:pPr>
    </w:p>
    <w:p w14:paraId="785939E8" w14:textId="1CB2C6DE" w:rsidR="00FB4038" w:rsidRDefault="001633A9" w:rsidP="00CF462D">
      <w:pPr>
        <w:pStyle w:val="BodyText"/>
        <w:ind w:firstLine="720"/>
        <w:rPr>
          <w:rFonts w:cstheme="minorHAnsi"/>
        </w:rPr>
      </w:pPr>
      <w:r>
        <w:rPr>
          <w:rFonts w:cstheme="minorHAnsi"/>
        </w:rPr>
        <w:t>The RHSC Chair thank the moderator and the panelists for their contributions.</w:t>
      </w:r>
    </w:p>
    <w:p w14:paraId="04B7976B" w14:textId="77777777" w:rsidR="001633A9" w:rsidRDefault="001633A9" w:rsidP="00CF462D">
      <w:pPr>
        <w:pStyle w:val="BodyText"/>
        <w:ind w:firstLine="720"/>
        <w:rPr>
          <w:rFonts w:cstheme="minorHAnsi"/>
        </w:rPr>
      </w:pPr>
    </w:p>
    <w:tbl>
      <w:tblPr>
        <w:tblStyle w:val="TableGrid"/>
        <w:tblW w:w="9606" w:type="dxa"/>
        <w:jc w:val="center"/>
        <w:tblLook w:val="04A0" w:firstRow="1" w:lastRow="0" w:firstColumn="1" w:lastColumn="0" w:noHBand="0" w:noVBand="1"/>
      </w:tblPr>
      <w:tblGrid>
        <w:gridCol w:w="1368"/>
        <w:gridCol w:w="1905"/>
        <w:gridCol w:w="6333"/>
      </w:tblGrid>
      <w:tr w:rsidR="001633A9" w:rsidRPr="004C148E" w14:paraId="14BDE86E" w14:textId="77777777" w:rsidTr="00B92E9F">
        <w:trPr>
          <w:jc w:val="center"/>
        </w:trPr>
        <w:tc>
          <w:tcPr>
            <w:tcW w:w="1368" w:type="dxa"/>
            <w:shd w:val="clear" w:color="auto" w:fill="F2F2F2" w:themeFill="background1" w:themeFillShade="F2"/>
            <w:vAlign w:val="center"/>
          </w:tcPr>
          <w:p w14:paraId="200EA95A" w14:textId="20460D32" w:rsidR="001633A9" w:rsidRPr="004C148E" w:rsidRDefault="001633A9" w:rsidP="00B92E9F">
            <w:pPr>
              <w:keepNext/>
              <w:jc w:val="both"/>
              <w:rPr>
                <w:rFonts w:cstheme="minorHAnsi"/>
                <w:b/>
                <w:bCs/>
              </w:rPr>
            </w:pPr>
            <w:r>
              <w:rPr>
                <w:rFonts w:cstheme="minorHAnsi"/>
                <w:b/>
                <w:bCs/>
              </w:rPr>
              <w:t>1</w:t>
            </w:r>
            <w:r w:rsidR="00D03E36">
              <w:rPr>
                <w:rFonts w:cstheme="minorHAnsi"/>
                <w:b/>
                <w:bCs/>
              </w:rPr>
              <w:t>5</w:t>
            </w:r>
            <w:r w:rsidRPr="004C148E">
              <w:rPr>
                <w:rFonts w:cstheme="minorHAnsi"/>
                <w:b/>
                <w:bCs/>
              </w:rPr>
              <w:t>:</w:t>
            </w:r>
            <w:r>
              <w:rPr>
                <w:rFonts w:cstheme="minorHAnsi"/>
                <w:b/>
                <w:bCs/>
              </w:rPr>
              <w:t>45</w:t>
            </w:r>
            <w:r w:rsidRPr="004C148E">
              <w:rPr>
                <w:rFonts w:cstheme="minorHAnsi"/>
                <w:b/>
                <w:bCs/>
              </w:rPr>
              <w:t>-</w:t>
            </w:r>
            <w:r>
              <w:rPr>
                <w:rFonts w:cstheme="minorHAnsi"/>
                <w:b/>
                <w:bCs/>
              </w:rPr>
              <w:t>1</w:t>
            </w:r>
            <w:r w:rsidR="00D03E36">
              <w:rPr>
                <w:rFonts w:cstheme="minorHAnsi"/>
                <w:b/>
                <w:bCs/>
              </w:rPr>
              <w:t>6</w:t>
            </w:r>
            <w:r w:rsidRPr="004C148E">
              <w:rPr>
                <w:rFonts w:cstheme="minorHAnsi"/>
                <w:b/>
                <w:bCs/>
              </w:rPr>
              <w:t>:</w:t>
            </w:r>
            <w:r>
              <w:rPr>
                <w:rFonts w:cstheme="minorHAnsi"/>
                <w:b/>
                <w:bCs/>
              </w:rPr>
              <w:t>45</w:t>
            </w:r>
          </w:p>
        </w:tc>
        <w:tc>
          <w:tcPr>
            <w:tcW w:w="1905" w:type="dxa"/>
            <w:shd w:val="clear" w:color="auto" w:fill="F2F2F2" w:themeFill="background1" w:themeFillShade="F2"/>
            <w:vAlign w:val="center"/>
          </w:tcPr>
          <w:p w14:paraId="6D83A9C6" w14:textId="190CB294" w:rsidR="001633A9" w:rsidRPr="004C148E" w:rsidRDefault="001633A9" w:rsidP="00B92E9F">
            <w:pPr>
              <w:keepNext/>
              <w:jc w:val="both"/>
              <w:rPr>
                <w:rFonts w:cstheme="minorHAnsi"/>
                <w:b/>
                <w:bCs/>
              </w:rPr>
            </w:pPr>
            <w:r w:rsidRPr="004C148E">
              <w:rPr>
                <w:rFonts w:cstheme="minorHAnsi"/>
                <w:b/>
                <w:bCs/>
              </w:rPr>
              <w:t xml:space="preserve">AGENDA ITEM </w:t>
            </w:r>
            <w:r w:rsidR="00D03E36">
              <w:rPr>
                <w:rFonts w:cstheme="minorHAnsi"/>
                <w:b/>
                <w:bCs/>
              </w:rPr>
              <w:t>20</w:t>
            </w:r>
          </w:p>
        </w:tc>
        <w:tc>
          <w:tcPr>
            <w:tcW w:w="6333" w:type="dxa"/>
            <w:shd w:val="clear" w:color="auto" w:fill="F2F2F2" w:themeFill="background1" w:themeFillShade="F2"/>
            <w:vAlign w:val="center"/>
          </w:tcPr>
          <w:p w14:paraId="6F150717" w14:textId="55994F03" w:rsidR="001633A9" w:rsidRPr="004C148E" w:rsidRDefault="00D03E36" w:rsidP="00B92E9F">
            <w:pPr>
              <w:keepNext/>
              <w:rPr>
                <w:rFonts w:cstheme="minorHAnsi"/>
                <w:b/>
              </w:rPr>
            </w:pPr>
            <w:r w:rsidRPr="00D03E36">
              <w:rPr>
                <w:rFonts w:cstheme="minorHAnsi"/>
                <w:b/>
              </w:rPr>
              <w:t>Building Regulatory Trust: Conversation Between RHSC and the Access Consortium</w:t>
            </w:r>
          </w:p>
        </w:tc>
      </w:tr>
    </w:tbl>
    <w:p w14:paraId="210A37E2" w14:textId="77777777" w:rsidR="001633A9" w:rsidRDefault="001633A9" w:rsidP="00CF462D">
      <w:pPr>
        <w:pStyle w:val="BodyText"/>
        <w:ind w:firstLine="720"/>
        <w:rPr>
          <w:rFonts w:cstheme="minorHAnsi"/>
        </w:rPr>
      </w:pPr>
    </w:p>
    <w:p w14:paraId="03F08D21" w14:textId="20722EE6" w:rsidR="009D25FE" w:rsidRDefault="009D25FE" w:rsidP="00CF462D">
      <w:pPr>
        <w:pStyle w:val="BodyText"/>
        <w:ind w:firstLine="720"/>
        <w:rPr>
          <w:rFonts w:asciiTheme="minorHAnsi" w:hAnsiTheme="minorHAnsi" w:cstheme="minorHAnsi"/>
          <w:b/>
          <w:bCs/>
          <w:u w:val="single"/>
        </w:rPr>
      </w:pPr>
      <w:r>
        <w:rPr>
          <w:rFonts w:asciiTheme="minorHAnsi" w:hAnsiTheme="minorHAnsi" w:cstheme="minorHAnsi"/>
          <w:b/>
          <w:bCs/>
        </w:rPr>
        <w:t>20</w:t>
      </w:r>
      <w:r w:rsidRPr="004C148E">
        <w:rPr>
          <w:rFonts w:asciiTheme="minorHAnsi" w:hAnsiTheme="minorHAnsi" w:cstheme="minorHAnsi"/>
          <w:b/>
          <w:bCs/>
        </w:rPr>
        <w:t>.</w:t>
      </w:r>
      <w:r>
        <w:rPr>
          <w:rFonts w:asciiTheme="minorHAnsi" w:hAnsiTheme="minorHAnsi" w:cstheme="minorHAnsi"/>
          <w:b/>
          <w:bCs/>
        </w:rPr>
        <w:t>1</w:t>
      </w:r>
      <w:r w:rsidRPr="004C148E">
        <w:rPr>
          <w:rFonts w:asciiTheme="minorHAnsi" w:hAnsiTheme="minorHAnsi" w:cstheme="minorHAnsi"/>
          <w:b/>
          <w:bCs/>
        </w:rPr>
        <w:t xml:space="preserve"> </w:t>
      </w:r>
      <w:r w:rsidRPr="004C148E">
        <w:rPr>
          <w:rFonts w:asciiTheme="minorHAnsi" w:hAnsiTheme="minorHAnsi" w:cstheme="minorHAnsi"/>
          <w:b/>
          <w:bCs/>
        </w:rPr>
        <w:tab/>
      </w:r>
      <w:r>
        <w:rPr>
          <w:rFonts w:asciiTheme="minorHAnsi" w:hAnsiTheme="minorHAnsi" w:cstheme="minorHAnsi"/>
          <w:b/>
          <w:bCs/>
          <w:u w:val="single"/>
        </w:rPr>
        <w:t>Session Introduction</w:t>
      </w:r>
    </w:p>
    <w:p w14:paraId="16EED663" w14:textId="783E917D" w:rsidR="009D25FE" w:rsidRDefault="009D25FE" w:rsidP="00CF462D">
      <w:pPr>
        <w:pStyle w:val="BodyText"/>
        <w:ind w:firstLine="720"/>
        <w:rPr>
          <w:rFonts w:asciiTheme="minorHAnsi" w:hAnsiTheme="minorHAnsi" w:cstheme="minorHAnsi"/>
        </w:rPr>
      </w:pPr>
      <w:r w:rsidRPr="004F2D0A">
        <w:rPr>
          <w:rFonts w:asciiTheme="minorHAnsi" w:hAnsiTheme="minorHAnsi" w:cstheme="minorHAnsi"/>
        </w:rPr>
        <w:t xml:space="preserve">The RHSC Chair </w:t>
      </w:r>
      <w:r w:rsidR="004F2D0A" w:rsidRPr="004F2D0A">
        <w:rPr>
          <w:rFonts w:asciiTheme="minorHAnsi" w:hAnsiTheme="minorHAnsi" w:cstheme="minorHAnsi"/>
        </w:rPr>
        <w:t>opened the session</w:t>
      </w:r>
      <w:r w:rsidR="004F2D0A">
        <w:rPr>
          <w:rFonts w:asciiTheme="minorHAnsi" w:hAnsiTheme="minorHAnsi" w:cstheme="minorHAnsi"/>
        </w:rPr>
        <w:t>.</w:t>
      </w:r>
    </w:p>
    <w:p w14:paraId="7DD604B1" w14:textId="77777777" w:rsidR="004F2D0A" w:rsidRDefault="004F2D0A" w:rsidP="00CF462D">
      <w:pPr>
        <w:pStyle w:val="BodyText"/>
        <w:ind w:firstLine="720"/>
        <w:rPr>
          <w:rFonts w:asciiTheme="minorHAnsi" w:hAnsiTheme="minorHAnsi" w:cstheme="minorHAnsi"/>
        </w:rPr>
      </w:pPr>
    </w:p>
    <w:p w14:paraId="52C5F434" w14:textId="71396FC8" w:rsidR="004F2D0A" w:rsidRDefault="004F2D0A" w:rsidP="004F2D0A">
      <w:pPr>
        <w:pStyle w:val="BodyText"/>
        <w:ind w:firstLine="720"/>
        <w:rPr>
          <w:rFonts w:asciiTheme="minorHAnsi" w:hAnsiTheme="minorHAnsi" w:cstheme="minorHAnsi"/>
          <w:b/>
          <w:bCs/>
          <w:u w:val="single"/>
        </w:rPr>
      </w:pPr>
      <w:r>
        <w:rPr>
          <w:rFonts w:asciiTheme="minorHAnsi" w:hAnsiTheme="minorHAnsi" w:cstheme="minorHAnsi"/>
          <w:b/>
          <w:bCs/>
        </w:rPr>
        <w:t>20</w:t>
      </w:r>
      <w:r w:rsidRPr="004C148E">
        <w:rPr>
          <w:rFonts w:asciiTheme="minorHAnsi" w:hAnsiTheme="minorHAnsi" w:cstheme="minorHAnsi"/>
          <w:b/>
          <w:bCs/>
        </w:rPr>
        <w:t>.</w:t>
      </w:r>
      <w:r>
        <w:rPr>
          <w:rFonts w:asciiTheme="minorHAnsi" w:hAnsiTheme="minorHAnsi" w:cstheme="minorHAnsi"/>
          <w:b/>
          <w:bCs/>
        </w:rPr>
        <w:t>2</w:t>
      </w:r>
      <w:r w:rsidRPr="004C148E">
        <w:rPr>
          <w:rFonts w:asciiTheme="minorHAnsi" w:hAnsiTheme="minorHAnsi" w:cstheme="minorHAnsi"/>
          <w:b/>
          <w:bCs/>
        </w:rPr>
        <w:t xml:space="preserve"> </w:t>
      </w:r>
      <w:r w:rsidRPr="004C148E">
        <w:rPr>
          <w:rFonts w:asciiTheme="minorHAnsi" w:hAnsiTheme="minorHAnsi" w:cstheme="minorHAnsi"/>
          <w:b/>
          <w:bCs/>
        </w:rPr>
        <w:tab/>
      </w:r>
      <w:r w:rsidR="0003433D">
        <w:rPr>
          <w:rFonts w:asciiTheme="minorHAnsi" w:hAnsiTheme="minorHAnsi" w:cstheme="minorHAnsi"/>
          <w:b/>
          <w:bCs/>
          <w:u w:val="single"/>
        </w:rPr>
        <w:t>Expert Perspectives</w:t>
      </w:r>
    </w:p>
    <w:p w14:paraId="2A59B512" w14:textId="77777777" w:rsidR="00410488" w:rsidRDefault="00410488" w:rsidP="004F2D0A">
      <w:pPr>
        <w:pStyle w:val="BodyText"/>
        <w:ind w:firstLine="720"/>
        <w:rPr>
          <w:rFonts w:asciiTheme="minorHAnsi" w:hAnsiTheme="minorHAnsi" w:cstheme="minorHAnsi"/>
          <w:b/>
          <w:bCs/>
          <w:u w:val="single"/>
        </w:rPr>
      </w:pPr>
    </w:p>
    <w:p w14:paraId="1560BF42" w14:textId="1AD5F517" w:rsidR="00410488" w:rsidRPr="00410488" w:rsidRDefault="00410488" w:rsidP="00410488">
      <w:pPr>
        <w:pStyle w:val="BodyText"/>
        <w:ind w:firstLine="720"/>
        <w:rPr>
          <w:rFonts w:asciiTheme="minorHAnsi" w:hAnsiTheme="minorHAnsi" w:cstheme="minorHAnsi"/>
        </w:rPr>
      </w:pPr>
      <w:r w:rsidRPr="00410488">
        <w:rPr>
          <w:rFonts w:asciiTheme="minorHAnsi" w:hAnsiTheme="minorHAnsi" w:cstheme="minorHAnsi"/>
        </w:rPr>
        <w:t>Dr. Yee Hoo Looi (</w:t>
      </w:r>
      <w:r w:rsidR="004A7B0E">
        <w:rPr>
          <w:rFonts w:asciiTheme="minorHAnsi" w:hAnsiTheme="minorHAnsi" w:cstheme="minorHAnsi"/>
        </w:rPr>
        <w:t>HSA</w:t>
      </w:r>
      <w:r w:rsidRPr="00410488">
        <w:rPr>
          <w:rFonts w:asciiTheme="minorHAnsi" w:hAnsiTheme="minorHAnsi" w:cstheme="minorHAnsi"/>
        </w:rPr>
        <w:t xml:space="preserve"> Singapore) opened with an overview of the consortium, which brings together regulators from Health Canada, Singapore HSA, Australia TGA, Swissmedic, and the UK MHRA to collaborate on work-sharing and regulatory harmonization. She outlined the consortium’s evolution from its 2007 inception as ACSS, its shift from confidence-building activities to full work-sharing in new active substances and generics, and the 2021 expansion to include the UK. Dr. Looi described the work-sharing process—requiring simultaneous submissions to at least two members, shared assessment responsibilities by dossier module, and sovereign final decisions—and noted tangible benefits, including reduced duplication, faster timelines, and greater alignment among participating agencies. She also presented data showing reduced submission gaps and, in some cases, faster approvals, and emphasized plans to expand scope, enhance IT and communication tools, and further streamline processes.</w:t>
      </w:r>
    </w:p>
    <w:p w14:paraId="3B96028C" w14:textId="77777777" w:rsidR="00410488" w:rsidRPr="00410488" w:rsidRDefault="00410488" w:rsidP="00410488">
      <w:pPr>
        <w:pStyle w:val="BodyText"/>
        <w:ind w:firstLine="720"/>
        <w:rPr>
          <w:rFonts w:asciiTheme="minorHAnsi" w:hAnsiTheme="minorHAnsi" w:cstheme="minorHAnsi"/>
        </w:rPr>
      </w:pPr>
    </w:p>
    <w:p w14:paraId="7EBE8224" w14:textId="39092C09" w:rsidR="00410488" w:rsidRDefault="009A73CD" w:rsidP="00410488">
      <w:pPr>
        <w:pStyle w:val="BodyText"/>
        <w:ind w:firstLine="720"/>
        <w:rPr>
          <w:rFonts w:asciiTheme="minorHAnsi" w:hAnsiTheme="minorHAnsi" w:cstheme="minorHAnsi"/>
        </w:rPr>
      </w:pPr>
      <w:r w:rsidRPr="009A73CD">
        <w:rPr>
          <w:rFonts w:asciiTheme="minorHAnsi" w:hAnsiTheme="minorHAnsi" w:cstheme="minorHAnsi"/>
        </w:rPr>
        <w:t xml:space="preserve">Professor John Skerritt (University of Melbourne, Australia and former head of the Therapeutic Goods Administration) reflected on the consortium’s significant impact and proposed some areas for improvement. He highlighted Access’s distinctive approach of dividing dossier assessments among agencies, contrasted with parallel review models, and its success in cutting submission lag by up to a year. He noted the broader scope beyond oncology compared to initiatives like Project Orbis. Challenges remain for generic medicine work-sharing due to products in different </w:t>
      </w:r>
      <w:r w:rsidR="0051346E">
        <w:rPr>
          <w:rFonts w:asciiTheme="minorHAnsi" w:hAnsiTheme="minorHAnsi" w:cstheme="minorHAnsi"/>
        </w:rPr>
        <w:t>economies</w:t>
      </w:r>
      <w:r w:rsidRPr="009A73CD">
        <w:rPr>
          <w:rFonts w:asciiTheme="minorHAnsi" w:hAnsiTheme="minorHAnsi" w:cstheme="minorHAnsi"/>
        </w:rPr>
        <w:t xml:space="preserve"> having differing sponsors, differing patent expiration dates, and differences between Access agencies in their reference product requirements. Skerritt cited industry feedback calling for greater predictability, clearer guidance, and simplified question processes, and suggested potential enhancements such as inclusion of conditional </w:t>
      </w:r>
      <w:r w:rsidRPr="009A73CD">
        <w:rPr>
          <w:rFonts w:asciiTheme="minorHAnsi" w:hAnsiTheme="minorHAnsi" w:cstheme="minorHAnsi"/>
        </w:rPr>
        <w:lastRenderedPageBreak/>
        <w:t>approval pathways in Access, shorter notification timelines prior to making a regulatory submission, post-review process streamlining, and consideration of Access observer status for certain non-member economies.</w:t>
      </w:r>
    </w:p>
    <w:p w14:paraId="761383C2" w14:textId="77777777" w:rsidR="009A73CD" w:rsidRPr="00410488" w:rsidRDefault="009A73CD" w:rsidP="00410488">
      <w:pPr>
        <w:pStyle w:val="BodyText"/>
        <w:ind w:firstLine="720"/>
        <w:rPr>
          <w:rFonts w:asciiTheme="minorHAnsi" w:hAnsiTheme="minorHAnsi" w:cstheme="minorHAnsi"/>
        </w:rPr>
      </w:pPr>
    </w:p>
    <w:p w14:paraId="6D9395C3" w14:textId="7C70175D" w:rsidR="00410488" w:rsidRPr="00410488" w:rsidRDefault="00096D77" w:rsidP="00410488">
      <w:pPr>
        <w:pStyle w:val="BodyText"/>
        <w:ind w:firstLine="720"/>
        <w:rPr>
          <w:rFonts w:asciiTheme="minorHAnsi" w:hAnsiTheme="minorHAnsi" w:cstheme="minorHAnsi"/>
        </w:rPr>
      </w:pPr>
      <w:r>
        <w:rPr>
          <w:rFonts w:asciiTheme="minorHAnsi" w:hAnsiTheme="minorHAnsi" w:cstheme="minorHAnsi"/>
        </w:rPr>
        <w:t xml:space="preserve">Assistant </w:t>
      </w:r>
      <w:r w:rsidR="00410488" w:rsidRPr="00410488">
        <w:rPr>
          <w:rFonts w:asciiTheme="minorHAnsi" w:hAnsiTheme="minorHAnsi" w:cstheme="minorHAnsi"/>
        </w:rPr>
        <w:t>Professor James Leong (Duke-NUS) examined trust-building and capacity as foundations for effective work-sharing. He stressed the “front-loading” of resources, legal frameworks, secure systems, and common templates required before efficiencies are realized, and warned that reliance and work-sharing must be embedded in broader system-strengthening to avoid skill erosion. Leong proposed exploring regional reliance models for economies with similar epidemiology and clinical practices, measuring tangible access outcomes, and addressing practical issues such as lifecycle management and differences in national regulatory frameworks.</w:t>
      </w:r>
    </w:p>
    <w:p w14:paraId="51E54F40" w14:textId="77777777" w:rsidR="00410488" w:rsidRPr="00410488" w:rsidRDefault="00410488" w:rsidP="00410488">
      <w:pPr>
        <w:pStyle w:val="BodyText"/>
        <w:ind w:firstLine="720"/>
        <w:rPr>
          <w:rFonts w:asciiTheme="minorHAnsi" w:hAnsiTheme="minorHAnsi" w:cstheme="minorHAnsi"/>
        </w:rPr>
      </w:pPr>
    </w:p>
    <w:p w14:paraId="423ACF33" w14:textId="651E3C5D" w:rsidR="00410488" w:rsidRPr="00410488" w:rsidRDefault="00410488" w:rsidP="00410488">
      <w:pPr>
        <w:pStyle w:val="BodyText"/>
        <w:ind w:firstLine="720"/>
        <w:rPr>
          <w:rFonts w:asciiTheme="minorHAnsi" w:hAnsiTheme="minorHAnsi" w:cstheme="minorHAnsi"/>
        </w:rPr>
      </w:pPr>
      <w:r w:rsidRPr="00410488">
        <w:rPr>
          <w:rFonts w:asciiTheme="minorHAnsi" w:hAnsiTheme="minorHAnsi" w:cstheme="minorHAnsi"/>
        </w:rPr>
        <w:t>Irene Chan (Eli Lilly) provided an industry perspective, noting that Lilly uses Access and Project Orbis as default pathways to enable near-simultaneous global launches. She confirmed benefits such as reduced submission lag, consolidated regulator questions, and greater transparency, while suggesting further improvements—particularly broader sharing of evaluation reports, use of cloud-based platforms to reduce administrative burdens, and observer participation to expand reach and build trust.</w:t>
      </w:r>
    </w:p>
    <w:p w14:paraId="22488293" w14:textId="77777777" w:rsidR="004F2D0A" w:rsidRDefault="004F2D0A" w:rsidP="00CF462D">
      <w:pPr>
        <w:pStyle w:val="BodyText"/>
        <w:ind w:firstLine="720"/>
        <w:rPr>
          <w:rFonts w:cstheme="minorHAnsi"/>
        </w:rPr>
      </w:pPr>
    </w:p>
    <w:p w14:paraId="00A56EA2" w14:textId="44909ACE" w:rsidR="00F304E8" w:rsidRDefault="00F304E8" w:rsidP="00F304E8">
      <w:pPr>
        <w:pStyle w:val="BodyText"/>
        <w:ind w:firstLine="720"/>
        <w:rPr>
          <w:rFonts w:asciiTheme="minorHAnsi" w:hAnsiTheme="minorHAnsi" w:cstheme="minorHAnsi"/>
          <w:b/>
          <w:bCs/>
          <w:u w:val="single"/>
        </w:rPr>
      </w:pPr>
      <w:r>
        <w:rPr>
          <w:rFonts w:asciiTheme="minorHAnsi" w:hAnsiTheme="minorHAnsi" w:cstheme="minorHAnsi"/>
          <w:b/>
          <w:bCs/>
        </w:rPr>
        <w:t>20</w:t>
      </w:r>
      <w:r w:rsidRPr="004C148E">
        <w:rPr>
          <w:rFonts w:asciiTheme="minorHAnsi" w:hAnsiTheme="minorHAnsi" w:cstheme="minorHAnsi"/>
          <w:b/>
          <w:bCs/>
        </w:rPr>
        <w:t>.</w:t>
      </w:r>
      <w:r>
        <w:rPr>
          <w:rFonts w:asciiTheme="minorHAnsi" w:hAnsiTheme="minorHAnsi" w:cstheme="minorHAnsi"/>
          <w:b/>
          <w:bCs/>
        </w:rPr>
        <w:t>3</w:t>
      </w:r>
      <w:r w:rsidRPr="004C148E">
        <w:rPr>
          <w:rFonts w:asciiTheme="minorHAnsi" w:hAnsiTheme="minorHAnsi" w:cstheme="minorHAnsi"/>
          <w:b/>
          <w:bCs/>
        </w:rPr>
        <w:t xml:space="preserve"> </w:t>
      </w:r>
      <w:r w:rsidRPr="004C148E">
        <w:rPr>
          <w:rFonts w:asciiTheme="minorHAnsi" w:hAnsiTheme="minorHAnsi" w:cstheme="minorHAnsi"/>
          <w:b/>
          <w:bCs/>
        </w:rPr>
        <w:tab/>
      </w:r>
      <w:r w:rsidR="008E32DF" w:rsidRPr="008E32DF">
        <w:rPr>
          <w:rFonts w:asciiTheme="minorHAnsi" w:hAnsiTheme="minorHAnsi" w:cstheme="minorHAnsi"/>
          <w:b/>
          <w:bCs/>
          <w:u w:val="single"/>
        </w:rPr>
        <w:t>Moderated Discussion and Expert Q&amp;A</w:t>
      </w:r>
    </w:p>
    <w:p w14:paraId="757C560B" w14:textId="77777777" w:rsidR="008E32DF" w:rsidRDefault="008E32DF" w:rsidP="00F304E8">
      <w:pPr>
        <w:pStyle w:val="BodyText"/>
        <w:ind w:firstLine="720"/>
        <w:rPr>
          <w:rFonts w:asciiTheme="minorHAnsi" w:hAnsiTheme="minorHAnsi" w:cstheme="minorHAnsi"/>
          <w:b/>
          <w:bCs/>
          <w:u w:val="single"/>
        </w:rPr>
      </w:pPr>
    </w:p>
    <w:p w14:paraId="4C11F959" w14:textId="6F5CF165" w:rsidR="008E32DF" w:rsidRDefault="008E32DF" w:rsidP="00F304E8">
      <w:pPr>
        <w:pStyle w:val="BodyText"/>
        <w:ind w:firstLine="720"/>
      </w:pPr>
      <w:r>
        <w:t xml:space="preserve">The Chair opened a </w:t>
      </w:r>
      <w:r w:rsidRPr="004A7B0E">
        <w:rPr>
          <w:rStyle w:val="Strong"/>
          <w:b w:val="0"/>
          <w:bCs w:val="0"/>
        </w:rPr>
        <w:t>moderated discussion and expert Q&amp;A</w:t>
      </w:r>
      <w:r>
        <w:t xml:space="preserve"> on the benefits, barriers, and relevance of work-sharing consortia—such as the Access Consortium—for RHSC members.</w:t>
      </w:r>
    </w:p>
    <w:p w14:paraId="035A21F1" w14:textId="77777777" w:rsidR="00D90E3B" w:rsidRDefault="00D90E3B" w:rsidP="00F304E8">
      <w:pPr>
        <w:pStyle w:val="BodyText"/>
        <w:ind w:firstLine="720"/>
      </w:pPr>
    </w:p>
    <w:p w14:paraId="250B38DE" w14:textId="2F3563B6" w:rsidR="00D90E3B" w:rsidRPr="00D90E3B" w:rsidRDefault="00D90E3B" w:rsidP="00D90E3B">
      <w:pPr>
        <w:pStyle w:val="BodyText"/>
        <w:ind w:firstLine="720"/>
        <w:rPr>
          <w:rFonts w:asciiTheme="minorHAnsi" w:hAnsiTheme="minorHAnsi" w:cstheme="minorHAnsi"/>
        </w:rPr>
      </w:pPr>
      <w:r w:rsidRPr="00D90E3B">
        <w:rPr>
          <w:rFonts w:asciiTheme="minorHAnsi" w:hAnsiTheme="minorHAnsi" w:cstheme="minorHAnsi"/>
        </w:rPr>
        <w:t xml:space="preserve">Industry (BIO) noted active participation in Access, Project Orbis, and reliance pathways with reference </w:t>
      </w:r>
      <w:r w:rsidR="0051346E">
        <w:rPr>
          <w:rFonts w:asciiTheme="minorHAnsi" w:hAnsiTheme="minorHAnsi" w:cstheme="minorHAnsi"/>
        </w:rPr>
        <w:t>economies</w:t>
      </w:r>
      <w:r w:rsidRPr="00D90E3B">
        <w:rPr>
          <w:rFonts w:asciiTheme="minorHAnsi" w:hAnsiTheme="minorHAnsi" w:cstheme="minorHAnsi"/>
        </w:rPr>
        <w:t>. They emphasized the value of consolidated questions, common assessments, and harmonized commitments, and expressed the long-term vision of “one patient, one submission, one approval worldwide” without regional differences in regulatory requirements, including CMC content.</w:t>
      </w:r>
    </w:p>
    <w:p w14:paraId="3A91639B" w14:textId="77777777" w:rsidR="00D90E3B" w:rsidRPr="00D90E3B" w:rsidRDefault="00D90E3B" w:rsidP="00D90E3B">
      <w:pPr>
        <w:pStyle w:val="BodyText"/>
        <w:ind w:firstLine="720"/>
        <w:rPr>
          <w:rFonts w:asciiTheme="minorHAnsi" w:hAnsiTheme="minorHAnsi" w:cstheme="minorHAnsi"/>
        </w:rPr>
      </w:pPr>
    </w:p>
    <w:p w14:paraId="76A70BAB" w14:textId="77777777" w:rsidR="00D90E3B" w:rsidRPr="00D90E3B" w:rsidRDefault="00D90E3B" w:rsidP="00D90E3B">
      <w:pPr>
        <w:pStyle w:val="BodyText"/>
        <w:ind w:firstLine="720"/>
        <w:rPr>
          <w:rFonts w:asciiTheme="minorHAnsi" w:hAnsiTheme="minorHAnsi" w:cstheme="minorHAnsi"/>
        </w:rPr>
      </w:pPr>
      <w:r w:rsidRPr="00D90E3B">
        <w:rPr>
          <w:rFonts w:asciiTheme="minorHAnsi" w:hAnsiTheme="minorHAnsi" w:cstheme="minorHAnsi"/>
        </w:rPr>
        <w:t>Malaysia described ongoing work to establish a regulatory sandbox to support breakthrough innovation, particularly for medical devices. Drawing on examples from the UK, Singapore, and Canada, they outlined goals for safely testing novel technologies within a limited timeframe (six months to one year), collecting real-world data, and using it to develop regulatory guidance. Malaysia invited other regulators to share experiences on designing such sandboxes, balancing regulatory flexibility with pre- and post-market requirements.</w:t>
      </w:r>
    </w:p>
    <w:p w14:paraId="0177A193" w14:textId="77777777" w:rsidR="00D90E3B" w:rsidRPr="00D90E3B" w:rsidRDefault="00D90E3B" w:rsidP="00D90E3B">
      <w:pPr>
        <w:pStyle w:val="BodyText"/>
        <w:ind w:firstLine="720"/>
        <w:rPr>
          <w:rFonts w:asciiTheme="minorHAnsi" w:hAnsiTheme="minorHAnsi" w:cstheme="minorHAnsi"/>
        </w:rPr>
      </w:pPr>
    </w:p>
    <w:p w14:paraId="657E4104" w14:textId="77777777" w:rsidR="00D90E3B" w:rsidRPr="00D90E3B" w:rsidRDefault="00D90E3B" w:rsidP="00D90E3B">
      <w:pPr>
        <w:pStyle w:val="BodyText"/>
        <w:ind w:firstLine="720"/>
        <w:rPr>
          <w:rFonts w:asciiTheme="minorHAnsi" w:hAnsiTheme="minorHAnsi" w:cstheme="minorHAnsi"/>
        </w:rPr>
      </w:pPr>
      <w:r w:rsidRPr="00D90E3B">
        <w:rPr>
          <w:rFonts w:asciiTheme="minorHAnsi" w:hAnsiTheme="minorHAnsi" w:cstheme="minorHAnsi"/>
        </w:rPr>
        <w:t>Another industry representative stressed that work-sharing is increasingly important for equitable access and accelerated approvals, especially since the COVID-19 pandemic. They advocated for frameworks that streamline review, shorten timelines, and align with optimal pricing objectives.</w:t>
      </w:r>
    </w:p>
    <w:p w14:paraId="379134A2" w14:textId="77777777" w:rsidR="00D90E3B" w:rsidRPr="00D90E3B" w:rsidRDefault="00D90E3B" w:rsidP="00D90E3B">
      <w:pPr>
        <w:pStyle w:val="BodyText"/>
        <w:ind w:firstLine="720"/>
        <w:rPr>
          <w:rFonts w:asciiTheme="minorHAnsi" w:hAnsiTheme="minorHAnsi" w:cstheme="minorHAnsi"/>
        </w:rPr>
      </w:pPr>
    </w:p>
    <w:p w14:paraId="589D0BA8" w14:textId="69365997" w:rsidR="00D90E3B" w:rsidRPr="00D90E3B" w:rsidRDefault="00D90E3B" w:rsidP="00D90E3B">
      <w:pPr>
        <w:pStyle w:val="BodyText"/>
        <w:ind w:firstLine="720"/>
        <w:rPr>
          <w:rFonts w:asciiTheme="minorHAnsi" w:hAnsiTheme="minorHAnsi" w:cstheme="minorHAnsi"/>
        </w:rPr>
      </w:pPr>
      <w:r w:rsidRPr="00F57407">
        <w:rPr>
          <w:rFonts w:asciiTheme="minorHAnsi" w:hAnsiTheme="minorHAnsi" w:cstheme="minorHAnsi"/>
        </w:rPr>
        <w:t>Japan shared that PMDA participates in Project Orbis (as an observer) and the EMA Open Initiative (as a participant), as well as bilateral collaborations with TFDA (</w:t>
      </w:r>
      <w:r w:rsidR="004A7B0E" w:rsidRPr="00F57407">
        <w:rPr>
          <w:rFonts w:asciiTheme="minorHAnsi" w:hAnsiTheme="minorHAnsi" w:cstheme="minorHAnsi"/>
        </w:rPr>
        <w:t>Chinese Taipei</w:t>
      </w:r>
      <w:r w:rsidRPr="00F57407">
        <w:rPr>
          <w:rFonts w:asciiTheme="minorHAnsi" w:hAnsiTheme="minorHAnsi" w:cstheme="minorHAnsi"/>
        </w:rPr>
        <w:t xml:space="preserve">) and through the Harmonization-By-Doing initiative with US FDA for medical devices. While valuing the exchange of regulatory perspectives, Japan noted challenges such as resource demands, language differences, time zone coordination, and aligning review schedules. </w:t>
      </w:r>
      <w:r w:rsidR="007C3D89" w:rsidRPr="00F57407">
        <w:rPr>
          <w:rFonts w:asciiTheme="minorHAnsi" w:eastAsiaTheme="minorEastAsia" w:hAnsiTheme="minorHAnsi" w:cstheme="minorHAnsi" w:hint="eastAsia"/>
          <w:lang w:eastAsia="ja-JP"/>
        </w:rPr>
        <w:t>Japan</w:t>
      </w:r>
      <w:r w:rsidRPr="00F57407">
        <w:rPr>
          <w:rFonts w:asciiTheme="minorHAnsi" w:hAnsiTheme="minorHAnsi" w:cstheme="minorHAnsi"/>
        </w:rPr>
        <w:t xml:space="preserve"> emphasized that successful work-sharing requires regulatory systems of comparable maturity and formal confidentiality arrangements, and suggested that reliance may be a pragmatic precursor to full work-sharing.</w:t>
      </w:r>
    </w:p>
    <w:p w14:paraId="1BD51FF3" w14:textId="77777777" w:rsidR="00D90E3B" w:rsidRPr="00D90E3B" w:rsidRDefault="00D90E3B" w:rsidP="00D90E3B">
      <w:pPr>
        <w:pStyle w:val="BodyText"/>
        <w:ind w:firstLine="720"/>
        <w:rPr>
          <w:rFonts w:asciiTheme="minorHAnsi" w:hAnsiTheme="minorHAnsi" w:cstheme="minorHAnsi"/>
        </w:rPr>
      </w:pPr>
    </w:p>
    <w:p w14:paraId="06C56AA6" w14:textId="5A3760AD" w:rsidR="00D90E3B" w:rsidRPr="008E32DF" w:rsidRDefault="00D90E3B" w:rsidP="00D90E3B">
      <w:pPr>
        <w:pStyle w:val="BodyText"/>
        <w:ind w:firstLine="720"/>
        <w:rPr>
          <w:rFonts w:asciiTheme="minorHAnsi" w:hAnsiTheme="minorHAnsi" w:cstheme="minorHAnsi"/>
        </w:rPr>
      </w:pPr>
      <w:r w:rsidRPr="00D90E3B">
        <w:rPr>
          <w:rFonts w:asciiTheme="minorHAnsi" w:hAnsiTheme="minorHAnsi" w:cstheme="minorHAnsi"/>
        </w:rPr>
        <w:t xml:space="preserve">The United States affirmed that work-sharing consortia have proven valuable for information </w:t>
      </w:r>
      <w:r w:rsidRPr="00D90E3B">
        <w:rPr>
          <w:rFonts w:asciiTheme="minorHAnsi" w:hAnsiTheme="minorHAnsi" w:cstheme="minorHAnsi"/>
        </w:rPr>
        <w:lastRenderedPageBreak/>
        <w:t>exchange, reducing the need for multiple bilateral engagements, and accelerating knowledge-sharing across economies.</w:t>
      </w:r>
    </w:p>
    <w:p w14:paraId="01ADB92C" w14:textId="77777777" w:rsidR="00F304E8" w:rsidRDefault="00F304E8" w:rsidP="00CF462D">
      <w:pPr>
        <w:pStyle w:val="BodyText"/>
        <w:ind w:firstLine="720"/>
        <w:rPr>
          <w:rFonts w:cstheme="minorHAnsi"/>
        </w:rPr>
      </w:pPr>
    </w:p>
    <w:p w14:paraId="211034CA" w14:textId="79B4FC59" w:rsidR="00851962" w:rsidRDefault="00851962" w:rsidP="00CF462D">
      <w:pPr>
        <w:pStyle w:val="BodyText"/>
        <w:ind w:firstLine="720"/>
        <w:rPr>
          <w:rFonts w:asciiTheme="minorHAnsi" w:hAnsiTheme="minorHAnsi" w:cstheme="minorHAnsi"/>
          <w:b/>
          <w:bCs/>
          <w:u w:val="single"/>
        </w:rPr>
      </w:pPr>
      <w:r>
        <w:rPr>
          <w:rFonts w:asciiTheme="minorHAnsi" w:hAnsiTheme="minorHAnsi" w:cstheme="minorHAnsi"/>
          <w:b/>
          <w:bCs/>
        </w:rPr>
        <w:t>20</w:t>
      </w:r>
      <w:r w:rsidRPr="004C148E">
        <w:rPr>
          <w:rFonts w:asciiTheme="minorHAnsi" w:hAnsiTheme="minorHAnsi" w:cstheme="minorHAnsi"/>
          <w:b/>
          <w:bCs/>
        </w:rPr>
        <w:t>.</w:t>
      </w:r>
      <w:r>
        <w:rPr>
          <w:rFonts w:asciiTheme="minorHAnsi" w:hAnsiTheme="minorHAnsi" w:cstheme="minorHAnsi"/>
          <w:b/>
          <w:bCs/>
        </w:rPr>
        <w:t>4</w:t>
      </w:r>
      <w:r w:rsidRPr="004C148E">
        <w:rPr>
          <w:rFonts w:asciiTheme="minorHAnsi" w:hAnsiTheme="minorHAnsi" w:cstheme="minorHAnsi"/>
          <w:b/>
          <w:bCs/>
        </w:rPr>
        <w:t xml:space="preserve"> </w:t>
      </w:r>
      <w:r w:rsidRPr="004C148E">
        <w:rPr>
          <w:rFonts w:asciiTheme="minorHAnsi" w:hAnsiTheme="minorHAnsi" w:cstheme="minorHAnsi"/>
          <w:b/>
          <w:bCs/>
        </w:rPr>
        <w:tab/>
      </w:r>
      <w:r>
        <w:rPr>
          <w:rFonts w:asciiTheme="minorHAnsi" w:hAnsiTheme="minorHAnsi" w:cstheme="minorHAnsi"/>
          <w:b/>
          <w:bCs/>
          <w:u w:val="single"/>
        </w:rPr>
        <w:t>Concluding Remarks</w:t>
      </w:r>
    </w:p>
    <w:p w14:paraId="0B0D1102" w14:textId="77777777" w:rsidR="00851962" w:rsidRDefault="00851962" w:rsidP="00CF462D">
      <w:pPr>
        <w:pStyle w:val="BodyText"/>
        <w:ind w:firstLine="720"/>
        <w:rPr>
          <w:rFonts w:asciiTheme="minorHAnsi" w:hAnsiTheme="minorHAnsi" w:cstheme="minorHAnsi"/>
          <w:b/>
          <w:bCs/>
          <w:u w:val="single"/>
        </w:rPr>
      </w:pPr>
    </w:p>
    <w:p w14:paraId="5CABABEF" w14:textId="090D80C3" w:rsidR="00851962" w:rsidRDefault="00851962" w:rsidP="00CF462D">
      <w:pPr>
        <w:pStyle w:val="BodyText"/>
        <w:ind w:firstLine="720"/>
        <w:rPr>
          <w:rFonts w:asciiTheme="minorHAnsi" w:hAnsiTheme="minorHAnsi" w:cstheme="minorHAnsi"/>
        </w:rPr>
      </w:pPr>
      <w:r>
        <w:rPr>
          <w:rFonts w:asciiTheme="minorHAnsi" w:hAnsiTheme="minorHAnsi" w:cstheme="minorHAnsi"/>
        </w:rPr>
        <w:t>The RHSC Chair concluded the session thanking the experts for their contributions.</w:t>
      </w:r>
    </w:p>
    <w:p w14:paraId="455E3222" w14:textId="77777777" w:rsidR="00851962" w:rsidRDefault="00851962" w:rsidP="00CF462D">
      <w:pPr>
        <w:pStyle w:val="BodyText"/>
        <w:ind w:firstLine="720"/>
        <w:rPr>
          <w:rFonts w:asciiTheme="minorHAnsi" w:hAnsiTheme="minorHAnsi" w:cstheme="minorHAnsi"/>
        </w:rPr>
      </w:pPr>
    </w:p>
    <w:tbl>
      <w:tblPr>
        <w:tblStyle w:val="TableGrid"/>
        <w:tblW w:w="9606" w:type="dxa"/>
        <w:jc w:val="center"/>
        <w:tblLook w:val="04A0" w:firstRow="1" w:lastRow="0" w:firstColumn="1" w:lastColumn="0" w:noHBand="0" w:noVBand="1"/>
      </w:tblPr>
      <w:tblGrid>
        <w:gridCol w:w="1368"/>
        <w:gridCol w:w="1905"/>
        <w:gridCol w:w="6333"/>
      </w:tblGrid>
      <w:tr w:rsidR="00BC44A4" w:rsidRPr="004C148E" w14:paraId="2E62A620" w14:textId="77777777" w:rsidTr="00B92E9F">
        <w:trPr>
          <w:jc w:val="center"/>
        </w:trPr>
        <w:tc>
          <w:tcPr>
            <w:tcW w:w="1368" w:type="dxa"/>
            <w:shd w:val="clear" w:color="auto" w:fill="F2F2F2" w:themeFill="background1" w:themeFillShade="F2"/>
            <w:vAlign w:val="center"/>
          </w:tcPr>
          <w:p w14:paraId="2E31D4AA" w14:textId="5D683EFE" w:rsidR="00BC44A4" w:rsidRPr="004C148E" w:rsidRDefault="00BC44A4" w:rsidP="00B92E9F">
            <w:pPr>
              <w:keepNext/>
              <w:jc w:val="both"/>
              <w:rPr>
                <w:rFonts w:cstheme="minorHAnsi"/>
                <w:b/>
                <w:bCs/>
              </w:rPr>
            </w:pPr>
            <w:r>
              <w:rPr>
                <w:rFonts w:cstheme="minorHAnsi"/>
                <w:b/>
                <w:bCs/>
              </w:rPr>
              <w:t>16</w:t>
            </w:r>
            <w:r w:rsidRPr="004C148E">
              <w:rPr>
                <w:rFonts w:cstheme="minorHAnsi"/>
                <w:b/>
                <w:bCs/>
              </w:rPr>
              <w:t>:</w:t>
            </w:r>
            <w:r>
              <w:rPr>
                <w:rFonts w:cstheme="minorHAnsi"/>
                <w:b/>
                <w:bCs/>
              </w:rPr>
              <w:t>45</w:t>
            </w:r>
            <w:r w:rsidRPr="004C148E">
              <w:rPr>
                <w:rFonts w:cstheme="minorHAnsi"/>
                <w:b/>
                <w:bCs/>
              </w:rPr>
              <w:t>-</w:t>
            </w:r>
            <w:r>
              <w:rPr>
                <w:rFonts w:cstheme="minorHAnsi"/>
                <w:b/>
                <w:bCs/>
              </w:rPr>
              <w:t>16</w:t>
            </w:r>
            <w:r w:rsidRPr="004C148E">
              <w:rPr>
                <w:rFonts w:cstheme="minorHAnsi"/>
                <w:b/>
                <w:bCs/>
              </w:rPr>
              <w:t>:</w:t>
            </w:r>
            <w:r>
              <w:rPr>
                <w:rFonts w:cstheme="minorHAnsi"/>
                <w:b/>
                <w:bCs/>
              </w:rPr>
              <w:t>50</w:t>
            </w:r>
          </w:p>
        </w:tc>
        <w:tc>
          <w:tcPr>
            <w:tcW w:w="1905" w:type="dxa"/>
            <w:shd w:val="clear" w:color="auto" w:fill="F2F2F2" w:themeFill="background1" w:themeFillShade="F2"/>
            <w:vAlign w:val="center"/>
          </w:tcPr>
          <w:p w14:paraId="48B84E9B" w14:textId="48ACAAAE" w:rsidR="00BC44A4" w:rsidRPr="004C148E" w:rsidRDefault="00BC44A4" w:rsidP="00B92E9F">
            <w:pPr>
              <w:keepNext/>
              <w:jc w:val="both"/>
              <w:rPr>
                <w:rFonts w:cstheme="minorHAnsi"/>
                <w:b/>
                <w:bCs/>
              </w:rPr>
            </w:pPr>
            <w:r w:rsidRPr="004C148E">
              <w:rPr>
                <w:rFonts w:cstheme="minorHAnsi"/>
                <w:b/>
                <w:bCs/>
              </w:rPr>
              <w:t xml:space="preserve">AGENDA ITEM </w:t>
            </w:r>
            <w:r>
              <w:rPr>
                <w:rFonts w:cstheme="minorHAnsi"/>
                <w:b/>
                <w:bCs/>
              </w:rPr>
              <w:t>21</w:t>
            </w:r>
          </w:p>
        </w:tc>
        <w:tc>
          <w:tcPr>
            <w:tcW w:w="6333" w:type="dxa"/>
            <w:shd w:val="clear" w:color="auto" w:fill="F2F2F2" w:themeFill="background1" w:themeFillShade="F2"/>
            <w:vAlign w:val="center"/>
          </w:tcPr>
          <w:p w14:paraId="61AC69C5" w14:textId="48304931" w:rsidR="00BC44A4" w:rsidRPr="004C148E" w:rsidRDefault="00A7177C" w:rsidP="00B92E9F">
            <w:pPr>
              <w:keepNext/>
              <w:rPr>
                <w:rFonts w:cstheme="minorHAnsi"/>
                <w:b/>
              </w:rPr>
            </w:pPr>
            <w:r w:rsidRPr="00A7177C">
              <w:rPr>
                <w:rFonts w:cstheme="minorHAnsi"/>
                <w:b/>
              </w:rPr>
              <w:t>Any other Business</w:t>
            </w:r>
          </w:p>
        </w:tc>
      </w:tr>
    </w:tbl>
    <w:p w14:paraId="69841F8F" w14:textId="77777777" w:rsidR="00851962" w:rsidRDefault="00851962" w:rsidP="00CF462D">
      <w:pPr>
        <w:pStyle w:val="BodyText"/>
        <w:ind w:firstLine="720"/>
        <w:rPr>
          <w:rFonts w:cstheme="minorHAnsi"/>
        </w:rPr>
      </w:pPr>
    </w:p>
    <w:p w14:paraId="3126B77D" w14:textId="6D865271" w:rsidR="00715B39" w:rsidRDefault="00715B39" w:rsidP="00CF462D">
      <w:pPr>
        <w:pStyle w:val="BodyText"/>
        <w:ind w:firstLine="720"/>
      </w:pPr>
      <w:r>
        <w:t>The Vice Chair raised two main issues before closing the meeting.</w:t>
      </w:r>
    </w:p>
    <w:p w14:paraId="1C25466D" w14:textId="77777777" w:rsidR="00B666C0" w:rsidRDefault="00B666C0" w:rsidP="00CF462D">
      <w:pPr>
        <w:pStyle w:val="BodyText"/>
        <w:ind w:firstLine="720"/>
      </w:pPr>
    </w:p>
    <w:p w14:paraId="1BA1C88D" w14:textId="6AE74089" w:rsidR="00B666C0" w:rsidRPr="00F57407" w:rsidRDefault="00B666C0" w:rsidP="00CF462D">
      <w:pPr>
        <w:pStyle w:val="BodyText"/>
        <w:ind w:firstLine="720"/>
        <w:rPr>
          <w:rFonts w:cstheme="minorHAnsi"/>
        </w:rPr>
      </w:pPr>
      <w:r w:rsidRPr="00F57407">
        <w:rPr>
          <w:rFonts w:cstheme="minorHAnsi"/>
        </w:rPr>
        <w:t>First, on medical device matters, industry had previously suggested including MDSAP reliance issues in future work. While it could not be linked directly to the dialogue, the Vice Chair asked the Medical Device PWA (US, Japan, Korea, and industry) to take this forward within their PWA activities, which members agreed to do.</w:t>
      </w:r>
    </w:p>
    <w:p w14:paraId="4BFC6FB3" w14:textId="77777777" w:rsidR="0022321B" w:rsidRPr="00F57407" w:rsidRDefault="0022321B" w:rsidP="00CF462D">
      <w:pPr>
        <w:pStyle w:val="BodyText"/>
        <w:ind w:firstLine="720"/>
        <w:rPr>
          <w:rFonts w:cstheme="minorHAnsi"/>
        </w:rPr>
      </w:pPr>
    </w:p>
    <w:p w14:paraId="3206D330" w14:textId="6517E379" w:rsidR="0022321B" w:rsidRDefault="0022321B" w:rsidP="00CF462D">
      <w:pPr>
        <w:pStyle w:val="BodyText"/>
        <w:ind w:firstLine="720"/>
        <w:rPr>
          <w:rFonts w:cstheme="minorHAnsi"/>
        </w:rPr>
      </w:pPr>
      <w:r w:rsidRPr="00F57407">
        <w:rPr>
          <w:rFonts w:cstheme="minorHAnsi"/>
        </w:rPr>
        <w:t xml:space="preserve">Second, on APEC participation in the IMDRF, the Vice Chair proposed that IMDRF Management Committee member economies in APEC (US, Japan, Korea) rotate responsibility for providing updates </w:t>
      </w:r>
      <w:r w:rsidR="000D6300" w:rsidRPr="00F57407">
        <w:rPr>
          <w:rFonts w:eastAsiaTheme="minorEastAsia" w:cstheme="minorHAnsi" w:hint="eastAsia"/>
          <w:lang w:eastAsia="ja-JP"/>
        </w:rPr>
        <w:t>of</w:t>
      </w:r>
      <w:r w:rsidRPr="00F57407">
        <w:rPr>
          <w:rFonts w:cstheme="minorHAnsi"/>
        </w:rPr>
        <w:t xml:space="preserve"> the RHSC on IMDRF meetings, to avoid overburdening any one member. Korea expressed support for rotation. While the exact sequence will be decided later, it was agreed </w:t>
      </w:r>
      <w:r w:rsidR="000C7474" w:rsidRPr="00F57407">
        <w:rPr>
          <w:rFonts w:cstheme="minorHAnsi"/>
        </w:rPr>
        <w:t>by the economies</w:t>
      </w:r>
      <w:r w:rsidRPr="00F57407">
        <w:rPr>
          <w:rFonts w:cstheme="minorHAnsi"/>
        </w:rPr>
        <w:t>. The group also clarified that these updates would be provided by members attending IMDRF in their own capacity, not as formal APEC representatives, thus avoiding the need for formal endorsement procedures.</w:t>
      </w:r>
    </w:p>
    <w:p w14:paraId="49D7ABD9" w14:textId="77777777" w:rsidR="0022321B" w:rsidRDefault="0022321B" w:rsidP="00CF462D">
      <w:pPr>
        <w:pStyle w:val="BodyText"/>
        <w:ind w:firstLine="720"/>
        <w:rPr>
          <w:rFonts w:cstheme="minorHAnsi"/>
        </w:rPr>
      </w:pPr>
    </w:p>
    <w:tbl>
      <w:tblPr>
        <w:tblStyle w:val="TableGrid"/>
        <w:tblW w:w="9606" w:type="dxa"/>
        <w:jc w:val="center"/>
        <w:tblLook w:val="04A0" w:firstRow="1" w:lastRow="0" w:firstColumn="1" w:lastColumn="0" w:noHBand="0" w:noVBand="1"/>
      </w:tblPr>
      <w:tblGrid>
        <w:gridCol w:w="1368"/>
        <w:gridCol w:w="1905"/>
        <w:gridCol w:w="6333"/>
      </w:tblGrid>
      <w:tr w:rsidR="0022321B" w:rsidRPr="004C148E" w14:paraId="2168D0C1" w14:textId="77777777" w:rsidTr="00B92E9F">
        <w:trPr>
          <w:jc w:val="center"/>
        </w:trPr>
        <w:tc>
          <w:tcPr>
            <w:tcW w:w="1368" w:type="dxa"/>
            <w:shd w:val="clear" w:color="auto" w:fill="F2F2F2" w:themeFill="background1" w:themeFillShade="F2"/>
            <w:vAlign w:val="center"/>
          </w:tcPr>
          <w:p w14:paraId="441E694D" w14:textId="4F2FC67E" w:rsidR="0022321B" w:rsidRPr="004C148E" w:rsidRDefault="0022321B" w:rsidP="00B92E9F">
            <w:pPr>
              <w:keepNext/>
              <w:jc w:val="both"/>
              <w:rPr>
                <w:rFonts w:cstheme="minorHAnsi"/>
                <w:b/>
                <w:bCs/>
              </w:rPr>
            </w:pPr>
            <w:r>
              <w:rPr>
                <w:rFonts w:cstheme="minorHAnsi"/>
                <w:b/>
                <w:bCs/>
              </w:rPr>
              <w:t>16</w:t>
            </w:r>
            <w:r w:rsidRPr="004C148E">
              <w:rPr>
                <w:rFonts w:cstheme="minorHAnsi"/>
                <w:b/>
                <w:bCs/>
              </w:rPr>
              <w:t>:</w:t>
            </w:r>
            <w:r>
              <w:rPr>
                <w:rFonts w:cstheme="minorHAnsi"/>
                <w:b/>
                <w:bCs/>
              </w:rPr>
              <w:t>50</w:t>
            </w:r>
            <w:r w:rsidRPr="004C148E">
              <w:rPr>
                <w:rFonts w:cstheme="minorHAnsi"/>
                <w:b/>
                <w:bCs/>
              </w:rPr>
              <w:t>-</w:t>
            </w:r>
            <w:r>
              <w:rPr>
                <w:rFonts w:cstheme="minorHAnsi"/>
                <w:b/>
                <w:bCs/>
              </w:rPr>
              <w:t>16</w:t>
            </w:r>
            <w:r w:rsidRPr="004C148E">
              <w:rPr>
                <w:rFonts w:cstheme="minorHAnsi"/>
                <w:b/>
                <w:bCs/>
              </w:rPr>
              <w:t>:</w:t>
            </w:r>
            <w:r>
              <w:rPr>
                <w:rFonts w:cstheme="minorHAnsi"/>
                <w:b/>
                <w:bCs/>
              </w:rPr>
              <w:t>5</w:t>
            </w:r>
            <w:r w:rsidR="002E41E3">
              <w:rPr>
                <w:rFonts w:cstheme="minorHAnsi"/>
                <w:b/>
                <w:bCs/>
              </w:rPr>
              <w:t>5</w:t>
            </w:r>
          </w:p>
        </w:tc>
        <w:tc>
          <w:tcPr>
            <w:tcW w:w="1905" w:type="dxa"/>
            <w:shd w:val="clear" w:color="auto" w:fill="F2F2F2" w:themeFill="background1" w:themeFillShade="F2"/>
            <w:vAlign w:val="center"/>
          </w:tcPr>
          <w:p w14:paraId="5DBA8F7B" w14:textId="23C5F4FB" w:rsidR="0022321B" w:rsidRPr="004C148E" w:rsidRDefault="0022321B" w:rsidP="00B92E9F">
            <w:pPr>
              <w:keepNext/>
              <w:jc w:val="both"/>
              <w:rPr>
                <w:rFonts w:cstheme="minorHAnsi"/>
                <w:b/>
                <w:bCs/>
              </w:rPr>
            </w:pPr>
            <w:r w:rsidRPr="004C148E">
              <w:rPr>
                <w:rFonts w:cstheme="minorHAnsi"/>
                <w:b/>
                <w:bCs/>
              </w:rPr>
              <w:t xml:space="preserve">AGENDA ITEM </w:t>
            </w:r>
            <w:r>
              <w:rPr>
                <w:rFonts w:cstheme="minorHAnsi"/>
                <w:b/>
                <w:bCs/>
              </w:rPr>
              <w:t>22</w:t>
            </w:r>
          </w:p>
        </w:tc>
        <w:tc>
          <w:tcPr>
            <w:tcW w:w="6333" w:type="dxa"/>
            <w:shd w:val="clear" w:color="auto" w:fill="F2F2F2" w:themeFill="background1" w:themeFillShade="F2"/>
            <w:vAlign w:val="center"/>
          </w:tcPr>
          <w:p w14:paraId="591F50BA" w14:textId="343AB3F8" w:rsidR="0022321B" w:rsidRPr="004C148E" w:rsidRDefault="00FA49AA" w:rsidP="00B92E9F">
            <w:pPr>
              <w:keepNext/>
              <w:rPr>
                <w:rFonts w:cstheme="minorHAnsi"/>
                <w:b/>
              </w:rPr>
            </w:pPr>
            <w:r w:rsidRPr="00FA49AA">
              <w:rPr>
                <w:rFonts w:cstheme="minorHAnsi"/>
                <w:b/>
              </w:rPr>
              <w:t>Meeting Documents</w:t>
            </w:r>
          </w:p>
        </w:tc>
      </w:tr>
    </w:tbl>
    <w:p w14:paraId="42D7E044" w14:textId="77777777" w:rsidR="00FD24BE" w:rsidRDefault="00FD24BE" w:rsidP="00FD24BE">
      <w:pPr>
        <w:tabs>
          <w:tab w:val="num" w:pos="720"/>
        </w:tabs>
        <w:ind w:firstLine="720"/>
        <w:jc w:val="both"/>
        <w:rPr>
          <w:rFonts w:cstheme="minorHAnsi"/>
        </w:rPr>
      </w:pPr>
    </w:p>
    <w:p w14:paraId="22693834" w14:textId="24B8AA23" w:rsidR="00FD24BE" w:rsidRPr="004C148E" w:rsidRDefault="00FD24BE" w:rsidP="00FD24BE">
      <w:pPr>
        <w:tabs>
          <w:tab w:val="num" w:pos="720"/>
        </w:tabs>
        <w:ind w:firstLine="720"/>
        <w:jc w:val="both"/>
        <w:rPr>
          <w:rFonts w:cstheme="minorHAnsi"/>
        </w:rPr>
      </w:pPr>
      <w:r w:rsidRPr="004C148E">
        <w:rPr>
          <w:rFonts w:cstheme="minorHAnsi"/>
        </w:rPr>
        <w:t xml:space="preserve">The APEC Secretariat </w:t>
      </w:r>
      <w:r w:rsidR="009220E5">
        <w:rPr>
          <w:rFonts w:cstheme="minorHAnsi"/>
        </w:rPr>
        <w:t xml:space="preserve">proposed a list of </w:t>
      </w:r>
      <w:r w:rsidRPr="004C148E">
        <w:rPr>
          <w:rFonts w:cstheme="minorHAnsi"/>
        </w:rPr>
        <w:t>meeting documents</w:t>
      </w:r>
      <w:r w:rsidR="009220E5">
        <w:rPr>
          <w:rFonts w:cstheme="minorHAnsi"/>
        </w:rPr>
        <w:t xml:space="preserve"> which</w:t>
      </w:r>
      <w:r w:rsidRPr="004C148E">
        <w:rPr>
          <w:rFonts w:cstheme="minorHAnsi"/>
        </w:rPr>
        <w:t xml:space="preserve"> will be uploaded to the APEC Meeting Document Database.</w:t>
      </w:r>
      <w:r w:rsidR="009220E5">
        <w:rPr>
          <w:rFonts w:cstheme="minorHAnsi"/>
        </w:rPr>
        <w:t xml:space="preserve"> The documents</w:t>
      </w:r>
      <w:r w:rsidR="009220E5" w:rsidRPr="009220E5">
        <w:rPr>
          <w:rFonts w:cstheme="minorHAnsi"/>
        </w:rPr>
        <w:t xml:space="preserve"> marked as </w:t>
      </w:r>
      <w:r w:rsidR="009220E5" w:rsidRPr="009220E5">
        <w:rPr>
          <w:rFonts w:cstheme="minorHAnsi"/>
          <w:i/>
          <w:iCs/>
        </w:rPr>
        <w:t>public</w:t>
      </w:r>
      <w:r w:rsidR="009220E5" w:rsidRPr="009220E5">
        <w:rPr>
          <w:rFonts w:cstheme="minorHAnsi"/>
        </w:rPr>
        <w:t xml:space="preserve"> will be accessible to the general public, whereas content marked as </w:t>
      </w:r>
      <w:r w:rsidR="009220E5" w:rsidRPr="009220E5">
        <w:rPr>
          <w:rFonts w:cstheme="minorHAnsi"/>
          <w:i/>
          <w:iCs/>
        </w:rPr>
        <w:t>restricted</w:t>
      </w:r>
      <w:r w:rsidR="009220E5" w:rsidRPr="009220E5">
        <w:rPr>
          <w:rFonts w:cstheme="minorHAnsi"/>
        </w:rPr>
        <w:t xml:space="preserve"> will be accessible to members only.</w:t>
      </w:r>
      <w:r w:rsidR="009220E5">
        <w:rPr>
          <w:rFonts w:cstheme="minorHAnsi"/>
        </w:rPr>
        <w:t xml:space="preserve"> The RHSC members have agreed to the list proposed.</w:t>
      </w:r>
    </w:p>
    <w:tbl>
      <w:tblPr>
        <w:tblStyle w:val="TableGrid"/>
        <w:tblW w:w="9606" w:type="dxa"/>
        <w:jc w:val="center"/>
        <w:tblLook w:val="04A0" w:firstRow="1" w:lastRow="0" w:firstColumn="1" w:lastColumn="0" w:noHBand="0" w:noVBand="1"/>
      </w:tblPr>
      <w:tblGrid>
        <w:gridCol w:w="1368"/>
        <w:gridCol w:w="1905"/>
        <w:gridCol w:w="6333"/>
      </w:tblGrid>
      <w:tr w:rsidR="00540EE9" w:rsidRPr="004C148E" w14:paraId="6B37BF39" w14:textId="77777777" w:rsidTr="00B92E9F">
        <w:trPr>
          <w:jc w:val="center"/>
        </w:trPr>
        <w:tc>
          <w:tcPr>
            <w:tcW w:w="1368" w:type="dxa"/>
            <w:shd w:val="clear" w:color="auto" w:fill="F2F2F2" w:themeFill="background1" w:themeFillShade="F2"/>
            <w:vAlign w:val="center"/>
          </w:tcPr>
          <w:p w14:paraId="2EA21629" w14:textId="6D2EF97B" w:rsidR="00540EE9" w:rsidRPr="004C148E" w:rsidRDefault="00540EE9" w:rsidP="00B92E9F">
            <w:pPr>
              <w:keepNext/>
              <w:jc w:val="both"/>
              <w:rPr>
                <w:rFonts w:cstheme="minorHAnsi"/>
                <w:b/>
                <w:bCs/>
              </w:rPr>
            </w:pPr>
            <w:r>
              <w:rPr>
                <w:rFonts w:cstheme="minorHAnsi"/>
                <w:b/>
                <w:bCs/>
              </w:rPr>
              <w:t>16</w:t>
            </w:r>
            <w:r w:rsidRPr="004C148E">
              <w:rPr>
                <w:rFonts w:cstheme="minorHAnsi"/>
                <w:b/>
                <w:bCs/>
              </w:rPr>
              <w:t>:</w:t>
            </w:r>
            <w:r>
              <w:rPr>
                <w:rFonts w:cstheme="minorHAnsi"/>
                <w:b/>
                <w:bCs/>
              </w:rPr>
              <w:t>55</w:t>
            </w:r>
            <w:r w:rsidRPr="004C148E">
              <w:rPr>
                <w:rFonts w:cstheme="minorHAnsi"/>
                <w:b/>
                <w:bCs/>
              </w:rPr>
              <w:t>-</w:t>
            </w:r>
            <w:r>
              <w:rPr>
                <w:rFonts w:cstheme="minorHAnsi"/>
                <w:b/>
                <w:bCs/>
              </w:rPr>
              <w:t>17</w:t>
            </w:r>
            <w:r w:rsidRPr="004C148E">
              <w:rPr>
                <w:rFonts w:cstheme="minorHAnsi"/>
                <w:b/>
                <w:bCs/>
              </w:rPr>
              <w:t>:</w:t>
            </w:r>
            <w:r>
              <w:rPr>
                <w:rFonts w:cstheme="minorHAnsi"/>
                <w:b/>
                <w:bCs/>
              </w:rPr>
              <w:t>00</w:t>
            </w:r>
          </w:p>
        </w:tc>
        <w:tc>
          <w:tcPr>
            <w:tcW w:w="1905" w:type="dxa"/>
            <w:shd w:val="clear" w:color="auto" w:fill="F2F2F2" w:themeFill="background1" w:themeFillShade="F2"/>
            <w:vAlign w:val="center"/>
          </w:tcPr>
          <w:p w14:paraId="1B38ED27" w14:textId="5B63BCF5" w:rsidR="00540EE9" w:rsidRPr="004C148E" w:rsidRDefault="00540EE9" w:rsidP="00B92E9F">
            <w:pPr>
              <w:keepNext/>
              <w:jc w:val="both"/>
              <w:rPr>
                <w:rFonts w:cstheme="minorHAnsi"/>
                <w:b/>
                <w:bCs/>
              </w:rPr>
            </w:pPr>
            <w:r w:rsidRPr="004C148E">
              <w:rPr>
                <w:rFonts w:cstheme="minorHAnsi"/>
                <w:b/>
                <w:bCs/>
              </w:rPr>
              <w:t xml:space="preserve">AGENDA ITEM </w:t>
            </w:r>
            <w:r w:rsidR="009220E5">
              <w:rPr>
                <w:rFonts w:cstheme="minorHAnsi"/>
                <w:b/>
                <w:bCs/>
              </w:rPr>
              <w:t>23</w:t>
            </w:r>
          </w:p>
        </w:tc>
        <w:tc>
          <w:tcPr>
            <w:tcW w:w="6333" w:type="dxa"/>
            <w:shd w:val="clear" w:color="auto" w:fill="F2F2F2" w:themeFill="background1" w:themeFillShade="F2"/>
            <w:vAlign w:val="center"/>
          </w:tcPr>
          <w:p w14:paraId="71EEA4DE" w14:textId="1C54F559" w:rsidR="00540EE9" w:rsidRPr="004C148E" w:rsidRDefault="009220E5" w:rsidP="00B92E9F">
            <w:pPr>
              <w:keepNext/>
              <w:rPr>
                <w:rFonts w:cstheme="minorHAnsi"/>
                <w:b/>
              </w:rPr>
            </w:pPr>
            <w:r>
              <w:rPr>
                <w:rFonts w:cstheme="minorHAnsi"/>
                <w:b/>
              </w:rPr>
              <w:t>Closing Session</w:t>
            </w:r>
          </w:p>
        </w:tc>
      </w:tr>
    </w:tbl>
    <w:p w14:paraId="01CD82C5" w14:textId="77777777" w:rsidR="0022321B" w:rsidRDefault="0022321B" w:rsidP="00CF462D">
      <w:pPr>
        <w:pStyle w:val="BodyText"/>
        <w:ind w:firstLine="720"/>
        <w:rPr>
          <w:rFonts w:cstheme="minorHAnsi"/>
        </w:rPr>
      </w:pPr>
    </w:p>
    <w:p w14:paraId="2A4C0812" w14:textId="77777777" w:rsidR="00DD6D80" w:rsidRPr="00DD6D80" w:rsidRDefault="00DD6D80" w:rsidP="00DD6D80">
      <w:pPr>
        <w:pStyle w:val="BodyText"/>
        <w:ind w:firstLine="720"/>
        <w:rPr>
          <w:rFonts w:cstheme="minorHAnsi"/>
        </w:rPr>
      </w:pPr>
      <w:r w:rsidRPr="00DD6D80">
        <w:rPr>
          <w:rFonts w:cstheme="minorHAnsi"/>
        </w:rPr>
        <w:t>The Vice Chair reviewed key outcomes from the two days of discussions. These included:</w:t>
      </w:r>
    </w:p>
    <w:p w14:paraId="41DE70DB" w14:textId="77777777" w:rsidR="00DD6D80" w:rsidRPr="00DD6D80" w:rsidRDefault="00DD6D80" w:rsidP="00DD6D80">
      <w:pPr>
        <w:pStyle w:val="BodyText"/>
        <w:ind w:firstLine="720"/>
        <w:rPr>
          <w:rFonts w:cstheme="minorHAnsi"/>
        </w:rPr>
      </w:pPr>
    </w:p>
    <w:p w14:paraId="43DB192C" w14:textId="6E435DD0" w:rsidR="00DD6D80" w:rsidRPr="00DD6D80" w:rsidRDefault="00DD6D80" w:rsidP="00DD6D80">
      <w:pPr>
        <w:pStyle w:val="BodyText"/>
        <w:numPr>
          <w:ilvl w:val="0"/>
          <w:numId w:val="10"/>
        </w:numPr>
        <w:rPr>
          <w:rFonts w:cstheme="minorHAnsi"/>
        </w:rPr>
      </w:pPr>
      <w:r w:rsidRPr="00DD6D80">
        <w:rPr>
          <w:rFonts w:cstheme="minorHAnsi"/>
        </w:rPr>
        <w:t>Phase One KPI Infographic – endorsed by members.</w:t>
      </w:r>
    </w:p>
    <w:p w14:paraId="04DCCE8D" w14:textId="3E1D01F7" w:rsidR="00DD6D80" w:rsidRPr="00F57407" w:rsidRDefault="00DD6D80" w:rsidP="00DD6D80">
      <w:pPr>
        <w:pStyle w:val="BodyText"/>
        <w:numPr>
          <w:ilvl w:val="0"/>
          <w:numId w:val="10"/>
        </w:numPr>
        <w:rPr>
          <w:rFonts w:cstheme="minorHAnsi"/>
        </w:rPr>
      </w:pPr>
      <w:r w:rsidRPr="00F57407">
        <w:rPr>
          <w:rFonts w:cstheme="minorHAnsi"/>
        </w:rPr>
        <w:t>MRCT and GCP PWA Roadmap – revised to incorporate additional ICH guidelines.</w:t>
      </w:r>
    </w:p>
    <w:p w14:paraId="02B0EE76" w14:textId="0BC65201" w:rsidR="00DD6D80" w:rsidRPr="00DD6D80" w:rsidRDefault="00DD6D80" w:rsidP="00DD6D80">
      <w:pPr>
        <w:pStyle w:val="BodyText"/>
        <w:numPr>
          <w:ilvl w:val="0"/>
          <w:numId w:val="10"/>
        </w:numPr>
        <w:rPr>
          <w:rFonts w:cstheme="minorHAnsi"/>
        </w:rPr>
      </w:pPr>
      <w:r w:rsidRPr="00DD6D80">
        <w:rPr>
          <w:rFonts w:cstheme="minorHAnsi"/>
        </w:rPr>
        <w:t>Pharmaceutical Quality PWA – U.S. FDA reaffirmed its commitment to continue serving as champion.</w:t>
      </w:r>
    </w:p>
    <w:p w14:paraId="48CE9CEF" w14:textId="0FB08ABD" w:rsidR="00DD6D80" w:rsidRPr="00DD6D80" w:rsidRDefault="00DD6D80" w:rsidP="00DD6D80">
      <w:pPr>
        <w:pStyle w:val="BodyText"/>
        <w:numPr>
          <w:ilvl w:val="0"/>
          <w:numId w:val="10"/>
        </w:numPr>
        <w:rPr>
          <w:rFonts w:cstheme="minorHAnsi"/>
        </w:rPr>
      </w:pPr>
      <w:r w:rsidRPr="00DD6D80">
        <w:rPr>
          <w:rFonts w:cstheme="minorHAnsi"/>
        </w:rPr>
        <w:t>Phase Two KPIs – members provided feedback, which will be compiled by the RHSC Advisory Office for further review and comment.</w:t>
      </w:r>
    </w:p>
    <w:p w14:paraId="4AF63AA1" w14:textId="2AAD4B8F" w:rsidR="00DD6D80" w:rsidRPr="00DD6D80" w:rsidRDefault="00DD6D80" w:rsidP="00DD6D80">
      <w:pPr>
        <w:pStyle w:val="BodyText"/>
        <w:numPr>
          <w:ilvl w:val="0"/>
          <w:numId w:val="10"/>
        </w:numPr>
        <w:rPr>
          <w:rFonts w:cstheme="minorHAnsi"/>
        </w:rPr>
      </w:pPr>
      <w:r w:rsidRPr="00DD6D80">
        <w:rPr>
          <w:rFonts w:cstheme="minorHAnsi"/>
        </w:rPr>
        <w:t>COE Coalition – co-chairs will develop best practice documents and a timeline for accessing COE groups.</w:t>
      </w:r>
    </w:p>
    <w:p w14:paraId="633416E4" w14:textId="02FBD318" w:rsidR="00DD6D80" w:rsidRPr="00DD6D80" w:rsidRDefault="00DD6D80" w:rsidP="00DD6D80">
      <w:pPr>
        <w:pStyle w:val="BodyText"/>
        <w:numPr>
          <w:ilvl w:val="0"/>
          <w:numId w:val="10"/>
        </w:numPr>
        <w:rPr>
          <w:rFonts w:cstheme="minorHAnsi"/>
        </w:rPr>
      </w:pPr>
      <w:r w:rsidRPr="00DD6D80">
        <w:rPr>
          <w:rFonts w:cstheme="minorHAnsi"/>
        </w:rPr>
        <w:t>Dialogues – successfully conducted, with summaries to be prepared and circulated for member comment to inform future RHSC discussions.</w:t>
      </w:r>
    </w:p>
    <w:p w14:paraId="605F11F3" w14:textId="77777777" w:rsidR="00DD6D80" w:rsidRPr="00DD6D80" w:rsidRDefault="00DD6D80" w:rsidP="00DD6D80">
      <w:pPr>
        <w:pStyle w:val="BodyText"/>
        <w:ind w:firstLine="720"/>
        <w:rPr>
          <w:rFonts w:cstheme="minorHAnsi"/>
        </w:rPr>
      </w:pPr>
    </w:p>
    <w:p w14:paraId="3A409169" w14:textId="77777777" w:rsidR="00DD6D80" w:rsidRPr="00DD6D80" w:rsidRDefault="00DD6D80" w:rsidP="00DD6D80">
      <w:pPr>
        <w:pStyle w:val="BodyText"/>
        <w:ind w:firstLine="720"/>
        <w:rPr>
          <w:rFonts w:cstheme="minorHAnsi"/>
        </w:rPr>
      </w:pPr>
      <w:r w:rsidRPr="00DD6D80">
        <w:rPr>
          <w:rFonts w:cstheme="minorHAnsi"/>
        </w:rPr>
        <w:t>The Vice Chair emphasized that a detailed summary of these decisions and action items will be shared after the meeting for additional input.</w:t>
      </w:r>
    </w:p>
    <w:p w14:paraId="5A1745D4" w14:textId="77777777" w:rsidR="00DD6D80" w:rsidRPr="00DD6D80" w:rsidRDefault="00DD6D80" w:rsidP="00DD6D80">
      <w:pPr>
        <w:pStyle w:val="BodyText"/>
        <w:ind w:firstLine="720"/>
        <w:rPr>
          <w:rFonts w:cstheme="minorHAnsi"/>
        </w:rPr>
      </w:pPr>
    </w:p>
    <w:p w14:paraId="4D3B1587" w14:textId="7272BD8B" w:rsidR="00DD6D80" w:rsidRPr="00851962" w:rsidRDefault="00DD6D80" w:rsidP="00DD6D80">
      <w:pPr>
        <w:pStyle w:val="BodyText"/>
        <w:ind w:firstLine="720"/>
        <w:rPr>
          <w:rFonts w:cstheme="minorHAnsi"/>
        </w:rPr>
      </w:pPr>
      <w:r w:rsidRPr="00DD6D80">
        <w:rPr>
          <w:rFonts w:cstheme="minorHAnsi"/>
        </w:rPr>
        <w:t>The Chair then thanked all participants for their active engagement, highlighting the productive nature of the dialogues, and expressed appreciation for the opportunity to serve as interim chair. He looked forward to continued intersessional collaboration and wished attendees well for the remainder of their time in Korea and safe travels home. The meeting was then formally closed.</w:t>
      </w:r>
    </w:p>
    <w:sectPr w:rsidR="00DD6D80" w:rsidRPr="0085196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72666" w14:textId="77777777" w:rsidR="00D106EC" w:rsidRDefault="00D106EC" w:rsidP="008C5499">
      <w:pPr>
        <w:spacing w:after="0" w:line="240" w:lineRule="auto"/>
      </w:pPr>
      <w:r>
        <w:separator/>
      </w:r>
    </w:p>
  </w:endnote>
  <w:endnote w:type="continuationSeparator" w:id="0">
    <w:p w14:paraId="233A3E40" w14:textId="77777777" w:rsidR="00D106EC" w:rsidRDefault="00D106EC" w:rsidP="008C5499">
      <w:pPr>
        <w:spacing w:after="0" w:line="240" w:lineRule="auto"/>
      </w:pPr>
      <w:r>
        <w:continuationSeparator/>
      </w:r>
    </w:p>
  </w:endnote>
  <w:endnote w:type="continuationNotice" w:id="1">
    <w:p w14:paraId="2BA46268" w14:textId="77777777" w:rsidR="00D106EC" w:rsidRDefault="00D10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rdia New">
    <w:altName w:val="Leelawadee UI"/>
    <w:panose1 w:val="020B0304020202020204"/>
    <w:charset w:val="DE"/>
    <w:family w:val="swiss"/>
    <w:pitch w:val="variable"/>
    <w:sig w:usb0="81000003" w:usb1="00000000" w:usb2="00000000" w:usb3="00000000" w:csb0="00010001" w:csb1="00000000"/>
  </w:font>
  <w:font w:name="PMingLiU">
    <w:altName w:val="新細明體"/>
    <w:panose1 w:val="02010601000101010101"/>
    <w:charset w:val="88"/>
    <w:family w:val="auto"/>
    <w:pitch w:val="variable"/>
    <w:sig w:usb0="A00002FF" w:usb1="28CFFCFA" w:usb2="00000016" w:usb3="00000000" w:csb0="001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279388"/>
      <w:docPartObj>
        <w:docPartGallery w:val="Page Numbers (Bottom of Page)"/>
        <w:docPartUnique/>
      </w:docPartObj>
    </w:sdtPr>
    <w:sdtEndPr>
      <w:rPr>
        <w:noProof/>
      </w:rPr>
    </w:sdtEndPr>
    <w:sdtContent>
      <w:p w14:paraId="74CE675E" w14:textId="5B3F165E" w:rsidR="008C5499" w:rsidRDefault="008C5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4AC71A" w14:textId="77777777" w:rsidR="008C5499" w:rsidRDefault="008C5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C057C" w14:textId="77777777" w:rsidR="00D106EC" w:rsidRDefault="00D106EC" w:rsidP="008C5499">
      <w:pPr>
        <w:spacing w:after="0" w:line="240" w:lineRule="auto"/>
      </w:pPr>
      <w:r>
        <w:separator/>
      </w:r>
    </w:p>
  </w:footnote>
  <w:footnote w:type="continuationSeparator" w:id="0">
    <w:p w14:paraId="6892A878" w14:textId="77777777" w:rsidR="00D106EC" w:rsidRDefault="00D106EC" w:rsidP="008C5499">
      <w:pPr>
        <w:spacing w:after="0" w:line="240" w:lineRule="auto"/>
      </w:pPr>
      <w:r>
        <w:continuationSeparator/>
      </w:r>
    </w:p>
  </w:footnote>
  <w:footnote w:type="continuationNotice" w:id="1">
    <w:p w14:paraId="43DD28D2" w14:textId="77777777" w:rsidR="00D106EC" w:rsidRDefault="00D106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1B364" w14:textId="3C4B76F4" w:rsidR="006417EC" w:rsidRPr="006B06DB" w:rsidRDefault="006B06DB" w:rsidP="00FD26FC">
    <w:pPr>
      <w:pStyle w:val="Header"/>
      <w:jc w:val="right"/>
    </w:pPr>
    <w:r w:rsidRPr="006B06DB">
      <w:t>Endorsed by RHSC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6F44"/>
    <w:multiLevelType w:val="multilevel"/>
    <w:tmpl w:val="CAC4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A7713"/>
    <w:multiLevelType w:val="multilevel"/>
    <w:tmpl w:val="E2B4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582656"/>
    <w:multiLevelType w:val="multilevel"/>
    <w:tmpl w:val="EABE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D75164"/>
    <w:multiLevelType w:val="hybridMultilevel"/>
    <w:tmpl w:val="71FC5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014B80"/>
    <w:multiLevelType w:val="hybridMultilevel"/>
    <w:tmpl w:val="FDB0F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57F238E"/>
    <w:multiLevelType w:val="hybridMultilevel"/>
    <w:tmpl w:val="8152C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4862453"/>
    <w:multiLevelType w:val="hybridMultilevel"/>
    <w:tmpl w:val="63B0C6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16300E"/>
    <w:multiLevelType w:val="multilevel"/>
    <w:tmpl w:val="6C66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0F4440"/>
    <w:multiLevelType w:val="hybridMultilevel"/>
    <w:tmpl w:val="166A41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792AA4"/>
    <w:multiLevelType w:val="multilevel"/>
    <w:tmpl w:val="4646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F647AC"/>
    <w:multiLevelType w:val="hybridMultilevel"/>
    <w:tmpl w:val="AA32AB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58417D6"/>
    <w:multiLevelType w:val="multilevel"/>
    <w:tmpl w:val="4D0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8E0285"/>
    <w:multiLevelType w:val="multilevel"/>
    <w:tmpl w:val="4D04F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AF1236"/>
    <w:multiLevelType w:val="hybridMultilevel"/>
    <w:tmpl w:val="1AC2DB44"/>
    <w:lvl w:ilvl="0" w:tplc="8E12F490">
      <w:start w:val="1"/>
      <w:numFmt w:val="decimal"/>
      <w:lvlText w:val="1.%1."/>
      <w:lvlJc w:val="left"/>
      <w:pPr>
        <w:ind w:left="1260" w:hanging="360"/>
      </w:pPr>
      <w:rPr>
        <w:rFonts w:hint="default"/>
        <w:b/>
        <w:bCs/>
      </w:rPr>
    </w:lvl>
    <w:lvl w:ilvl="1" w:tplc="04090019">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num w:numId="1" w16cid:durableId="493423917">
    <w:abstractNumId w:val="13"/>
  </w:num>
  <w:num w:numId="2" w16cid:durableId="446779846">
    <w:abstractNumId w:val="10"/>
  </w:num>
  <w:num w:numId="3" w16cid:durableId="1550871634">
    <w:abstractNumId w:val="11"/>
  </w:num>
  <w:num w:numId="4" w16cid:durableId="1532919055">
    <w:abstractNumId w:val="0"/>
  </w:num>
  <w:num w:numId="5" w16cid:durableId="1269312284">
    <w:abstractNumId w:val="7"/>
  </w:num>
  <w:num w:numId="6" w16cid:durableId="514686747">
    <w:abstractNumId w:val="12"/>
  </w:num>
  <w:num w:numId="7" w16cid:durableId="603152531">
    <w:abstractNumId w:val="5"/>
  </w:num>
  <w:num w:numId="8" w16cid:durableId="279647360">
    <w:abstractNumId w:val="6"/>
  </w:num>
  <w:num w:numId="9" w16cid:durableId="1467776043">
    <w:abstractNumId w:val="8"/>
  </w:num>
  <w:num w:numId="10" w16cid:durableId="1121655295">
    <w:abstractNumId w:val="3"/>
  </w:num>
  <w:num w:numId="11" w16cid:durableId="57287467">
    <w:abstractNumId w:val="4"/>
  </w:num>
  <w:num w:numId="12" w16cid:durableId="1726172313">
    <w:abstractNumId w:val="2"/>
  </w:num>
  <w:num w:numId="13" w16cid:durableId="1549565444">
    <w:abstractNumId w:val="1"/>
  </w:num>
  <w:num w:numId="14" w16cid:durableId="9535548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59F"/>
    <w:rsid w:val="00002DA8"/>
    <w:rsid w:val="000035A8"/>
    <w:rsid w:val="00004791"/>
    <w:rsid w:val="00006BF6"/>
    <w:rsid w:val="00010EC6"/>
    <w:rsid w:val="0003433D"/>
    <w:rsid w:val="00054D28"/>
    <w:rsid w:val="00056D95"/>
    <w:rsid w:val="00063E7D"/>
    <w:rsid w:val="0006594B"/>
    <w:rsid w:val="00080598"/>
    <w:rsid w:val="00091C2B"/>
    <w:rsid w:val="00096D77"/>
    <w:rsid w:val="00097409"/>
    <w:rsid w:val="000C16D2"/>
    <w:rsid w:val="000C19B5"/>
    <w:rsid w:val="000C7474"/>
    <w:rsid w:val="000D6300"/>
    <w:rsid w:val="000F233A"/>
    <w:rsid w:val="000F2BB6"/>
    <w:rsid w:val="000F3DFE"/>
    <w:rsid w:val="000F7E97"/>
    <w:rsid w:val="00106E89"/>
    <w:rsid w:val="001110FB"/>
    <w:rsid w:val="001226AF"/>
    <w:rsid w:val="00125DE8"/>
    <w:rsid w:val="00126836"/>
    <w:rsid w:val="00154A57"/>
    <w:rsid w:val="001633A9"/>
    <w:rsid w:val="001668F4"/>
    <w:rsid w:val="0017205D"/>
    <w:rsid w:val="00176D57"/>
    <w:rsid w:val="00180B4E"/>
    <w:rsid w:val="001A3180"/>
    <w:rsid w:val="001F2797"/>
    <w:rsid w:val="001F7597"/>
    <w:rsid w:val="00201986"/>
    <w:rsid w:val="00223101"/>
    <w:rsid w:val="0022321B"/>
    <w:rsid w:val="0024122A"/>
    <w:rsid w:val="00241EE6"/>
    <w:rsid w:val="00244DAA"/>
    <w:rsid w:val="00245A38"/>
    <w:rsid w:val="00247D72"/>
    <w:rsid w:val="00255E2A"/>
    <w:rsid w:val="00261A6B"/>
    <w:rsid w:val="00267C24"/>
    <w:rsid w:val="002967B1"/>
    <w:rsid w:val="00297CE0"/>
    <w:rsid w:val="002D3E81"/>
    <w:rsid w:val="002E41E3"/>
    <w:rsid w:val="00306DC8"/>
    <w:rsid w:val="00322DA7"/>
    <w:rsid w:val="00323508"/>
    <w:rsid w:val="00332489"/>
    <w:rsid w:val="00341D0D"/>
    <w:rsid w:val="00345AC4"/>
    <w:rsid w:val="00366E7A"/>
    <w:rsid w:val="003817D3"/>
    <w:rsid w:val="0038250D"/>
    <w:rsid w:val="0038536D"/>
    <w:rsid w:val="00385AE5"/>
    <w:rsid w:val="003871D9"/>
    <w:rsid w:val="00387456"/>
    <w:rsid w:val="003B2676"/>
    <w:rsid w:val="003C70D7"/>
    <w:rsid w:val="003D5195"/>
    <w:rsid w:val="003D6A6D"/>
    <w:rsid w:val="003E3A77"/>
    <w:rsid w:val="0040331B"/>
    <w:rsid w:val="004040E6"/>
    <w:rsid w:val="00410488"/>
    <w:rsid w:val="004116B5"/>
    <w:rsid w:val="00412FE9"/>
    <w:rsid w:val="00425969"/>
    <w:rsid w:val="004445C8"/>
    <w:rsid w:val="00453C23"/>
    <w:rsid w:val="0045546E"/>
    <w:rsid w:val="0045608A"/>
    <w:rsid w:val="00456A34"/>
    <w:rsid w:val="00456C2C"/>
    <w:rsid w:val="004654DC"/>
    <w:rsid w:val="00472DCC"/>
    <w:rsid w:val="00485EB8"/>
    <w:rsid w:val="004943A5"/>
    <w:rsid w:val="004976FF"/>
    <w:rsid w:val="00497BCA"/>
    <w:rsid w:val="004A1A7C"/>
    <w:rsid w:val="004A1B26"/>
    <w:rsid w:val="004A7B0E"/>
    <w:rsid w:val="004B0521"/>
    <w:rsid w:val="004B6312"/>
    <w:rsid w:val="004C59CD"/>
    <w:rsid w:val="004E7647"/>
    <w:rsid w:val="004F2D0A"/>
    <w:rsid w:val="00506863"/>
    <w:rsid w:val="00510B95"/>
    <w:rsid w:val="0051346E"/>
    <w:rsid w:val="00540EE9"/>
    <w:rsid w:val="005609FE"/>
    <w:rsid w:val="00561246"/>
    <w:rsid w:val="00574E82"/>
    <w:rsid w:val="00586971"/>
    <w:rsid w:val="00590219"/>
    <w:rsid w:val="00595672"/>
    <w:rsid w:val="005A0B32"/>
    <w:rsid w:val="005A3F89"/>
    <w:rsid w:val="005A58A2"/>
    <w:rsid w:val="005B68CA"/>
    <w:rsid w:val="005D145A"/>
    <w:rsid w:val="005D202A"/>
    <w:rsid w:val="005D279D"/>
    <w:rsid w:val="005D3AE0"/>
    <w:rsid w:val="005D424E"/>
    <w:rsid w:val="005E22FA"/>
    <w:rsid w:val="005E2A09"/>
    <w:rsid w:val="005E33A2"/>
    <w:rsid w:val="005E5959"/>
    <w:rsid w:val="005E6983"/>
    <w:rsid w:val="005F559F"/>
    <w:rsid w:val="00613EF5"/>
    <w:rsid w:val="006225DB"/>
    <w:rsid w:val="006315F9"/>
    <w:rsid w:val="006320B5"/>
    <w:rsid w:val="00634176"/>
    <w:rsid w:val="006417EC"/>
    <w:rsid w:val="006466AE"/>
    <w:rsid w:val="00661AC5"/>
    <w:rsid w:val="006721FA"/>
    <w:rsid w:val="00683639"/>
    <w:rsid w:val="006852AF"/>
    <w:rsid w:val="006930FE"/>
    <w:rsid w:val="006A3075"/>
    <w:rsid w:val="006B06DB"/>
    <w:rsid w:val="006B2E28"/>
    <w:rsid w:val="006B5CEB"/>
    <w:rsid w:val="006C7593"/>
    <w:rsid w:val="006E2316"/>
    <w:rsid w:val="006F484E"/>
    <w:rsid w:val="00712BFC"/>
    <w:rsid w:val="00713F92"/>
    <w:rsid w:val="00715B39"/>
    <w:rsid w:val="00730233"/>
    <w:rsid w:val="0075367E"/>
    <w:rsid w:val="007559A7"/>
    <w:rsid w:val="00776DE2"/>
    <w:rsid w:val="00781866"/>
    <w:rsid w:val="007947C7"/>
    <w:rsid w:val="0079701A"/>
    <w:rsid w:val="007A093C"/>
    <w:rsid w:val="007A0A08"/>
    <w:rsid w:val="007C10F6"/>
    <w:rsid w:val="007C3D89"/>
    <w:rsid w:val="00814A43"/>
    <w:rsid w:val="008154BE"/>
    <w:rsid w:val="0084339D"/>
    <w:rsid w:val="00851962"/>
    <w:rsid w:val="00854921"/>
    <w:rsid w:val="00861CA5"/>
    <w:rsid w:val="0086292F"/>
    <w:rsid w:val="00866928"/>
    <w:rsid w:val="008731D8"/>
    <w:rsid w:val="00881EC1"/>
    <w:rsid w:val="00893BBA"/>
    <w:rsid w:val="00896786"/>
    <w:rsid w:val="008A5917"/>
    <w:rsid w:val="008C0049"/>
    <w:rsid w:val="008C2E9C"/>
    <w:rsid w:val="008C5499"/>
    <w:rsid w:val="008D02C1"/>
    <w:rsid w:val="008E27F3"/>
    <w:rsid w:val="008E32DF"/>
    <w:rsid w:val="00912438"/>
    <w:rsid w:val="009220E5"/>
    <w:rsid w:val="00924DBA"/>
    <w:rsid w:val="0093626B"/>
    <w:rsid w:val="00942A15"/>
    <w:rsid w:val="00943E03"/>
    <w:rsid w:val="0096625B"/>
    <w:rsid w:val="00972B49"/>
    <w:rsid w:val="00986475"/>
    <w:rsid w:val="0099205D"/>
    <w:rsid w:val="00994AD5"/>
    <w:rsid w:val="009A73CD"/>
    <w:rsid w:val="009A775B"/>
    <w:rsid w:val="009B2515"/>
    <w:rsid w:val="009D25FE"/>
    <w:rsid w:val="009D2D69"/>
    <w:rsid w:val="00A004EC"/>
    <w:rsid w:val="00A06A49"/>
    <w:rsid w:val="00A14750"/>
    <w:rsid w:val="00A17EF9"/>
    <w:rsid w:val="00A35049"/>
    <w:rsid w:val="00A35838"/>
    <w:rsid w:val="00A41D44"/>
    <w:rsid w:val="00A43D64"/>
    <w:rsid w:val="00A451AD"/>
    <w:rsid w:val="00A47924"/>
    <w:rsid w:val="00A516C0"/>
    <w:rsid w:val="00A70A91"/>
    <w:rsid w:val="00A7177C"/>
    <w:rsid w:val="00A72E11"/>
    <w:rsid w:val="00A761C0"/>
    <w:rsid w:val="00A77CDB"/>
    <w:rsid w:val="00A85069"/>
    <w:rsid w:val="00AA1A99"/>
    <w:rsid w:val="00AA6C83"/>
    <w:rsid w:val="00AB7F82"/>
    <w:rsid w:val="00AC769E"/>
    <w:rsid w:val="00AD1C7E"/>
    <w:rsid w:val="00AE44BB"/>
    <w:rsid w:val="00AE517C"/>
    <w:rsid w:val="00B14709"/>
    <w:rsid w:val="00B16D8F"/>
    <w:rsid w:val="00B17DA0"/>
    <w:rsid w:val="00B2630D"/>
    <w:rsid w:val="00B33F8C"/>
    <w:rsid w:val="00B35451"/>
    <w:rsid w:val="00B46C1F"/>
    <w:rsid w:val="00B4786A"/>
    <w:rsid w:val="00B55707"/>
    <w:rsid w:val="00B6257F"/>
    <w:rsid w:val="00B666C0"/>
    <w:rsid w:val="00B73504"/>
    <w:rsid w:val="00B777E4"/>
    <w:rsid w:val="00B8703E"/>
    <w:rsid w:val="00B97ED9"/>
    <w:rsid w:val="00BA0BF7"/>
    <w:rsid w:val="00BA4E56"/>
    <w:rsid w:val="00BB7642"/>
    <w:rsid w:val="00BC44A4"/>
    <w:rsid w:val="00BD20BC"/>
    <w:rsid w:val="00BD3937"/>
    <w:rsid w:val="00BD5D16"/>
    <w:rsid w:val="00BE340F"/>
    <w:rsid w:val="00BF6B58"/>
    <w:rsid w:val="00BF70A1"/>
    <w:rsid w:val="00BF7E47"/>
    <w:rsid w:val="00C00A5A"/>
    <w:rsid w:val="00C017E8"/>
    <w:rsid w:val="00C01FFA"/>
    <w:rsid w:val="00C05D7B"/>
    <w:rsid w:val="00C10F99"/>
    <w:rsid w:val="00C177BF"/>
    <w:rsid w:val="00C35C49"/>
    <w:rsid w:val="00C51D25"/>
    <w:rsid w:val="00C52B62"/>
    <w:rsid w:val="00C618CC"/>
    <w:rsid w:val="00C7456B"/>
    <w:rsid w:val="00C83648"/>
    <w:rsid w:val="00C84CA3"/>
    <w:rsid w:val="00CA0492"/>
    <w:rsid w:val="00CB5663"/>
    <w:rsid w:val="00CC5220"/>
    <w:rsid w:val="00CD5245"/>
    <w:rsid w:val="00CE54B4"/>
    <w:rsid w:val="00CE649A"/>
    <w:rsid w:val="00CF462D"/>
    <w:rsid w:val="00D03E36"/>
    <w:rsid w:val="00D05D77"/>
    <w:rsid w:val="00D106EC"/>
    <w:rsid w:val="00D11318"/>
    <w:rsid w:val="00D13F05"/>
    <w:rsid w:val="00D30E2D"/>
    <w:rsid w:val="00D33401"/>
    <w:rsid w:val="00D40928"/>
    <w:rsid w:val="00D43D17"/>
    <w:rsid w:val="00D44438"/>
    <w:rsid w:val="00D578B7"/>
    <w:rsid w:val="00D57CD5"/>
    <w:rsid w:val="00D71117"/>
    <w:rsid w:val="00D750F5"/>
    <w:rsid w:val="00D81DF6"/>
    <w:rsid w:val="00D8747E"/>
    <w:rsid w:val="00D90E3B"/>
    <w:rsid w:val="00D93A86"/>
    <w:rsid w:val="00DA65EF"/>
    <w:rsid w:val="00DB3A10"/>
    <w:rsid w:val="00DB5C94"/>
    <w:rsid w:val="00DD1134"/>
    <w:rsid w:val="00DD3790"/>
    <w:rsid w:val="00DD6D80"/>
    <w:rsid w:val="00DD6F93"/>
    <w:rsid w:val="00DF688F"/>
    <w:rsid w:val="00E15758"/>
    <w:rsid w:val="00E17A9B"/>
    <w:rsid w:val="00E23131"/>
    <w:rsid w:val="00E34484"/>
    <w:rsid w:val="00E35DDB"/>
    <w:rsid w:val="00E4008B"/>
    <w:rsid w:val="00E45230"/>
    <w:rsid w:val="00E46C0A"/>
    <w:rsid w:val="00E52C0D"/>
    <w:rsid w:val="00E5582D"/>
    <w:rsid w:val="00E74A6E"/>
    <w:rsid w:val="00E77DA7"/>
    <w:rsid w:val="00E816CE"/>
    <w:rsid w:val="00E843E0"/>
    <w:rsid w:val="00E853CE"/>
    <w:rsid w:val="00E86CD2"/>
    <w:rsid w:val="00E90D50"/>
    <w:rsid w:val="00E91AE6"/>
    <w:rsid w:val="00E9664C"/>
    <w:rsid w:val="00EA1699"/>
    <w:rsid w:val="00EC3DE7"/>
    <w:rsid w:val="00ED3554"/>
    <w:rsid w:val="00EF1A93"/>
    <w:rsid w:val="00F074D3"/>
    <w:rsid w:val="00F13354"/>
    <w:rsid w:val="00F22950"/>
    <w:rsid w:val="00F304E8"/>
    <w:rsid w:val="00F3167F"/>
    <w:rsid w:val="00F3599D"/>
    <w:rsid w:val="00F4454C"/>
    <w:rsid w:val="00F47CB8"/>
    <w:rsid w:val="00F57407"/>
    <w:rsid w:val="00F70856"/>
    <w:rsid w:val="00F739EB"/>
    <w:rsid w:val="00F800D9"/>
    <w:rsid w:val="00F86CC6"/>
    <w:rsid w:val="00FA0076"/>
    <w:rsid w:val="00FA49AA"/>
    <w:rsid w:val="00FA5516"/>
    <w:rsid w:val="00FB05F6"/>
    <w:rsid w:val="00FB4038"/>
    <w:rsid w:val="00FC49D7"/>
    <w:rsid w:val="00FD24BE"/>
    <w:rsid w:val="00FD26FC"/>
    <w:rsid w:val="00FE1B8E"/>
    <w:rsid w:val="00FE6F5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BA7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E89"/>
  </w:style>
  <w:style w:type="paragraph" w:styleId="Heading2">
    <w:name w:val="heading 2"/>
    <w:basedOn w:val="Normal"/>
    <w:link w:val="Heading2Char"/>
    <w:uiPriority w:val="9"/>
    <w:qFormat/>
    <w:rsid w:val="005F559F"/>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559F"/>
    <w:rPr>
      <w:rFonts w:ascii="Times New Roman" w:eastAsia="Times New Roman" w:hAnsi="Times New Roman" w:cs="Times New Roman"/>
      <w:b/>
      <w:bCs/>
      <w:kern w:val="0"/>
      <w:sz w:val="36"/>
      <w:szCs w:val="36"/>
    </w:rPr>
  </w:style>
  <w:style w:type="character" w:styleId="Strong">
    <w:name w:val="Strong"/>
    <w:basedOn w:val="DefaultParagraphFont"/>
    <w:uiPriority w:val="22"/>
    <w:qFormat/>
    <w:rsid w:val="005F559F"/>
    <w:rPr>
      <w:b/>
      <w:bCs/>
    </w:rPr>
  </w:style>
  <w:style w:type="paragraph" w:styleId="NormalWeb">
    <w:name w:val="Normal (Web)"/>
    <w:basedOn w:val="Normal"/>
    <w:uiPriority w:val="99"/>
    <w:unhideWhenUsed/>
    <w:rsid w:val="005F559F"/>
    <w:pPr>
      <w:spacing w:before="100" w:beforeAutospacing="1" w:after="100"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59"/>
    <w:rsid w:val="005F559F"/>
    <w:pPr>
      <w:widowControl w:val="0"/>
      <w:spacing w:after="0" w:line="240" w:lineRule="auto"/>
    </w:pPr>
    <w:rPr>
      <w:rFonts w:eastAsia="PMingLiU"/>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F559F"/>
    <w:pPr>
      <w:spacing w:after="0" w:line="240" w:lineRule="auto"/>
    </w:pPr>
    <w:rPr>
      <w:rFonts w:eastAsia="Calibr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559F"/>
    <w:pPr>
      <w:widowControl w:val="0"/>
      <w:spacing w:after="0" w:line="240" w:lineRule="auto"/>
      <w:jc w:val="both"/>
    </w:pPr>
    <w:rPr>
      <w:rFonts w:ascii="Calibri" w:eastAsia="Calibri" w:hAnsi="Calibri"/>
      <w:kern w:val="0"/>
    </w:rPr>
  </w:style>
  <w:style w:type="character" w:customStyle="1" w:styleId="BodyTextChar">
    <w:name w:val="Body Text Char"/>
    <w:basedOn w:val="DefaultParagraphFont"/>
    <w:link w:val="BodyText"/>
    <w:uiPriority w:val="1"/>
    <w:rsid w:val="005F559F"/>
    <w:rPr>
      <w:rFonts w:ascii="Calibri" w:eastAsia="Calibri" w:hAnsi="Calibri"/>
      <w:kern w:val="0"/>
    </w:rPr>
  </w:style>
  <w:style w:type="paragraph" w:styleId="ListParagraph">
    <w:name w:val="List Paragraph"/>
    <w:basedOn w:val="Normal"/>
    <w:uiPriority w:val="34"/>
    <w:qFormat/>
    <w:rsid w:val="005F559F"/>
    <w:pPr>
      <w:ind w:left="720"/>
      <w:contextualSpacing/>
    </w:pPr>
  </w:style>
  <w:style w:type="character" w:styleId="Emphasis">
    <w:name w:val="Emphasis"/>
    <w:basedOn w:val="DefaultParagraphFont"/>
    <w:uiPriority w:val="20"/>
    <w:qFormat/>
    <w:rsid w:val="0084339D"/>
    <w:rPr>
      <w:i/>
      <w:iCs/>
    </w:rPr>
  </w:style>
  <w:style w:type="paragraph" w:styleId="Header">
    <w:name w:val="header"/>
    <w:basedOn w:val="Normal"/>
    <w:link w:val="HeaderChar"/>
    <w:uiPriority w:val="99"/>
    <w:unhideWhenUsed/>
    <w:rsid w:val="008C5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499"/>
  </w:style>
  <w:style w:type="paragraph" w:styleId="Footer">
    <w:name w:val="footer"/>
    <w:basedOn w:val="Normal"/>
    <w:link w:val="FooterChar"/>
    <w:uiPriority w:val="99"/>
    <w:unhideWhenUsed/>
    <w:rsid w:val="008C5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499"/>
  </w:style>
  <w:style w:type="character" w:styleId="CommentReference">
    <w:name w:val="annotation reference"/>
    <w:basedOn w:val="DefaultParagraphFont"/>
    <w:uiPriority w:val="99"/>
    <w:semiHidden/>
    <w:unhideWhenUsed/>
    <w:rsid w:val="00B97ED9"/>
    <w:rPr>
      <w:sz w:val="16"/>
      <w:szCs w:val="16"/>
    </w:rPr>
  </w:style>
  <w:style w:type="paragraph" w:styleId="CommentText">
    <w:name w:val="annotation text"/>
    <w:basedOn w:val="Normal"/>
    <w:link w:val="CommentTextChar"/>
    <w:uiPriority w:val="99"/>
    <w:unhideWhenUsed/>
    <w:rsid w:val="00B97ED9"/>
    <w:pPr>
      <w:spacing w:line="240" w:lineRule="auto"/>
    </w:pPr>
    <w:rPr>
      <w:sz w:val="20"/>
      <w:szCs w:val="20"/>
    </w:rPr>
  </w:style>
  <w:style w:type="character" w:customStyle="1" w:styleId="CommentTextChar">
    <w:name w:val="Comment Text Char"/>
    <w:basedOn w:val="DefaultParagraphFont"/>
    <w:link w:val="CommentText"/>
    <w:uiPriority w:val="99"/>
    <w:rsid w:val="00B97ED9"/>
    <w:rPr>
      <w:sz w:val="20"/>
      <w:szCs w:val="20"/>
    </w:rPr>
  </w:style>
  <w:style w:type="paragraph" w:styleId="CommentSubject">
    <w:name w:val="annotation subject"/>
    <w:basedOn w:val="CommentText"/>
    <w:next w:val="CommentText"/>
    <w:link w:val="CommentSubjectChar"/>
    <w:uiPriority w:val="99"/>
    <w:semiHidden/>
    <w:unhideWhenUsed/>
    <w:rsid w:val="00B97ED9"/>
    <w:rPr>
      <w:b/>
      <w:bCs/>
    </w:rPr>
  </w:style>
  <w:style w:type="character" w:customStyle="1" w:styleId="CommentSubjectChar">
    <w:name w:val="Comment Subject Char"/>
    <w:basedOn w:val="CommentTextChar"/>
    <w:link w:val="CommentSubject"/>
    <w:uiPriority w:val="99"/>
    <w:semiHidden/>
    <w:rsid w:val="00B97ED9"/>
    <w:rPr>
      <w:b/>
      <w:bCs/>
      <w:sz w:val="20"/>
      <w:szCs w:val="20"/>
    </w:rPr>
  </w:style>
  <w:style w:type="paragraph" w:styleId="Revision">
    <w:name w:val="Revision"/>
    <w:hidden/>
    <w:uiPriority w:val="99"/>
    <w:semiHidden/>
    <w:rsid w:val="00B97ED9"/>
    <w:pPr>
      <w:spacing w:after="0" w:line="240" w:lineRule="auto"/>
    </w:pPr>
  </w:style>
  <w:style w:type="paragraph" w:customStyle="1" w:styleId="paragraph">
    <w:name w:val="paragraph"/>
    <w:basedOn w:val="Normal"/>
    <w:rsid w:val="00F70856"/>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F70856"/>
  </w:style>
  <w:style w:type="character" w:customStyle="1" w:styleId="eop">
    <w:name w:val="eop"/>
    <w:basedOn w:val="DefaultParagraphFont"/>
    <w:rsid w:val="00F70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4347">
      <w:bodyDiv w:val="1"/>
      <w:marLeft w:val="0"/>
      <w:marRight w:val="0"/>
      <w:marTop w:val="0"/>
      <w:marBottom w:val="0"/>
      <w:divBdr>
        <w:top w:val="none" w:sz="0" w:space="0" w:color="auto"/>
        <w:left w:val="none" w:sz="0" w:space="0" w:color="auto"/>
        <w:bottom w:val="none" w:sz="0" w:space="0" w:color="auto"/>
        <w:right w:val="none" w:sz="0" w:space="0" w:color="auto"/>
      </w:divBdr>
    </w:div>
    <w:div w:id="193346629">
      <w:bodyDiv w:val="1"/>
      <w:marLeft w:val="0"/>
      <w:marRight w:val="0"/>
      <w:marTop w:val="0"/>
      <w:marBottom w:val="0"/>
      <w:divBdr>
        <w:top w:val="none" w:sz="0" w:space="0" w:color="auto"/>
        <w:left w:val="none" w:sz="0" w:space="0" w:color="auto"/>
        <w:bottom w:val="none" w:sz="0" w:space="0" w:color="auto"/>
        <w:right w:val="none" w:sz="0" w:space="0" w:color="auto"/>
      </w:divBdr>
    </w:div>
    <w:div w:id="529491810">
      <w:bodyDiv w:val="1"/>
      <w:marLeft w:val="0"/>
      <w:marRight w:val="0"/>
      <w:marTop w:val="0"/>
      <w:marBottom w:val="0"/>
      <w:divBdr>
        <w:top w:val="none" w:sz="0" w:space="0" w:color="auto"/>
        <w:left w:val="none" w:sz="0" w:space="0" w:color="auto"/>
        <w:bottom w:val="none" w:sz="0" w:space="0" w:color="auto"/>
        <w:right w:val="none" w:sz="0" w:space="0" w:color="auto"/>
      </w:divBdr>
    </w:div>
    <w:div w:id="558589279">
      <w:bodyDiv w:val="1"/>
      <w:marLeft w:val="0"/>
      <w:marRight w:val="0"/>
      <w:marTop w:val="0"/>
      <w:marBottom w:val="0"/>
      <w:divBdr>
        <w:top w:val="none" w:sz="0" w:space="0" w:color="auto"/>
        <w:left w:val="none" w:sz="0" w:space="0" w:color="auto"/>
        <w:bottom w:val="none" w:sz="0" w:space="0" w:color="auto"/>
        <w:right w:val="none" w:sz="0" w:space="0" w:color="auto"/>
      </w:divBdr>
    </w:div>
    <w:div w:id="669525798">
      <w:bodyDiv w:val="1"/>
      <w:marLeft w:val="0"/>
      <w:marRight w:val="0"/>
      <w:marTop w:val="0"/>
      <w:marBottom w:val="0"/>
      <w:divBdr>
        <w:top w:val="none" w:sz="0" w:space="0" w:color="auto"/>
        <w:left w:val="none" w:sz="0" w:space="0" w:color="auto"/>
        <w:bottom w:val="none" w:sz="0" w:space="0" w:color="auto"/>
        <w:right w:val="none" w:sz="0" w:space="0" w:color="auto"/>
      </w:divBdr>
    </w:div>
    <w:div w:id="769278063">
      <w:bodyDiv w:val="1"/>
      <w:marLeft w:val="0"/>
      <w:marRight w:val="0"/>
      <w:marTop w:val="0"/>
      <w:marBottom w:val="0"/>
      <w:divBdr>
        <w:top w:val="none" w:sz="0" w:space="0" w:color="auto"/>
        <w:left w:val="none" w:sz="0" w:space="0" w:color="auto"/>
        <w:bottom w:val="none" w:sz="0" w:space="0" w:color="auto"/>
        <w:right w:val="none" w:sz="0" w:space="0" w:color="auto"/>
      </w:divBdr>
      <w:divsChild>
        <w:div w:id="1008021674">
          <w:marLeft w:val="0"/>
          <w:marRight w:val="0"/>
          <w:marTop w:val="0"/>
          <w:marBottom w:val="0"/>
          <w:divBdr>
            <w:top w:val="none" w:sz="0" w:space="0" w:color="auto"/>
            <w:left w:val="none" w:sz="0" w:space="0" w:color="auto"/>
            <w:bottom w:val="none" w:sz="0" w:space="0" w:color="auto"/>
            <w:right w:val="none" w:sz="0" w:space="0" w:color="auto"/>
          </w:divBdr>
        </w:div>
        <w:div w:id="641734877">
          <w:marLeft w:val="0"/>
          <w:marRight w:val="0"/>
          <w:marTop w:val="0"/>
          <w:marBottom w:val="0"/>
          <w:divBdr>
            <w:top w:val="none" w:sz="0" w:space="0" w:color="auto"/>
            <w:left w:val="none" w:sz="0" w:space="0" w:color="auto"/>
            <w:bottom w:val="none" w:sz="0" w:space="0" w:color="auto"/>
            <w:right w:val="none" w:sz="0" w:space="0" w:color="auto"/>
          </w:divBdr>
        </w:div>
        <w:div w:id="1155681460">
          <w:marLeft w:val="0"/>
          <w:marRight w:val="0"/>
          <w:marTop w:val="0"/>
          <w:marBottom w:val="0"/>
          <w:divBdr>
            <w:top w:val="none" w:sz="0" w:space="0" w:color="auto"/>
            <w:left w:val="none" w:sz="0" w:space="0" w:color="auto"/>
            <w:bottom w:val="none" w:sz="0" w:space="0" w:color="auto"/>
            <w:right w:val="none" w:sz="0" w:space="0" w:color="auto"/>
          </w:divBdr>
        </w:div>
      </w:divsChild>
    </w:div>
    <w:div w:id="898709068">
      <w:bodyDiv w:val="1"/>
      <w:marLeft w:val="0"/>
      <w:marRight w:val="0"/>
      <w:marTop w:val="0"/>
      <w:marBottom w:val="0"/>
      <w:divBdr>
        <w:top w:val="none" w:sz="0" w:space="0" w:color="auto"/>
        <w:left w:val="none" w:sz="0" w:space="0" w:color="auto"/>
        <w:bottom w:val="none" w:sz="0" w:space="0" w:color="auto"/>
        <w:right w:val="none" w:sz="0" w:space="0" w:color="auto"/>
      </w:divBdr>
    </w:div>
    <w:div w:id="905647882">
      <w:bodyDiv w:val="1"/>
      <w:marLeft w:val="0"/>
      <w:marRight w:val="0"/>
      <w:marTop w:val="0"/>
      <w:marBottom w:val="0"/>
      <w:divBdr>
        <w:top w:val="none" w:sz="0" w:space="0" w:color="auto"/>
        <w:left w:val="none" w:sz="0" w:space="0" w:color="auto"/>
        <w:bottom w:val="none" w:sz="0" w:space="0" w:color="auto"/>
        <w:right w:val="none" w:sz="0" w:space="0" w:color="auto"/>
      </w:divBdr>
    </w:div>
    <w:div w:id="1124927592">
      <w:bodyDiv w:val="1"/>
      <w:marLeft w:val="0"/>
      <w:marRight w:val="0"/>
      <w:marTop w:val="0"/>
      <w:marBottom w:val="0"/>
      <w:divBdr>
        <w:top w:val="none" w:sz="0" w:space="0" w:color="auto"/>
        <w:left w:val="none" w:sz="0" w:space="0" w:color="auto"/>
        <w:bottom w:val="none" w:sz="0" w:space="0" w:color="auto"/>
        <w:right w:val="none" w:sz="0" w:space="0" w:color="auto"/>
      </w:divBdr>
    </w:div>
    <w:div w:id="1172717885">
      <w:bodyDiv w:val="1"/>
      <w:marLeft w:val="0"/>
      <w:marRight w:val="0"/>
      <w:marTop w:val="0"/>
      <w:marBottom w:val="0"/>
      <w:divBdr>
        <w:top w:val="none" w:sz="0" w:space="0" w:color="auto"/>
        <w:left w:val="none" w:sz="0" w:space="0" w:color="auto"/>
        <w:bottom w:val="none" w:sz="0" w:space="0" w:color="auto"/>
        <w:right w:val="none" w:sz="0" w:space="0" w:color="auto"/>
      </w:divBdr>
    </w:div>
    <w:div w:id="1215897248">
      <w:bodyDiv w:val="1"/>
      <w:marLeft w:val="0"/>
      <w:marRight w:val="0"/>
      <w:marTop w:val="0"/>
      <w:marBottom w:val="0"/>
      <w:divBdr>
        <w:top w:val="none" w:sz="0" w:space="0" w:color="auto"/>
        <w:left w:val="none" w:sz="0" w:space="0" w:color="auto"/>
        <w:bottom w:val="none" w:sz="0" w:space="0" w:color="auto"/>
        <w:right w:val="none" w:sz="0" w:space="0" w:color="auto"/>
      </w:divBdr>
    </w:div>
    <w:div w:id="1219439869">
      <w:bodyDiv w:val="1"/>
      <w:marLeft w:val="0"/>
      <w:marRight w:val="0"/>
      <w:marTop w:val="0"/>
      <w:marBottom w:val="0"/>
      <w:divBdr>
        <w:top w:val="none" w:sz="0" w:space="0" w:color="auto"/>
        <w:left w:val="none" w:sz="0" w:space="0" w:color="auto"/>
        <w:bottom w:val="none" w:sz="0" w:space="0" w:color="auto"/>
        <w:right w:val="none" w:sz="0" w:space="0" w:color="auto"/>
      </w:divBdr>
    </w:div>
    <w:div w:id="1303730899">
      <w:bodyDiv w:val="1"/>
      <w:marLeft w:val="0"/>
      <w:marRight w:val="0"/>
      <w:marTop w:val="0"/>
      <w:marBottom w:val="0"/>
      <w:divBdr>
        <w:top w:val="none" w:sz="0" w:space="0" w:color="auto"/>
        <w:left w:val="none" w:sz="0" w:space="0" w:color="auto"/>
        <w:bottom w:val="none" w:sz="0" w:space="0" w:color="auto"/>
        <w:right w:val="none" w:sz="0" w:space="0" w:color="auto"/>
      </w:divBdr>
    </w:div>
    <w:div w:id="1409494390">
      <w:bodyDiv w:val="1"/>
      <w:marLeft w:val="0"/>
      <w:marRight w:val="0"/>
      <w:marTop w:val="0"/>
      <w:marBottom w:val="0"/>
      <w:divBdr>
        <w:top w:val="none" w:sz="0" w:space="0" w:color="auto"/>
        <w:left w:val="none" w:sz="0" w:space="0" w:color="auto"/>
        <w:bottom w:val="none" w:sz="0" w:space="0" w:color="auto"/>
        <w:right w:val="none" w:sz="0" w:space="0" w:color="auto"/>
      </w:divBdr>
    </w:div>
    <w:div w:id="1437481954">
      <w:bodyDiv w:val="1"/>
      <w:marLeft w:val="0"/>
      <w:marRight w:val="0"/>
      <w:marTop w:val="0"/>
      <w:marBottom w:val="0"/>
      <w:divBdr>
        <w:top w:val="none" w:sz="0" w:space="0" w:color="auto"/>
        <w:left w:val="none" w:sz="0" w:space="0" w:color="auto"/>
        <w:bottom w:val="none" w:sz="0" w:space="0" w:color="auto"/>
        <w:right w:val="none" w:sz="0" w:space="0" w:color="auto"/>
      </w:divBdr>
    </w:div>
    <w:div w:id="1453743186">
      <w:bodyDiv w:val="1"/>
      <w:marLeft w:val="0"/>
      <w:marRight w:val="0"/>
      <w:marTop w:val="0"/>
      <w:marBottom w:val="0"/>
      <w:divBdr>
        <w:top w:val="none" w:sz="0" w:space="0" w:color="auto"/>
        <w:left w:val="none" w:sz="0" w:space="0" w:color="auto"/>
        <w:bottom w:val="none" w:sz="0" w:space="0" w:color="auto"/>
        <w:right w:val="none" w:sz="0" w:space="0" w:color="auto"/>
      </w:divBdr>
    </w:div>
    <w:div w:id="1528835781">
      <w:bodyDiv w:val="1"/>
      <w:marLeft w:val="0"/>
      <w:marRight w:val="0"/>
      <w:marTop w:val="0"/>
      <w:marBottom w:val="0"/>
      <w:divBdr>
        <w:top w:val="none" w:sz="0" w:space="0" w:color="auto"/>
        <w:left w:val="none" w:sz="0" w:space="0" w:color="auto"/>
        <w:bottom w:val="none" w:sz="0" w:space="0" w:color="auto"/>
        <w:right w:val="none" w:sz="0" w:space="0" w:color="auto"/>
      </w:divBdr>
    </w:div>
    <w:div w:id="1938244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0CC2C2A8ACF349B5FFC1984DE1755C" ma:contentTypeVersion="16" ma:contentTypeDescription="Create a new document." ma:contentTypeScope="" ma:versionID="02ce1b4431f32011d64cdeaed87a88c1">
  <xsd:schema xmlns:xsd="http://www.w3.org/2001/XMLSchema" xmlns:xs="http://www.w3.org/2001/XMLSchema" xmlns:p="http://schemas.microsoft.com/office/2006/metadata/properties" xmlns:ns2="261abd9d-48dd-4af6-a673-572a86a28056" xmlns:ns3="c7e7b62c-bd16-442d-a714-45ada3874eaf" targetNamespace="http://schemas.microsoft.com/office/2006/metadata/properties" ma:root="true" ma:fieldsID="63e2530872b5b00b0dc93bdc1d2461f1" ns2:_="" ns3:_="">
    <xsd:import namespace="261abd9d-48dd-4af6-a673-572a86a28056"/>
    <xsd:import namespace="c7e7b62c-bd16-442d-a714-45ada3874e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abd9d-48dd-4af6-a673-572a86a28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2095094-7cb6-4bf4-aa52-87758b1da3e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e7b62c-bd16-442d-a714-45ada3874e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e3efe4-6dd7-4e33-9b21-566afb12775f}" ma:internalName="TaxCatchAll" ma:showField="CatchAllData" ma:web="c7e7b62c-bd16-442d-a714-45ada3874e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1abd9d-48dd-4af6-a673-572a86a28056">
      <Terms xmlns="http://schemas.microsoft.com/office/infopath/2007/PartnerControls"/>
    </lcf76f155ced4ddcb4097134ff3c332f>
    <TaxCatchAll xmlns="c7e7b62c-bd16-442d-a714-45ada3874eaf" xsi:nil="true"/>
  </documentManagement>
</p:properties>
</file>

<file path=customXml/itemProps1.xml><?xml version="1.0" encoding="utf-8"?>
<ds:datastoreItem xmlns:ds="http://schemas.openxmlformats.org/officeDocument/2006/customXml" ds:itemID="{5BC53D41-1054-4846-810A-69936CC72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abd9d-48dd-4af6-a673-572a86a28056"/>
    <ds:schemaRef ds:uri="c7e7b62c-bd16-442d-a714-45ada3874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7BD752-14DB-499E-9428-D1CE597ED63B}">
  <ds:schemaRefs>
    <ds:schemaRef ds:uri="http://schemas.microsoft.com/sharepoint/v3/contenttype/forms"/>
  </ds:schemaRefs>
</ds:datastoreItem>
</file>

<file path=customXml/itemProps3.xml><?xml version="1.0" encoding="utf-8"?>
<ds:datastoreItem xmlns:ds="http://schemas.openxmlformats.org/officeDocument/2006/customXml" ds:itemID="{DE929B95-33C6-48A3-BAC7-4913C9DE8535}">
  <ds:schemaRefs>
    <ds:schemaRef ds:uri="http://schemas.microsoft.com/office/2006/metadata/properties"/>
    <ds:schemaRef ds:uri="http://schemas.microsoft.com/office/infopath/2007/PartnerControls"/>
    <ds:schemaRef ds:uri="261abd9d-48dd-4af6-a673-572a86a28056"/>
    <ds:schemaRef ds:uri="c7e7b62c-bd16-442d-a714-45ada3874eaf"/>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9304</Words>
  <Characters>53036</Characters>
  <Application>Microsoft Office Word</Application>
  <DocSecurity>0</DocSecurity>
  <Lines>441</Lines>
  <Paragraphs>124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62216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2026-01-23T10:54:00Z</dcterms:created>
  <dcterms:modified xsi:type="dcterms:W3CDTF">2026-02-24T21:01:00Z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0x010100AA0CC2C2A8ACF349B5FFC1984DE1755C</vt:lpwstr>
  </property>
  <property fmtid="{D5CDD505-2E9C-101B-9397-08002B2CF9AE}" pid="3" name="MediaServiceImageTags">
    <vt:lpwstr/>
  </property>
  <property fmtid="{D5CDD505-2E9C-101B-9397-08002B2CF9AE}" pid="5" name="docLang">
    <vt:lpwstr>en</vt:lpwstr>
  </property>
</Properties>
</file>