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1268"/>
        <w:tblW w:w="11430" w:type="dxa"/>
        <w:tblLook w:val="04A0" w:firstRow="1" w:lastRow="0" w:firstColumn="1" w:lastColumn="0" w:noHBand="0" w:noVBand="1"/>
      </w:tblPr>
      <w:tblGrid>
        <w:gridCol w:w="1710"/>
        <w:gridCol w:w="9720"/>
      </w:tblGrid>
      <w:tr w:rsidR="000F66E5" w:rsidTr="00F45ABB">
        <w:tc>
          <w:tcPr>
            <w:tcW w:w="1710" w:type="dxa"/>
          </w:tcPr>
          <w:p w:rsidR="000F66E5" w:rsidRPr="00F45ABB" w:rsidRDefault="00AA39B8" w:rsidP="00F45ABB">
            <w:pPr>
              <w:rPr>
                <w:b/>
                <w:sz w:val="20"/>
                <w:szCs w:val="20"/>
              </w:rPr>
            </w:pPr>
            <w:bookmarkStart w:id="0" w:name="_GoBack"/>
            <w:bookmarkEnd w:id="0"/>
            <w:r w:rsidRPr="00F45ABB">
              <w:rPr>
                <w:b/>
                <w:sz w:val="20"/>
                <w:szCs w:val="20"/>
              </w:rPr>
              <w:t>Section</w:t>
            </w:r>
          </w:p>
        </w:tc>
        <w:tc>
          <w:tcPr>
            <w:tcW w:w="9720" w:type="dxa"/>
          </w:tcPr>
          <w:p w:rsidR="000F66E5" w:rsidRPr="00F45ABB" w:rsidRDefault="000F66E5" w:rsidP="00F45ABB">
            <w:pPr>
              <w:rPr>
                <w:b/>
                <w:sz w:val="20"/>
                <w:szCs w:val="20"/>
              </w:rPr>
            </w:pPr>
            <w:r w:rsidRPr="00F45ABB">
              <w:rPr>
                <w:b/>
                <w:sz w:val="20"/>
                <w:szCs w:val="20"/>
              </w:rPr>
              <w:t xml:space="preserve">Description </w:t>
            </w:r>
          </w:p>
        </w:tc>
      </w:tr>
      <w:tr w:rsidR="00AA39B8" w:rsidTr="00F45ABB">
        <w:tc>
          <w:tcPr>
            <w:tcW w:w="11430" w:type="dxa"/>
            <w:gridSpan w:val="2"/>
          </w:tcPr>
          <w:p w:rsidR="00AA39B8" w:rsidRPr="00F45ABB" w:rsidRDefault="00AA39B8" w:rsidP="00F45ABB">
            <w:pPr>
              <w:rPr>
                <w:b/>
                <w:sz w:val="20"/>
                <w:szCs w:val="20"/>
              </w:rPr>
            </w:pPr>
          </w:p>
        </w:tc>
      </w:tr>
      <w:tr w:rsidR="000F66E5" w:rsidTr="00F45ABB">
        <w:tc>
          <w:tcPr>
            <w:tcW w:w="11430" w:type="dxa"/>
            <w:gridSpan w:val="2"/>
          </w:tcPr>
          <w:p w:rsidR="000F66E5" w:rsidRPr="00F45ABB" w:rsidRDefault="000F66E5" w:rsidP="00F45ABB">
            <w:pPr>
              <w:rPr>
                <w:b/>
                <w:sz w:val="20"/>
                <w:szCs w:val="20"/>
              </w:rPr>
            </w:pPr>
            <w:r w:rsidRPr="00F45ABB">
              <w:rPr>
                <w:b/>
                <w:sz w:val="20"/>
                <w:szCs w:val="20"/>
              </w:rPr>
              <w:t>Chapter 2. Roles and Responsibilities</w:t>
            </w:r>
          </w:p>
        </w:tc>
      </w:tr>
      <w:tr w:rsidR="000F66E5" w:rsidRPr="000B3698" w:rsidTr="00F45ABB">
        <w:tc>
          <w:tcPr>
            <w:tcW w:w="1710" w:type="dxa"/>
          </w:tcPr>
          <w:p w:rsidR="000F66E5" w:rsidRPr="00F45ABB" w:rsidRDefault="000F66E5" w:rsidP="00F45ABB">
            <w:pPr>
              <w:rPr>
                <w:sz w:val="20"/>
                <w:szCs w:val="20"/>
              </w:rPr>
            </w:pPr>
            <w:r w:rsidRPr="00F45ABB">
              <w:rPr>
                <w:sz w:val="20"/>
                <w:szCs w:val="20"/>
              </w:rPr>
              <w:t>2-10</w:t>
            </w:r>
          </w:p>
        </w:tc>
        <w:tc>
          <w:tcPr>
            <w:tcW w:w="9720" w:type="dxa"/>
          </w:tcPr>
          <w:p w:rsidR="000F66E5" w:rsidRPr="00F45ABB" w:rsidRDefault="000F66E5" w:rsidP="00F45ABB">
            <w:pPr>
              <w:rPr>
                <w:sz w:val="20"/>
                <w:szCs w:val="20"/>
              </w:rPr>
            </w:pPr>
            <w:r w:rsidRPr="00F45ABB">
              <w:rPr>
                <w:sz w:val="20"/>
                <w:szCs w:val="20"/>
              </w:rPr>
              <w:t>To clarify that the approach of APEC-funded projects is not to be confused with academic funding vehicles or community sector grants.</w:t>
            </w:r>
          </w:p>
        </w:tc>
      </w:tr>
      <w:tr w:rsidR="001E5C1F" w:rsidRPr="000B3698" w:rsidTr="00F45ABB">
        <w:tc>
          <w:tcPr>
            <w:tcW w:w="1710" w:type="dxa"/>
          </w:tcPr>
          <w:p w:rsidR="001E5C1F" w:rsidRPr="00F45ABB" w:rsidRDefault="001E5C1F" w:rsidP="00F45ABB">
            <w:pPr>
              <w:rPr>
                <w:sz w:val="20"/>
                <w:szCs w:val="20"/>
              </w:rPr>
            </w:pPr>
            <w:r w:rsidRPr="00F45ABB">
              <w:rPr>
                <w:sz w:val="20"/>
                <w:szCs w:val="20"/>
              </w:rPr>
              <w:t>2-13</w:t>
            </w:r>
          </w:p>
        </w:tc>
        <w:tc>
          <w:tcPr>
            <w:tcW w:w="9720" w:type="dxa"/>
          </w:tcPr>
          <w:p w:rsidR="001E5C1F" w:rsidRPr="00F45ABB" w:rsidRDefault="001E5C1F" w:rsidP="00F45ABB">
            <w:pPr>
              <w:rPr>
                <w:sz w:val="20"/>
                <w:szCs w:val="20"/>
              </w:rPr>
            </w:pPr>
            <w:r w:rsidRPr="00F45ABB">
              <w:rPr>
                <w:sz w:val="20"/>
                <w:szCs w:val="20"/>
              </w:rPr>
              <w:t>To clarify that Program Executives support all APEC-funded travellers (participants, experts and contractors)</w:t>
            </w:r>
          </w:p>
        </w:tc>
      </w:tr>
      <w:tr w:rsidR="000F66E5" w:rsidRPr="000B3698" w:rsidTr="00F45ABB">
        <w:tc>
          <w:tcPr>
            <w:tcW w:w="11430" w:type="dxa"/>
            <w:gridSpan w:val="2"/>
          </w:tcPr>
          <w:p w:rsidR="000F66E5" w:rsidRPr="00F45ABB" w:rsidRDefault="000F66E5" w:rsidP="00F45ABB">
            <w:pPr>
              <w:rPr>
                <w:b/>
                <w:sz w:val="20"/>
                <w:szCs w:val="20"/>
              </w:rPr>
            </w:pPr>
            <w:r w:rsidRPr="00F45ABB">
              <w:rPr>
                <w:b/>
                <w:sz w:val="20"/>
                <w:szCs w:val="20"/>
              </w:rPr>
              <w:t>Chapter 3. Funding and Accounts</w:t>
            </w:r>
          </w:p>
        </w:tc>
      </w:tr>
      <w:tr w:rsidR="000F66E5" w:rsidRPr="000B3698" w:rsidTr="00F45ABB">
        <w:tc>
          <w:tcPr>
            <w:tcW w:w="1710" w:type="dxa"/>
          </w:tcPr>
          <w:p w:rsidR="000F66E5" w:rsidRPr="00F45ABB" w:rsidRDefault="000F66E5" w:rsidP="00F45ABB">
            <w:pPr>
              <w:rPr>
                <w:sz w:val="20"/>
                <w:szCs w:val="20"/>
              </w:rPr>
            </w:pPr>
            <w:r w:rsidRPr="00F45ABB">
              <w:rPr>
                <w:sz w:val="20"/>
                <w:szCs w:val="20"/>
              </w:rPr>
              <w:t>3-31</w:t>
            </w:r>
          </w:p>
        </w:tc>
        <w:tc>
          <w:tcPr>
            <w:tcW w:w="9720" w:type="dxa"/>
          </w:tcPr>
          <w:p w:rsidR="000F66E5" w:rsidRPr="00F45ABB" w:rsidRDefault="000F66E5" w:rsidP="00F45ABB">
            <w:pPr>
              <w:rPr>
                <w:sz w:val="20"/>
                <w:szCs w:val="20"/>
              </w:rPr>
            </w:pPr>
            <w:r w:rsidRPr="00F45ABB">
              <w:rPr>
                <w:sz w:val="20"/>
                <w:szCs w:val="20"/>
              </w:rPr>
              <w:t>Addition of a privacy statement.</w:t>
            </w:r>
          </w:p>
        </w:tc>
      </w:tr>
      <w:tr w:rsidR="000F66E5" w:rsidTr="00F45ABB">
        <w:tc>
          <w:tcPr>
            <w:tcW w:w="11430" w:type="dxa"/>
            <w:gridSpan w:val="2"/>
          </w:tcPr>
          <w:p w:rsidR="000F66E5" w:rsidRPr="00F45ABB" w:rsidRDefault="000F66E5" w:rsidP="00F45ABB">
            <w:pPr>
              <w:rPr>
                <w:b/>
                <w:sz w:val="20"/>
                <w:szCs w:val="20"/>
              </w:rPr>
            </w:pPr>
            <w:r w:rsidRPr="00F45ABB">
              <w:rPr>
                <w:b/>
                <w:sz w:val="20"/>
                <w:szCs w:val="20"/>
              </w:rPr>
              <w:t xml:space="preserve">Chapter 5. Applying for Funding </w:t>
            </w:r>
          </w:p>
        </w:tc>
      </w:tr>
      <w:tr w:rsidR="000F66E5" w:rsidRPr="007915A8" w:rsidTr="00F45ABB">
        <w:trPr>
          <w:trHeight w:val="242"/>
        </w:trPr>
        <w:tc>
          <w:tcPr>
            <w:tcW w:w="1710" w:type="dxa"/>
          </w:tcPr>
          <w:p w:rsidR="000F66E5" w:rsidRPr="00F45ABB" w:rsidRDefault="000F66E5" w:rsidP="00F45ABB">
            <w:pPr>
              <w:rPr>
                <w:sz w:val="20"/>
                <w:szCs w:val="20"/>
              </w:rPr>
            </w:pPr>
            <w:r w:rsidRPr="00F45ABB">
              <w:rPr>
                <w:sz w:val="20"/>
                <w:szCs w:val="20"/>
              </w:rPr>
              <w:t>5-3</w:t>
            </w:r>
          </w:p>
        </w:tc>
        <w:tc>
          <w:tcPr>
            <w:tcW w:w="9720" w:type="dxa"/>
          </w:tcPr>
          <w:p w:rsidR="000F66E5" w:rsidRPr="00F45ABB" w:rsidRDefault="000F66E5" w:rsidP="00F45ABB">
            <w:pPr>
              <w:rPr>
                <w:sz w:val="20"/>
                <w:szCs w:val="20"/>
              </w:rPr>
            </w:pPr>
            <w:r w:rsidRPr="00F45ABB">
              <w:rPr>
                <w:sz w:val="20"/>
                <w:szCs w:val="20"/>
              </w:rPr>
              <w:t xml:space="preserve">POs cannot (in a given Project Session) create competitive advantage by submitting duplicate Concept Notes or submitting the same Concept Note against multiple funding accounts. </w:t>
            </w:r>
          </w:p>
        </w:tc>
      </w:tr>
      <w:tr w:rsidR="000F66E5" w:rsidRPr="007915A8" w:rsidTr="00F45ABB">
        <w:trPr>
          <w:trHeight w:val="242"/>
        </w:trPr>
        <w:tc>
          <w:tcPr>
            <w:tcW w:w="1710" w:type="dxa"/>
          </w:tcPr>
          <w:p w:rsidR="000F66E5" w:rsidRPr="00F45ABB" w:rsidRDefault="000F66E5" w:rsidP="00F45ABB">
            <w:pPr>
              <w:rPr>
                <w:sz w:val="20"/>
                <w:szCs w:val="20"/>
              </w:rPr>
            </w:pPr>
            <w:r w:rsidRPr="00F45ABB">
              <w:rPr>
                <w:sz w:val="20"/>
                <w:szCs w:val="20"/>
              </w:rPr>
              <w:t>5-4</w:t>
            </w:r>
          </w:p>
        </w:tc>
        <w:tc>
          <w:tcPr>
            <w:tcW w:w="9720" w:type="dxa"/>
          </w:tcPr>
          <w:p w:rsidR="000F66E5" w:rsidRPr="00F45ABB" w:rsidRDefault="000F66E5" w:rsidP="00F45ABB">
            <w:pPr>
              <w:rPr>
                <w:sz w:val="20"/>
                <w:szCs w:val="20"/>
              </w:rPr>
            </w:pPr>
            <w:r w:rsidRPr="00F45ABB">
              <w:rPr>
                <w:sz w:val="20"/>
                <w:szCs w:val="20"/>
              </w:rPr>
              <w:t xml:space="preserve">Redundant ‘Step’ deleted. </w:t>
            </w:r>
          </w:p>
        </w:tc>
      </w:tr>
      <w:tr w:rsidR="000F66E5" w:rsidTr="00F45ABB">
        <w:tc>
          <w:tcPr>
            <w:tcW w:w="11430" w:type="dxa"/>
            <w:gridSpan w:val="2"/>
          </w:tcPr>
          <w:p w:rsidR="000F66E5" w:rsidRPr="00F45ABB" w:rsidRDefault="000F66E5" w:rsidP="00F45ABB">
            <w:pPr>
              <w:rPr>
                <w:sz w:val="20"/>
                <w:szCs w:val="20"/>
              </w:rPr>
            </w:pPr>
            <w:r w:rsidRPr="00F45ABB">
              <w:rPr>
                <w:b/>
                <w:sz w:val="20"/>
                <w:szCs w:val="20"/>
              </w:rPr>
              <w:t>Chapter 8. Multi-Year Projects</w:t>
            </w:r>
            <w:r w:rsidR="00EF1053" w:rsidRPr="00F45ABB">
              <w:rPr>
                <w:b/>
                <w:sz w:val="20"/>
                <w:szCs w:val="20"/>
              </w:rPr>
              <w:t xml:space="preserve"> </w:t>
            </w:r>
          </w:p>
        </w:tc>
      </w:tr>
      <w:tr w:rsidR="000F66E5" w:rsidTr="00F45ABB">
        <w:tc>
          <w:tcPr>
            <w:tcW w:w="1710" w:type="dxa"/>
          </w:tcPr>
          <w:p w:rsidR="000F66E5" w:rsidRPr="00F45ABB" w:rsidRDefault="000F66E5" w:rsidP="00F45ABB">
            <w:pPr>
              <w:rPr>
                <w:sz w:val="20"/>
                <w:szCs w:val="20"/>
              </w:rPr>
            </w:pPr>
            <w:r w:rsidRPr="00F45ABB">
              <w:rPr>
                <w:sz w:val="20"/>
                <w:szCs w:val="20"/>
              </w:rPr>
              <w:t>8-1 to 8-10</w:t>
            </w:r>
          </w:p>
        </w:tc>
        <w:tc>
          <w:tcPr>
            <w:tcW w:w="9720" w:type="dxa"/>
          </w:tcPr>
          <w:p w:rsidR="000F66E5" w:rsidRPr="00F45ABB" w:rsidRDefault="000F66E5" w:rsidP="00F45ABB">
            <w:pPr>
              <w:rPr>
                <w:sz w:val="20"/>
                <w:szCs w:val="20"/>
              </w:rPr>
            </w:pPr>
            <w:r w:rsidRPr="00F45ABB">
              <w:rPr>
                <w:sz w:val="20"/>
                <w:szCs w:val="20"/>
              </w:rPr>
              <w:t xml:space="preserve">Chapter intended to guide MYP Pilot phase. MYP Pilot phase has been completed. Chapter </w:t>
            </w:r>
            <w:r w:rsidR="00EF1053" w:rsidRPr="00F45ABB">
              <w:rPr>
                <w:sz w:val="20"/>
                <w:szCs w:val="20"/>
              </w:rPr>
              <w:t>deleted for Edition 15.</w:t>
            </w:r>
          </w:p>
        </w:tc>
      </w:tr>
      <w:tr w:rsidR="000F66E5" w:rsidTr="00F45ABB">
        <w:tc>
          <w:tcPr>
            <w:tcW w:w="11430" w:type="dxa"/>
            <w:gridSpan w:val="2"/>
          </w:tcPr>
          <w:p w:rsidR="000F66E5" w:rsidRPr="00F45ABB" w:rsidRDefault="00DD1D09" w:rsidP="00F45ABB">
            <w:pPr>
              <w:rPr>
                <w:b/>
                <w:sz w:val="20"/>
                <w:szCs w:val="20"/>
              </w:rPr>
            </w:pPr>
            <w:r w:rsidRPr="00F45ABB">
              <w:rPr>
                <w:b/>
                <w:sz w:val="20"/>
                <w:szCs w:val="20"/>
              </w:rPr>
              <w:t>Chapter 8</w:t>
            </w:r>
            <w:r w:rsidR="000F66E5" w:rsidRPr="00F45ABB">
              <w:rPr>
                <w:b/>
                <w:sz w:val="20"/>
                <w:szCs w:val="20"/>
              </w:rPr>
              <w:t>. APEC Project Expenses</w:t>
            </w:r>
            <w:r w:rsidR="00EF1053" w:rsidRPr="00F45ABB">
              <w:rPr>
                <w:b/>
                <w:sz w:val="20"/>
                <w:szCs w:val="20"/>
              </w:rPr>
              <w:t xml:space="preserve"> </w:t>
            </w:r>
          </w:p>
        </w:tc>
      </w:tr>
      <w:tr w:rsidR="000F66E5" w:rsidTr="00F45ABB">
        <w:tc>
          <w:tcPr>
            <w:tcW w:w="1710" w:type="dxa"/>
          </w:tcPr>
          <w:p w:rsidR="000F66E5" w:rsidRPr="00F45ABB" w:rsidRDefault="00DD1D09" w:rsidP="00F45ABB">
            <w:pPr>
              <w:rPr>
                <w:sz w:val="20"/>
                <w:szCs w:val="20"/>
              </w:rPr>
            </w:pPr>
            <w:r w:rsidRPr="00F45ABB">
              <w:rPr>
                <w:sz w:val="20"/>
                <w:szCs w:val="20"/>
              </w:rPr>
              <w:t>8</w:t>
            </w:r>
            <w:r w:rsidR="000F66E5" w:rsidRPr="00F45ABB">
              <w:rPr>
                <w:sz w:val="20"/>
                <w:szCs w:val="20"/>
              </w:rPr>
              <w:t>-5</w:t>
            </w:r>
          </w:p>
        </w:tc>
        <w:tc>
          <w:tcPr>
            <w:tcW w:w="9720" w:type="dxa"/>
          </w:tcPr>
          <w:p w:rsidR="000F66E5" w:rsidRPr="00F45ABB" w:rsidRDefault="000F66E5" w:rsidP="00F45ABB">
            <w:pPr>
              <w:rPr>
                <w:sz w:val="20"/>
                <w:szCs w:val="20"/>
              </w:rPr>
            </w:pPr>
            <w:r w:rsidRPr="00F45ABB">
              <w:rPr>
                <w:sz w:val="20"/>
                <w:szCs w:val="20"/>
              </w:rPr>
              <w:t xml:space="preserve">Confirming that supported events includes virtual </w:t>
            </w:r>
            <w:r w:rsidR="00DD1D09" w:rsidRPr="00F45ABB">
              <w:rPr>
                <w:sz w:val="20"/>
                <w:szCs w:val="20"/>
              </w:rPr>
              <w:t>events and events with a mix of both physical and remote access participation</w:t>
            </w:r>
            <w:r w:rsidRPr="00F45ABB">
              <w:rPr>
                <w:sz w:val="20"/>
                <w:szCs w:val="20"/>
              </w:rPr>
              <w:t xml:space="preserve">. Confirming that honoraria is not accorded to participants. </w:t>
            </w:r>
          </w:p>
        </w:tc>
      </w:tr>
      <w:tr w:rsidR="000F66E5" w:rsidTr="00F45ABB">
        <w:tc>
          <w:tcPr>
            <w:tcW w:w="1710" w:type="dxa"/>
          </w:tcPr>
          <w:p w:rsidR="000F66E5" w:rsidRPr="00F45ABB" w:rsidRDefault="00DD1D09" w:rsidP="00F45ABB">
            <w:pPr>
              <w:rPr>
                <w:sz w:val="20"/>
                <w:szCs w:val="20"/>
              </w:rPr>
            </w:pPr>
            <w:r w:rsidRPr="00F45ABB">
              <w:rPr>
                <w:sz w:val="20"/>
                <w:szCs w:val="20"/>
              </w:rPr>
              <w:t>8</w:t>
            </w:r>
            <w:r w:rsidR="000F66E5" w:rsidRPr="00F45ABB">
              <w:rPr>
                <w:sz w:val="20"/>
                <w:szCs w:val="20"/>
              </w:rPr>
              <w:t>-12</w:t>
            </w:r>
          </w:p>
        </w:tc>
        <w:tc>
          <w:tcPr>
            <w:tcW w:w="9720" w:type="dxa"/>
          </w:tcPr>
          <w:p w:rsidR="000F66E5" w:rsidRPr="00F45ABB" w:rsidRDefault="000F66E5" w:rsidP="00F45ABB">
            <w:pPr>
              <w:rPr>
                <w:sz w:val="20"/>
                <w:szCs w:val="20"/>
              </w:rPr>
            </w:pPr>
            <w:r w:rsidRPr="00F45ABB">
              <w:rPr>
                <w:sz w:val="20"/>
                <w:szCs w:val="20"/>
              </w:rPr>
              <w:t>ANSSR projects have all been closed (redundant reference).</w:t>
            </w:r>
          </w:p>
        </w:tc>
      </w:tr>
      <w:tr w:rsidR="000F66E5" w:rsidTr="00F45ABB">
        <w:tc>
          <w:tcPr>
            <w:tcW w:w="1710" w:type="dxa"/>
          </w:tcPr>
          <w:p w:rsidR="000F66E5" w:rsidRPr="00F45ABB" w:rsidRDefault="00DD1D09" w:rsidP="00F45ABB">
            <w:pPr>
              <w:rPr>
                <w:sz w:val="20"/>
                <w:szCs w:val="20"/>
              </w:rPr>
            </w:pPr>
            <w:r w:rsidRPr="00F45ABB">
              <w:rPr>
                <w:sz w:val="20"/>
                <w:szCs w:val="20"/>
              </w:rPr>
              <w:t>8</w:t>
            </w:r>
            <w:r w:rsidR="000F66E5" w:rsidRPr="00F45ABB">
              <w:rPr>
                <w:sz w:val="20"/>
                <w:szCs w:val="20"/>
              </w:rPr>
              <w:t>-29</w:t>
            </w:r>
          </w:p>
        </w:tc>
        <w:tc>
          <w:tcPr>
            <w:tcW w:w="9720" w:type="dxa"/>
          </w:tcPr>
          <w:p w:rsidR="000F66E5" w:rsidRPr="00F45ABB" w:rsidRDefault="000F66E5" w:rsidP="00F45ABB">
            <w:pPr>
              <w:rPr>
                <w:sz w:val="20"/>
                <w:szCs w:val="20"/>
              </w:rPr>
            </w:pPr>
            <w:r w:rsidRPr="00F45ABB">
              <w:rPr>
                <w:sz w:val="20"/>
                <w:szCs w:val="20"/>
              </w:rPr>
              <w:t>Per diem is not payable if no travel is required.</w:t>
            </w:r>
          </w:p>
        </w:tc>
      </w:tr>
      <w:tr w:rsidR="00F45ABB" w:rsidTr="00F45ABB">
        <w:tc>
          <w:tcPr>
            <w:tcW w:w="1710" w:type="dxa"/>
          </w:tcPr>
          <w:p w:rsidR="00F45ABB" w:rsidRPr="00F45ABB" w:rsidRDefault="00F45ABB" w:rsidP="00F45ABB">
            <w:pPr>
              <w:rPr>
                <w:sz w:val="20"/>
                <w:szCs w:val="20"/>
              </w:rPr>
            </w:pPr>
            <w:r>
              <w:rPr>
                <w:sz w:val="20"/>
                <w:szCs w:val="20"/>
              </w:rPr>
              <w:t>8-50</w:t>
            </w:r>
          </w:p>
        </w:tc>
        <w:tc>
          <w:tcPr>
            <w:tcW w:w="9720" w:type="dxa"/>
          </w:tcPr>
          <w:p w:rsidR="00F45ABB" w:rsidRPr="00F45ABB" w:rsidRDefault="00F45ABB" w:rsidP="00F45ABB">
            <w:pPr>
              <w:rPr>
                <w:sz w:val="20"/>
                <w:szCs w:val="20"/>
              </w:rPr>
            </w:pPr>
            <w:r>
              <w:rPr>
                <w:sz w:val="20"/>
                <w:szCs w:val="20"/>
              </w:rPr>
              <w:t>POs must not include personal data that relates to any project participant in APEC Publications and Project Reports.</w:t>
            </w:r>
          </w:p>
        </w:tc>
      </w:tr>
      <w:tr w:rsidR="004409F8" w:rsidTr="00F45ABB">
        <w:tc>
          <w:tcPr>
            <w:tcW w:w="1710" w:type="dxa"/>
          </w:tcPr>
          <w:p w:rsidR="004409F8" w:rsidRPr="00F45ABB" w:rsidRDefault="00DD1D09" w:rsidP="00F45ABB">
            <w:pPr>
              <w:rPr>
                <w:sz w:val="20"/>
                <w:szCs w:val="20"/>
              </w:rPr>
            </w:pPr>
            <w:r w:rsidRPr="00F45ABB">
              <w:rPr>
                <w:sz w:val="20"/>
                <w:szCs w:val="20"/>
              </w:rPr>
              <w:t>8</w:t>
            </w:r>
            <w:r w:rsidR="00F45ABB">
              <w:rPr>
                <w:sz w:val="20"/>
                <w:szCs w:val="20"/>
              </w:rPr>
              <w:t>-60</w:t>
            </w:r>
          </w:p>
        </w:tc>
        <w:tc>
          <w:tcPr>
            <w:tcW w:w="9720" w:type="dxa"/>
          </w:tcPr>
          <w:p w:rsidR="004409F8" w:rsidRPr="00F45ABB" w:rsidRDefault="004409F8" w:rsidP="00F45ABB">
            <w:pPr>
              <w:rPr>
                <w:sz w:val="20"/>
                <w:szCs w:val="20"/>
              </w:rPr>
            </w:pPr>
            <w:r w:rsidRPr="00F45ABB">
              <w:rPr>
                <w:sz w:val="20"/>
                <w:szCs w:val="20"/>
              </w:rPr>
              <w:t>To clarify that Project Event Costs are capped at the BMC-approved level but can be adjusted to support the necessary adoption of virtual/remotely-accessed events where physical events are impractical.</w:t>
            </w:r>
          </w:p>
        </w:tc>
      </w:tr>
      <w:tr w:rsidR="000F66E5" w:rsidTr="00F45ABB">
        <w:tc>
          <w:tcPr>
            <w:tcW w:w="1710" w:type="dxa"/>
          </w:tcPr>
          <w:p w:rsidR="000F66E5" w:rsidRPr="00F45ABB" w:rsidRDefault="00DD1D09" w:rsidP="00F45ABB">
            <w:pPr>
              <w:rPr>
                <w:sz w:val="20"/>
                <w:szCs w:val="20"/>
              </w:rPr>
            </w:pPr>
            <w:r w:rsidRPr="00F45ABB">
              <w:rPr>
                <w:sz w:val="20"/>
                <w:szCs w:val="20"/>
              </w:rPr>
              <w:t>8</w:t>
            </w:r>
            <w:r w:rsidR="00F45ABB">
              <w:rPr>
                <w:sz w:val="20"/>
                <w:szCs w:val="20"/>
              </w:rPr>
              <w:t>-61</w:t>
            </w:r>
          </w:p>
        </w:tc>
        <w:tc>
          <w:tcPr>
            <w:tcW w:w="9720" w:type="dxa"/>
          </w:tcPr>
          <w:p w:rsidR="000F66E5" w:rsidRPr="00F45ABB" w:rsidRDefault="000F66E5" w:rsidP="00F45ABB">
            <w:pPr>
              <w:rPr>
                <w:sz w:val="20"/>
                <w:szCs w:val="20"/>
              </w:rPr>
            </w:pPr>
            <w:r w:rsidRPr="00F45ABB">
              <w:rPr>
                <w:sz w:val="20"/>
                <w:szCs w:val="20"/>
              </w:rPr>
              <w:t>Confirming that travel eligible participants, speakers and contractors can access support to enable ICT accessibility to virtual or remotely-accessed events (unless already provided through a contract or work undertaking).</w:t>
            </w:r>
            <w:r w:rsidR="00EF1053" w:rsidRPr="00F45ABB">
              <w:rPr>
                <w:sz w:val="20"/>
                <w:szCs w:val="20"/>
              </w:rPr>
              <w:t xml:space="preserve"> Confirming that POs can access support to stage virtual or remote access events as part of hosting expenses (unless already provided through a contract or work undertaking).</w:t>
            </w:r>
          </w:p>
        </w:tc>
      </w:tr>
      <w:tr w:rsidR="000F66E5" w:rsidTr="00F45ABB">
        <w:tc>
          <w:tcPr>
            <w:tcW w:w="11430" w:type="dxa"/>
            <w:gridSpan w:val="2"/>
          </w:tcPr>
          <w:p w:rsidR="000F66E5" w:rsidRPr="00F45ABB" w:rsidRDefault="00DD1D09" w:rsidP="00F45ABB">
            <w:pPr>
              <w:rPr>
                <w:b/>
                <w:sz w:val="20"/>
                <w:szCs w:val="20"/>
              </w:rPr>
            </w:pPr>
            <w:r w:rsidRPr="00F45ABB">
              <w:rPr>
                <w:b/>
                <w:sz w:val="20"/>
                <w:szCs w:val="20"/>
              </w:rPr>
              <w:t>Chapter 9</w:t>
            </w:r>
            <w:r w:rsidR="000F66E5" w:rsidRPr="00F45ABB">
              <w:rPr>
                <w:b/>
                <w:sz w:val="20"/>
                <w:szCs w:val="20"/>
              </w:rPr>
              <w:t>. General Disbursement Procedures</w:t>
            </w:r>
          </w:p>
        </w:tc>
      </w:tr>
      <w:tr w:rsidR="00EF1053" w:rsidTr="00F45ABB">
        <w:tc>
          <w:tcPr>
            <w:tcW w:w="1710" w:type="dxa"/>
          </w:tcPr>
          <w:p w:rsidR="00EF1053" w:rsidRPr="00F45ABB" w:rsidRDefault="00EF1053" w:rsidP="00F45ABB">
            <w:pPr>
              <w:rPr>
                <w:sz w:val="20"/>
                <w:szCs w:val="20"/>
              </w:rPr>
            </w:pPr>
            <w:r w:rsidRPr="00F45ABB">
              <w:rPr>
                <w:sz w:val="20"/>
                <w:szCs w:val="20"/>
              </w:rPr>
              <w:t>9-10</w:t>
            </w:r>
          </w:p>
        </w:tc>
        <w:tc>
          <w:tcPr>
            <w:tcW w:w="9720" w:type="dxa"/>
          </w:tcPr>
          <w:p w:rsidR="00EF1053" w:rsidRPr="00F45ABB" w:rsidRDefault="00EF1053" w:rsidP="00F45ABB">
            <w:pPr>
              <w:rPr>
                <w:sz w:val="20"/>
                <w:szCs w:val="20"/>
              </w:rPr>
            </w:pPr>
            <w:r w:rsidRPr="00F45ABB">
              <w:rPr>
                <w:sz w:val="20"/>
                <w:szCs w:val="20"/>
              </w:rPr>
              <w:t>Clarification that the rule in 9-10 applies to POs.</w:t>
            </w:r>
          </w:p>
        </w:tc>
      </w:tr>
      <w:tr w:rsidR="00EF1053" w:rsidTr="00F45ABB">
        <w:tc>
          <w:tcPr>
            <w:tcW w:w="1710" w:type="dxa"/>
          </w:tcPr>
          <w:p w:rsidR="00EF1053" w:rsidRPr="00F45ABB" w:rsidRDefault="00EF1053" w:rsidP="00F45ABB">
            <w:pPr>
              <w:rPr>
                <w:sz w:val="20"/>
                <w:szCs w:val="20"/>
              </w:rPr>
            </w:pPr>
            <w:r w:rsidRPr="00F45ABB">
              <w:rPr>
                <w:sz w:val="20"/>
                <w:szCs w:val="20"/>
              </w:rPr>
              <w:t>9-11</w:t>
            </w:r>
          </w:p>
        </w:tc>
        <w:tc>
          <w:tcPr>
            <w:tcW w:w="9720" w:type="dxa"/>
          </w:tcPr>
          <w:p w:rsidR="00EF1053" w:rsidRPr="00F45ABB" w:rsidRDefault="00EF1053" w:rsidP="00F45ABB">
            <w:pPr>
              <w:rPr>
                <w:sz w:val="20"/>
                <w:szCs w:val="20"/>
              </w:rPr>
            </w:pPr>
            <w:r w:rsidRPr="00F45ABB">
              <w:rPr>
                <w:sz w:val="20"/>
                <w:szCs w:val="20"/>
              </w:rPr>
              <w:t>For clarity, establishing the payment currency and currency movements clause as a separate clause.</w:t>
            </w:r>
          </w:p>
        </w:tc>
      </w:tr>
      <w:tr w:rsidR="000F66E5" w:rsidTr="00F45ABB">
        <w:tc>
          <w:tcPr>
            <w:tcW w:w="1710" w:type="dxa"/>
          </w:tcPr>
          <w:p w:rsidR="000F66E5" w:rsidRPr="00F45ABB" w:rsidRDefault="00DD1D09" w:rsidP="00F45ABB">
            <w:pPr>
              <w:rPr>
                <w:sz w:val="20"/>
                <w:szCs w:val="20"/>
              </w:rPr>
            </w:pPr>
            <w:r w:rsidRPr="00F45ABB">
              <w:rPr>
                <w:sz w:val="20"/>
                <w:szCs w:val="20"/>
              </w:rPr>
              <w:t>9</w:t>
            </w:r>
            <w:r w:rsidR="000F66E5" w:rsidRPr="00F45ABB">
              <w:rPr>
                <w:sz w:val="20"/>
                <w:szCs w:val="20"/>
              </w:rPr>
              <w:t>-13</w:t>
            </w:r>
          </w:p>
        </w:tc>
        <w:tc>
          <w:tcPr>
            <w:tcW w:w="9720" w:type="dxa"/>
          </w:tcPr>
          <w:p w:rsidR="000F66E5" w:rsidRPr="00F45ABB" w:rsidRDefault="000F66E5" w:rsidP="00F45ABB">
            <w:pPr>
              <w:rPr>
                <w:sz w:val="20"/>
                <w:szCs w:val="20"/>
              </w:rPr>
            </w:pPr>
            <w:r w:rsidRPr="00F45ABB">
              <w:rPr>
                <w:sz w:val="20"/>
                <w:szCs w:val="20"/>
              </w:rPr>
              <w:t>The Secretariat may from time to time, pay reimbursements bel</w:t>
            </w:r>
            <w:r w:rsidR="004409F8" w:rsidRPr="00F45ABB">
              <w:rPr>
                <w:sz w:val="20"/>
                <w:szCs w:val="20"/>
              </w:rPr>
              <w:t>ow $100 on a case-by-case bas</w:t>
            </w:r>
            <w:r w:rsidR="00DD1D09" w:rsidRPr="00F45ABB">
              <w:rPr>
                <w:sz w:val="20"/>
                <w:szCs w:val="20"/>
              </w:rPr>
              <w:t>is in relation to claims under 8</w:t>
            </w:r>
            <w:r w:rsidR="004409F8" w:rsidRPr="00F45ABB">
              <w:rPr>
                <w:sz w:val="20"/>
                <w:szCs w:val="20"/>
              </w:rPr>
              <w:t>-60 above.</w:t>
            </w:r>
          </w:p>
        </w:tc>
      </w:tr>
      <w:tr w:rsidR="000F66E5" w:rsidTr="00F45ABB">
        <w:tc>
          <w:tcPr>
            <w:tcW w:w="11430" w:type="dxa"/>
            <w:gridSpan w:val="2"/>
          </w:tcPr>
          <w:p w:rsidR="000F66E5" w:rsidRPr="00F45ABB" w:rsidRDefault="00DD1D09" w:rsidP="00F45ABB">
            <w:pPr>
              <w:rPr>
                <w:b/>
                <w:sz w:val="20"/>
                <w:szCs w:val="20"/>
              </w:rPr>
            </w:pPr>
            <w:r w:rsidRPr="00F45ABB">
              <w:rPr>
                <w:b/>
                <w:sz w:val="20"/>
                <w:szCs w:val="20"/>
              </w:rPr>
              <w:t>Chapter 10</w:t>
            </w:r>
            <w:r w:rsidR="000F66E5" w:rsidRPr="00F45ABB">
              <w:rPr>
                <w:b/>
                <w:sz w:val="20"/>
                <w:szCs w:val="20"/>
              </w:rPr>
              <w:t>. Changing a Project</w:t>
            </w:r>
          </w:p>
        </w:tc>
      </w:tr>
      <w:tr w:rsidR="000F66E5" w:rsidTr="00F45ABB">
        <w:tc>
          <w:tcPr>
            <w:tcW w:w="1710" w:type="dxa"/>
          </w:tcPr>
          <w:p w:rsidR="000F66E5" w:rsidRPr="00F45ABB" w:rsidRDefault="00DD1D09" w:rsidP="00F45ABB">
            <w:pPr>
              <w:rPr>
                <w:sz w:val="20"/>
                <w:szCs w:val="20"/>
              </w:rPr>
            </w:pPr>
            <w:r w:rsidRPr="00F45ABB">
              <w:rPr>
                <w:sz w:val="20"/>
                <w:szCs w:val="20"/>
              </w:rPr>
              <w:t>10</w:t>
            </w:r>
            <w:r w:rsidR="000F66E5" w:rsidRPr="00F45ABB">
              <w:rPr>
                <w:sz w:val="20"/>
                <w:szCs w:val="20"/>
              </w:rPr>
              <w:t>-1</w:t>
            </w:r>
          </w:p>
        </w:tc>
        <w:tc>
          <w:tcPr>
            <w:tcW w:w="9720" w:type="dxa"/>
          </w:tcPr>
          <w:p w:rsidR="000F66E5" w:rsidRPr="00F45ABB" w:rsidRDefault="000F66E5" w:rsidP="00F45ABB">
            <w:pPr>
              <w:rPr>
                <w:sz w:val="20"/>
                <w:szCs w:val="20"/>
              </w:rPr>
            </w:pPr>
            <w:r w:rsidRPr="00F45ABB">
              <w:rPr>
                <w:sz w:val="20"/>
                <w:szCs w:val="20"/>
              </w:rPr>
              <w:t>Clarification that budget surplus by itself does not justify substantial design amendments, such as the addition of new project events, after the original events have been completed.</w:t>
            </w:r>
          </w:p>
        </w:tc>
      </w:tr>
      <w:tr w:rsidR="000F66E5" w:rsidTr="00F45ABB">
        <w:tc>
          <w:tcPr>
            <w:tcW w:w="1710" w:type="dxa"/>
          </w:tcPr>
          <w:p w:rsidR="000F66E5" w:rsidRPr="00F45ABB" w:rsidRDefault="00DD1D09" w:rsidP="00F45ABB">
            <w:pPr>
              <w:rPr>
                <w:sz w:val="20"/>
                <w:szCs w:val="20"/>
              </w:rPr>
            </w:pPr>
            <w:r w:rsidRPr="00F45ABB">
              <w:rPr>
                <w:sz w:val="20"/>
                <w:szCs w:val="20"/>
              </w:rPr>
              <w:t>10</w:t>
            </w:r>
            <w:r w:rsidR="00EF1053" w:rsidRPr="00F45ABB">
              <w:rPr>
                <w:sz w:val="20"/>
                <w:szCs w:val="20"/>
              </w:rPr>
              <w:t>-4</w:t>
            </w:r>
          </w:p>
        </w:tc>
        <w:tc>
          <w:tcPr>
            <w:tcW w:w="9720" w:type="dxa"/>
          </w:tcPr>
          <w:p w:rsidR="000F66E5" w:rsidRPr="00F45ABB" w:rsidRDefault="000F66E5" w:rsidP="00F45ABB">
            <w:pPr>
              <w:rPr>
                <w:sz w:val="20"/>
                <w:szCs w:val="20"/>
              </w:rPr>
            </w:pPr>
            <w:r w:rsidRPr="00F45ABB">
              <w:rPr>
                <w:sz w:val="20"/>
                <w:szCs w:val="20"/>
              </w:rPr>
              <w:t>Clarification on the project withdrawal process.</w:t>
            </w:r>
          </w:p>
        </w:tc>
      </w:tr>
      <w:tr w:rsidR="000F66E5" w:rsidTr="00F45ABB">
        <w:tc>
          <w:tcPr>
            <w:tcW w:w="1710" w:type="dxa"/>
          </w:tcPr>
          <w:p w:rsidR="000F66E5" w:rsidRPr="00F45ABB" w:rsidRDefault="00DD1D09" w:rsidP="00F45ABB">
            <w:pPr>
              <w:rPr>
                <w:sz w:val="20"/>
                <w:szCs w:val="20"/>
              </w:rPr>
            </w:pPr>
            <w:r w:rsidRPr="00F45ABB">
              <w:rPr>
                <w:sz w:val="20"/>
                <w:szCs w:val="20"/>
              </w:rPr>
              <w:t>10</w:t>
            </w:r>
            <w:r w:rsidR="000F66E5" w:rsidRPr="00F45ABB">
              <w:rPr>
                <w:sz w:val="20"/>
                <w:szCs w:val="20"/>
              </w:rPr>
              <w:t>-6</w:t>
            </w:r>
          </w:p>
        </w:tc>
        <w:tc>
          <w:tcPr>
            <w:tcW w:w="9720" w:type="dxa"/>
          </w:tcPr>
          <w:p w:rsidR="000F66E5" w:rsidRPr="00F45ABB" w:rsidRDefault="000F66E5" w:rsidP="00F45ABB">
            <w:pPr>
              <w:rPr>
                <w:sz w:val="20"/>
                <w:szCs w:val="20"/>
              </w:rPr>
            </w:pPr>
            <w:r w:rsidRPr="00F45ABB">
              <w:rPr>
                <w:sz w:val="20"/>
                <w:szCs w:val="20"/>
              </w:rPr>
              <w:t>Clarification of a situation where BMC may be requested to increase an approved budget.</w:t>
            </w:r>
          </w:p>
        </w:tc>
      </w:tr>
      <w:tr w:rsidR="000F66E5" w:rsidTr="00F45ABB">
        <w:tc>
          <w:tcPr>
            <w:tcW w:w="1710" w:type="dxa"/>
          </w:tcPr>
          <w:p w:rsidR="000F66E5" w:rsidRPr="00F45ABB" w:rsidRDefault="00DD1D09" w:rsidP="00F45ABB">
            <w:pPr>
              <w:rPr>
                <w:sz w:val="20"/>
                <w:szCs w:val="20"/>
              </w:rPr>
            </w:pPr>
            <w:r w:rsidRPr="00F45ABB">
              <w:rPr>
                <w:sz w:val="20"/>
                <w:szCs w:val="20"/>
              </w:rPr>
              <w:t>10</w:t>
            </w:r>
            <w:r w:rsidR="000F66E5" w:rsidRPr="00F45ABB">
              <w:rPr>
                <w:sz w:val="20"/>
                <w:szCs w:val="20"/>
              </w:rPr>
              <w:t>-9</w:t>
            </w:r>
          </w:p>
        </w:tc>
        <w:tc>
          <w:tcPr>
            <w:tcW w:w="9720" w:type="dxa"/>
          </w:tcPr>
          <w:p w:rsidR="000F66E5" w:rsidRPr="00F45ABB" w:rsidRDefault="000F66E5" w:rsidP="00F45ABB">
            <w:pPr>
              <w:rPr>
                <w:sz w:val="20"/>
                <w:szCs w:val="20"/>
              </w:rPr>
            </w:pPr>
            <w:r w:rsidRPr="00F45ABB">
              <w:rPr>
                <w:sz w:val="20"/>
                <w:szCs w:val="20"/>
              </w:rPr>
              <w:t xml:space="preserve">To clarify that extensions granted by the Secretariat are with reference to the standard project end-date that applies to the project in question (either 31 December or 30 June). </w:t>
            </w:r>
          </w:p>
        </w:tc>
      </w:tr>
      <w:tr w:rsidR="000F66E5" w:rsidTr="00F45ABB">
        <w:tc>
          <w:tcPr>
            <w:tcW w:w="11430" w:type="dxa"/>
            <w:gridSpan w:val="2"/>
          </w:tcPr>
          <w:p w:rsidR="000F66E5" w:rsidRPr="00F45ABB" w:rsidRDefault="00DD1D09" w:rsidP="00F45ABB">
            <w:pPr>
              <w:rPr>
                <w:b/>
                <w:sz w:val="20"/>
                <w:szCs w:val="20"/>
              </w:rPr>
            </w:pPr>
            <w:r w:rsidRPr="00F45ABB">
              <w:rPr>
                <w:b/>
                <w:sz w:val="20"/>
                <w:szCs w:val="20"/>
              </w:rPr>
              <w:t>Chapter 11</w:t>
            </w:r>
            <w:r w:rsidR="000F66E5" w:rsidRPr="00F45ABB">
              <w:rPr>
                <w:b/>
                <w:sz w:val="20"/>
                <w:szCs w:val="20"/>
              </w:rPr>
              <w:t>. Contracting</w:t>
            </w:r>
          </w:p>
        </w:tc>
      </w:tr>
      <w:tr w:rsidR="000F66E5" w:rsidTr="00F45ABB">
        <w:tc>
          <w:tcPr>
            <w:tcW w:w="1710" w:type="dxa"/>
          </w:tcPr>
          <w:p w:rsidR="000F66E5" w:rsidRPr="00F45ABB" w:rsidRDefault="000F66E5" w:rsidP="00F45ABB">
            <w:pPr>
              <w:rPr>
                <w:sz w:val="20"/>
                <w:szCs w:val="20"/>
              </w:rPr>
            </w:pPr>
            <w:r w:rsidRPr="00F45ABB">
              <w:rPr>
                <w:sz w:val="20"/>
                <w:szCs w:val="20"/>
              </w:rPr>
              <w:t>1</w:t>
            </w:r>
            <w:r w:rsidR="00DD1D09" w:rsidRPr="00F45ABB">
              <w:rPr>
                <w:sz w:val="20"/>
                <w:szCs w:val="20"/>
              </w:rPr>
              <w:t>1</w:t>
            </w:r>
            <w:r w:rsidRPr="00F45ABB">
              <w:rPr>
                <w:sz w:val="20"/>
                <w:szCs w:val="20"/>
              </w:rPr>
              <w:t>-10</w:t>
            </w:r>
          </w:p>
        </w:tc>
        <w:tc>
          <w:tcPr>
            <w:tcW w:w="9720" w:type="dxa"/>
          </w:tcPr>
          <w:p w:rsidR="000F66E5" w:rsidRPr="00F45ABB" w:rsidRDefault="000F66E5" w:rsidP="00F45ABB">
            <w:pPr>
              <w:rPr>
                <w:sz w:val="20"/>
                <w:szCs w:val="20"/>
              </w:rPr>
            </w:pPr>
            <w:r w:rsidRPr="00F45ABB">
              <w:rPr>
                <w:sz w:val="20"/>
                <w:szCs w:val="20"/>
              </w:rPr>
              <w:t>Clarification regarding the limits of the Secretariat’s ability to manage and enforce certain forms of intellectual property. Advice that the Secretariat does not vary the standard Rights in Data clause in the APEC Standard Project Contract.</w:t>
            </w:r>
          </w:p>
        </w:tc>
      </w:tr>
      <w:tr w:rsidR="000F66E5" w:rsidTr="00F45ABB">
        <w:tc>
          <w:tcPr>
            <w:tcW w:w="1710" w:type="dxa"/>
          </w:tcPr>
          <w:p w:rsidR="000F66E5" w:rsidRPr="00F45ABB" w:rsidRDefault="00DD1D09" w:rsidP="00F45ABB">
            <w:pPr>
              <w:rPr>
                <w:sz w:val="20"/>
                <w:szCs w:val="20"/>
              </w:rPr>
            </w:pPr>
            <w:r w:rsidRPr="00F45ABB">
              <w:rPr>
                <w:sz w:val="20"/>
                <w:szCs w:val="20"/>
              </w:rPr>
              <w:t>11</w:t>
            </w:r>
            <w:r w:rsidR="000F66E5" w:rsidRPr="00F45ABB">
              <w:rPr>
                <w:sz w:val="20"/>
                <w:szCs w:val="20"/>
              </w:rPr>
              <w:t>-33</w:t>
            </w:r>
          </w:p>
        </w:tc>
        <w:tc>
          <w:tcPr>
            <w:tcW w:w="9720" w:type="dxa"/>
          </w:tcPr>
          <w:p w:rsidR="000F66E5" w:rsidRPr="00F45ABB" w:rsidRDefault="000F66E5" w:rsidP="00F45ABB">
            <w:pPr>
              <w:rPr>
                <w:sz w:val="20"/>
                <w:szCs w:val="20"/>
              </w:rPr>
            </w:pPr>
            <w:r w:rsidRPr="00F45ABB">
              <w:rPr>
                <w:sz w:val="20"/>
                <w:szCs w:val="20"/>
              </w:rPr>
              <w:t>Clarification of the outcome notification process for RFPs.</w:t>
            </w:r>
          </w:p>
        </w:tc>
      </w:tr>
      <w:tr w:rsidR="000F66E5" w:rsidTr="00F45ABB">
        <w:tc>
          <w:tcPr>
            <w:tcW w:w="11430" w:type="dxa"/>
            <w:gridSpan w:val="2"/>
          </w:tcPr>
          <w:p w:rsidR="000F66E5" w:rsidRPr="00F45ABB" w:rsidRDefault="000F66E5" w:rsidP="00F45ABB">
            <w:pPr>
              <w:rPr>
                <w:b/>
                <w:sz w:val="20"/>
                <w:szCs w:val="20"/>
              </w:rPr>
            </w:pPr>
            <w:r w:rsidRPr="00F45ABB">
              <w:rPr>
                <w:b/>
                <w:sz w:val="20"/>
                <w:szCs w:val="20"/>
              </w:rPr>
              <w:t>Appendices</w:t>
            </w:r>
          </w:p>
        </w:tc>
      </w:tr>
      <w:tr w:rsidR="000F66E5" w:rsidTr="00F45ABB">
        <w:tc>
          <w:tcPr>
            <w:tcW w:w="1710" w:type="dxa"/>
          </w:tcPr>
          <w:p w:rsidR="000F66E5" w:rsidRPr="00F45ABB" w:rsidRDefault="000F66E5" w:rsidP="00F45ABB">
            <w:pPr>
              <w:rPr>
                <w:i/>
                <w:sz w:val="20"/>
                <w:szCs w:val="20"/>
              </w:rPr>
            </w:pPr>
            <w:r w:rsidRPr="00F45ABB">
              <w:rPr>
                <w:i/>
                <w:sz w:val="20"/>
                <w:szCs w:val="20"/>
              </w:rPr>
              <w:t>Appendix A</w:t>
            </w:r>
          </w:p>
        </w:tc>
        <w:tc>
          <w:tcPr>
            <w:tcW w:w="9720" w:type="dxa"/>
          </w:tcPr>
          <w:p w:rsidR="000F66E5" w:rsidRPr="00F45ABB" w:rsidRDefault="000F66E5" w:rsidP="00F45ABB">
            <w:pPr>
              <w:rPr>
                <w:sz w:val="20"/>
                <w:szCs w:val="20"/>
              </w:rPr>
            </w:pPr>
            <w:r w:rsidRPr="00F45ABB">
              <w:rPr>
                <w:sz w:val="20"/>
                <w:szCs w:val="20"/>
              </w:rPr>
              <w:t>Addition of a privacy statement to the PO Information and Declaration.</w:t>
            </w:r>
          </w:p>
        </w:tc>
      </w:tr>
      <w:tr w:rsidR="000F66E5" w:rsidTr="00F45ABB">
        <w:tc>
          <w:tcPr>
            <w:tcW w:w="1710" w:type="dxa"/>
          </w:tcPr>
          <w:p w:rsidR="000F66E5" w:rsidRPr="00F45ABB" w:rsidRDefault="000F66E5" w:rsidP="00F45ABB">
            <w:pPr>
              <w:rPr>
                <w:i/>
                <w:sz w:val="20"/>
                <w:szCs w:val="20"/>
              </w:rPr>
            </w:pPr>
            <w:r w:rsidRPr="00F45ABB">
              <w:rPr>
                <w:i/>
                <w:sz w:val="20"/>
                <w:szCs w:val="20"/>
              </w:rPr>
              <w:t>Appendix B</w:t>
            </w:r>
          </w:p>
        </w:tc>
        <w:tc>
          <w:tcPr>
            <w:tcW w:w="9720" w:type="dxa"/>
          </w:tcPr>
          <w:p w:rsidR="000F66E5" w:rsidRPr="00F45ABB" w:rsidRDefault="000F66E5" w:rsidP="00D40D7B">
            <w:pPr>
              <w:rPr>
                <w:sz w:val="20"/>
                <w:szCs w:val="20"/>
              </w:rPr>
            </w:pPr>
            <w:r w:rsidRPr="00F45ABB">
              <w:rPr>
                <w:sz w:val="20"/>
                <w:szCs w:val="20"/>
              </w:rPr>
              <w:t>Updates mainly to enhance data capture in relation to the Gender Criteria for APEC Project Proposals.</w:t>
            </w:r>
            <w:r w:rsidR="00D40D7B">
              <w:rPr>
                <w:sz w:val="20"/>
                <w:szCs w:val="20"/>
              </w:rPr>
              <w:t xml:space="preserve"> </w:t>
            </w:r>
            <w:r w:rsidRPr="00F45ABB">
              <w:rPr>
                <w:sz w:val="20"/>
                <w:szCs w:val="20"/>
              </w:rPr>
              <w:t>Addition of a privacy statement to the PO Information and Declaration.</w:t>
            </w:r>
          </w:p>
        </w:tc>
      </w:tr>
      <w:tr w:rsidR="000F66E5" w:rsidTr="00F45ABB">
        <w:tc>
          <w:tcPr>
            <w:tcW w:w="1710" w:type="dxa"/>
          </w:tcPr>
          <w:p w:rsidR="000F66E5" w:rsidRPr="00F45ABB" w:rsidRDefault="000F66E5" w:rsidP="00F45ABB">
            <w:pPr>
              <w:rPr>
                <w:i/>
                <w:sz w:val="20"/>
                <w:szCs w:val="20"/>
              </w:rPr>
            </w:pPr>
            <w:r w:rsidRPr="00F45ABB">
              <w:rPr>
                <w:i/>
                <w:sz w:val="20"/>
                <w:szCs w:val="20"/>
              </w:rPr>
              <w:t>Appendix C</w:t>
            </w:r>
          </w:p>
        </w:tc>
        <w:tc>
          <w:tcPr>
            <w:tcW w:w="9720" w:type="dxa"/>
          </w:tcPr>
          <w:p w:rsidR="000F66E5" w:rsidRPr="00F45ABB" w:rsidRDefault="000F66E5" w:rsidP="00F45ABB">
            <w:pPr>
              <w:rPr>
                <w:sz w:val="20"/>
                <w:szCs w:val="20"/>
              </w:rPr>
            </w:pPr>
            <w:r w:rsidRPr="00F45ABB">
              <w:rPr>
                <w:sz w:val="20"/>
                <w:szCs w:val="20"/>
              </w:rPr>
              <w:t>Addition of a privacy statement to the PO Information and Declaration.</w:t>
            </w:r>
          </w:p>
        </w:tc>
      </w:tr>
      <w:tr w:rsidR="000F66E5" w:rsidTr="00F45ABB">
        <w:tc>
          <w:tcPr>
            <w:tcW w:w="1710" w:type="dxa"/>
          </w:tcPr>
          <w:p w:rsidR="000F66E5" w:rsidRPr="00F45ABB" w:rsidRDefault="000F66E5" w:rsidP="00F45ABB">
            <w:pPr>
              <w:rPr>
                <w:i/>
                <w:sz w:val="20"/>
                <w:szCs w:val="20"/>
              </w:rPr>
            </w:pPr>
            <w:r w:rsidRPr="00F45ABB">
              <w:rPr>
                <w:i/>
                <w:sz w:val="20"/>
                <w:szCs w:val="20"/>
              </w:rPr>
              <w:t>Appendix F</w:t>
            </w:r>
          </w:p>
        </w:tc>
        <w:tc>
          <w:tcPr>
            <w:tcW w:w="9720" w:type="dxa"/>
          </w:tcPr>
          <w:p w:rsidR="000F66E5" w:rsidRPr="00F45ABB" w:rsidRDefault="000F66E5" w:rsidP="009D49F3">
            <w:pPr>
              <w:rPr>
                <w:sz w:val="20"/>
                <w:szCs w:val="20"/>
              </w:rPr>
            </w:pPr>
            <w:r w:rsidRPr="00F45ABB">
              <w:rPr>
                <w:sz w:val="20"/>
                <w:szCs w:val="20"/>
              </w:rPr>
              <w:t>A range of enhancements to focus questions, and improve the capture of project data in support of collective evaluation.</w:t>
            </w:r>
            <w:r w:rsidR="009D49F3">
              <w:rPr>
                <w:sz w:val="20"/>
                <w:szCs w:val="20"/>
              </w:rPr>
              <w:t xml:space="preserve"> </w:t>
            </w:r>
            <w:r w:rsidR="009D49F3" w:rsidRPr="009D49F3">
              <w:rPr>
                <w:bCs/>
                <w:sz w:val="20"/>
                <w:szCs w:val="20"/>
                <w:lang w:val="en-GB"/>
              </w:rPr>
              <w:t>Advice that attendance lists and agenda are collected for Secretariat internal use and not for circulation (consistent with APEC Privacy Policy).</w:t>
            </w:r>
          </w:p>
        </w:tc>
      </w:tr>
      <w:tr w:rsidR="000F66E5" w:rsidTr="00F45ABB">
        <w:tc>
          <w:tcPr>
            <w:tcW w:w="1710" w:type="dxa"/>
          </w:tcPr>
          <w:p w:rsidR="000F66E5" w:rsidRPr="00F45ABB" w:rsidRDefault="000F66E5" w:rsidP="00F45ABB">
            <w:pPr>
              <w:rPr>
                <w:i/>
                <w:sz w:val="20"/>
                <w:szCs w:val="20"/>
              </w:rPr>
            </w:pPr>
            <w:r w:rsidRPr="00F45ABB">
              <w:rPr>
                <w:i/>
                <w:sz w:val="20"/>
                <w:szCs w:val="20"/>
              </w:rPr>
              <w:t>Appendix L</w:t>
            </w:r>
          </w:p>
        </w:tc>
        <w:tc>
          <w:tcPr>
            <w:tcW w:w="9720" w:type="dxa"/>
          </w:tcPr>
          <w:p w:rsidR="000F66E5" w:rsidRPr="00F45ABB" w:rsidRDefault="000F66E5" w:rsidP="00F45ABB">
            <w:pPr>
              <w:rPr>
                <w:sz w:val="20"/>
                <w:szCs w:val="20"/>
              </w:rPr>
            </w:pPr>
            <w:r w:rsidRPr="00F45ABB">
              <w:rPr>
                <w:sz w:val="20"/>
                <w:szCs w:val="20"/>
              </w:rPr>
              <w:t xml:space="preserve">A new appendix to contain the APEC Privacy Policy. </w:t>
            </w:r>
          </w:p>
        </w:tc>
      </w:tr>
    </w:tbl>
    <w:p w:rsidR="00F45ABB" w:rsidRDefault="00F45ABB" w:rsidP="00F45ABB">
      <w:pPr>
        <w:jc w:val="center"/>
        <w:rPr>
          <w:sz w:val="24"/>
          <w:u w:val="single"/>
        </w:rPr>
      </w:pPr>
    </w:p>
    <w:p w:rsidR="00EF141B" w:rsidRPr="00862F99" w:rsidRDefault="00F45ABB" w:rsidP="00F45ABB">
      <w:pPr>
        <w:jc w:val="center"/>
        <w:rPr>
          <w:sz w:val="24"/>
          <w:u w:val="single"/>
        </w:rPr>
      </w:pPr>
      <w:r>
        <w:rPr>
          <w:sz w:val="24"/>
          <w:u w:val="single"/>
        </w:rPr>
        <w:t>Guidebook on APEC Projects Edition 15: Summary of Edits</w:t>
      </w:r>
    </w:p>
    <w:sectPr w:rsidR="00EF141B" w:rsidRPr="00862F99" w:rsidSect="000B7B30">
      <w:pgSz w:w="12240" w:h="15840"/>
      <w:pgMar w:top="36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279"/>
    <w:rsid w:val="00003A89"/>
    <w:rsid w:val="00017B40"/>
    <w:rsid w:val="00017C64"/>
    <w:rsid w:val="00021F3D"/>
    <w:rsid w:val="000943D4"/>
    <w:rsid w:val="00095EF6"/>
    <w:rsid w:val="000B05C8"/>
    <w:rsid w:val="000B18AB"/>
    <w:rsid w:val="000B3698"/>
    <w:rsid w:val="000B7B30"/>
    <w:rsid w:val="000C2064"/>
    <w:rsid w:val="000F66E5"/>
    <w:rsid w:val="00102C3E"/>
    <w:rsid w:val="0012792D"/>
    <w:rsid w:val="00136E00"/>
    <w:rsid w:val="00153A38"/>
    <w:rsid w:val="00156584"/>
    <w:rsid w:val="00190B74"/>
    <w:rsid w:val="00196E5F"/>
    <w:rsid w:val="001D1F76"/>
    <w:rsid w:val="001D3BBE"/>
    <w:rsid w:val="001E5C1F"/>
    <w:rsid w:val="0020212A"/>
    <w:rsid w:val="00217F89"/>
    <w:rsid w:val="00231005"/>
    <w:rsid w:val="00232A55"/>
    <w:rsid w:val="00240265"/>
    <w:rsid w:val="002469EA"/>
    <w:rsid w:val="00287BE9"/>
    <w:rsid w:val="002930C0"/>
    <w:rsid w:val="002C0AD9"/>
    <w:rsid w:val="002D2A28"/>
    <w:rsid w:val="002E2400"/>
    <w:rsid w:val="002E7C75"/>
    <w:rsid w:val="0030053B"/>
    <w:rsid w:val="003179A7"/>
    <w:rsid w:val="00336ACB"/>
    <w:rsid w:val="00344753"/>
    <w:rsid w:val="00361C7D"/>
    <w:rsid w:val="00397D9B"/>
    <w:rsid w:val="003A3740"/>
    <w:rsid w:val="003B1875"/>
    <w:rsid w:val="003B40B8"/>
    <w:rsid w:val="003C04D0"/>
    <w:rsid w:val="003D0DD6"/>
    <w:rsid w:val="003E4028"/>
    <w:rsid w:val="003E459D"/>
    <w:rsid w:val="003F42F0"/>
    <w:rsid w:val="00407161"/>
    <w:rsid w:val="00434093"/>
    <w:rsid w:val="004409F8"/>
    <w:rsid w:val="00442388"/>
    <w:rsid w:val="004501D2"/>
    <w:rsid w:val="00457DFF"/>
    <w:rsid w:val="0049435B"/>
    <w:rsid w:val="004D1842"/>
    <w:rsid w:val="005104A7"/>
    <w:rsid w:val="0055195C"/>
    <w:rsid w:val="00555690"/>
    <w:rsid w:val="00562397"/>
    <w:rsid w:val="00565C75"/>
    <w:rsid w:val="005B64AA"/>
    <w:rsid w:val="00600C88"/>
    <w:rsid w:val="00605341"/>
    <w:rsid w:val="00613FDD"/>
    <w:rsid w:val="006208CB"/>
    <w:rsid w:val="00624D86"/>
    <w:rsid w:val="0066681A"/>
    <w:rsid w:val="00673358"/>
    <w:rsid w:val="006967EC"/>
    <w:rsid w:val="006A0D80"/>
    <w:rsid w:val="006C4235"/>
    <w:rsid w:val="006C58A2"/>
    <w:rsid w:val="00761584"/>
    <w:rsid w:val="007701D9"/>
    <w:rsid w:val="007759A5"/>
    <w:rsid w:val="007857CE"/>
    <w:rsid w:val="00790775"/>
    <w:rsid w:val="007915A8"/>
    <w:rsid w:val="007B348A"/>
    <w:rsid w:val="007D02DB"/>
    <w:rsid w:val="007D4FCC"/>
    <w:rsid w:val="00813039"/>
    <w:rsid w:val="008202A8"/>
    <w:rsid w:val="008210D1"/>
    <w:rsid w:val="00823C44"/>
    <w:rsid w:val="00830903"/>
    <w:rsid w:val="00847862"/>
    <w:rsid w:val="00862F99"/>
    <w:rsid w:val="00863741"/>
    <w:rsid w:val="0087163F"/>
    <w:rsid w:val="0089616B"/>
    <w:rsid w:val="008A24DC"/>
    <w:rsid w:val="008B6639"/>
    <w:rsid w:val="008C1873"/>
    <w:rsid w:val="00921140"/>
    <w:rsid w:val="0092296B"/>
    <w:rsid w:val="00926CC0"/>
    <w:rsid w:val="00931CE8"/>
    <w:rsid w:val="009537A0"/>
    <w:rsid w:val="00954455"/>
    <w:rsid w:val="00971BA1"/>
    <w:rsid w:val="00981900"/>
    <w:rsid w:val="009B4218"/>
    <w:rsid w:val="009B65E0"/>
    <w:rsid w:val="009D49F3"/>
    <w:rsid w:val="009E0BCA"/>
    <w:rsid w:val="009F0393"/>
    <w:rsid w:val="009F6901"/>
    <w:rsid w:val="00A1100F"/>
    <w:rsid w:val="00A141D2"/>
    <w:rsid w:val="00A34A0B"/>
    <w:rsid w:val="00A357C1"/>
    <w:rsid w:val="00A4524B"/>
    <w:rsid w:val="00A606A7"/>
    <w:rsid w:val="00A847C3"/>
    <w:rsid w:val="00A877E5"/>
    <w:rsid w:val="00A97194"/>
    <w:rsid w:val="00AA39B8"/>
    <w:rsid w:val="00AB6F9F"/>
    <w:rsid w:val="00AC6DD0"/>
    <w:rsid w:val="00AD0144"/>
    <w:rsid w:val="00AE1CEE"/>
    <w:rsid w:val="00AF1945"/>
    <w:rsid w:val="00B01043"/>
    <w:rsid w:val="00B1225F"/>
    <w:rsid w:val="00B145E2"/>
    <w:rsid w:val="00B44378"/>
    <w:rsid w:val="00B52794"/>
    <w:rsid w:val="00B571AF"/>
    <w:rsid w:val="00B8485C"/>
    <w:rsid w:val="00B94747"/>
    <w:rsid w:val="00BC5250"/>
    <w:rsid w:val="00C25D4B"/>
    <w:rsid w:val="00C32B6A"/>
    <w:rsid w:val="00C434B8"/>
    <w:rsid w:val="00C453CC"/>
    <w:rsid w:val="00C529DC"/>
    <w:rsid w:val="00C72B4F"/>
    <w:rsid w:val="00C94F3C"/>
    <w:rsid w:val="00CE0620"/>
    <w:rsid w:val="00CF58F3"/>
    <w:rsid w:val="00CF7D89"/>
    <w:rsid w:val="00D40860"/>
    <w:rsid w:val="00D40D7B"/>
    <w:rsid w:val="00D46F4A"/>
    <w:rsid w:val="00D73667"/>
    <w:rsid w:val="00D80182"/>
    <w:rsid w:val="00DB4FE9"/>
    <w:rsid w:val="00DC1279"/>
    <w:rsid w:val="00DC641A"/>
    <w:rsid w:val="00DC653E"/>
    <w:rsid w:val="00DD1D09"/>
    <w:rsid w:val="00DF4121"/>
    <w:rsid w:val="00DF4C6F"/>
    <w:rsid w:val="00DF61F5"/>
    <w:rsid w:val="00E0469A"/>
    <w:rsid w:val="00E639C4"/>
    <w:rsid w:val="00E70A30"/>
    <w:rsid w:val="00E81FF6"/>
    <w:rsid w:val="00E91D88"/>
    <w:rsid w:val="00EB73EF"/>
    <w:rsid w:val="00EC1F61"/>
    <w:rsid w:val="00EE46D6"/>
    <w:rsid w:val="00EF1053"/>
    <w:rsid w:val="00EF141B"/>
    <w:rsid w:val="00EF39FB"/>
    <w:rsid w:val="00EF4209"/>
    <w:rsid w:val="00F05070"/>
    <w:rsid w:val="00F42B49"/>
    <w:rsid w:val="00F45ABB"/>
    <w:rsid w:val="00F56C09"/>
    <w:rsid w:val="00F96E90"/>
    <w:rsid w:val="00F977EB"/>
    <w:rsid w:val="00FA0D9B"/>
    <w:rsid w:val="00FA39FB"/>
    <w:rsid w:val="00FC58AB"/>
    <w:rsid w:val="00FE2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24DA5-4CDE-4460-9239-1B0FCEF7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1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C75"/>
    <w:rPr>
      <w:color w:val="0563C1" w:themeColor="hyperlink"/>
      <w:u w:val="single"/>
    </w:rPr>
  </w:style>
  <w:style w:type="paragraph" w:styleId="ListParagraph">
    <w:name w:val="List Paragraph"/>
    <w:basedOn w:val="Normal"/>
    <w:uiPriority w:val="34"/>
    <w:qFormat/>
    <w:rsid w:val="00AD0144"/>
    <w:pPr>
      <w:ind w:left="720"/>
      <w:contextualSpacing/>
    </w:pPr>
  </w:style>
  <w:style w:type="paragraph" w:styleId="BalloonText">
    <w:name w:val="Balloon Text"/>
    <w:basedOn w:val="Normal"/>
    <w:link w:val="BalloonTextChar"/>
    <w:uiPriority w:val="99"/>
    <w:semiHidden/>
    <w:unhideWhenUsed/>
    <w:rsid w:val="002310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0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580</Words>
  <Characters>3308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Simson</dc:creator>
  <cp:keywords/>
  <dc:description/>
  <cp:lastModifiedBy>Daniel Simson</cp:lastModifiedBy>
  <cp:revision>2</cp:revision>
  <dcterms:created xsi:type="dcterms:W3CDTF">2020-11-09T07:23:00Z</dcterms:created>
  <dcterms:modified xsi:type="dcterms:W3CDTF">2020-11-09T07:23:00Z</dcterms:modified>
</cp:coreProperties>
</file>