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9576"/>
      </w:tblGrid>
      <w:tr w:rsidRPr="00583A99" w:rsidR="00867EDA">
        <w:trPr>
          <w:trHeight w:val="2880"/>
          <w:jc w:val="center"/>
        </w:trPr>
        <w:tc>
          <w:tcPr>
            <w:tcW w:w="5000" w:type="pct"/>
          </w:tcPr>
          <w:p w:rsidRPr="00583A99" w:rsidR="00867EDA" w:rsidP="00C66C0A" w:rsidRDefault="00EF190A">
            <w:pPr>
              <w:pStyle w:val="NoSpacing"/>
              <w:rPr>
                <w:rFonts w:ascii="Cambria" w:hAnsi="Cambria" w:eastAsia="Times New Roman" w:cs="Times New Roman"/>
                <w:caps/>
              </w:rPr>
            </w:pPr>
            <w:r>
              <w:rPr>
                <w:rFonts w:ascii="Cambria" w:hAnsi="Cambria" w:eastAsia="Times New Roman" w:cs="Times New Roman"/>
                <w:caps/>
              </w:rPr>
              <w:t>1</w:t>
            </w:r>
            <w:r w:rsidR="00C66C0A">
              <w:rPr>
                <w:rFonts w:ascii="Cambria" w:hAnsi="Cambria" w:eastAsia="Times New Roman" w:cs="Times New Roman"/>
                <w:caps/>
              </w:rPr>
              <w:t>7</w:t>
            </w:r>
            <w:r w:rsidR="006A68B2">
              <w:rPr>
                <w:rFonts w:ascii="Cambria" w:hAnsi="Cambria" w:eastAsia="Times New Roman" w:cs="Times New Roman"/>
                <w:caps/>
              </w:rPr>
              <w:t xml:space="preserve"> </w:t>
            </w:r>
            <w:r>
              <w:rPr>
                <w:rFonts w:ascii="Cambria" w:hAnsi="Cambria" w:eastAsia="Times New Roman" w:cs="Times New Roman"/>
                <w:caps/>
              </w:rPr>
              <w:t>September</w:t>
            </w:r>
            <w:r w:rsidR="006A68B2">
              <w:rPr>
                <w:rFonts w:ascii="Cambria" w:hAnsi="Cambria" w:eastAsia="Times New Roman" w:cs="Times New Roman"/>
                <w:caps/>
              </w:rPr>
              <w:t xml:space="preserve"> 2019</w:t>
            </w:r>
            <w:bookmarkStart w:name="_GoBack" w:id="0"/>
            <w:bookmarkEnd w:id="0"/>
          </w:p>
        </w:tc>
      </w:tr>
      <w:tr w:rsidRPr="00583A99" w:rsidR="00867EDA" w:rsidTr="00867EDA">
        <w:trPr>
          <w:trHeight w:val="1440"/>
          <w:jc w:val="center"/>
        </w:trPr>
        <w:tc>
          <w:tcPr>
            <w:tcW w:w="5000" w:type="pct"/>
            <w:tcBorders>
              <w:bottom w:val="single" w:color="4F81BD" w:sz="4" w:space="0"/>
            </w:tcBorders>
            <w:vAlign w:val="center"/>
          </w:tcPr>
          <w:p w:rsidR="00653934" w:rsidP="00867EDA" w:rsidRDefault="00653934">
            <w:pPr>
              <w:pStyle w:val="NoSpacing"/>
              <w:jc w:val="center"/>
              <w:rPr>
                <w:rFonts w:ascii="Cambria" w:hAnsi="Cambria"/>
                <w:sz w:val="44"/>
                <w:szCs w:val="44"/>
              </w:rPr>
            </w:pPr>
            <w:r>
              <w:rPr>
                <w:rFonts w:ascii="Cambria" w:hAnsi="Cambria"/>
                <w:sz w:val="44"/>
                <w:szCs w:val="44"/>
              </w:rPr>
              <w:t>Asia-Pacific Economic Cooperation (APEC)</w:t>
            </w:r>
            <w:r w:rsidRPr="000B39F2" w:rsidR="000B39F2">
              <w:rPr>
                <w:rFonts w:ascii="Cambria" w:hAnsi="Cambria"/>
                <w:sz w:val="44"/>
                <w:szCs w:val="44"/>
              </w:rPr>
              <w:t xml:space="preserve"> </w:t>
            </w:r>
          </w:p>
          <w:p w:rsidR="000B39F2" w:rsidP="00867EDA" w:rsidRDefault="000B39F2">
            <w:pPr>
              <w:pStyle w:val="NoSpacing"/>
              <w:jc w:val="center"/>
              <w:rPr>
                <w:rFonts w:ascii="Cambria" w:hAnsi="Cambria"/>
                <w:sz w:val="44"/>
                <w:szCs w:val="44"/>
              </w:rPr>
            </w:pPr>
            <w:r w:rsidRPr="000B39F2">
              <w:rPr>
                <w:rFonts w:ascii="Cambria" w:hAnsi="Cambria"/>
                <w:sz w:val="44"/>
                <w:szCs w:val="44"/>
              </w:rPr>
              <w:t>Life S</w:t>
            </w:r>
            <w:r w:rsidR="001A041E">
              <w:rPr>
                <w:rFonts w:ascii="Cambria" w:hAnsi="Cambria"/>
                <w:sz w:val="44"/>
                <w:szCs w:val="44"/>
              </w:rPr>
              <w:t>ciences Innovation Forum (LSIF)</w:t>
            </w:r>
          </w:p>
          <w:p w:rsidRPr="00583A99" w:rsidR="000B39F2" w:rsidP="000B39F2" w:rsidRDefault="000B39F2">
            <w:pPr>
              <w:pStyle w:val="NoSpacing"/>
              <w:jc w:val="center"/>
              <w:rPr>
                <w:rFonts w:ascii="Cambria" w:hAnsi="Cambria" w:eastAsia="Times New Roman" w:cs="Times New Roman"/>
                <w:sz w:val="44"/>
                <w:szCs w:val="44"/>
              </w:rPr>
            </w:pPr>
          </w:p>
        </w:tc>
      </w:tr>
      <w:tr w:rsidRPr="00583A99" w:rsidR="00867EDA" w:rsidTr="00867EDA">
        <w:trPr>
          <w:trHeight w:val="720"/>
          <w:jc w:val="center"/>
        </w:trPr>
        <w:tc>
          <w:tcPr>
            <w:tcW w:w="5000" w:type="pct"/>
            <w:tcBorders>
              <w:top w:val="single" w:color="4F81BD" w:sz="4" w:space="0"/>
            </w:tcBorders>
            <w:vAlign w:val="center"/>
          </w:tcPr>
          <w:p w:rsidR="000B39F2" w:rsidP="00867EDA" w:rsidRDefault="000B39F2">
            <w:pPr>
              <w:pStyle w:val="NoSpacing"/>
              <w:jc w:val="center"/>
              <w:rPr>
                <w:rFonts w:ascii="Cambria" w:hAnsi="Cambria" w:eastAsia="Times New Roman" w:cs="Times New Roman"/>
                <w:sz w:val="44"/>
                <w:szCs w:val="44"/>
              </w:rPr>
            </w:pPr>
          </w:p>
          <w:p w:rsidR="000B39F2" w:rsidP="000B39F2" w:rsidRDefault="000B39F2">
            <w:pPr>
              <w:pStyle w:val="NoSpacing"/>
              <w:jc w:val="center"/>
              <w:rPr>
                <w:rFonts w:ascii="Cambria" w:hAnsi="Cambria"/>
                <w:sz w:val="44"/>
                <w:szCs w:val="44"/>
              </w:rPr>
            </w:pPr>
            <w:r>
              <w:rPr>
                <w:rFonts w:ascii="Cambria" w:hAnsi="Cambria"/>
                <w:sz w:val="44"/>
                <w:szCs w:val="44"/>
              </w:rPr>
              <w:t xml:space="preserve">Report of the </w:t>
            </w:r>
          </w:p>
          <w:p w:rsidR="000B39F2" w:rsidP="000B39F2" w:rsidRDefault="000B39F2">
            <w:pPr>
              <w:pStyle w:val="NoSpacing"/>
              <w:jc w:val="center"/>
              <w:rPr>
                <w:rFonts w:ascii="Cambria" w:hAnsi="Cambria"/>
                <w:sz w:val="44"/>
                <w:szCs w:val="44"/>
              </w:rPr>
            </w:pPr>
          </w:p>
          <w:p w:rsidR="000B39F2" w:rsidP="000B39F2" w:rsidRDefault="001C57EE">
            <w:pPr>
              <w:pStyle w:val="NoSpacing"/>
              <w:jc w:val="center"/>
              <w:rPr>
                <w:rFonts w:ascii="Cambria" w:hAnsi="Cambria"/>
                <w:sz w:val="44"/>
                <w:szCs w:val="44"/>
              </w:rPr>
            </w:pPr>
            <w:r>
              <w:rPr>
                <w:rFonts w:ascii="Cambria" w:hAnsi="Cambria"/>
                <w:sz w:val="44"/>
                <w:szCs w:val="44"/>
              </w:rPr>
              <w:t>Policy</w:t>
            </w:r>
            <w:r w:rsidRPr="000B39F2" w:rsidR="000B39F2">
              <w:rPr>
                <w:rFonts w:ascii="Cambria" w:hAnsi="Cambria"/>
                <w:sz w:val="44"/>
                <w:szCs w:val="44"/>
              </w:rPr>
              <w:t xml:space="preserve"> Dialogue on Innovation, Regulatory Systems, and Regulatory Convergence</w:t>
            </w:r>
          </w:p>
          <w:p w:rsidR="000B39F2" w:rsidP="000B39F2" w:rsidRDefault="000B39F2">
            <w:pPr>
              <w:pStyle w:val="NoSpacing"/>
              <w:jc w:val="center"/>
              <w:rPr>
                <w:rFonts w:ascii="Cambria" w:hAnsi="Cambria" w:eastAsia="Times New Roman" w:cs="Times New Roman"/>
                <w:sz w:val="44"/>
                <w:szCs w:val="44"/>
              </w:rPr>
            </w:pPr>
            <w:r w:rsidRPr="000B39F2">
              <w:rPr>
                <w:rFonts w:ascii="Cambria" w:hAnsi="Cambria" w:eastAsia="Times New Roman" w:cs="Times New Roman"/>
                <w:sz w:val="44"/>
                <w:szCs w:val="44"/>
              </w:rPr>
              <w:t xml:space="preserve"> </w:t>
            </w:r>
          </w:p>
          <w:p w:rsidR="00867EDA" w:rsidP="000B39F2" w:rsidRDefault="000B39F2">
            <w:pPr>
              <w:pStyle w:val="NoSpacing"/>
              <w:jc w:val="center"/>
              <w:rPr>
                <w:rFonts w:ascii="Cambria" w:hAnsi="Cambria" w:eastAsia="Times New Roman" w:cs="Times New Roman"/>
                <w:sz w:val="44"/>
                <w:szCs w:val="44"/>
              </w:rPr>
            </w:pPr>
            <w:r w:rsidRPr="000B39F2">
              <w:rPr>
                <w:rFonts w:ascii="Cambria" w:hAnsi="Cambria" w:eastAsia="Times New Roman" w:cs="Times New Roman"/>
                <w:sz w:val="44"/>
                <w:szCs w:val="44"/>
              </w:rPr>
              <w:t>“</w:t>
            </w:r>
            <w:r w:rsidR="001C57EE">
              <w:rPr>
                <w:rFonts w:ascii="Cambria" w:hAnsi="Cambria" w:eastAsia="Times New Roman" w:cs="Times New Roman"/>
                <w:sz w:val="44"/>
                <w:szCs w:val="44"/>
              </w:rPr>
              <w:t>A Decade of Regulatory Convergence in APEC: Learning from the Past, Looking to the Future</w:t>
            </w:r>
            <w:r w:rsidRPr="000B39F2">
              <w:rPr>
                <w:rFonts w:ascii="Cambria" w:hAnsi="Cambria" w:eastAsia="Times New Roman" w:cs="Times New Roman"/>
                <w:sz w:val="44"/>
                <w:szCs w:val="44"/>
              </w:rPr>
              <w:t>”</w:t>
            </w:r>
          </w:p>
          <w:p w:rsidRPr="00583A99" w:rsidR="00FD194F" w:rsidP="0042111C" w:rsidRDefault="00FD194F">
            <w:pPr>
              <w:pStyle w:val="NoSpacing"/>
              <w:jc w:val="center"/>
              <w:rPr>
                <w:rFonts w:ascii="Cambria" w:hAnsi="Cambria" w:eastAsia="Times New Roman" w:cs="Times New Roman"/>
                <w:sz w:val="44"/>
                <w:szCs w:val="44"/>
              </w:rPr>
            </w:pPr>
          </w:p>
        </w:tc>
      </w:tr>
      <w:tr w:rsidR="00867EDA">
        <w:trPr>
          <w:trHeight w:val="360"/>
          <w:jc w:val="center"/>
        </w:trPr>
        <w:tc>
          <w:tcPr>
            <w:tcW w:w="5000" w:type="pct"/>
            <w:vAlign w:val="center"/>
          </w:tcPr>
          <w:p w:rsidRPr="000B39F2" w:rsidR="00867EDA" w:rsidRDefault="00867EDA">
            <w:pPr>
              <w:pStyle w:val="NoSpacing"/>
              <w:jc w:val="center"/>
              <w:rPr>
                <w:lang w:val="en-CA"/>
              </w:rPr>
            </w:pPr>
          </w:p>
        </w:tc>
      </w:tr>
      <w:tr w:rsidR="00867EDA">
        <w:trPr>
          <w:trHeight w:val="360"/>
          <w:jc w:val="center"/>
        </w:trPr>
        <w:tc>
          <w:tcPr>
            <w:tcW w:w="5000" w:type="pct"/>
            <w:vAlign w:val="center"/>
          </w:tcPr>
          <w:p w:rsidRPr="00653934" w:rsidR="00867EDA" w:rsidP="000B39F2" w:rsidRDefault="001C57EE">
            <w:pPr>
              <w:pStyle w:val="NoSpacing"/>
              <w:jc w:val="center"/>
              <w:rPr>
                <w:b/>
                <w:bCs/>
                <w:sz w:val="28"/>
              </w:rPr>
            </w:pPr>
            <w:r w:rsidRPr="00653934">
              <w:rPr>
                <w:b/>
                <w:bCs/>
                <w:sz w:val="28"/>
              </w:rPr>
              <w:t>18 August 2019</w:t>
            </w:r>
          </w:p>
        </w:tc>
      </w:tr>
    </w:tbl>
    <w:p w:rsidRPr="00653934" w:rsidR="00867EDA" w:rsidP="00804553" w:rsidRDefault="00804553">
      <w:pPr>
        <w:jc w:val="center"/>
        <w:rPr>
          <w:sz w:val="28"/>
        </w:rPr>
      </w:pPr>
      <w:r w:rsidRPr="00653934">
        <w:rPr>
          <w:sz w:val="28"/>
        </w:rPr>
        <w:t>Puerto Varas, Chile</w:t>
      </w:r>
    </w:p>
    <w:p w:rsidR="00867EDA" w:rsidRDefault="002556CE">
      <w:r>
        <w:rPr>
          <w:rFonts w:ascii="Cambria" w:hAnsi="Cambria" w:eastAsia="Malgun Gothic"/>
          <w:b/>
          <w:bCs/>
          <w:noProof/>
          <w:color w:val="365F91"/>
          <w:sz w:val="28"/>
          <w:szCs w:val="28"/>
          <w:lang w:val="en-US"/>
        </w:rPr>
        <w:drawing>
          <wp:anchor distT="0" distB="0" distL="114300" distR="114300" simplePos="0" relativeHeight="251662336" behindDoc="0" locked="0" layoutInCell="1" allowOverlap="1" wp14:editId="4168D407" wp14:anchorId="315FC081">
            <wp:simplePos x="0" y="0"/>
            <wp:positionH relativeFrom="margin">
              <wp:align>center</wp:align>
            </wp:positionH>
            <wp:positionV relativeFrom="margin">
              <wp:align>bottom</wp:align>
            </wp:positionV>
            <wp:extent cx="1319530" cy="914400"/>
            <wp:effectExtent l="0" t="0" r="0" b="0"/>
            <wp:wrapSquare wrapText="bothSides"/>
            <wp:docPr id="5" name="Picture 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SC.jpg"/>
                    <pic:cNvPicPr/>
                  </pic:nvPicPr>
                  <pic:blipFill>
                    <a:blip r:embed="rId9">
                      <a:extLst>
                        <a:ext uri="{28A0092B-C50C-407E-A947-70E740481C1C}">
                          <a14:useLocalDpi xmlns:a14="http://schemas.microsoft.com/office/drawing/2010/main" val="0"/>
                        </a:ext>
                      </a:extLst>
                    </a:blip>
                    <a:stretch>
                      <a:fillRect/>
                    </a:stretch>
                  </pic:blipFill>
                  <pic:spPr>
                    <a:xfrm>
                      <a:off x="0" y="0"/>
                      <a:ext cx="1319530" cy="914400"/>
                    </a:xfrm>
                    <a:prstGeom prst="rect">
                      <a:avLst/>
                    </a:prstGeom>
                  </pic:spPr>
                </pic:pic>
              </a:graphicData>
            </a:graphic>
            <wp14:sizeRelH relativeFrom="page">
              <wp14:pctWidth>0</wp14:pctWidth>
            </wp14:sizeRelH>
            <wp14:sizeRelV relativeFrom="page">
              <wp14:pctHeight>0</wp14:pctHeight>
            </wp14:sizeRelV>
          </wp:anchor>
        </w:drawing>
      </w:r>
    </w:p>
    <w:p w:rsidRPr="00B90061" w:rsidR="006F27E5" w:rsidP="00B90061" w:rsidRDefault="006F27E5">
      <w:pPr>
        <w:jc w:val="center"/>
      </w:pPr>
    </w:p>
    <w:p w:rsidR="002556CE" w:rsidRDefault="007448EA">
      <w:pPr>
        <w:spacing w:after="0" w:line="240" w:lineRule="auto"/>
        <w:rPr>
          <w:rFonts w:ascii="Cambria" w:hAnsi="Cambria" w:eastAsia="Malgun Gothic"/>
          <w:b/>
          <w:bCs/>
          <w:color w:val="365F91"/>
          <w:sz w:val="28"/>
          <w:szCs w:val="28"/>
        </w:rPr>
      </w:pPr>
      <w:r>
        <w:rPr>
          <w:rFonts w:ascii="Cambria" w:hAnsi="Cambria" w:eastAsia="Malgun Gothic"/>
          <w:b/>
          <w:bCs/>
          <w:noProof/>
          <w:color w:val="365F91"/>
          <w:sz w:val="28"/>
          <w:szCs w:val="28"/>
          <w:lang w:val="en-US"/>
        </w:rPr>
        <w:drawing>
          <wp:anchor distT="0" distB="0" distL="114300" distR="114300" simplePos="0" relativeHeight="251661312" behindDoc="0" locked="0" layoutInCell="1" allowOverlap="1" wp14:editId="2BEB098D" wp14:anchorId="70454167">
            <wp:simplePos x="0" y="0"/>
            <wp:positionH relativeFrom="margin">
              <wp:posOffset>4813300</wp:posOffset>
            </wp:positionH>
            <wp:positionV relativeFrom="margin">
              <wp:posOffset>7254240</wp:posOffset>
            </wp:positionV>
            <wp:extent cx="802005" cy="1005840"/>
            <wp:effectExtent l="0" t="0" r="0" b="3810"/>
            <wp:wrapSquare wrapText="bothSides"/>
            <wp:docPr id="3" name="Picture 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ec chile.jpg"/>
                    <pic:cNvPicPr/>
                  </pic:nvPicPr>
                  <pic:blipFill>
                    <a:blip r:embed="rId10">
                      <a:extLst>
                        <a:ext uri="{28A0092B-C50C-407E-A947-70E740481C1C}">
                          <a14:useLocalDpi xmlns:a14="http://schemas.microsoft.com/office/drawing/2010/main" val="0"/>
                        </a:ext>
                      </a:extLst>
                    </a:blip>
                    <a:stretch>
                      <a:fillRect/>
                    </a:stretch>
                  </pic:blipFill>
                  <pic:spPr>
                    <a:xfrm>
                      <a:off x="0" y="0"/>
                      <a:ext cx="802005" cy="1005840"/>
                    </a:xfrm>
                    <a:prstGeom prst="rect">
                      <a:avLst/>
                    </a:prstGeom>
                  </pic:spPr>
                </pic:pic>
              </a:graphicData>
            </a:graphic>
            <wp14:sizeRelH relativeFrom="page">
              <wp14:pctWidth>0</wp14:pctWidth>
            </wp14:sizeRelH>
            <wp14:sizeRelV relativeFrom="page">
              <wp14:pctHeight>0</wp14:pctHeight>
            </wp14:sizeRelV>
          </wp:anchor>
        </w:drawing>
      </w:r>
      <w:r w:rsidR="002556CE">
        <w:rPr>
          <w:rFonts w:eastAsia="Malgun Gothic"/>
          <w:b/>
          <w:noProof/>
          <w:lang w:val="en-US"/>
        </w:rPr>
        <w:drawing>
          <wp:anchor distT="0" distB="0" distL="114300" distR="114300" simplePos="0" relativeHeight="251660288" behindDoc="0" locked="0" layoutInCell="1" allowOverlap="1" wp14:editId="0D2E5709" wp14:anchorId="74E1956C">
            <wp:simplePos x="0" y="0"/>
            <wp:positionH relativeFrom="margin">
              <wp:posOffset>26670</wp:posOffset>
            </wp:positionH>
            <wp:positionV relativeFrom="margin">
              <wp:posOffset>7314565</wp:posOffset>
            </wp:positionV>
            <wp:extent cx="1404620" cy="845820"/>
            <wp:effectExtent l="0" t="0" r="5080" b="0"/>
            <wp:wrapSquare wrapText="bothSides"/>
            <wp:docPr id="4"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C 로고"/>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462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6CE">
        <w:br w:type="page"/>
      </w:r>
    </w:p>
    <w:p w:rsidR="00FD194F" w:rsidP="00FD194F" w:rsidRDefault="00FD194F">
      <w:pPr>
        <w:pStyle w:val="Heading1"/>
        <w:numPr>
          <w:ilvl w:val="0"/>
          <w:numId w:val="0"/>
        </w:numPr>
        <w:rPr>
          <w:bCs w:val="0"/>
        </w:rPr>
      </w:pPr>
      <w:r>
        <w:lastRenderedPageBreak/>
        <w:t>Purpose</w:t>
      </w:r>
    </w:p>
    <w:p w:rsidRPr="00D11AAF" w:rsidR="00FD194F" w:rsidP="00675F5D" w:rsidRDefault="00FD194F">
      <w:pPr>
        <w:spacing w:line="240" w:lineRule="auto"/>
        <w:jc w:val="both"/>
        <w:rPr>
          <w:bCs/>
        </w:rPr>
      </w:pPr>
      <w:r>
        <w:rPr>
          <w:bCs/>
        </w:rPr>
        <w:t xml:space="preserve">This report serves as a summary of </w:t>
      </w:r>
      <w:r w:rsidR="00CD1F72">
        <w:rPr>
          <w:bCs/>
        </w:rPr>
        <w:t xml:space="preserve">outcomes from </w:t>
      </w:r>
      <w:r>
        <w:rPr>
          <w:bCs/>
        </w:rPr>
        <w:t xml:space="preserve">the </w:t>
      </w:r>
      <w:r w:rsidRPr="00D11AAF">
        <w:rPr>
          <w:bCs/>
        </w:rPr>
        <w:t xml:space="preserve">APEC Life Sciences Innovation Forum (LSIF) </w:t>
      </w:r>
      <w:r w:rsidR="001C57EE">
        <w:rPr>
          <w:bCs/>
        </w:rPr>
        <w:t>Policy</w:t>
      </w:r>
      <w:r w:rsidRPr="00D11AAF">
        <w:rPr>
          <w:bCs/>
        </w:rPr>
        <w:t xml:space="preserve"> Dialogue on Innovation, Regulatory Systems, and Regulatory Convergence (</w:t>
      </w:r>
      <w:r w:rsidR="001C57EE">
        <w:rPr>
          <w:bCs/>
        </w:rPr>
        <w:t>PD</w:t>
      </w:r>
      <w:r w:rsidRPr="00D11AAF">
        <w:rPr>
          <w:bCs/>
        </w:rPr>
        <w:t>)</w:t>
      </w:r>
      <w:r w:rsidR="001C57EE">
        <w:rPr>
          <w:bCs/>
        </w:rPr>
        <w:t>, held 18 August 2019</w:t>
      </w:r>
      <w:r>
        <w:rPr>
          <w:bCs/>
        </w:rPr>
        <w:t xml:space="preserve"> in </w:t>
      </w:r>
      <w:r w:rsidR="001C57EE">
        <w:rPr>
          <w:bCs/>
        </w:rPr>
        <w:t>Puerto Varas</w:t>
      </w:r>
      <w:r>
        <w:rPr>
          <w:bCs/>
        </w:rPr>
        <w:t>,</w:t>
      </w:r>
      <w:r w:rsidR="0022632D">
        <w:rPr>
          <w:bCs/>
        </w:rPr>
        <w:t xml:space="preserve"> Chile,</w:t>
      </w:r>
      <w:r>
        <w:rPr>
          <w:bCs/>
        </w:rPr>
        <w:t xml:space="preserve"> including </w:t>
      </w:r>
      <w:r w:rsidRPr="00D11AAF">
        <w:rPr>
          <w:bCs/>
        </w:rPr>
        <w:t xml:space="preserve">recommendations for consideration by the </w:t>
      </w:r>
      <w:r w:rsidR="00DA4A19">
        <w:rPr>
          <w:bCs/>
        </w:rPr>
        <w:t xml:space="preserve">APEC </w:t>
      </w:r>
      <w:r w:rsidRPr="00D11AAF">
        <w:rPr>
          <w:bCs/>
        </w:rPr>
        <w:t>High Level Meeting on Health &amp; the Economy (HLM), APEC Ministers</w:t>
      </w:r>
      <w:r w:rsidR="00E57AE5">
        <w:rPr>
          <w:bCs/>
        </w:rPr>
        <w:t>,</w:t>
      </w:r>
      <w:r w:rsidRPr="00D11AAF">
        <w:rPr>
          <w:bCs/>
        </w:rPr>
        <w:t xml:space="preserve"> and APEC Leaders</w:t>
      </w:r>
      <w:r w:rsidR="00E57AE5">
        <w:rPr>
          <w:bCs/>
        </w:rPr>
        <w:t>.</w:t>
      </w:r>
    </w:p>
    <w:p w:rsidR="00FD194F" w:rsidP="00FD194F" w:rsidRDefault="00FD194F">
      <w:pPr>
        <w:pStyle w:val="Heading1"/>
        <w:numPr>
          <w:ilvl w:val="0"/>
          <w:numId w:val="0"/>
        </w:numPr>
        <w:rPr>
          <w:bCs w:val="0"/>
        </w:rPr>
      </w:pPr>
      <w:r>
        <w:t>Background</w:t>
      </w:r>
    </w:p>
    <w:p w:rsidR="00BB2A42" w:rsidP="00675F5D" w:rsidRDefault="001C57EE">
      <w:pPr>
        <w:spacing w:line="240" w:lineRule="auto"/>
        <w:jc w:val="both"/>
        <w:rPr>
          <w:bCs/>
        </w:rPr>
      </w:pPr>
      <w:r>
        <w:rPr>
          <w:bCs/>
        </w:rPr>
        <w:t>The PD was organized by the LSIF under the leadership of Ms. Erika Elvander (LSIF Planning Group Chair) with support from the APEC Harmonization Center (AHC) under the leadership of Dr. Dong</w:t>
      </w:r>
      <w:r w:rsidR="008510BE">
        <w:rPr>
          <w:bCs/>
        </w:rPr>
        <w:t>-</w:t>
      </w:r>
      <w:r>
        <w:rPr>
          <w:bCs/>
        </w:rPr>
        <w:t>hee Lee (Director)</w:t>
      </w:r>
      <w:r w:rsidR="00BB2A42">
        <w:rPr>
          <w:bCs/>
        </w:rPr>
        <w:t xml:space="preserve"> and from Chile as the APEC 2019 Host Economy</w:t>
      </w:r>
      <w:r>
        <w:rPr>
          <w:bCs/>
        </w:rPr>
        <w:t>.</w:t>
      </w:r>
      <w:r w:rsidR="00BB2A42">
        <w:rPr>
          <w:bCs/>
        </w:rPr>
        <w:t xml:space="preserve"> </w:t>
      </w:r>
    </w:p>
    <w:p w:rsidR="00BB2A42" w:rsidP="00675F5D" w:rsidRDefault="00BB2A42">
      <w:pPr>
        <w:spacing w:line="240" w:lineRule="auto"/>
        <w:jc w:val="both"/>
        <w:rPr>
          <w:bCs/>
        </w:rPr>
      </w:pPr>
      <w:r w:rsidRPr="00D11AAF">
        <w:rPr>
          <w:bCs/>
        </w:rPr>
        <w:t xml:space="preserve">The </w:t>
      </w:r>
      <w:r>
        <w:rPr>
          <w:bCs/>
        </w:rPr>
        <w:t xml:space="preserve">PD </w:t>
      </w:r>
      <w:r w:rsidRPr="00D11AAF">
        <w:rPr>
          <w:bCs/>
        </w:rPr>
        <w:t>buil</w:t>
      </w:r>
      <w:r>
        <w:rPr>
          <w:bCs/>
        </w:rPr>
        <w:t>t</w:t>
      </w:r>
      <w:r w:rsidRPr="00D11AAF">
        <w:rPr>
          <w:bCs/>
        </w:rPr>
        <w:t xml:space="preserve"> </w:t>
      </w:r>
      <w:r>
        <w:rPr>
          <w:bCs/>
        </w:rPr>
        <w:t>up</w:t>
      </w:r>
      <w:r w:rsidRPr="00D11AAF">
        <w:rPr>
          <w:bCs/>
        </w:rPr>
        <w:t>on the LSIF’s long-standing recognition of the critical role that</w:t>
      </w:r>
      <w:r>
        <w:rPr>
          <w:bCs/>
        </w:rPr>
        <w:t xml:space="preserve"> the life sciences sector plays in promoting public and economic health and the role that strong and efficient </w:t>
      </w:r>
      <w:r w:rsidRPr="00D11AAF">
        <w:rPr>
          <w:bCs/>
        </w:rPr>
        <w:t>regulatory systems play in enabling life sciences innovation.</w:t>
      </w:r>
    </w:p>
    <w:p w:rsidR="00FD194F" w:rsidP="00675F5D" w:rsidRDefault="00BB2A42">
      <w:pPr>
        <w:spacing w:line="240" w:lineRule="auto"/>
        <w:jc w:val="both"/>
        <w:rPr>
          <w:bCs/>
        </w:rPr>
      </w:pPr>
      <w:r>
        <w:rPr>
          <w:bCs/>
        </w:rPr>
        <w:t>T</w:t>
      </w:r>
      <w:r w:rsidR="001C57EE">
        <w:rPr>
          <w:bCs/>
        </w:rPr>
        <w:t xml:space="preserve">he PD convened </w:t>
      </w:r>
      <w:r w:rsidR="002E35BC">
        <w:rPr>
          <w:bCs/>
        </w:rPr>
        <w:t xml:space="preserve">the </w:t>
      </w:r>
      <w:r w:rsidR="008510BE">
        <w:rPr>
          <w:bCs/>
        </w:rPr>
        <w:t xml:space="preserve">leaders of </w:t>
      </w:r>
      <w:r w:rsidR="002E35BC">
        <w:rPr>
          <w:bCs/>
        </w:rPr>
        <w:t>drug and medical device regulatory authorities and representatives from industry and academia to reflect on a decade of progress towards regulatory convergence</w:t>
      </w:r>
      <w:r w:rsidR="002E35BC">
        <w:rPr>
          <w:rStyle w:val="FootnoteReference"/>
          <w:bCs/>
        </w:rPr>
        <w:footnoteReference w:id="1"/>
      </w:r>
      <w:r w:rsidR="00003DEB">
        <w:rPr>
          <w:bCs/>
        </w:rPr>
        <w:t xml:space="preserve"> </w:t>
      </w:r>
      <w:r w:rsidR="002E35BC">
        <w:rPr>
          <w:bCs/>
        </w:rPr>
        <w:t>in APEC and to envision the next iteration of a regional vision for how regulatory systems and regulatory convergence may accelerate life sciences innovation</w:t>
      </w:r>
      <w:r w:rsidR="00E57AE5">
        <w:rPr>
          <w:bCs/>
        </w:rPr>
        <w:t xml:space="preserve"> and make new medical products available to populations across APEC economies</w:t>
      </w:r>
      <w:r w:rsidR="002E35BC">
        <w:rPr>
          <w:bCs/>
        </w:rPr>
        <w:t>.</w:t>
      </w:r>
    </w:p>
    <w:p w:rsidRPr="0022632D" w:rsidR="0022632D" w:rsidP="00675F5D" w:rsidRDefault="0022632D">
      <w:pPr>
        <w:spacing w:line="240" w:lineRule="auto"/>
        <w:jc w:val="both"/>
        <w:rPr>
          <w:bCs/>
          <w:i/>
        </w:rPr>
      </w:pPr>
      <w:r w:rsidRPr="0022632D">
        <w:rPr>
          <w:bCs/>
          <w:i/>
        </w:rPr>
        <w:t>See Annex 1 for the agend</w:t>
      </w:r>
      <w:r>
        <w:rPr>
          <w:bCs/>
          <w:i/>
        </w:rPr>
        <w:t>a of the PD as executed on 18 August 2019 in Puerto Varas, Chile.</w:t>
      </w:r>
    </w:p>
    <w:p w:rsidRPr="00853501" w:rsidR="00853501" w:rsidP="00DA4A19" w:rsidRDefault="00CD1F72">
      <w:pPr>
        <w:pStyle w:val="Heading1"/>
        <w:numPr>
          <w:ilvl w:val="0"/>
          <w:numId w:val="0"/>
        </w:numPr>
      </w:pPr>
      <w:r>
        <w:t>Outcomes</w:t>
      </w:r>
    </w:p>
    <w:p w:rsidRPr="00CD1F72" w:rsidR="00CD1F72" w:rsidP="0036765C" w:rsidRDefault="00CD1F72">
      <w:pPr>
        <w:pStyle w:val="ListParagraph"/>
        <w:numPr>
          <w:ilvl w:val="0"/>
          <w:numId w:val="2"/>
        </w:numPr>
        <w:spacing w:after="0" w:line="240" w:lineRule="auto"/>
        <w:ind w:left="360"/>
        <w:jc w:val="both"/>
        <w:rPr>
          <w:bCs/>
        </w:rPr>
      </w:pPr>
      <w:r w:rsidRPr="00C8675A">
        <w:rPr>
          <w:b/>
          <w:bCs/>
        </w:rPr>
        <w:t xml:space="preserve">The </w:t>
      </w:r>
      <w:r w:rsidR="003C7E35">
        <w:rPr>
          <w:b/>
          <w:bCs/>
        </w:rPr>
        <w:t>P</w:t>
      </w:r>
      <w:r w:rsidRPr="00C8675A">
        <w:rPr>
          <w:b/>
          <w:bCs/>
        </w:rPr>
        <w:t xml:space="preserve">D </w:t>
      </w:r>
      <w:r w:rsidRPr="00C8675A" w:rsidR="00C8675A">
        <w:rPr>
          <w:b/>
          <w:bCs/>
        </w:rPr>
        <w:t>concluded with</w:t>
      </w:r>
      <w:r w:rsidRPr="00C8675A">
        <w:rPr>
          <w:b/>
          <w:bCs/>
        </w:rPr>
        <w:t xml:space="preserve"> a strong affirmation that the RHSC </w:t>
      </w:r>
      <w:r w:rsidRPr="00C8675A" w:rsidR="00C8675A">
        <w:rPr>
          <w:b/>
          <w:bCs/>
        </w:rPr>
        <w:t xml:space="preserve">should </w:t>
      </w:r>
      <w:r w:rsidR="009A555D">
        <w:rPr>
          <w:b/>
          <w:bCs/>
        </w:rPr>
        <w:t xml:space="preserve">continue its work beyond 2020 and </w:t>
      </w:r>
      <w:r w:rsidRPr="00C8675A">
        <w:rPr>
          <w:b/>
          <w:bCs/>
        </w:rPr>
        <w:t>accelerate APEC’s regulatory convergence efforts</w:t>
      </w:r>
      <w:r>
        <w:rPr>
          <w:bCs/>
        </w:rPr>
        <w:t xml:space="preserve"> for a number of </w:t>
      </w:r>
      <w:r w:rsidR="00867074">
        <w:rPr>
          <w:bCs/>
        </w:rPr>
        <w:t xml:space="preserve">key </w:t>
      </w:r>
      <w:r>
        <w:rPr>
          <w:bCs/>
        </w:rPr>
        <w:t>reasons</w:t>
      </w:r>
      <w:r w:rsidR="003C7E35">
        <w:rPr>
          <w:bCs/>
        </w:rPr>
        <w:t>:</w:t>
      </w:r>
    </w:p>
    <w:p w:rsidR="00CD1F72" w:rsidP="00CD7372" w:rsidRDefault="00CD1F72">
      <w:pPr>
        <w:pStyle w:val="ListParagraph"/>
        <w:numPr>
          <w:ilvl w:val="1"/>
          <w:numId w:val="2"/>
        </w:numPr>
        <w:spacing w:after="0" w:line="240" w:lineRule="auto"/>
        <w:ind w:left="1080"/>
        <w:jc w:val="both"/>
        <w:rPr>
          <w:bCs/>
        </w:rPr>
      </w:pPr>
      <w:r>
        <w:rPr>
          <w:bCs/>
        </w:rPr>
        <w:t xml:space="preserve">Regulatory convergence </w:t>
      </w:r>
      <w:r w:rsidRPr="009A555D" w:rsidR="009A555D">
        <w:rPr>
          <w:b/>
          <w:bCs/>
        </w:rPr>
        <w:t>protects people’s safety</w:t>
      </w:r>
      <w:r w:rsidR="009A555D">
        <w:rPr>
          <w:bCs/>
        </w:rPr>
        <w:t>: when we take advantage of testing, inspections, and reviews already done by high-performing regulators around the region, we can efficiently ensure approved products are both effective and safe, and work together to watch for safety issues in our collective population.</w:t>
      </w:r>
    </w:p>
    <w:p w:rsidRPr="009A555D" w:rsidR="009A555D" w:rsidP="00CD7372" w:rsidRDefault="009A555D">
      <w:pPr>
        <w:pStyle w:val="ListParagraph"/>
        <w:numPr>
          <w:ilvl w:val="1"/>
          <w:numId w:val="2"/>
        </w:numPr>
        <w:spacing w:after="0" w:line="240" w:lineRule="auto"/>
        <w:ind w:left="1080"/>
        <w:jc w:val="both"/>
        <w:rPr>
          <w:bCs/>
          <w:lang w:val="en-US"/>
        </w:rPr>
      </w:pPr>
      <w:r>
        <w:rPr>
          <w:bCs/>
        </w:rPr>
        <w:t xml:space="preserve">Regulatory convergence </w:t>
      </w:r>
      <w:r w:rsidRPr="009A555D">
        <w:rPr>
          <w:b/>
          <w:bCs/>
        </w:rPr>
        <w:t>makes products available</w:t>
      </w:r>
      <w:r>
        <w:rPr>
          <w:bCs/>
        </w:rPr>
        <w:t xml:space="preserve">: </w:t>
      </w:r>
      <w:r>
        <w:rPr>
          <w:bCs/>
          <w:lang w:val="en-US"/>
        </w:rPr>
        <w:t>w</w:t>
      </w:r>
      <w:r w:rsidRPr="009A555D">
        <w:rPr>
          <w:bCs/>
          <w:lang w:val="en-US"/>
        </w:rPr>
        <w:t>hen we leverage the assessment work already done by high-performing regulators on a particular life-saving product, we can approve that product more quickly and ensure it is readily available on t</w:t>
      </w:r>
      <w:r w:rsidR="00053812">
        <w:rPr>
          <w:bCs/>
          <w:lang w:val="en-US"/>
        </w:rPr>
        <w:t>he market to those who need it.</w:t>
      </w:r>
    </w:p>
    <w:p w:rsidR="009A555D" w:rsidP="00CD7372" w:rsidRDefault="009A555D">
      <w:pPr>
        <w:pStyle w:val="ListParagraph"/>
        <w:numPr>
          <w:ilvl w:val="1"/>
          <w:numId w:val="2"/>
        </w:numPr>
        <w:spacing w:after="0" w:line="240" w:lineRule="auto"/>
        <w:ind w:left="1080"/>
        <w:jc w:val="both"/>
        <w:rPr>
          <w:bCs/>
          <w:lang w:val="en-US"/>
        </w:rPr>
      </w:pPr>
      <w:r>
        <w:rPr>
          <w:bCs/>
          <w:lang w:val="en-US"/>
        </w:rPr>
        <w:t xml:space="preserve">Regulatory convergence </w:t>
      </w:r>
      <w:r w:rsidRPr="009A555D">
        <w:rPr>
          <w:b/>
          <w:bCs/>
          <w:lang w:val="en-US"/>
        </w:rPr>
        <w:t>saves public resources</w:t>
      </w:r>
      <w:r>
        <w:rPr>
          <w:bCs/>
          <w:lang w:val="en-US"/>
        </w:rPr>
        <w:t>: w</w:t>
      </w:r>
      <w:r w:rsidRPr="009A555D">
        <w:rPr>
          <w:bCs/>
          <w:lang w:val="en-US"/>
        </w:rPr>
        <w:t>hen we tap into the expertise and work of other high-performing regulators around the region, we can avoid unnecessary duplication and limit wasteful spending so we save our precious public heal</w:t>
      </w:r>
      <w:r w:rsidR="00053812">
        <w:rPr>
          <w:bCs/>
          <w:lang w:val="en-US"/>
        </w:rPr>
        <w:t>th resources for use elsewhere.</w:t>
      </w:r>
    </w:p>
    <w:p w:rsidR="009A555D" w:rsidP="00CD7372" w:rsidRDefault="00053812">
      <w:pPr>
        <w:pStyle w:val="ListParagraph"/>
        <w:numPr>
          <w:ilvl w:val="1"/>
          <w:numId w:val="2"/>
        </w:numPr>
        <w:spacing w:after="0" w:line="240" w:lineRule="auto"/>
        <w:ind w:left="1080"/>
        <w:jc w:val="both"/>
        <w:rPr>
          <w:bCs/>
          <w:lang w:val="en-US"/>
        </w:rPr>
      </w:pPr>
      <w:r>
        <w:rPr>
          <w:bCs/>
          <w:lang w:val="en-US"/>
        </w:rPr>
        <w:t xml:space="preserve">Regulatory convergence </w:t>
      </w:r>
      <w:r w:rsidRPr="00053812">
        <w:rPr>
          <w:b/>
          <w:bCs/>
          <w:lang w:val="en-US"/>
        </w:rPr>
        <w:t>attracts investment</w:t>
      </w:r>
      <w:r>
        <w:rPr>
          <w:bCs/>
          <w:lang w:val="en-US"/>
        </w:rPr>
        <w:t>: w</w:t>
      </w:r>
      <w:r w:rsidRPr="00053812">
        <w:rPr>
          <w:bCs/>
          <w:lang w:val="en-US"/>
        </w:rPr>
        <w:t xml:space="preserve">hen we shorten burdensome procedures and adopt best practices by trusting the processes of high-performing regulators, we can </w:t>
      </w:r>
      <w:r w:rsidRPr="00053812">
        <w:rPr>
          <w:bCs/>
          <w:lang w:val="en-US"/>
        </w:rPr>
        <w:lastRenderedPageBreak/>
        <w:t xml:space="preserve">reduce uncertainty and delays so that both local and international firms find it easier to do business in our economies, invest </w:t>
      </w:r>
      <w:r>
        <w:rPr>
          <w:bCs/>
          <w:lang w:val="en-US"/>
        </w:rPr>
        <w:t>their capital, and create jobs.</w:t>
      </w:r>
    </w:p>
    <w:p w:rsidR="00053812" w:rsidP="00CD7372" w:rsidRDefault="00053812">
      <w:pPr>
        <w:pStyle w:val="ListParagraph"/>
        <w:numPr>
          <w:ilvl w:val="1"/>
          <w:numId w:val="2"/>
        </w:numPr>
        <w:spacing w:after="0" w:line="240" w:lineRule="auto"/>
        <w:ind w:left="1080"/>
        <w:jc w:val="both"/>
        <w:rPr>
          <w:bCs/>
          <w:lang w:val="en-US"/>
        </w:rPr>
      </w:pPr>
      <w:r>
        <w:rPr>
          <w:bCs/>
          <w:lang w:val="en-US"/>
        </w:rPr>
        <w:t xml:space="preserve">Regulatory convergence </w:t>
      </w:r>
      <w:r w:rsidRPr="00053812">
        <w:rPr>
          <w:b/>
          <w:bCs/>
          <w:lang w:val="en-US"/>
        </w:rPr>
        <w:t>prevents corruption</w:t>
      </w:r>
      <w:r>
        <w:rPr>
          <w:bCs/>
          <w:lang w:val="en-US"/>
        </w:rPr>
        <w:t>: w</w:t>
      </w:r>
      <w:r w:rsidRPr="00053812">
        <w:rPr>
          <w:bCs/>
          <w:lang w:val="en-US"/>
        </w:rPr>
        <w:t xml:space="preserve">hen we avoid duplicate inspections and lengthy approval procedures, we can reduce the time it takes to respond to an application, so we prevent opportunities for </w:t>
      </w:r>
      <w:r>
        <w:rPr>
          <w:bCs/>
          <w:lang w:val="en-US"/>
        </w:rPr>
        <w:t>corrupt or dishonest behavior.</w:t>
      </w:r>
    </w:p>
    <w:p w:rsidRPr="00053812" w:rsidR="00053812" w:rsidP="00CD7372" w:rsidRDefault="00053812">
      <w:pPr>
        <w:pStyle w:val="ListParagraph"/>
        <w:numPr>
          <w:ilvl w:val="1"/>
          <w:numId w:val="2"/>
        </w:numPr>
        <w:spacing w:after="0" w:line="240" w:lineRule="auto"/>
        <w:ind w:left="1080"/>
        <w:jc w:val="both"/>
        <w:rPr>
          <w:bCs/>
          <w:lang w:val="en-US"/>
        </w:rPr>
      </w:pPr>
      <w:r>
        <w:rPr>
          <w:bCs/>
          <w:lang w:val="en-US"/>
        </w:rPr>
        <w:t xml:space="preserve">Regulatory convergence </w:t>
      </w:r>
      <w:r w:rsidRPr="00053812">
        <w:rPr>
          <w:b/>
          <w:bCs/>
          <w:lang w:val="en-US"/>
        </w:rPr>
        <w:t>improves global standing</w:t>
      </w:r>
      <w:r>
        <w:rPr>
          <w:bCs/>
          <w:lang w:val="en-US"/>
        </w:rPr>
        <w:t>: w</w:t>
      </w:r>
      <w:r w:rsidRPr="00053812">
        <w:rPr>
          <w:bCs/>
          <w:lang w:val="en-US"/>
        </w:rPr>
        <w:t>hen we share the load with other regulators and join international initiatives, we show our willingness to cooperate and support best practices, which strengthen the global community and enab</w:t>
      </w:r>
      <w:r>
        <w:rPr>
          <w:bCs/>
          <w:lang w:val="en-US"/>
        </w:rPr>
        <w:t>le investment in our economies.</w:t>
      </w:r>
    </w:p>
    <w:p w:rsidR="00F251C6" w:rsidP="0036765C" w:rsidRDefault="00F251C6">
      <w:pPr>
        <w:spacing w:after="0" w:line="240" w:lineRule="auto"/>
        <w:jc w:val="both"/>
        <w:rPr>
          <w:bCs/>
        </w:rPr>
      </w:pPr>
    </w:p>
    <w:p w:rsidR="000C5D00" w:rsidP="00461C2B" w:rsidRDefault="000C5D00">
      <w:pPr>
        <w:spacing w:after="0" w:line="240" w:lineRule="auto"/>
        <w:ind w:left="360"/>
        <w:jc w:val="both"/>
        <w:rPr>
          <w:bCs/>
        </w:rPr>
      </w:pPr>
      <w:r w:rsidRPr="0036765C">
        <w:rPr>
          <w:bCs/>
        </w:rPr>
        <w:t xml:space="preserve">The </w:t>
      </w:r>
      <w:r w:rsidRPr="0036765C" w:rsidR="00C05AB6">
        <w:rPr>
          <w:bCs/>
        </w:rPr>
        <w:t>PD</w:t>
      </w:r>
      <w:r w:rsidRPr="0036765C">
        <w:rPr>
          <w:bCs/>
        </w:rPr>
        <w:t xml:space="preserve"> therefore strongly reaffirmed the statement made by APEC Ministers in 2011 to “…achieve convergence on regulatory approval procedures for medical products by 2020, which will allow patients more timely acc</w:t>
      </w:r>
      <w:r w:rsidRPr="0036765C" w:rsidR="00C05AB6">
        <w:rPr>
          <w:bCs/>
        </w:rPr>
        <w:t xml:space="preserve">ess to innovations” and </w:t>
      </w:r>
      <w:r w:rsidRPr="007D445B" w:rsidR="00C05AB6">
        <w:rPr>
          <w:b/>
          <w:bCs/>
        </w:rPr>
        <w:t>urged</w:t>
      </w:r>
      <w:r w:rsidRPr="0036765C" w:rsidR="00C05AB6">
        <w:rPr>
          <w:bCs/>
        </w:rPr>
        <w:t xml:space="preserve"> </w:t>
      </w:r>
      <w:r w:rsidRPr="00F251C6" w:rsidR="00C05AB6">
        <w:rPr>
          <w:b/>
          <w:bCs/>
        </w:rPr>
        <w:t xml:space="preserve">an extension and acceleration </w:t>
      </w:r>
      <w:r w:rsidRPr="00F251C6">
        <w:rPr>
          <w:b/>
          <w:bCs/>
        </w:rPr>
        <w:t>of effor</w:t>
      </w:r>
      <w:r w:rsidRPr="00F251C6" w:rsidR="00C05AB6">
        <w:rPr>
          <w:b/>
          <w:bCs/>
        </w:rPr>
        <w:t>ts to meet the convergence goal by 2030</w:t>
      </w:r>
      <w:r w:rsidRPr="0036765C" w:rsidR="00C05AB6">
        <w:rPr>
          <w:bCs/>
        </w:rPr>
        <w:t>.</w:t>
      </w:r>
    </w:p>
    <w:p w:rsidR="006A1E52" w:rsidP="00461C2B" w:rsidRDefault="006A1E52">
      <w:pPr>
        <w:spacing w:after="0" w:line="240" w:lineRule="auto"/>
        <w:ind w:left="360"/>
        <w:jc w:val="both"/>
        <w:rPr>
          <w:bCs/>
        </w:rPr>
      </w:pPr>
    </w:p>
    <w:p w:rsidR="006A1E52" w:rsidP="00461C2B" w:rsidRDefault="006A1E52">
      <w:pPr>
        <w:spacing w:after="0" w:line="240" w:lineRule="auto"/>
        <w:ind w:left="360"/>
        <w:jc w:val="both"/>
        <w:rPr>
          <w:bCs/>
        </w:rPr>
      </w:pPr>
      <w:r>
        <w:rPr>
          <w:bCs/>
        </w:rPr>
        <w:t xml:space="preserve">Looking ahead to 2030, the PD participants </w:t>
      </w:r>
      <w:r w:rsidRPr="00FA1109">
        <w:rPr>
          <w:b/>
          <w:bCs/>
        </w:rPr>
        <w:t>encouraged the RHSC to consider the following additions to its strategy for the next decade:</w:t>
      </w:r>
    </w:p>
    <w:p w:rsidR="006A1E52" w:rsidP="00501E98" w:rsidRDefault="006A1E52">
      <w:pPr>
        <w:pStyle w:val="ListParagraph"/>
        <w:numPr>
          <w:ilvl w:val="0"/>
          <w:numId w:val="24"/>
        </w:numPr>
        <w:spacing w:after="0" w:line="240" w:lineRule="auto"/>
        <w:ind w:left="1080"/>
        <w:jc w:val="both"/>
        <w:rPr>
          <w:bCs/>
        </w:rPr>
      </w:pPr>
      <w:r>
        <w:rPr>
          <w:bCs/>
        </w:rPr>
        <w:t>Establishing a ‘r</w:t>
      </w:r>
      <w:r w:rsidRPr="000F129B">
        <w:rPr>
          <w:bCs/>
        </w:rPr>
        <w:t>egulatory sandbox</w:t>
      </w:r>
      <w:r>
        <w:rPr>
          <w:bCs/>
        </w:rPr>
        <w:t>’ to enable piloting innovative regulations;</w:t>
      </w:r>
    </w:p>
    <w:p w:rsidR="006A1E52" w:rsidP="00501E98" w:rsidRDefault="006A1E52">
      <w:pPr>
        <w:pStyle w:val="ListParagraph"/>
        <w:numPr>
          <w:ilvl w:val="0"/>
          <w:numId w:val="24"/>
        </w:numPr>
        <w:spacing w:after="0" w:line="240" w:lineRule="auto"/>
        <w:ind w:left="1080"/>
        <w:jc w:val="both"/>
        <w:rPr>
          <w:bCs/>
        </w:rPr>
      </w:pPr>
      <w:r>
        <w:rPr>
          <w:bCs/>
        </w:rPr>
        <w:t>Supporting ‘horizon scanning’ exercises led by regulators with experience in novel products;</w:t>
      </w:r>
    </w:p>
    <w:p w:rsidRPr="006A1E52" w:rsidR="006A1E52" w:rsidP="00501E98" w:rsidRDefault="006A1E52">
      <w:pPr>
        <w:pStyle w:val="ListParagraph"/>
        <w:numPr>
          <w:ilvl w:val="0"/>
          <w:numId w:val="24"/>
        </w:numPr>
        <w:spacing w:after="0" w:line="240" w:lineRule="auto"/>
        <w:ind w:left="1080"/>
        <w:jc w:val="both"/>
        <w:rPr>
          <w:bCs/>
        </w:rPr>
      </w:pPr>
      <w:r w:rsidRPr="006A1E52">
        <w:rPr>
          <w:bCs/>
        </w:rPr>
        <w:t>Interacting with patients, healthcare providers, and political leaders including legislators ;</w:t>
      </w:r>
    </w:p>
    <w:p w:rsidRPr="006A1E52" w:rsidR="006A1E52" w:rsidP="00501E98" w:rsidRDefault="006A1E52">
      <w:pPr>
        <w:pStyle w:val="ListParagraph"/>
        <w:numPr>
          <w:ilvl w:val="0"/>
          <w:numId w:val="24"/>
        </w:numPr>
        <w:spacing w:after="0" w:line="240" w:lineRule="auto"/>
        <w:ind w:left="1080"/>
        <w:jc w:val="both"/>
        <w:rPr>
          <w:bCs/>
        </w:rPr>
      </w:pPr>
      <w:r w:rsidRPr="006A1E52">
        <w:rPr>
          <w:bCs/>
        </w:rPr>
        <w:t>Improving participation from APEC member economies in RHSC meetings and activities; and,</w:t>
      </w:r>
    </w:p>
    <w:p w:rsidRPr="006A1E52" w:rsidR="006A1E52" w:rsidP="00501E98" w:rsidRDefault="006A1E52">
      <w:pPr>
        <w:pStyle w:val="ListParagraph"/>
        <w:numPr>
          <w:ilvl w:val="0"/>
          <w:numId w:val="24"/>
        </w:numPr>
        <w:spacing w:after="0" w:line="240" w:lineRule="auto"/>
        <w:ind w:left="1080"/>
        <w:jc w:val="both"/>
        <w:rPr>
          <w:bCs/>
        </w:rPr>
      </w:pPr>
      <w:r w:rsidRPr="006A1E52">
        <w:rPr>
          <w:bCs/>
        </w:rPr>
        <w:t xml:space="preserve">Improving outreach and communications both within and outside of APEC; </w:t>
      </w:r>
      <w:r w:rsidR="00501E98">
        <w:rPr>
          <w:bCs/>
        </w:rPr>
        <w:t>and,</w:t>
      </w:r>
    </w:p>
    <w:p w:rsidRPr="00501E98" w:rsidR="006A1E52" w:rsidP="00501E98" w:rsidRDefault="006A1E52">
      <w:pPr>
        <w:pStyle w:val="ListParagraph"/>
        <w:numPr>
          <w:ilvl w:val="0"/>
          <w:numId w:val="24"/>
        </w:numPr>
        <w:spacing w:after="0" w:line="240" w:lineRule="auto"/>
        <w:ind w:left="1080"/>
        <w:jc w:val="both"/>
        <w:rPr>
          <w:bCs/>
        </w:rPr>
      </w:pPr>
      <w:r w:rsidRPr="006A1E52">
        <w:rPr>
          <w:bCs/>
        </w:rPr>
        <w:t>Improving connection to other regulatory harmonization initiatives and mechanisms such as ICH, IPRP, PIC/S, IMDRF, PANDRH, and MDSAP.</w:t>
      </w:r>
    </w:p>
    <w:p w:rsidRPr="00C05AB6" w:rsidR="00867074" w:rsidP="00C05AB6" w:rsidRDefault="00867074">
      <w:pPr>
        <w:spacing w:after="0" w:line="240" w:lineRule="auto"/>
        <w:jc w:val="both"/>
        <w:rPr>
          <w:bCs/>
        </w:rPr>
      </w:pPr>
    </w:p>
    <w:p w:rsidRPr="00C8675A" w:rsidR="00CD1F72" w:rsidP="0036765C" w:rsidRDefault="00675F5D">
      <w:pPr>
        <w:pStyle w:val="ListParagraph"/>
        <w:numPr>
          <w:ilvl w:val="0"/>
          <w:numId w:val="2"/>
        </w:numPr>
        <w:spacing w:after="0" w:line="240" w:lineRule="auto"/>
        <w:ind w:left="360"/>
        <w:jc w:val="both"/>
        <w:rPr>
          <w:b/>
          <w:bCs/>
        </w:rPr>
      </w:pPr>
      <w:r>
        <w:rPr>
          <w:b/>
          <w:bCs/>
        </w:rPr>
        <w:t>PD</w:t>
      </w:r>
      <w:r w:rsidRPr="00C8675A" w:rsidR="002B0ED5">
        <w:rPr>
          <w:b/>
          <w:bCs/>
        </w:rPr>
        <w:t xml:space="preserve"> </w:t>
      </w:r>
      <w:r>
        <w:rPr>
          <w:b/>
          <w:bCs/>
        </w:rPr>
        <w:t>participants</w:t>
      </w:r>
      <w:r w:rsidRPr="00C8675A" w:rsidR="002B0ED5">
        <w:rPr>
          <w:b/>
          <w:bCs/>
        </w:rPr>
        <w:t xml:space="preserve"> </w:t>
      </w:r>
      <w:r w:rsidR="006A68B2">
        <w:rPr>
          <w:b/>
          <w:bCs/>
        </w:rPr>
        <w:t xml:space="preserve">reflected on </w:t>
      </w:r>
      <w:r w:rsidRPr="00C8675A" w:rsidR="00CD1F72">
        <w:rPr>
          <w:b/>
          <w:bCs/>
        </w:rPr>
        <w:t xml:space="preserve">RHSC </w:t>
      </w:r>
      <w:r>
        <w:rPr>
          <w:b/>
          <w:bCs/>
        </w:rPr>
        <w:t xml:space="preserve">key </w:t>
      </w:r>
      <w:r w:rsidRPr="00C8675A" w:rsidR="00CD1F72">
        <w:rPr>
          <w:b/>
          <w:bCs/>
        </w:rPr>
        <w:t xml:space="preserve">performance indicators </w:t>
      </w:r>
      <w:r>
        <w:rPr>
          <w:b/>
          <w:bCs/>
        </w:rPr>
        <w:t>(KPIs)</w:t>
      </w:r>
      <w:r w:rsidR="00C7394A">
        <w:rPr>
          <w:rStyle w:val="FootnoteReference"/>
          <w:b/>
          <w:bCs/>
        </w:rPr>
        <w:footnoteReference w:id="2"/>
      </w:r>
      <w:r w:rsidR="006A68B2">
        <w:rPr>
          <w:b/>
          <w:bCs/>
        </w:rPr>
        <w:t xml:space="preserve"> tracking regulatory convergence over the last decade and now</w:t>
      </w:r>
      <w:r>
        <w:rPr>
          <w:b/>
          <w:bCs/>
        </w:rPr>
        <w:t xml:space="preserve"> on an annual basis</w:t>
      </w:r>
      <w:r w:rsidR="006A68B2">
        <w:rPr>
          <w:b/>
          <w:bCs/>
        </w:rPr>
        <w:t xml:space="preserve"> (conducted as an LSIF-</w:t>
      </w:r>
      <w:r w:rsidR="00012863">
        <w:rPr>
          <w:b/>
          <w:bCs/>
        </w:rPr>
        <w:t>AHC</w:t>
      </w:r>
      <w:r w:rsidR="006A68B2">
        <w:rPr>
          <w:b/>
          <w:bCs/>
        </w:rPr>
        <w:t xml:space="preserve"> Project)</w:t>
      </w:r>
      <w:r w:rsidR="00CD7372">
        <w:rPr>
          <w:b/>
          <w:bCs/>
        </w:rPr>
        <w:t>.</w:t>
      </w:r>
    </w:p>
    <w:p w:rsidR="00CD1F72" w:rsidP="00302E03" w:rsidRDefault="00CD1F72">
      <w:pPr>
        <w:spacing w:after="0" w:line="240" w:lineRule="auto"/>
        <w:ind w:left="360"/>
        <w:jc w:val="both"/>
        <w:rPr>
          <w:bCs/>
        </w:rPr>
      </w:pPr>
    </w:p>
    <w:p w:rsidR="00302E03" w:rsidP="00302E03" w:rsidRDefault="00302E03">
      <w:pPr>
        <w:spacing w:after="0" w:line="240" w:lineRule="auto"/>
        <w:ind w:left="360"/>
        <w:jc w:val="both"/>
        <w:rPr>
          <w:bCs/>
        </w:rPr>
      </w:pPr>
      <w:r>
        <w:rPr>
          <w:bCs/>
        </w:rPr>
        <w:t>Endorsed in 2017, the KPIs measuring progress towards achieving regulatory convergence include:</w:t>
      </w:r>
    </w:p>
    <w:p w:rsidR="00302E03" w:rsidP="00461C2B" w:rsidRDefault="000B1512">
      <w:pPr>
        <w:pStyle w:val="ListParagraph"/>
        <w:numPr>
          <w:ilvl w:val="1"/>
          <w:numId w:val="2"/>
        </w:numPr>
        <w:spacing w:after="0" w:line="240" w:lineRule="auto"/>
        <w:ind w:left="1080"/>
        <w:jc w:val="both"/>
        <w:rPr>
          <w:bCs/>
        </w:rPr>
      </w:pPr>
      <w:r>
        <w:rPr>
          <w:bCs/>
        </w:rPr>
        <w:t>Number</w:t>
      </w:r>
      <w:r w:rsidR="00A2020E">
        <w:rPr>
          <w:bCs/>
        </w:rPr>
        <w:t xml:space="preserve"> of economies e</w:t>
      </w:r>
      <w:r w:rsidR="00AA5B6B">
        <w:rPr>
          <w:bCs/>
        </w:rPr>
        <w:t>ngaging in i</w:t>
      </w:r>
      <w:r w:rsidRPr="00CD1F72" w:rsidR="00302E03">
        <w:rPr>
          <w:bCs/>
        </w:rPr>
        <w:t>nformation sharing</w:t>
      </w:r>
      <w:r w:rsidR="00302E03">
        <w:rPr>
          <w:bCs/>
        </w:rPr>
        <w:t xml:space="preserve">; </w:t>
      </w:r>
    </w:p>
    <w:p w:rsidR="00302E03" w:rsidP="00461C2B" w:rsidRDefault="000B1512">
      <w:pPr>
        <w:pStyle w:val="ListParagraph"/>
        <w:numPr>
          <w:ilvl w:val="1"/>
          <w:numId w:val="2"/>
        </w:numPr>
        <w:spacing w:after="0" w:line="240" w:lineRule="auto"/>
        <w:ind w:left="1080"/>
        <w:jc w:val="both"/>
        <w:rPr>
          <w:bCs/>
        </w:rPr>
      </w:pPr>
      <w:r>
        <w:rPr>
          <w:bCs/>
        </w:rPr>
        <w:t>Number</w:t>
      </w:r>
      <w:r w:rsidR="00A2020E">
        <w:rPr>
          <w:bCs/>
        </w:rPr>
        <w:t xml:space="preserve"> of economies e</w:t>
      </w:r>
      <w:r w:rsidR="00302E03">
        <w:rPr>
          <w:bCs/>
        </w:rPr>
        <w:t xml:space="preserve">stablishing confidentiality commitments; </w:t>
      </w:r>
    </w:p>
    <w:p w:rsidR="00302E03" w:rsidP="00461C2B" w:rsidRDefault="000B1512">
      <w:pPr>
        <w:pStyle w:val="ListParagraph"/>
        <w:numPr>
          <w:ilvl w:val="1"/>
          <w:numId w:val="2"/>
        </w:numPr>
        <w:spacing w:after="0" w:line="240" w:lineRule="auto"/>
        <w:ind w:left="1080"/>
        <w:jc w:val="both"/>
        <w:rPr>
          <w:bCs/>
        </w:rPr>
      </w:pPr>
      <w:r>
        <w:rPr>
          <w:bCs/>
        </w:rPr>
        <w:t>Number</w:t>
      </w:r>
      <w:r w:rsidR="00A2020E">
        <w:rPr>
          <w:bCs/>
        </w:rPr>
        <w:t xml:space="preserve"> of economies s</w:t>
      </w:r>
      <w:r w:rsidR="00302E03">
        <w:rPr>
          <w:bCs/>
        </w:rPr>
        <w:t>haring Good Manufacturing Practices (GMP) certificates;</w:t>
      </w:r>
      <w:r w:rsidRPr="00CD1F72" w:rsidR="00302E03">
        <w:rPr>
          <w:bCs/>
        </w:rPr>
        <w:t xml:space="preserve"> </w:t>
      </w:r>
    </w:p>
    <w:p w:rsidR="00302E03" w:rsidP="00461C2B" w:rsidRDefault="000B1512">
      <w:pPr>
        <w:pStyle w:val="ListParagraph"/>
        <w:numPr>
          <w:ilvl w:val="1"/>
          <w:numId w:val="2"/>
        </w:numPr>
        <w:spacing w:after="0" w:line="240" w:lineRule="auto"/>
        <w:ind w:left="1080"/>
        <w:jc w:val="both"/>
        <w:rPr>
          <w:bCs/>
        </w:rPr>
      </w:pPr>
      <w:r>
        <w:rPr>
          <w:bCs/>
        </w:rPr>
        <w:t>Number</w:t>
      </w:r>
      <w:r w:rsidR="00A2020E">
        <w:rPr>
          <w:bCs/>
        </w:rPr>
        <w:t xml:space="preserve"> of economies e</w:t>
      </w:r>
      <w:r w:rsidR="00302E03">
        <w:rPr>
          <w:bCs/>
        </w:rPr>
        <w:t>stablishing Mutual Recognition Agreements (MRAs);</w:t>
      </w:r>
    </w:p>
    <w:p w:rsidR="00302E03" w:rsidP="00461C2B" w:rsidRDefault="000B1512">
      <w:pPr>
        <w:pStyle w:val="ListParagraph"/>
        <w:numPr>
          <w:ilvl w:val="1"/>
          <w:numId w:val="2"/>
        </w:numPr>
        <w:spacing w:after="0" w:line="240" w:lineRule="auto"/>
        <w:ind w:left="1080"/>
        <w:jc w:val="both"/>
        <w:rPr>
          <w:bCs/>
        </w:rPr>
      </w:pPr>
      <w:r>
        <w:rPr>
          <w:bCs/>
        </w:rPr>
        <w:t>Number</w:t>
      </w:r>
      <w:r w:rsidR="00A2020E">
        <w:rPr>
          <w:bCs/>
        </w:rPr>
        <w:t xml:space="preserve"> of economies m</w:t>
      </w:r>
      <w:r>
        <w:rPr>
          <w:bCs/>
        </w:rPr>
        <w:t xml:space="preserve">inimizing required </w:t>
      </w:r>
      <w:r w:rsidR="00302E03">
        <w:rPr>
          <w:bCs/>
        </w:rPr>
        <w:t>Certificates of Pharmaceutical Product (CPPs);</w:t>
      </w:r>
    </w:p>
    <w:p w:rsidR="00302E03" w:rsidP="00461C2B" w:rsidRDefault="000B1512">
      <w:pPr>
        <w:pStyle w:val="ListParagraph"/>
        <w:numPr>
          <w:ilvl w:val="1"/>
          <w:numId w:val="2"/>
        </w:numPr>
        <w:spacing w:after="0" w:line="240" w:lineRule="auto"/>
        <w:ind w:left="1080"/>
        <w:jc w:val="both"/>
        <w:rPr>
          <w:bCs/>
        </w:rPr>
      </w:pPr>
      <w:r>
        <w:rPr>
          <w:bCs/>
        </w:rPr>
        <w:t>Number</w:t>
      </w:r>
      <w:r w:rsidR="00A2020E">
        <w:rPr>
          <w:bCs/>
        </w:rPr>
        <w:t xml:space="preserve"> of economies a</w:t>
      </w:r>
      <w:r w:rsidR="00302E03">
        <w:rPr>
          <w:bCs/>
        </w:rPr>
        <w:t>llowing multiple sites in a single license; and,</w:t>
      </w:r>
    </w:p>
    <w:p w:rsidRPr="00302E03" w:rsidR="00302E03" w:rsidP="00461C2B" w:rsidRDefault="000B1512">
      <w:pPr>
        <w:pStyle w:val="ListParagraph"/>
        <w:numPr>
          <w:ilvl w:val="1"/>
          <w:numId w:val="2"/>
        </w:numPr>
        <w:spacing w:after="0" w:line="240" w:lineRule="auto"/>
        <w:ind w:left="1080"/>
        <w:jc w:val="both"/>
        <w:rPr>
          <w:bCs/>
        </w:rPr>
      </w:pPr>
      <w:r>
        <w:rPr>
          <w:bCs/>
        </w:rPr>
        <w:t>Number</w:t>
      </w:r>
      <w:r w:rsidR="00A2020E">
        <w:rPr>
          <w:bCs/>
        </w:rPr>
        <w:t xml:space="preserve"> of economies j</w:t>
      </w:r>
      <w:r w:rsidRPr="00302E03" w:rsidR="00302E03">
        <w:rPr>
          <w:bCs/>
        </w:rPr>
        <w:t xml:space="preserve">oining regulatory harmonization initiatives including the International Council for Harmonization of Technical Requirements for Pharmaceuticals for Human Use (ICH), Pharmaceutical Inspection Cooperation Scheme (PIC/S), </w:t>
      </w:r>
      <w:r w:rsidR="009875EB">
        <w:rPr>
          <w:bCs/>
        </w:rPr>
        <w:t xml:space="preserve">and </w:t>
      </w:r>
      <w:r w:rsidRPr="00302E03" w:rsidR="00302E03">
        <w:rPr>
          <w:bCs/>
        </w:rPr>
        <w:t>International Pharmaceutical Regulators Programme (IPRP)</w:t>
      </w:r>
      <w:r w:rsidR="009875EB">
        <w:rPr>
          <w:bCs/>
        </w:rPr>
        <w:t>.</w:t>
      </w:r>
    </w:p>
    <w:p w:rsidR="006A68B2" w:rsidP="007D445B" w:rsidRDefault="006A68B2">
      <w:pPr>
        <w:spacing w:after="0" w:line="240" w:lineRule="auto"/>
        <w:jc w:val="both"/>
        <w:rPr>
          <w:bCs/>
        </w:rPr>
      </w:pPr>
    </w:p>
    <w:p w:rsidRPr="00017569" w:rsidR="007D445B" w:rsidP="00017569" w:rsidRDefault="003A0749">
      <w:pPr>
        <w:spacing w:after="0" w:line="240" w:lineRule="auto"/>
        <w:ind w:left="360"/>
        <w:jc w:val="both"/>
        <w:rPr>
          <w:b/>
          <w:bCs/>
        </w:rPr>
      </w:pPr>
      <w:r>
        <w:rPr>
          <w:bCs/>
        </w:rPr>
        <w:t xml:space="preserve">The PD participants acknowledged that the KPIs endorsed by RHSC to date are focused on regulatory convergence of drug and vaccine approvals, and </w:t>
      </w:r>
      <w:r w:rsidRPr="00606DA4" w:rsidR="006A68B2">
        <w:rPr>
          <w:b/>
          <w:bCs/>
        </w:rPr>
        <w:t xml:space="preserve">welcomed </w:t>
      </w:r>
      <w:r w:rsidRPr="00606DA4">
        <w:rPr>
          <w:b/>
          <w:bCs/>
        </w:rPr>
        <w:t xml:space="preserve">KPIs to monitor and evaluate regulatory convergence of medical device approvals </w:t>
      </w:r>
      <w:r w:rsidRPr="00606DA4" w:rsidR="0022632D">
        <w:rPr>
          <w:b/>
          <w:bCs/>
        </w:rPr>
        <w:t>as well</w:t>
      </w:r>
      <w:r w:rsidRPr="00606DA4">
        <w:rPr>
          <w:b/>
          <w:bCs/>
        </w:rPr>
        <w:t>.</w:t>
      </w:r>
      <w:r w:rsidRPr="00017569" w:rsidR="00017569">
        <w:rPr>
          <w:bCs/>
        </w:rPr>
        <w:t xml:space="preserve"> </w:t>
      </w:r>
      <w:r w:rsidR="007D445B">
        <w:rPr>
          <w:bCs/>
        </w:rPr>
        <w:t xml:space="preserve">The PD participants encouraged the </w:t>
      </w:r>
      <w:r w:rsidR="007D445B">
        <w:rPr>
          <w:bCs/>
        </w:rPr>
        <w:lastRenderedPageBreak/>
        <w:t xml:space="preserve">RHSC to not only continue tracking the KPIs on an annual basis, but also to </w:t>
      </w:r>
      <w:r w:rsidRPr="00606DA4" w:rsidR="007D445B">
        <w:rPr>
          <w:b/>
          <w:bCs/>
        </w:rPr>
        <w:t>develop more specific KPIs to track progress within each priority work area (PWA)</w:t>
      </w:r>
      <w:r w:rsidR="00F42262">
        <w:rPr>
          <w:b/>
          <w:bCs/>
        </w:rPr>
        <w:t>.</w:t>
      </w:r>
    </w:p>
    <w:p w:rsidRPr="00F251C6" w:rsidR="003A0749" w:rsidP="00302E03" w:rsidRDefault="003A0749">
      <w:pPr>
        <w:spacing w:after="0" w:line="240" w:lineRule="auto"/>
        <w:ind w:left="360"/>
        <w:jc w:val="both"/>
        <w:rPr>
          <w:bCs/>
        </w:rPr>
      </w:pPr>
    </w:p>
    <w:p w:rsidR="001A041E" w:rsidP="00A102EB" w:rsidRDefault="00CD1F72">
      <w:pPr>
        <w:spacing w:after="0" w:line="240" w:lineRule="auto"/>
        <w:ind w:left="360"/>
        <w:jc w:val="both"/>
        <w:rPr>
          <w:b/>
          <w:bCs/>
        </w:rPr>
      </w:pPr>
      <w:r w:rsidRPr="0036765C">
        <w:rPr>
          <w:bCs/>
        </w:rPr>
        <w:t xml:space="preserve">The </w:t>
      </w:r>
      <w:r w:rsidR="00F251C6">
        <w:rPr>
          <w:bCs/>
        </w:rPr>
        <w:t>PD</w:t>
      </w:r>
      <w:r w:rsidRPr="0036765C" w:rsidR="002B0ED5">
        <w:rPr>
          <w:bCs/>
        </w:rPr>
        <w:t xml:space="preserve"> </w:t>
      </w:r>
      <w:r w:rsidR="00F251C6">
        <w:rPr>
          <w:bCs/>
        </w:rPr>
        <w:t>participants</w:t>
      </w:r>
      <w:r w:rsidRPr="0036765C">
        <w:rPr>
          <w:bCs/>
        </w:rPr>
        <w:t xml:space="preserve"> emphasized that </w:t>
      </w:r>
      <w:r w:rsidR="001A041E">
        <w:rPr>
          <w:bCs/>
        </w:rPr>
        <w:t>KPIs</w:t>
      </w:r>
      <w:r w:rsidRPr="0036765C">
        <w:rPr>
          <w:bCs/>
        </w:rPr>
        <w:t xml:space="preserve"> should not be used to single out economies but, rather, should be used to </w:t>
      </w:r>
      <w:r w:rsidRPr="00606DA4">
        <w:rPr>
          <w:b/>
          <w:bCs/>
        </w:rPr>
        <w:t>ensure that “no economy is left behind” in support of “inclusive growth”.</w:t>
      </w:r>
    </w:p>
    <w:p w:rsidR="001A041E" w:rsidP="00A102EB" w:rsidRDefault="001A041E">
      <w:pPr>
        <w:spacing w:after="0" w:line="240" w:lineRule="auto"/>
        <w:ind w:left="360"/>
        <w:jc w:val="both"/>
        <w:rPr>
          <w:bCs/>
        </w:rPr>
      </w:pPr>
    </w:p>
    <w:p w:rsidRPr="00A102EB" w:rsidR="003A5ACC" w:rsidP="00A102EB" w:rsidRDefault="00CD7372">
      <w:pPr>
        <w:spacing w:after="0" w:line="240" w:lineRule="auto"/>
        <w:ind w:left="360"/>
        <w:jc w:val="both"/>
        <w:rPr>
          <w:bCs/>
        </w:rPr>
      </w:pPr>
      <w:r w:rsidRPr="00CD7372">
        <w:rPr>
          <w:bCs/>
          <w:i/>
        </w:rPr>
        <w:t xml:space="preserve">See </w:t>
      </w:r>
      <w:r w:rsidR="0022632D">
        <w:rPr>
          <w:bCs/>
          <w:i/>
        </w:rPr>
        <w:t>Annex 2</w:t>
      </w:r>
      <w:r w:rsidRPr="00CD7372">
        <w:rPr>
          <w:bCs/>
          <w:i/>
        </w:rPr>
        <w:t xml:space="preserve"> for an illustration of KPI data collected and analyzed by AHC, from 2008 to 2019.</w:t>
      </w:r>
    </w:p>
    <w:p w:rsidRPr="00CD5854" w:rsidR="00CD5854" w:rsidP="00CD5854" w:rsidRDefault="00CD5854">
      <w:pPr>
        <w:spacing w:after="0" w:line="240" w:lineRule="auto"/>
        <w:jc w:val="both"/>
        <w:rPr>
          <w:bCs/>
        </w:rPr>
      </w:pPr>
    </w:p>
    <w:p w:rsidR="000F129B" w:rsidP="000F129B" w:rsidRDefault="006A68B2">
      <w:pPr>
        <w:pStyle w:val="ListParagraph"/>
        <w:numPr>
          <w:ilvl w:val="0"/>
          <w:numId w:val="2"/>
        </w:numPr>
        <w:spacing w:after="0" w:line="240" w:lineRule="auto"/>
        <w:ind w:left="360"/>
        <w:jc w:val="both"/>
        <w:rPr>
          <w:bCs/>
        </w:rPr>
      </w:pPr>
      <w:r>
        <w:rPr>
          <w:b/>
          <w:bCs/>
        </w:rPr>
        <w:t xml:space="preserve">PD participants reflected on </w:t>
      </w:r>
      <w:r w:rsidRPr="006A68B2">
        <w:rPr>
          <w:b/>
          <w:bCs/>
        </w:rPr>
        <w:t xml:space="preserve">the next </w:t>
      </w:r>
      <w:r w:rsidR="00AC5819">
        <w:rPr>
          <w:b/>
          <w:bCs/>
        </w:rPr>
        <w:t xml:space="preserve">decade of </w:t>
      </w:r>
      <w:r w:rsidRPr="006A68B2">
        <w:rPr>
          <w:b/>
          <w:bCs/>
        </w:rPr>
        <w:t>a regional vision for how regulatory systems and regulatory convergence may accelerate life sciences innovation and make new medical products available to populations across APEC economies.</w:t>
      </w:r>
      <w:r w:rsidR="00003DEB">
        <w:rPr>
          <w:b/>
          <w:bCs/>
        </w:rPr>
        <w:t xml:space="preserve"> </w:t>
      </w:r>
      <w:r w:rsidRPr="000F129B" w:rsidR="00CD5854">
        <w:rPr>
          <w:bCs/>
        </w:rPr>
        <w:t>Leaders of regulatory authorities and other PD participants urged the RHSC to consider</w:t>
      </w:r>
      <w:r w:rsidR="006A1E52">
        <w:rPr>
          <w:bCs/>
        </w:rPr>
        <w:t xml:space="preserve"> focusing new efforts on</w:t>
      </w:r>
      <w:r w:rsidRPr="000F129B" w:rsidR="00CD5854">
        <w:rPr>
          <w:bCs/>
        </w:rPr>
        <w:t>:</w:t>
      </w:r>
    </w:p>
    <w:p w:rsidR="003220ED" w:rsidP="003220ED" w:rsidRDefault="006A1E52">
      <w:pPr>
        <w:pStyle w:val="ListParagraph"/>
        <w:numPr>
          <w:ilvl w:val="1"/>
          <w:numId w:val="2"/>
        </w:numPr>
        <w:spacing w:after="0" w:line="240" w:lineRule="auto"/>
        <w:ind w:left="1080"/>
        <w:jc w:val="both"/>
        <w:rPr>
          <w:bCs/>
        </w:rPr>
      </w:pPr>
      <w:r>
        <w:rPr>
          <w:bCs/>
        </w:rPr>
        <w:t>R</w:t>
      </w:r>
      <w:r w:rsidRPr="000F129B" w:rsidR="00815B40">
        <w:rPr>
          <w:bCs/>
        </w:rPr>
        <w:t>eliance</w:t>
      </w:r>
      <w:r w:rsidR="000F129B">
        <w:rPr>
          <w:bCs/>
        </w:rPr>
        <w:t xml:space="preserve"> </w:t>
      </w:r>
      <w:r w:rsidR="003220ED">
        <w:rPr>
          <w:bCs/>
        </w:rPr>
        <w:t>on stringent regulatory authorities</w:t>
      </w:r>
      <w:r w:rsidR="000F129B">
        <w:rPr>
          <w:bCs/>
        </w:rPr>
        <w:t>;</w:t>
      </w:r>
    </w:p>
    <w:p w:rsidR="003220ED" w:rsidP="003220ED" w:rsidRDefault="006A1E52">
      <w:pPr>
        <w:pStyle w:val="ListParagraph"/>
        <w:numPr>
          <w:ilvl w:val="1"/>
          <w:numId w:val="2"/>
        </w:numPr>
        <w:spacing w:after="0" w:line="240" w:lineRule="auto"/>
        <w:ind w:left="1080"/>
        <w:jc w:val="both"/>
        <w:rPr>
          <w:bCs/>
        </w:rPr>
      </w:pPr>
      <w:r>
        <w:rPr>
          <w:bCs/>
        </w:rPr>
        <w:t>C</w:t>
      </w:r>
      <w:r w:rsidRPr="003220ED" w:rsidR="003220ED">
        <w:rPr>
          <w:bCs/>
        </w:rPr>
        <w:t>reation and expansion of e</w:t>
      </w:r>
      <w:r w:rsidRPr="003220ED" w:rsidR="00F00FF8">
        <w:rPr>
          <w:bCs/>
        </w:rPr>
        <w:t xml:space="preserve">xpedited </w:t>
      </w:r>
      <w:r w:rsidRPr="003220ED" w:rsidR="003220ED">
        <w:rPr>
          <w:bCs/>
        </w:rPr>
        <w:t>or</w:t>
      </w:r>
      <w:r w:rsidRPr="003220ED" w:rsidR="00F00FF8">
        <w:rPr>
          <w:bCs/>
        </w:rPr>
        <w:t xml:space="preserve"> facilitated regulatory pathways</w:t>
      </w:r>
      <w:r w:rsidRPr="003220ED" w:rsidR="003220ED">
        <w:rPr>
          <w:bCs/>
        </w:rPr>
        <w:t>;</w:t>
      </w:r>
    </w:p>
    <w:p w:rsidR="00F21F1B" w:rsidP="003220ED" w:rsidRDefault="006A1E52">
      <w:pPr>
        <w:pStyle w:val="ListParagraph"/>
        <w:numPr>
          <w:ilvl w:val="1"/>
          <w:numId w:val="2"/>
        </w:numPr>
        <w:spacing w:after="0" w:line="240" w:lineRule="auto"/>
        <w:ind w:left="1080"/>
        <w:jc w:val="both"/>
        <w:rPr>
          <w:bCs/>
        </w:rPr>
      </w:pPr>
      <w:r>
        <w:rPr>
          <w:bCs/>
        </w:rPr>
        <w:t>U</w:t>
      </w:r>
      <w:r w:rsidR="00F21F1B">
        <w:rPr>
          <w:bCs/>
        </w:rPr>
        <w:t xml:space="preserve">se of third-party </w:t>
      </w:r>
      <w:r w:rsidR="003E71F5">
        <w:rPr>
          <w:bCs/>
        </w:rPr>
        <w:t>reviews</w:t>
      </w:r>
      <w:r w:rsidR="00F21F1B">
        <w:rPr>
          <w:bCs/>
        </w:rPr>
        <w:t xml:space="preserve"> for low-risk medical devices;</w:t>
      </w:r>
    </w:p>
    <w:p w:rsidR="003220ED" w:rsidP="003220ED" w:rsidRDefault="006A1E52">
      <w:pPr>
        <w:pStyle w:val="ListParagraph"/>
        <w:numPr>
          <w:ilvl w:val="1"/>
          <w:numId w:val="2"/>
        </w:numPr>
        <w:spacing w:after="0" w:line="240" w:lineRule="auto"/>
        <w:ind w:left="1080"/>
        <w:jc w:val="both"/>
        <w:rPr>
          <w:bCs/>
        </w:rPr>
      </w:pPr>
      <w:r>
        <w:rPr>
          <w:bCs/>
        </w:rPr>
        <w:t>C</w:t>
      </w:r>
      <w:r w:rsidR="003220ED">
        <w:rPr>
          <w:bCs/>
        </w:rPr>
        <w:t>ollection and use of r</w:t>
      </w:r>
      <w:r w:rsidRPr="003220ED" w:rsidR="00F00FF8">
        <w:rPr>
          <w:bCs/>
        </w:rPr>
        <w:t>eal world evidence</w:t>
      </w:r>
      <w:r w:rsidR="003220ED">
        <w:rPr>
          <w:bCs/>
        </w:rPr>
        <w:t>;</w:t>
      </w:r>
    </w:p>
    <w:p w:rsidR="0056215F" w:rsidP="003220ED" w:rsidRDefault="006A1E52">
      <w:pPr>
        <w:pStyle w:val="ListParagraph"/>
        <w:numPr>
          <w:ilvl w:val="1"/>
          <w:numId w:val="2"/>
        </w:numPr>
        <w:spacing w:after="0" w:line="240" w:lineRule="auto"/>
        <w:ind w:left="1080"/>
        <w:jc w:val="both"/>
        <w:rPr>
          <w:bCs/>
        </w:rPr>
      </w:pPr>
      <w:r>
        <w:rPr>
          <w:bCs/>
        </w:rPr>
        <w:t>D</w:t>
      </w:r>
      <w:r w:rsidR="00F21F1B">
        <w:rPr>
          <w:bCs/>
        </w:rPr>
        <w:t xml:space="preserve">igital </w:t>
      </w:r>
      <w:r w:rsidR="00292310">
        <w:rPr>
          <w:bCs/>
        </w:rPr>
        <w:t>technologies</w:t>
      </w:r>
      <w:r w:rsidR="00F21F1B">
        <w:rPr>
          <w:bCs/>
        </w:rPr>
        <w:t xml:space="preserve"> (</w:t>
      </w:r>
      <w:r w:rsidR="00292310">
        <w:rPr>
          <w:bCs/>
        </w:rPr>
        <w:t xml:space="preserve">for </w:t>
      </w:r>
      <w:r w:rsidR="0056215F">
        <w:rPr>
          <w:bCs/>
        </w:rPr>
        <w:t>research and development);</w:t>
      </w:r>
      <w:r>
        <w:rPr>
          <w:bCs/>
        </w:rPr>
        <w:t xml:space="preserve"> and,</w:t>
      </w:r>
    </w:p>
    <w:p w:rsidRPr="006A1E52" w:rsidR="00F21F1B" w:rsidP="006A1E52" w:rsidRDefault="006A1E52">
      <w:pPr>
        <w:pStyle w:val="ListParagraph"/>
        <w:numPr>
          <w:ilvl w:val="1"/>
          <w:numId w:val="2"/>
        </w:numPr>
        <w:spacing w:after="0" w:line="240" w:lineRule="auto"/>
        <w:ind w:left="1080"/>
        <w:jc w:val="both"/>
        <w:rPr>
          <w:bCs/>
        </w:rPr>
      </w:pPr>
      <w:r>
        <w:rPr>
          <w:bCs/>
        </w:rPr>
        <w:t>P</w:t>
      </w:r>
      <w:r w:rsidR="00F21F1B">
        <w:rPr>
          <w:bCs/>
        </w:rPr>
        <w:t xml:space="preserve">atient-centered drug </w:t>
      </w:r>
      <w:r>
        <w:rPr>
          <w:bCs/>
        </w:rPr>
        <w:t>development.</w:t>
      </w:r>
    </w:p>
    <w:p w:rsidRPr="00F21F1B" w:rsidR="00F21F1B" w:rsidP="00F21F1B" w:rsidRDefault="00F21F1B">
      <w:pPr>
        <w:spacing w:after="0" w:line="240" w:lineRule="auto"/>
        <w:jc w:val="both"/>
        <w:rPr>
          <w:bCs/>
        </w:rPr>
      </w:pPr>
    </w:p>
    <w:p w:rsidR="00003DEB" w:rsidP="00003DEB" w:rsidRDefault="00CD5854">
      <w:pPr>
        <w:pStyle w:val="ListParagraph"/>
        <w:numPr>
          <w:ilvl w:val="0"/>
          <w:numId w:val="2"/>
        </w:numPr>
        <w:spacing w:after="0" w:line="240" w:lineRule="auto"/>
        <w:ind w:left="360"/>
        <w:jc w:val="both"/>
        <w:rPr>
          <w:bCs/>
        </w:rPr>
      </w:pPr>
      <w:r>
        <w:rPr>
          <w:b/>
          <w:bCs/>
        </w:rPr>
        <w:t>P</w:t>
      </w:r>
      <w:r w:rsidRPr="00C8675A" w:rsidR="003D703B">
        <w:rPr>
          <w:b/>
          <w:bCs/>
        </w:rPr>
        <w:t xml:space="preserve">D </w:t>
      </w:r>
      <w:r w:rsidR="00AC5819">
        <w:rPr>
          <w:b/>
          <w:bCs/>
        </w:rPr>
        <w:t xml:space="preserve">participants </w:t>
      </w:r>
      <w:r w:rsidRPr="00C8675A" w:rsidR="003D703B">
        <w:rPr>
          <w:b/>
          <w:bCs/>
        </w:rPr>
        <w:t xml:space="preserve">applauded the </w:t>
      </w:r>
      <w:r w:rsidRPr="00C8675A" w:rsidR="00CD1F72">
        <w:rPr>
          <w:b/>
          <w:bCs/>
        </w:rPr>
        <w:t>RHSC</w:t>
      </w:r>
      <w:r w:rsidRPr="00C8675A" w:rsidR="003D703B">
        <w:rPr>
          <w:b/>
          <w:bCs/>
        </w:rPr>
        <w:t xml:space="preserve"> for </w:t>
      </w:r>
      <w:r w:rsidR="008D5D81">
        <w:rPr>
          <w:b/>
          <w:bCs/>
        </w:rPr>
        <w:t xml:space="preserve">continuing to </w:t>
      </w:r>
      <w:r w:rsidR="00302E03">
        <w:rPr>
          <w:b/>
          <w:bCs/>
        </w:rPr>
        <w:t xml:space="preserve">improve and </w:t>
      </w:r>
      <w:r w:rsidR="008D5D81">
        <w:rPr>
          <w:b/>
          <w:bCs/>
        </w:rPr>
        <w:t>scale its</w:t>
      </w:r>
      <w:r w:rsidRPr="00C8675A" w:rsidR="003D703B">
        <w:rPr>
          <w:b/>
          <w:bCs/>
        </w:rPr>
        <w:t xml:space="preserve"> </w:t>
      </w:r>
      <w:r w:rsidRPr="00C8675A" w:rsidR="00CD1F72">
        <w:rPr>
          <w:b/>
          <w:bCs/>
        </w:rPr>
        <w:t xml:space="preserve">network of </w:t>
      </w:r>
      <w:r w:rsidR="008D5D81">
        <w:rPr>
          <w:b/>
          <w:bCs/>
        </w:rPr>
        <w:t xml:space="preserve">Training Centers of </w:t>
      </w:r>
      <w:r w:rsidRPr="00C8675A" w:rsidR="00CD1F72">
        <w:rPr>
          <w:b/>
          <w:bCs/>
        </w:rPr>
        <w:t xml:space="preserve">Excellence </w:t>
      </w:r>
      <w:r w:rsidR="008D5D81">
        <w:rPr>
          <w:b/>
          <w:bCs/>
        </w:rPr>
        <w:t xml:space="preserve">for </w:t>
      </w:r>
      <w:r w:rsidRPr="00C8675A" w:rsidR="008D5D81">
        <w:rPr>
          <w:b/>
          <w:bCs/>
        </w:rPr>
        <w:t>Regulatory Science</w:t>
      </w:r>
      <w:r w:rsidR="008D5D81">
        <w:rPr>
          <w:b/>
          <w:bCs/>
        </w:rPr>
        <w:t xml:space="preserve"> </w:t>
      </w:r>
      <w:r w:rsidRPr="00C8675A" w:rsidR="00CD1F72">
        <w:rPr>
          <w:b/>
          <w:bCs/>
        </w:rPr>
        <w:t>(CoE</w:t>
      </w:r>
      <w:r w:rsidR="008D5D81">
        <w:rPr>
          <w:b/>
          <w:bCs/>
        </w:rPr>
        <w:t>s</w:t>
      </w:r>
      <w:r w:rsidRPr="00C8675A" w:rsidR="00CD1F72">
        <w:rPr>
          <w:b/>
          <w:bCs/>
        </w:rPr>
        <w:t>) to build skilled human capacity</w:t>
      </w:r>
      <w:r w:rsidRPr="00C8675A" w:rsidR="00C8675A">
        <w:rPr>
          <w:b/>
          <w:bCs/>
        </w:rPr>
        <w:t>, and urged regulatory authorities to send participants and also provide support in the form of faculty</w:t>
      </w:r>
      <w:r w:rsidR="00302E03">
        <w:rPr>
          <w:bCs/>
        </w:rPr>
        <w:t>.</w:t>
      </w:r>
      <w:r w:rsidRPr="00CD1F72" w:rsidR="00CD1F72">
        <w:rPr>
          <w:bCs/>
        </w:rPr>
        <w:t xml:space="preserve"> </w:t>
      </w:r>
      <w:r w:rsidR="00302E03">
        <w:rPr>
          <w:bCs/>
        </w:rPr>
        <w:t>PD</w:t>
      </w:r>
      <w:r w:rsidRPr="00CD1F72" w:rsidR="00CD1F72">
        <w:rPr>
          <w:bCs/>
        </w:rPr>
        <w:t xml:space="preserve"> participants noted that CoEs will </w:t>
      </w:r>
      <w:r w:rsidR="00012863">
        <w:rPr>
          <w:bCs/>
        </w:rPr>
        <w:t xml:space="preserve">continue to </w:t>
      </w:r>
      <w:r w:rsidRPr="00CD1F72" w:rsidR="00CD1F72">
        <w:rPr>
          <w:bCs/>
        </w:rPr>
        <w:t xml:space="preserve">serve as a key pillar to advancing the RHSC’s regulatory convergence goal. </w:t>
      </w:r>
    </w:p>
    <w:p w:rsidR="00003DEB" w:rsidP="00003DEB" w:rsidRDefault="00003DEB">
      <w:pPr>
        <w:pStyle w:val="ListParagraph"/>
        <w:spacing w:after="0" w:line="240" w:lineRule="auto"/>
        <w:ind w:left="360"/>
        <w:jc w:val="both"/>
        <w:rPr>
          <w:bCs/>
        </w:rPr>
      </w:pPr>
    </w:p>
    <w:p w:rsidR="00003DEB" w:rsidP="00003DEB" w:rsidRDefault="00CD1F72">
      <w:pPr>
        <w:pStyle w:val="ListParagraph"/>
        <w:spacing w:after="0" w:line="240" w:lineRule="auto"/>
        <w:ind w:left="360"/>
        <w:jc w:val="both"/>
        <w:rPr>
          <w:bCs/>
        </w:rPr>
      </w:pPr>
      <w:r w:rsidRPr="00CD1F72">
        <w:rPr>
          <w:bCs/>
        </w:rPr>
        <w:t>It was</w:t>
      </w:r>
      <w:r w:rsidR="00C8675A">
        <w:rPr>
          <w:bCs/>
        </w:rPr>
        <w:t xml:space="preserve"> also</w:t>
      </w:r>
      <w:r w:rsidRPr="00CD1F72">
        <w:rPr>
          <w:bCs/>
        </w:rPr>
        <w:t xml:space="preserve"> noted that the CoE network complements ICH </w:t>
      </w:r>
      <w:r w:rsidR="00302E03">
        <w:rPr>
          <w:bCs/>
        </w:rPr>
        <w:t xml:space="preserve">and IMDRF </w:t>
      </w:r>
      <w:r w:rsidRPr="00CD1F72">
        <w:rPr>
          <w:bCs/>
        </w:rPr>
        <w:t xml:space="preserve">by helping supporting the gradual adoption of internationally recognized technical guidance documents, standards and scientific principles through training. </w:t>
      </w:r>
      <w:r w:rsidR="00003DEB">
        <w:rPr>
          <w:bCs/>
        </w:rPr>
        <w:t>As of 2019</w:t>
      </w:r>
      <w:r w:rsidRPr="00003DEB" w:rsidR="00003DEB">
        <w:rPr>
          <w:bCs/>
        </w:rPr>
        <w:t xml:space="preserve"> across </w:t>
      </w:r>
      <w:r w:rsidR="00012863">
        <w:rPr>
          <w:bCs/>
        </w:rPr>
        <w:t>nine</w:t>
      </w:r>
      <w:r w:rsidRPr="00003DEB" w:rsidR="00003DEB">
        <w:rPr>
          <w:bCs/>
        </w:rPr>
        <w:t xml:space="preserve"> APEC economies there are </w:t>
      </w:r>
      <w:r w:rsidR="00012863">
        <w:rPr>
          <w:bCs/>
        </w:rPr>
        <w:t>1</w:t>
      </w:r>
      <w:r w:rsidR="00464A8F">
        <w:rPr>
          <w:bCs/>
        </w:rPr>
        <w:t>6</w:t>
      </w:r>
      <w:r w:rsidRPr="00003DEB" w:rsidR="00003DEB">
        <w:rPr>
          <w:bCs/>
        </w:rPr>
        <w:t xml:space="preserve"> Centers of Excellence hosting 23 workshops this year, which will train hundreds of regulators.</w:t>
      </w:r>
      <w:r w:rsidR="00003DEB">
        <w:rPr>
          <w:bCs/>
        </w:rPr>
        <w:t xml:space="preserve"> </w:t>
      </w:r>
    </w:p>
    <w:p w:rsidR="00F42262" w:rsidP="00003DEB" w:rsidRDefault="00F42262">
      <w:pPr>
        <w:pStyle w:val="ListParagraph"/>
        <w:spacing w:after="0" w:line="240" w:lineRule="auto"/>
        <w:ind w:left="360"/>
        <w:jc w:val="both"/>
        <w:rPr>
          <w:bCs/>
        </w:rPr>
      </w:pPr>
    </w:p>
    <w:p w:rsidRPr="001E0933" w:rsidR="00F42262" w:rsidP="00003DEB" w:rsidRDefault="00A466BF">
      <w:pPr>
        <w:pStyle w:val="ListParagraph"/>
        <w:spacing w:after="0" w:line="240" w:lineRule="auto"/>
        <w:ind w:left="360"/>
        <w:jc w:val="both"/>
        <w:rPr>
          <w:bCs/>
        </w:rPr>
      </w:pPr>
      <w:r w:rsidRPr="00A466BF">
        <w:rPr>
          <w:bCs/>
        </w:rPr>
        <w:t>The PD participants</w:t>
      </w:r>
      <w:r>
        <w:rPr>
          <w:bCs/>
        </w:rPr>
        <w:t xml:space="preserve"> encouraged RHSC and CoEs to </w:t>
      </w:r>
      <w:r w:rsidRPr="00A466BF">
        <w:rPr>
          <w:b/>
          <w:bCs/>
        </w:rPr>
        <w:t>develop and track</w:t>
      </w:r>
      <w:r>
        <w:rPr>
          <w:b/>
          <w:bCs/>
        </w:rPr>
        <w:t xml:space="preserve"> </w:t>
      </w:r>
      <w:r w:rsidR="00F00FF8">
        <w:rPr>
          <w:b/>
          <w:bCs/>
        </w:rPr>
        <w:t xml:space="preserve">KPIs </w:t>
      </w:r>
      <w:r w:rsidR="00F42262">
        <w:rPr>
          <w:b/>
          <w:bCs/>
        </w:rPr>
        <w:t xml:space="preserve">to measure </w:t>
      </w:r>
      <w:r>
        <w:rPr>
          <w:b/>
          <w:bCs/>
        </w:rPr>
        <w:t>not only the outputs and outcomes of training activities, but their impact both the short- and long-term.</w:t>
      </w:r>
      <w:r w:rsidR="001E0933">
        <w:rPr>
          <w:b/>
          <w:bCs/>
        </w:rPr>
        <w:t xml:space="preserve"> </w:t>
      </w:r>
      <w:r w:rsidR="001E0933">
        <w:rPr>
          <w:bCs/>
        </w:rPr>
        <w:t xml:space="preserve">Improving the impact of training activities may also require renewed focus on developing consistently recurring, long-term programs to teach and test students instead of single, </w:t>
      </w:r>
      <w:r w:rsidRPr="001E0933" w:rsidR="001E0933">
        <w:rPr>
          <w:bCs/>
          <w:i/>
        </w:rPr>
        <w:t>ad hoc</w:t>
      </w:r>
      <w:r w:rsidRPr="001E0933" w:rsidR="001E0933">
        <w:rPr>
          <w:bCs/>
        </w:rPr>
        <w:t xml:space="preserve"> </w:t>
      </w:r>
      <w:r w:rsidR="001E0933">
        <w:rPr>
          <w:bCs/>
        </w:rPr>
        <w:t>programs.</w:t>
      </w:r>
    </w:p>
    <w:p w:rsidR="00F42262" w:rsidP="00F42262" w:rsidRDefault="00F42262">
      <w:pPr>
        <w:spacing w:after="0" w:line="240" w:lineRule="auto"/>
        <w:ind w:left="360"/>
        <w:jc w:val="both"/>
        <w:rPr>
          <w:b/>
          <w:bCs/>
        </w:rPr>
      </w:pPr>
    </w:p>
    <w:p w:rsidRPr="00F42262" w:rsidR="00F42262" w:rsidP="00F42262" w:rsidRDefault="00F42262">
      <w:pPr>
        <w:spacing w:after="0" w:line="240" w:lineRule="auto"/>
        <w:ind w:left="360"/>
        <w:jc w:val="both"/>
        <w:rPr>
          <w:bCs/>
        </w:rPr>
      </w:pPr>
      <w:r>
        <w:rPr>
          <w:bCs/>
        </w:rPr>
        <w:t xml:space="preserve">The PD participants </w:t>
      </w:r>
      <w:r w:rsidRPr="00A466BF">
        <w:rPr>
          <w:bCs/>
        </w:rPr>
        <w:t xml:space="preserve">urged RHSC </w:t>
      </w:r>
      <w:r w:rsidRPr="00A466BF" w:rsidR="00A466BF">
        <w:rPr>
          <w:bCs/>
        </w:rPr>
        <w:t>and CoEs</w:t>
      </w:r>
      <w:r w:rsidR="00A466BF">
        <w:rPr>
          <w:b/>
          <w:bCs/>
        </w:rPr>
        <w:t xml:space="preserve"> </w:t>
      </w:r>
      <w:r w:rsidRPr="00A466BF">
        <w:rPr>
          <w:bCs/>
        </w:rPr>
        <w:t>to</w:t>
      </w:r>
      <w:r w:rsidRPr="00922C92">
        <w:rPr>
          <w:b/>
          <w:bCs/>
        </w:rPr>
        <w:t xml:space="preserve"> consider </w:t>
      </w:r>
      <w:r w:rsidR="00A466BF">
        <w:rPr>
          <w:b/>
          <w:bCs/>
        </w:rPr>
        <w:t>strategies</w:t>
      </w:r>
      <w:r w:rsidRPr="00922C92">
        <w:rPr>
          <w:b/>
          <w:bCs/>
        </w:rPr>
        <w:t xml:space="preserve"> to increase the geographic diversity and reach of </w:t>
      </w:r>
      <w:r w:rsidR="00A466BF">
        <w:rPr>
          <w:b/>
          <w:bCs/>
        </w:rPr>
        <w:t>training programs</w:t>
      </w:r>
      <w:r w:rsidRPr="00922C92">
        <w:rPr>
          <w:b/>
          <w:bCs/>
        </w:rPr>
        <w:t xml:space="preserve">, </w:t>
      </w:r>
      <w:r>
        <w:rPr>
          <w:b/>
          <w:bCs/>
        </w:rPr>
        <w:t xml:space="preserve">such as through ‘roadshows’ and other traveling or remote programs, </w:t>
      </w:r>
      <w:r w:rsidRPr="00922C92">
        <w:rPr>
          <w:b/>
          <w:bCs/>
        </w:rPr>
        <w:t xml:space="preserve">as well as </w:t>
      </w:r>
      <w:r w:rsidR="00A466BF">
        <w:rPr>
          <w:b/>
          <w:bCs/>
        </w:rPr>
        <w:t xml:space="preserve">strategies to improve the </w:t>
      </w:r>
      <w:r w:rsidRPr="00922C92">
        <w:rPr>
          <w:b/>
          <w:bCs/>
        </w:rPr>
        <w:t>financial sustainability</w:t>
      </w:r>
      <w:r w:rsidR="00A466BF">
        <w:rPr>
          <w:b/>
          <w:bCs/>
        </w:rPr>
        <w:t xml:space="preserve"> of programs</w:t>
      </w:r>
      <w:r w:rsidRPr="00922C92">
        <w:rPr>
          <w:b/>
          <w:bCs/>
        </w:rPr>
        <w:t>.</w:t>
      </w:r>
    </w:p>
    <w:p w:rsidR="00003DEB" w:rsidP="00003DEB" w:rsidRDefault="00003DEB">
      <w:pPr>
        <w:pStyle w:val="ListParagraph"/>
        <w:spacing w:after="0" w:line="240" w:lineRule="auto"/>
        <w:ind w:left="360"/>
        <w:jc w:val="both"/>
        <w:rPr>
          <w:bCs/>
        </w:rPr>
      </w:pPr>
    </w:p>
    <w:p w:rsidRPr="00C8675A" w:rsidR="001A7CB5" w:rsidP="00003DEB" w:rsidRDefault="0022632D">
      <w:pPr>
        <w:pStyle w:val="ListParagraph"/>
        <w:spacing w:after="0" w:line="240" w:lineRule="auto"/>
        <w:ind w:left="360"/>
        <w:jc w:val="both"/>
        <w:rPr>
          <w:bCs/>
        </w:rPr>
      </w:pPr>
      <w:r>
        <w:rPr>
          <w:bCs/>
          <w:i/>
        </w:rPr>
        <w:t>See Annex 3</w:t>
      </w:r>
      <w:r w:rsidRPr="00C8675A" w:rsidR="000A559D">
        <w:rPr>
          <w:bCs/>
          <w:i/>
        </w:rPr>
        <w:t xml:space="preserve"> for CoEs that have </w:t>
      </w:r>
      <w:r w:rsidRPr="00C8675A" w:rsidR="00C1130E">
        <w:rPr>
          <w:bCs/>
          <w:i/>
        </w:rPr>
        <w:t xml:space="preserve">been endorsed by the RHSC and are now </w:t>
      </w:r>
      <w:r w:rsidRPr="00C8675A" w:rsidR="00AE7EC8">
        <w:rPr>
          <w:bCs/>
          <w:i/>
        </w:rPr>
        <w:t>operational</w:t>
      </w:r>
      <w:r w:rsidRPr="00C8675A" w:rsidR="000A559D">
        <w:rPr>
          <w:bCs/>
          <w:i/>
        </w:rPr>
        <w:t>, as well as pilots for additional CoEs have been endorsed by the RHSC.</w:t>
      </w:r>
    </w:p>
    <w:p w:rsidR="006F27E5" w:rsidP="0036765C" w:rsidRDefault="006F27E5">
      <w:pPr>
        <w:pStyle w:val="ListParagraph"/>
        <w:spacing w:after="0" w:line="240" w:lineRule="auto"/>
        <w:ind w:left="360"/>
        <w:jc w:val="both"/>
        <w:rPr>
          <w:bCs/>
        </w:rPr>
      </w:pPr>
    </w:p>
    <w:p w:rsidR="00003DEB" w:rsidP="0036765C" w:rsidRDefault="003F1914">
      <w:pPr>
        <w:pStyle w:val="ListParagraph"/>
        <w:numPr>
          <w:ilvl w:val="0"/>
          <w:numId w:val="2"/>
        </w:numPr>
        <w:spacing w:after="0" w:line="240" w:lineRule="auto"/>
        <w:ind w:left="360"/>
        <w:jc w:val="both"/>
        <w:rPr>
          <w:bCs/>
        </w:rPr>
      </w:pPr>
      <w:r>
        <w:rPr>
          <w:b/>
          <w:bCs/>
        </w:rPr>
        <w:t>PD</w:t>
      </w:r>
      <w:r w:rsidRPr="00C8675A" w:rsidR="00C8675A">
        <w:rPr>
          <w:b/>
          <w:bCs/>
        </w:rPr>
        <w:t xml:space="preserve"> </w:t>
      </w:r>
      <w:r w:rsidR="00AC5819">
        <w:rPr>
          <w:b/>
          <w:bCs/>
        </w:rPr>
        <w:t xml:space="preserve">participants </w:t>
      </w:r>
      <w:r w:rsidRPr="00C8675A" w:rsidR="00C8675A">
        <w:rPr>
          <w:b/>
          <w:bCs/>
        </w:rPr>
        <w:t>concluded that all relevant stakeholders – among them regulators and regulated i</w:t>
      </w:r>
      <w:r w:rsidR="00C66C0A">
        <w:rPr>
          <w:b/>
          <w:bCs/>
        </w:rPr>
        <w:t xml:space="preserve">ndustry – should </w:t>
      </w:r>
      <w:r w:rsidRPr="00C8675A" w:rsidR="00C66C0A">
        <w:rPr>
          <w:b/>
          <w:bCs/>
        </w:rPr>
        <w:t>appropriately</w:t>
      </w:r>
      <w:r w:rsidR="00C66C0A">
        <w:rPr>
          <w:b/>
          <w:bCs/>
        </w:rPr>
        <w:t xml:space="preserve"> prioritize and</w:t>
      </w:r>
      <w:r w:rsidRPr="00C8675A" w:rsidR="00C8675A">
        <w:rPr>
          <w:b/>
          <w:bCs/>
        </w:rPr>
        <w:t xml:space="preserve"> resource regulatory convergence efforts</w:t>
      </w:r>
      <w:r w:rsidR="00C66C0A">
        <w:rPr>
          <w:b/>
          <w:bCs/>
        </w:rPr>
        <w:t xml:space="preserve"> within the context of their own economies</w:t>
      </w:r>
      <w:r w:rsidRPr="00C8675A" w:rsidR="00C8675A">
        <w:rPr>
          <w:b/>
          <w:bCs/>
        </w:rPr>
        <w:t>.</w:t>
      </w:r>
      <w:r w:rsidRPr="00C437AF" w:rsidR="00C8675A">
        <w:rPr>
          <w:bCs/>
        </w:rPr>
        <w:t xml:space="preserve"> This includes</w:t>
      </w:r>
      <w:r w:rsidR="00C8675A">
        <w:rPr>
          <w:bCs/>
        </w:rPr>
        <w:t xml:space="preserve"> promoting the use of existing international guidelines, </w:t>
      </w:r>
      <w:r w:rsidRPr="00C437AF" w:rsidR="00C8675A">
        <w:rPr>
          <w:bCs/>
        </w:rPr>
        <w:t>supporting a strategic and coordinated approach to regulatory convergence</w:t>
      </w:r>
      <w:r w:rsidR="00012863">
        <w:rPr>
          <w:bCs/>
        </w:rPr>
        <w:t>,</w:t>
      </w:r>
      <w:r w:rsidRPr="00C437AF" w:rsidR="00C8675A">
        <w:rPr>
          <w:bCs/>
        </w:rPr>
        <w:t xml:space="preserve"> and building </w:t>
      </w:r>
      <w:r w:rsidR="00012863">
        <w:rPr>
          <w:bCs/>
        </w:rPr>
        <w:t>human and regulatory capacity</w:t>
      </w:r>
      <w:r w:rsidRPr="00C437AF" w:rsidR="00C8675A">
        <w:rPr>
          <w:bCs/>
        </w:rPr>
        <w:t>, such as</w:t>
      </w:r>
      <w:r>
        <w:rPr>
          <w:bCs/>
        </w:rPr>
        <w:t xml:space="preserve"> the approach taken by the </w:t>
      </w:r>
      <w:r w:rsidRPr="00C437AF" w:rsidR="00C8675A">
        <w:rPr>
          <w:bCs/>
        </w:rPr>
        <w:t>RHSC and its partners such as the</w:t>
      </w:r>
      <w:r>
        <w:rPr>
          <w:bCs/>
        </w:rPr>
        <w:t xml:space="preserve"> LSIF and</w:t>
      </w:r>
      <w:r w:rsidRPr="00C437AF" w:rsidR="00C8675A">
        <w:rPr>
          <w:bCs/>
        </w:rPr>
        <w:t xml:space="preserve"> </w:t>
      </w:r>
      <w:r>
        <w:rPr>
          <w:bCs/>
        </w:rPr>
        <w:t>AHC.</w:t>
      </w:r>
    </w:p>
    <w:p w:rsidR="00003DEB" w:rsidP="00003DEB" w:rsidRDefault="00003DEB">
      <w:pPr>
        <w:pStyle w:val="ListParagraph"/>
        <w:spacing w:after="0" w:line="240" w:lineRule="auto"/>
        <w:ind w:left="360"/>
        <w:jc w:val="both"/>
        <w:rPr>
          <w:bCs/>
        </w:rPr>
      </w:pPr>
    </w:p>
    <w:p w:rsidR="00C8675A" w:rsidP="00003DEB" w:rsidRDefault="00C8675A">
      <w:pPr>
        <w:pStyle w:val="ListParagraph"/>
        <w:spacing w:after="0" w:line="240" w:lineRule="auto"/>
        <w:ind w:left="360"/>
        <w:jc w:val="both"/>
        <w:rPr>
          <w:bCs/>
        </w:rPr>
      </w:pPr>
      <w:r>
        <w:rPr>
          <w:bCs/>
        </w:rPr>
        <w:t xml:space="preserve">In addition, stakeholders should </w:t>
      </w:r>
      <w:r w:rsidRPr="00AE7EC8">
        <w:rPr>
          <w:bCs/>
        </w:rPr>
        <w:t>promote complementary action and make maximum use of resources</w:t>
      </w:r>
      <w:r>
        <w:rPr>
          <w:bCs/>
        </w:rPr>
        <w:t xml:space="preserve">, for example by maintaining a focus on using the </w:t>
      </w:r>
      <w:r w:rsidR="003F1914">
        <w:rPr>
          <w:bCs/>
        </w:rPr>
        <w:t xml:space="preserve">ICH, IMDRF, and others </w:t>
      </w:r>
      <w:r>
        <w:rPr>
          <w:bCs/>
        </w:rPr>
        <w:t>to develop guidelines while leveraging RHSC to implement such guidance by building skilled human capacity.</w:t>
      </w:r>
    </w:p>
    <w:p w:rsidR="00AC5819" w:rsidP="00177095" w:rsidRDefault="00AC5819">
      <w:pPr>
        <w:pStyle w:val="ListParagraph"/>
        <w:spacing w:after="0" w:line="240" w:lineRule="auto"/>
        <w:ind w:left="360"/>
        <w:jc w:val="both"/>
        <w:rPr>
          <w:bCs/>
        </w:rPr>
      </w:pPr>
    </w:p>
    <w:p w:rsidR="00C537D4" w:rsidP="00C537D4" w:rsidRDefault="00AC5819">
      <w:pPr>
        <w:pStyle w:val="ListParagraph"/>
        <w:numPr>
          <w:ilvl w:val="0"/>
          <w:numId w:val="2"/>
        </w:numPr>
        <w:spacing w:after="0" w:line="240" w:lineRule="auto"/>
        <w:ind w:left="360"/>
        <w:jc w:val="both"/>
        <w:rPr>
          <w:bCs/>
        </w:rPr>
      </w:pPr>
      <w:r w:rsidRPr="000F129B">
        <w:rPr>
          <w:b/>
          <w:bCs/>
        </w:rPr>
        <w:t xml:space="preserve">The PD included a session on </w:t>
      </w:r>
      <w:r w:rsidRPr="000F129B" w:rsidR="00717EFE">
        <w:rPr>
          <w:b/>
          <w:bCs/>
        </w:rPr>
        <w:t>“Innovation and Regulatory Convergence from Beyond APEC”</w:t>
      </w:r>
      <w:r w:rsidRPr="000F129B">
        <w:rPr>
          <w:b/>
          <w:bCs/>
        </w:rPr>
        <w:t xml:space="preserve"> </w:t>
      </w:r>
      <w:r w:rsidRPr="000F129B" w:rsidR="00717EFE">
        <w:rPr>
          <w:b/>
          <w:bCs/>
        </w:rPr>
        <w:t xml:space="preserve">with invited guests from Brazil, Colombia, and the Pan American Health Organization, </w:t>
      </w:r>
      <w:r w:rsidRPr="000F129B">
        <w:rPr>
          <w:b/>
          <w:bCs/>
        </w:rPr>
        <w:t>and reflected on future collabor</w:t>
      </w:r>
      <w:r w:rsidRPr="000F129B" w:rsidR="00717EFE">
        <w:rPr>
          <w:b/>
          <w:bCs/>
        </w:rPr>
        <w:t>ation and coordination with non-</w:t>
      </w:r>
      <w:r w:rsidRPr="000F129B">
        <w:rPr>
          <w:b/>
          <w:bCs/>
        </w:rPr>
        <w:t>APEC economies</w:t>
      </w:r>
      <w:r>
        <w:rPr>
          <w:bCs/>
        </w:rPr>
        <w:t xml:space="preserve"> in areas such as:</w:t>
      </w:r>
    </w:p>
    <w:p w:rsidR="00C537D4" w:rsidP="000B1512" w:rsidRDefault="00C537D4">
      <w:pPr>
        <w:pStyle w:val="ListParagraph"/>
        <w:numPr>
          <w:ilvl w:val="1"/>
          <w:numId w:val="2"/>
        </w:numPr>
        <w:spacing w:after="0" w:line="240" w:lineRule="auto"/>
        <w:ind w:left="1080"/>
        <w:jc w:val="both"/>
        <w:rPr>
          <w:bCs/>
        </w:rPr>
      </w:pPr>
      <w:r>
        <w:rPr>
          <w:bCs/>
        </w:rPr>
        <w:t>Sharing tra</w:t>
      </w:r>
      <w:r w:rsidR="000F129B">
        <w:rPr>
          <w:bCs/>
        </w:rPr>
        <w:t>ining opportunities with non-APEC economies</w:t>
      </w:r>
      <w:r>
        <w:rPr>
          <w:bCs/>
        </w:rPr>
        <w:t xml:space="preserve"> as interested parties;</w:t>
      </w:r>
    </w:p>
    <w:p w:rsidR="000F129B" w:rsidP="000B1512" w:rsidRDefault="000F129B">
      <w:pPr>
        <w:pStyle w:val="ListParagraph"/>
        <w:numPr>
          <w:ilvl w:val="1"/>
          <w:numId w:val="2"/>
        </w:numPr>
        <w:spacing w:after="0" w:line="240" w:lineRule="auto"/>
        <w:ind w:left="1080"/>
        <w:jc w:val="both"/>
        <w:rPr>
          <w:bCs/>
        </w:rPr>
      </w:pPr>
      <w:r>
        <w:rPr>
          <w:bCs/>
        </w:rPr>
        <w:t>Special briefings for regulatory authorities and leaders in non-APEC economies; and,</w:t>
      </w:r>
    </w:p>
    <w:p w:rsidR="00AC5819" w:rsidP="00816527" w:rsidRDefault="000F129B">
      <w:pPr>
        <w:pStyle w:val="ListParagraph"/>
        <w:numPr>
          <w:ilvl w:val="1"/>
          <w:numId w:val="2"/>
        </w:numPr>
        <w:spacing w:after="0" w:line="240" w:lineRule="auto"/>
        <w:ind w:left="1080"/>
        <w:jc w:val="both"/>
        <w:rPr>
          <w:bCs/>
        </w:rPr>
      </w:pPr>
      <w:r>
        <w:rPr>
          <w:bCs/>
        </w:rPr>
        <w:t>Standing invitations for non-APEC economies to observe RHSC meetings.</w:t>
      </w:r>
    </w:p>
    <w:p w:rsidRPr="0075373E" w:rsidR="0075373E" w:rsidP="0075373E" w:rsidRDefault="0075373E">
      <w:pPr>
        <w:spacing w:after="0" w:line="240" w:lineRule="auto"/>
        <w:jc w:val="both"/>
        <w:rPr>
          <w:bCs/>
        </w:rPr>
      </w:pPr>
    </w:p>
    <w:p w:rsidRPr="0075373E" w:rsidR="00FD194F" w:rsidP="0075373E" w:rsidRDefault="0075373E">
      <w:pPr>
        <w:pStyle w:val="ListParagraph"/>
        <w:numPr>
          <w:ilvl w:val="0"/>
          <w:numId w:val="2"/>
        </w:numPr>
        <w:spacing w:after="0" w:line="240" w:lineRule="auto"/>
        <w:ind w:left="360"/>
        <w:jc w:val="both"/>
        <w:rPr>
          <w:bCs/>
        </w:rPr>
      </w:pPr>
      <w:r>
        <w:rPr>
          <w:b/>
          <w:bCs/>
        </w:rPr>
        <w:t xml:space="preserve">PD participants thanked AHC for its support over the last decade </w:t>
      </w:r>
      <w:r w:rsidR="003063DE">
        <w:rPr>
          <w:b/>
          <w:bCs/>
        </w:rPr>
        <w:t>for pilot CoEs and other training programs, workshops, and the CoE website; and asked the AHC to continue their involvement in the RHSC</w:t>
      </w:r>
      <w:r w:rsidRPr="008118FF" w:rsidR="003063DE">
        <w:rPr>
          <w:bCs/>
        </w:rPr>
        <w:t xml:space="preserve">, focusing their efforts on assisting pilot CoEs, organizing special workshops, and helping lead strategic and high-level projects such as the survey and analysis of the </w:t>
      </w:r>
      <w:r w:rsidRPr="008118FF" w:rsidR="008E6D3F">
        <w:rPr>
          <w:bCs/>
        </w:rPr>
        <w:t>KPIs.</w:t>
      </w:r>
      <w:r w:rsidR="00FD194F">
        <w:br w:type="page"/>
      </w:r>
    </w:p>
    <w:p w:rsidRPr="004F6B26" w:rsidR="00FD194F" w:rsidP="00FD194F" w:rsidRDefault="00302E03">
      <w:pPr>
        <w:pStyle w:val="Heading1"/>
        <w:numPr>
          <w:ilvl w:val="0"/>
          <w:numId w:val="0"/>
        </w:numPr>
      </w:pPr>
      <w:r>
        <w:t>Annex</w:t>
      </w:r>
      <w:r w:rsidR="00FD194F">
        <w:t xml:space="preserve"> 1: Agenda</w:t>
      </w:r>
    </w:p>
    <w:tbl>
      <w:tblPr>
        <w:tblW w:w="103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96"/>
        <w:gridCol w:w="9170"/>
      </w:tblGrid>
      <w:tr w:rsidRPr="00156F6E" w:rsidR="00156F6E" w:rsidTr="00156F6E">
        <w:trPr>
          <w:trHeight w:val="288" w:hRule="exact"/>
          <w:jc w:val="center"/>
        </w:trPr>
        <w:tc>
          <w:tcPr>
            <w:tcW w:w="1196" w:type="dxa"/>
            <w:shd w:val="clear" w:color="auto" w:fill="95B3D7"/>
            <w:vAlign w:val="center"/>
          </w:tcPr>
          <w:p w:rsidRPr="00156F6E" w:rsidR="00156F6E" w:rsidP="00156F6E" w:rsidRDefault="00156F6E">
            <w:pPr>
              <w:widowControl w:val="0"/>
              <w:autoSpaceDE w:val="0"/>
              <w:autoSpaceDN w:val="0"/>
              <w:spacing w:after="0" w:line="240" w:lineRule="auto"/>
              <w:jc w:val="center"/>
              <w:rPr>
                <w:rFonts w:eastAsia="Calibri" w:cs="Calibri"/>
                <w:sz w:val="21"/>
                <w:szCs w:val="21"/>
                <w:lang w:val="en-US"/>
              </w:rPr>
            </w:pPr>
            <w:r w:rsidRPr="00156F6E">
              <w:rPr>
                <w:rFonts w:eastAsia="Calibri" w:cs="Calibri"/>
                <w:sz w:val="21"/>
                <w:szCs w:val="21"/>
                <w:lang w:val="en-US"/>
              </w:rPr>
              <w:t>8:30-9:00</w:t>
            </w:r>
          </w:p>
        </w:tc>
        <w:tc>
          <w:tcPr>
            <w:tcW w:w="9170" w:type="dxa"/>
            <w:shd w:val="clear" w:color="auto" w:fill="95B3D7"/>
            <w:vAlign w:val="center"/>
          </w:tcPr>
          <w:p w:rsidRPr="00156F6E" w:rsidR="00156F6E" w:rsidP="00156F6E" w:rsidRDefault="00156F6E">
            <w:pPr>
              <w:widowControl w:val="0"/>
              <w:autoSpaceDE w:val="0"/>
              <w:autoSpaceDN w:val="0"/>
              <w:spacing w:after="0" w:line="240" w:lineRule="auto"/>
              <w:ind w:left="89" w:right="84"/>
              <w:rPr>
                <w:rFonts w:eastAsia="Calibri" w:cs="Calibri"/>
                <w:sz w:val="21"/>
                <w:szCs w:val="21"/>
                <w:lang w:val="en-US"/>
              </w:rPr>
            </w:pPr>
            <w:r w:rsidRPr="00156F6E">
              <w:rPr>
                <w:rFonts w:eastAsia="Calibri" w:cs="Calibri"/>
                <w:sz w:val="21"/>
                <w:szCs w:val="21"/>
                <w:lang w:val="en-US"/>
              </w:rPr>
              <w:t>Arrival, Registration, and Networking</w:t>
            </w:r>
          </w:p>
        </w:tc>
      </w:tr>
      <w:tr w:rsidRPr="00156F6E" w:rsidR="00156F6E" w:rsidTr="00156F6E">
        <w:trPr>
          <w:trHeight w:val="1728" w:hRule="exact"/>
          <w:jc w:val="center"/>
        </w:trPr>
        <w:tc>
          <w:tcPr>
            <w:tcW w:w="1196" w:type="dxa"/>
            <w:vAlign w:val="center"/>
          </w:tcPr>
          <w:p w:rsidRPr="00156F6E" w:rsidR="00156F6E" w:rsidP="00156F6E" w:rsidRDefault="00156F6E">
            <w:pPr>
              <w:widowControl w:val="0"/>
              <w:autoSpaceDE w:val="0"/>
              <w:autoSpaceDN w:val="0"/>
              <w:spacing w:after="0" w:line="240" w:lineRule="auto"/>
              <w:jc w:val="center"/>
              <w:rPr>
                <w:rFonts w:eastAsia="Calibri" w:cs="Calibri"/>
                <w:lang w:val="en-US"/>
              </w:rPr>
            </w:pPr>
            <w:r w:rsidRPr="00156F6E">
              <w:rPr>
                <w:rFonts w:eastAsia="Calibri" w:cs="Calibri"/>
                <w:lang w:val="en-US"/>
              </w:rPr>
              <w:t>9:00-9:20</w:t>
            </w:r>
          </w:p>
        </w:tc>
        <w:tc>
          <w:tcPr>
            <w:tcW w:w="9170" w:type="dxa"/>
            <w:vAlign w:val="center"/>
          </w:tcPr>
          <w:p w:rsidRPr="00156F6E" w:rsidR="00156F6E" w:rsidP="00156F6E" w:rsidRDefault="00156F6E">
            <w:pPr>
              <w:widowControl w:val="0"/>
              <w:autoSpaceDE w:val="0"/>
              <w:autoSpaceDN w:val="0"/>
              <w:spacing w:after="0" w:line="240" w:lineRule="auto"/>
              <w:ind w:left="89" w:right="84"/>
              <w:rPr>
                <w:rFonts w:eastAsia="Calibri" w:cs="Calibri"/>
                <w:b/>
                <w:color w:val="000000"/>
                <w:sz w:val="21"/>
                <w:szCs w:val="21"/>
                <w:u w:val="single"/>
                <w:lang w:val="en-US"/>
              </w:rPr>
            </w:pPr>
            <w:r w:rsidRPr="00156F6E">
              <w:rPr>
                <w:rFonts w:eastAsia="Calibri" w:cs="Calibri"/>
                <w:b/>
                <w:color w:val="000000"/>
                <w:sz w:val="21"/>
                <w:szCs w:val="21"/>
                <w:u w:val="single"/>
                <w:lang w:val="en-US"/>
              </w:rPr>
              <w:t>Opening Remarks</w:t>
            </w:r>
          </w:p>
          <w:p w:rsidRPr="00156F6E" w:rsidR="00156F6E" w:rsidP="00156F6E" w:rsidRDefault="00156F6E">
            <w:pPr>
              <w:widowControl w:val="0"/>
              <w:numPr>
                <w:ilvl w:val="0"/>
                <w:numId w:val="18"/>
              </w:numPr>
              <w:autoSpaceDE w:val="0"/>
              <w:autoSpaceDN w:val="0"/>
              <w:spacing w:after="0" w:line="240" w:lineRule="auto"/>
              <w:ind w:left="360" w:right="84" w:hanging="180"/>
              <w:jc w:val="both"/>
              <w:rPr>
                <w:rFonts w:eastAsia="Calibri" w:cs="Calibri"/>
                <w:i/>
                <w:color w:val="000000"/>
                <w:sz w:val="21"/>
                <w:szCs w:val="21"/>
                <w:lang w:val="en-US"/>
              </w:rPr>
            </w:pPr>
            <w:r w:rsidRPr="00156F6E">
              <w:rPr>
                <w:rFonts w:eastAsia="Calibri" w:cs="Calibri"/>
                <w:b/>
                <w:color w:val="000000"/>
                <w:sz w:val="21"/>
                <w:szCs w:val="21"/>
                <w:lang w:val="en-US"/>
              </w:rPr>
              <w:t>Ms Erika Elvander</w:t>
            </w:r>
            <w:r w:rsidRPr="00156F6E">
              <w:rPr>
                <w:rFonts w:eastAsia="Calibri" w:cs="Calibri"/>
                <w:color w:val="000000"/>
                <w:sz w:val="21"/>
                <w:szCs w:val="21"/>
                <w:lang w:val="en-US"/>
              </w:rPr>
              <w:t>, Chair, APEC LSIF Planning Group; Director, Asia-Pacific, Office of Global Affairs, Department of Health and Human Services, The United States</w:t>
            </w:r>
          </w:p>
          <w:p w:rsidRPr="00156F6E" w:rsidR="00156F6E" w:rsidP="00156F6E" w:rsidRDefault="00156F6E">
            <w:pPr>
              <w:widowControl w:val="0"/>
              <w:numPr>
                <w:ilvl w:val="0"/>
                <w:numId w:val="18"/>
              </w:numPr>
              <w:autoSpaceDE w:val="0"/>
              <w:autoSpaceDN w:val="0"/>
              <w:spacing w:after="0" w:line="240" w:lineRule="auto"/>
              <w:ind w:left="360" w:right="84" w:hanging="180"/>
              <w:jc w:val="both"/>
              <w:rPr>
                <w:rFonts w:eastAsia="Calibri" w:cs="Calibri"/>
                <w:color w:val="0070C0"/>
                <w:sz w:val="21"/>
                <w:szCs w:val="21"/>
                <w:lang w:val="en-US"/>
              </w:rPr>
            </w:pPr>
            <w:r w:rsidRPr="00156F6E">
              <w:rPr>
                <w:rFonts w:eastAsia="Calibri" w:cs="Calibri"/>
                <w:b/>
                <w:color w:val="000000"/>
                <w:sz w:val="21"/>
                <w:szCs w:val="21"/>
                <w:lang w:val="en-US"/>
              </w:rPr>
              <w:t>Mr Carlos Bravo Goldsmith</w:t>
            </w:r>
            <w:r w:rsidRPr="00156F6E">
              <w:rPr>
                <w:rFonts w:eastAsia="Calibri" w:cs="Calibri"/>
                <w:color w:val="000000"/>
                <w:sz w:val="21"/>
                <w:szCs w:val="21"/>
                <w:lang w:val="en-US"/>
              </w:rPr>
              <w:t>, Head, National Medicines Agency Department (ANAMED), Chile</w:t>
            </w:r>
          </w:p>
          <w:p w:rsidRPr="00156F6E" w:rsidR="00156F6E" w:rsidP="00156F6E" w:rsidRDefault="00156F6E">
            <w:pPr>
              <w:widowControl w:val="0"/>
              <w:numPr>
                <w:ilvl w:val="0"/>
                <w:numId w:val="18"/>
              </w:numPr>
              <w:autoSpaceDE w:val="0"/>
              <w:autoSpaceDN w:val="0"/>
              <w:spacing w:after="0" w:line="240" w:lineRule="auto"/>
              <w:ind w:left="360" w:right="84" w:hanging="180"/>
              <w:rPr>
                <w:rFonts w:eastAsia="Calibri" w:cs="Calibri"/>
                <w:sz w:val="21"/>
                <w:szCs w:val="21"/>
                <w:lang w:val="en-US"/>
              </w:rPr>
            </w:pPr>
            <w:r w:rsidRPr="00156F6E">
              <w:rPr>
                <w:rFonts w:eastAsia="Calibri" w:cs="Calibri"/>
                <w:b/>
                <w:sz w:val="21"/>
                <w:szCs w:val="21"/>
                <w:lang w:val="en-US"/>
              </w:rPr>
              <w:t xml:space="preserve">Dr Mijeong Kim, </w:t>
            </w:r>
            <w:r w:rsidRPr="00156F6E">
              <w:rPr>
                <w:rFonts w:eastAsia="Calibri" w:cs="Calibri"/>
                <w:sz w:val="21"/>
                <w:szCs w:val="21"/>
                <w:lang w:val="en-US"/>
              </w:rPr>
              <w:t>Cardiovascular &amp; Neurology Products Division, National Institute of Food and Drug Safety Evaluation, Ministry of Food and Drug Safety, Korea</w:t>
            </w:r>
          </w:p>
        </w:tc>
      </w:tr>
      <w:tr w:rsidRPr="00156F6E" w:rsidR="00156F6E" w:rsidTr="00156F6E">
        <w:trPr>
          <w:trHeight w:val="2736" w:hRule="exact"/>
          <w:jc w:val="center"/>
        </w:trPr>
        <w:tc>
          <w:tcPr>
            <w:tcW w:w="1196" w:type="dxa"/>
            <w:vAlign w:val="center"/>
          </w:tcPr>
          <w:p w:rsidRPr="00156F6E" w:rsidR="00156F6E" w:rsidP="00156F6E" w:rsidRDefault="00156F6E">
            <w:pPr>
              <w:widowControl w:val="0"/>
              <w:autoSpaceDE w:val="0"/>
              <w:autoSpaceDN w:val="0"/>
              <w:spacing w:after="0" w:line="240" w:lineRule="auto"/>
              <w:jc w:val="center"/>
              <w:rPr>
                <w:rFonts w:eastAsia="Calibri" w:cs="Calibri"/>
                <w:lang w:val="en-US"/>
              </w:rPr>
            </w:pPr>
            <w:r w:rsidRPr="00156F6E">
              <w:rPr>
                <w:rFonts w:eastAsia="Calibri" w:cs="Calibri"/>
                <w:lang w:val="en-US"/>
              </w:rPr>
              <w:t>9:20-10:20</w:t>
            </w:r>
          </w:p>
        </w:tc>
        <w:tc>
          <w:tcPr>
            <w:tcW w:w="9170" w:type="dxa"/>
            <w:vAlign w:val="center"/>
          </w:tcPr>
          <w:p w:rsidRPr="00156F6E" w:rsidR="00156F6E" w:rsidP="00156F6E" w:rsidRDefault="00156F6E">
            <w:pPr>
              <w:widowControl w:val="0"/>
              <w:autoSpaceDE w:val="0"/>
              <w:autoSpaceDN w:val="0"/>
              <w:spacing w:after="0" w:line="240" w:lineRule="auto"/>
              <w:ind w:left="89" w:right="84"/>
              <w:jc w:val="both"/>
              <w:rPr>
                <w:rFonts w:eastAsia="Calibri" w:cs="Calibri"/>
                <w:b/>
                <w:color w:val="000000"/>
                <w:sz w:val="21"/>
                <w:szCs w:val="21"/>
                <w:u w:val="single"/>
                <w:lang w:val="en-US"/>
              </w:rPr>
            </w:pPr>
            <w:r w:rsidRPr="00156F6E">
              <w:rPr>
                <w:rFonts w:eastAsia="Calibri" w:cs="Calibri"/>
                <w:b/>
                <w:color w:val="000000"/>
                <w:sz w:val="21"/>
                <w:szCs w:val="21"/>
                <w:u w:val="single"/>
                <w:lang w:val="en-US"/>
              </w:rPr>
              <w:t>Setting the Scene: APEC Progress Towards Regulatory Convergence</w:t>
            </w:r>
          </w:p>
          <w:p w:rsidRPr="00156F6E" w:rsidR="00156F6E" w:rsidP="00156F6E" w:rsidRDefault="00156F6E">
            <w:pPr>
              <w:widowControl w:val="0"/>
              <w:autoSpaceDE w:val="0"/>
              <w:autoSpaceDN w:val="0"/>
              <w:spacing w:after="0" w:line="240" w:lineRule="auto"/>
              <w:ind w:left="89" w:right="84"/>
              <w:jc w:val="both"/>
              <w:rPr>
                <w:rFonts w:eastAsia="Calibri" w:cs="Calibri"/>
                <w:color w:val="000000"/>
                <w:sz w:val="21"/>
                <w:szCs w:val="21"/>
                <w:lang w:val="en-US"/>
              </w:rPr>
            </w:pPr>
            <w:r w:rsidRPr="00156F6E">
              <w:rPr>
                <w:rFonts w:eastAsia="Calibri" w:cs="Calibri"/>
                <w:color w:val="000000"/>
                <w:sz w:val="21"/>
                <w:szCs w:val="21"/>
                <w:lang w:val="en-US"/>
              </w:rPr>
              <w:t>This session will showcase the results of the joint AHC–LSIF project to track key performance indicators (KPIs) measuring progress towards regulatory convergence among APEC economies. How have we performed? Where might future efforts be focused? Are we tracking the right KPIs?</w:t>
            </w:r>
          </w:p>
          <w:p w:rsidRPr="00156F6E" w:rsidR="00156F6E" w:rsidP="00156F6E" w:rsidRDefault="00156F6E">
            <w:pPr>
              <w:widowControl w:val="0"/>
              <w:autoSpaceDE w:val="0"/>
              <w:autoSpaceDN w:val="0"/>
              <w:spacing w:after="0" w:line="240" w:lineRule="auto"/>
              <w:ind w:left="89" w:right="84"/>
              <w:rPr>
                <w:rFonts w:eastAsia="Calibri" w:cs="Calibri"/>
                <w:color w:val="000000"/>
                <w:sz w:val="8"/>
                <w:szCs w:val="21"/>
                <w:lang w:val="en-US"/>
              </w:rPr>
            </w:pPr>
          </w:p>
          <w:p w:rsidRPr="00156F6E" w:rsidR="00156F6E" w:rsidP="00156F6E" w:rsidRDefault="00156F6E">
            <w:pPr>
              <w:widowControl w:val="0"/>
              <w:autoSpaceDE w:val="0"/>
              <w:autoSpaceDN w:val="0"/>
              <w:spacing w:after="0" w:line="240" w:lineRule="auto"/>
              <w:ind w:left="89" w:right="84"/>
              <w:rPr>
                <w:rFonts w:eastAsia="Calibri" w:cs="Calibri"/>
                <w:color w:val="000000"/>
                <w:sz w:val="21"/>
                <w:szCs w:val="21"/>
                <w:lang w:val="en-US"/>
              </w:rPr>
            </w:pPr>
            <w:r w:rsidRPr="00156F6E">
              <w:rPr>
                <w:rFonts w:eastAsia="Calibri" w:cs="Calibri"/>
                <w:color w:val="000000"/>
                <w:sz w:val="21"/>
                <w:szCs w:val="21"/>
                <w:lang w:val="en-US"/>
              </w:rPr>
              <w:t>(</w:t>
            </w:r>
            <w:r w:rsidRPr="00156F6E">
              <w:rPr>
                <w:rFonts w:eastAsia="Calibri" w:cs="Calibri"/>
                <w:i/>
                <w:color w:val="000000"/>
                <w:sz w:val="21"/>
                <w:szCs w:val="21"/>
                <w:lang w:val="en-US"/>
              </w:rPr>
              <w:t>Moderator</w:t>
            </w:r>
            <w:r w:rsidRPr="00156F6E">
              <w:rPr>
                <w:rFonts w:eastAsia="Calibri" w:cs="Calibri"/>
                <w:color w:val="000000"/>
                <w:sz w:val="21"/>
                <w:szCs w:val="21"/>
                <w:lang w:val="en-US"/>
              </w:rPr>
              <w:t xml:space="preserve">) </w:t>
            </w:r>
            <w:r w:rsidRPr="00156F6E">
              <w:rPr>
                <w:rFonts w:eastAsia="Calibri" w:cs="Calibri"/>
                <w:b/>
                <w:color w:val="000000"/>
                <w:sz w:val="21"/>
                <w:szCs w:val="21"/>
                <w:lang w:val="en-US"/>
              </w:rPr>
              <w:t>Ms Patricia Wu</w:t>
            </w:r>
            <w:r w:rsidRPr="00156F6E">
              <w:rPr>
                <w:rFonts w:eastAsia="Calibri" w:cs="Calibri"/>
                <w:color w:val="000000"/>
                <w:sz w:val="21"/>
                <w:szCs w:val="21"/>
                <w:lang w:val="en-US"/>
              </w:rPr>
              <w:t>, LSIF Advisor</w:t>
            </w:r>
          </w:p>
          <w:p w:rsidRPr="00156F6E" w:rsidR="00156F6E" w:rsidP="00156F6E" w:rsidRDefault="00156F6E">
            <w:pPr>
              <w:widowControl w:val="0"/>
              <w:autoSpaceDE w:val="0"/>
              <w:autoSpaceDN w:val="0"/>
              <w:spacing w:after="0" w:line="240" w:lineRule="auto"/>
              <w:ind w:left="89" w:right="84"/>
              <w:rPr>
                <w:rFonts w:eastAsia="Calibri" w:cs="Calibri"/>
                <w:color w:val="000000"/>
                <w:sz w:val="8"/>
                <w:szCs w:val="21"/>
                <w:lang w:val="en-US"/>
              </w:rPr>
            </w:pPr>
          </w:p>
          <w:p w:rsidRPr="00156F6E" w:rsidR="00156F6E" w:rsidP="00156F6E" w:rsidRDefault="00156F6E">
            <w:pPr>
              <w:widowControl w:val="0"/>
              <w:numPr>
                <w:ilvl w:val="0"/>
                <w:numId w:val="19"/>
              </w:numPr>
              <w:autoSpaceDE w:val="0"/>
              <w:autoSpaceDN w:val="0"/>
              <w:spacing w:after="0" w:line="240" w:lineRule="auto"/>
              <w:ind w:left="359" w:right="84" w:hanging="170"/>
              <w:rPr>
                <w:rFonts w:eastAsia="Calibri" w:cs="Calibri"/>
                <w:sz w:val="21"/>
                <w:szCs w:val="21"/>
                <w:lang w:val="en-US"/>
              </w:rPr>
            </w:pPr>
            <w:r w:rsidRPr="00156F6E">
              <w:rPr>
                <w:rFonts w:eastAsia="Calibri" w:cs="Calibri"/>
                <w:b/>
                <w:sz w:val="21"/>
                <w:szCs w:val="21"/>
                <w:lang w:val="en-US"/>
              </w:rPr>
              <w:t xml:space="preserve">Dr Mijeong Kim, </w:t>
            </w:r>
            <w:r w:rsidRPr="00156F6E">
              <w:rPr>
                <w:rFonts w:eastAsia="Calibri" w:cs="Calibri"/>
                <w:sz w:val="21"/>
                <w:szCs w:val="21"/>
                <w:lang w:val="en-US"/>
              </w:rPr>
              <w:t>Cardiovascular &amp; Neurology Products Division, National Institute of Food and Drug Safety Evaluation, Ministry of Food and Drug Safety, Korea</w:t>
            </w:r>
          </w:p>
          <w:p w:rsidRPr="00156F6E" w:rsidR="00156F6E" w:rsidP="00156F6E" w:rsidRDefault="00156F6E">
            <w:pPr>
              <w:widowControl w:val="0"/>
              <w:numPr>
                <w:ilvl w:val="0"/>
                <w:numId w:val="22"/>
              </w:numPr>
              <w:autoSpaceDE w:val="0"/>
              <w:autoSpaceDN w:val="0"/>
              <w:spacing w:after="0" w:line="240" w:lineRule="auto"/>
              <w:ind w:left="360" w:right="84" w:hanging="181"/>
              <w:rPr>
                <w:rFonts w:eastAsia="Calibri" w:cs="Calibri"/>
                <w:color w:val="000000"/>
                <w:sz w:val="21"/>
                <w:szCs w:val="21"/>
                <w:lang w:val="en-US"/>
              </w:rPr>
            </w:pPr>
            <w:r w:rsidRPr="00156F6E">
              <w:rPr>
                <w:rFonts w:eastAsia="Calibri" w:cs="Calibri"/>
                <w:b/>
                <w:color w:val="000000"/>
                <w:sz w:val="21"/>
                <w:szCs w:val="21"/>
                <w:lang w:val="en-US"/>
              </w:rPr>
              <w:t xml:space="preserve">Prof John Lim, </w:t>
            </w:r>
            <w:r w:rsidRPr="00156F6E">
              <w:rPr>
                <w:rFonts w:eastAsia="Calibri" w:cs="Calibri"/>
                <w:color w:val="000000"/>
                <w:sz w:val="21"/>
                <w:szCs w:val="21"/>
                <w:lang w:val="en-US"/>
              </w:rPr>
              <w:t>Professor &amp; Executive Director, Center for Regulatory Excellence (CoRE), Duke-National University of Singapore</w:t>
            </w:r>
          </w:p>
        </w:tc>
      </w:tr>
      <w:tr w:rsidRPr="00156F6E" w:rsidR="00156F6E" w:rsidTr="00156F6E">
        <w:trPr>
          <w:trHeight w:val="288" w:hRule="exact"/>
          <w:jc w:val="center"/>
        </w:trPr>
        <w:tc>
          <w:tcPr>
            <w:tcW w:w="1196" w:type="dxa"/>
            <w:shd w:val="clear" w:color="auto" w:fill="95B3D7"/>
            <w:vAlign w:val="center"/>
          </w:tcPr>
          <w:p w:rsidRPr="00156F6E" w:rsidR="00156F6E" w:rsidP="00156F6E" w:rsidRDefault="00156F6E">
            <w:pPr>
              <w:widowControl w:val="0"/>
              <w:autoSpaceDE w:val="0"/>
              <w:autoSpaceDN w:val="0"/>
              <w:spacing w:after="0" w:line="240" w:lineRule="auto"/>
              <w:jc w:val="center"/>
              <w:rPr>
                <w:rFonts w:eastAsia="Calibri" w:cs="Calibri"/>
                <w:lang w:val="en-US"/>
              </w:rPr>
            </w:pPr>
            <w:r w:rsidRPr="00156F6E">
              <w:rPr>
                <w:rFonts w:eastAsia="Calibri" w:cs="Calibri"/>
                <w:lang w:val="en-US"/>
              </w:rPr>
              <w:t>10:20-10:30</w:t>
            </w:r>
          </w:p>
        </w:tc>
        <w:tc>
          <w:tcPr>
            <w:tcW w:w="9170" w:type="dxa"/>
            <w:shd w:val="clear" w:color="auto" w:fill="95B3D7"/>
            <w:vAlign w:val="center"/>
          </w:tcPr>
          <w:p w:rsidRPr="00156F6E" w:rsidR="00156F6E" w:rsidP="00156F6E" w:rsidRDefault="00156F6E">
            <w:pPr>
              <w:widowControl w:val="0"/>
              <w:autoSpaceDE w:val="0"/>
              <w:autoSpaceDN w:val="0"/>
              <w:spacing w:after="0" w:line="240" w:lineRule="auto"/>
              <w:ind w:left="89" w:right="84"/>
              <w:rPr>
                <w:rFonts w:eastAsia="Calibri" w:cs="Calibri"/>
                <w:color w:val="000000"/>
                <w:sz w:val="21"/>
                <w:szCs w:val="21"/>
                <w:lang w:val="en-US"/>
              </w:rPr>
            </w:pPr>
            <w:r w:rsidRPr="00156F6E">
              <w:rPr>
                <w:rFonts w:eastAsia="Calibri" w:cs="Calibri"/>
                <w:color w:val="000000"/>
                <w:sz w:val="21"/>
                <w:szCs w:val="21"/>
                <w:lang w:val="en-US"/>
              </w:rPr>
              <w:t>Official Photograph &amp; Coffee/Tea Break</w:t>
            </w:r>
          </w:p>
        </w:tc>
      </w:tr>
      <w:tr w:rsidRPr="00156F6E" w:rsidR="00156F6E" w:rsidTr="00156F6E">
        <w:trPr>
          <w:trHeight w:val="3888" w:hRule="exact"/>
          <w:jc w:val="center"/>
        </w:trPr>
        <w:tc>
          <w:tcPr>
            <w:tcW w:w="1196" w:type="dxa"/>
            <w:vAlign w:val="center"/>
          </w:tcPr>
          <w:p w:rsidRPr="00156F6E" w:rsidR="00156F6E" w:rsidP="00156F6E" w:rsidRDefault="00156F6E">
            <w:pPr>
              <w:widowControl w:val="0"/>
              <w:autoSpaceDE w:val="0"/>
              <w:autoSpaceDN w:val="0"/>
              <w:spacing w:after="0" w:line="240" w:lineRule="auto"/>
              <w:jc w:val="center"/>
              <w:rPr>
                <w:rFonts w:eastAsia="Calibri" w:cs="Calibri"/>
                <w:lang w:val="en-US"/>
              </w:rPr>
            </w:pPr>
            <w:r w:rsidRPr="00156F6E">
              <w:rPr>
                <w:rFonts w:eastAsia="Calibri" w:cs="Calibri"/>
                <w:lang w:val="en-US"/>
              </w:rPr>
              <w:t>10:30-12:00</w:t>
            </w:r>
          </w:p>
        </w:tc>
        <w:tc>
          <w:tcPr>
            <w:tcW w:w="9170" w:type="dxa"/>
            <w:vAlign w:val="center"/>
          </w:tcPr>
          <w:p w:rsidRPr="00156F6E" w:rsidR="00156F6E" w:rsidP="00156F6E" w:rsidRDefault="00156F6E">
            <w:pPr>
              <w:widowControl w:val="0"/>
              <w:autoSpaceDE w:val="0"/>
              <w:autoSpaceDN w:val="0"/>
              <w:spacing w:after="0" w:line="240" w:lineRule="auto"/>
              <w:ind w:left="89" w:right="84"/>
              <w:jc w:val="both"/>
              <w:rPr>
                <w:rFonts w:eastAsia="Calibri" w:cs="Calibri"/>
                <w:b/>
                <w:color w:val="000000"/>
                <w:sz w:val="21"/>
                <w:szCs w:val="21"/>
                <w:u w:val="single"/>
                <w:lang w:val="en-US"/>
              </w:rPr>
            </w:pPr>
            <w:r w:rsidRPr="00156F6E">
              <w:rPr>
                <w:rFonts w:eastAsia="Calibri" w:cs="Calibri"/>
                <w:b/>
                <w:color w:val="000000"/>
                <w:sz w:val="21"/>
                <w:szCs w:val="21"/>
                <w:u w:val="single"/>
                <w:lang w:val="en-US"/>
              </w:rPr>
              <w:t>Session 1: Keynote Remarks from Regulatory Authorities</w:t>
            </w:r>
          </w:p>
          <w:p w:rsidRPr="00156F6E" w:rsidR="00156F6E" w:rsidP="00156F6E" w:rsidRDefault="00156F6E">
            <w:pPr>
              <w:widowControl w:val="0"/>
              <w:autoSpaceDE w:val="0"/>
              <w:autoSpaceDN w:val="0"/>
              <w:spacing w:after="0" w:line="240" w:lineRule="auto"/>
              <w:ind w:left="89" w:right="84"/>
              <w:jc w:val="both"/>
              <w:rPr>
                <w:rFonts w:eastAsia="Calibri" w:cs="Calibri"/>
                <w:color w:val="000000"/>
                <w:sz w:val="21"/>
                <w:szCs w:val="21"/>
                <w:lang w:val="en-US"/>
              </w:rPr>
            </w:pPr>
            <w:r w:rsidRPr="00156F6E">
              <w:rPr>
                <w:rFonts w:eastAsia="Calibri" w:cs="Calibri"/>
                <w:color w:val="000000"/>
                <w:sz w:val="21"/>
                <w:szCs w:val="21"/>
                <w:lang w:val="en-US"/>
              </w:rPr>
              <w:t>This session will explore diverse perspectives on how APEC regulatory authorities are accelerating regulatory convergence, their reflections on a decade of regulatory work in APEC, and their thoughts on future efforts.</w:t>
            </w:r>
          </w:p>
          <w:p w:rsidRPr="00156F6E" w:rsidR="00156F6E" w:rsidP="00156F6E" w:rsidRDefault="00156F6E">
            <w:pPr>
              <w:widowControl w:val="0"/>
              <w:autoSpaceDE w:val="0"/>
              <w:autoSpaceDN w:val="0"/>
              <w:spacing w:after="0" w:line="240" w:lineRule="auto"/>
              <w:ind w:left="89" w:right="84"/>
              <w:jc w:val="both"/>
              <w:rPr>
                <w:rFonts w:eastAsia="Calibri" w:cs="Calibri"/>
                <w:color w:val="000000"/>
                <w:sz w:val="8"/>
                <w:szCs w:val="21"/>
                <w:lang w:val="en-US"/>
              </w:rPr>
            </w:pPr>
          </w:p>
          <w:p w:rsidRPr="00156F6E" w:rsidR="00156F6E" w:rsidP="00156F6E" w:rsidRDefault="00156F6E">
            <w:pPr>
              <w:widowControl w:val="0"/>
              <w:autoSpaceDE w:val="0"/>
              <w:autoSpaceDN w:val="0"/>
              <w:spacing w:after="0" w:line="240" w:lineRule="auto"/>
              <w:ind w:left="89" w:right="84"/>
              <w:jc w:val="both"/>
              <w:rPr>
                <w:rFonts w:eastAsia="Calibri" w:cs="Calibri"/>
                <w:color w:val="000000"/>
                <w:sz w:val="2"/>
                <w:szCs w:val="21"/>
                <w:lang w:val="en-US"/>
              </w:rPr>
            </w:pPr>
          </w:p>
          <w:p w:rsidRPr="00156F6E" w:rsidR="00156F6E" w:rsidP="00156F6E" w:rsidRDefault="00156F6E">
            <w:pPr>
              <w:widowControl w:val="0"/>
              <w:autoSpaceDE w:val="0"/>
              <w:autoSpaceDN w:val="0"/>
              <w:spacing w:after="0" w:line="240" w:lineRule="auto"/>
              <w:ind w:left="90" w:right="84"/>
              <w:jc w:val="both"/>
              <w:rPr>
                <w:rFonts w:eastAsia="Calibri" w:cs="Calibri"/>
                <w:color w:val="000000"/>
                <w:sz w:val="21"/>
                <w:szCs w:val="21"/>
                <w:lang w:val="en-US"/>
              </w:rPr>
            </w:pPr>
            <w:r w:rsidRPr="00156F6E">
              <w:rPr>
                <w:rFonts w:eastAsia="Calibri" w:cs="Calibri"/>
                <w:color w:val="000000"/>
                <w:sz w:val="21"/>
                <w:szCs w:val="21"/>
                <w:lang w:val="en-US"/>
              </w:rPr>
              <w:t>(Co-</w:t>
            </w:r>
            <w:r w:rsidRPr="00156F6E">
              <w:rPr>
                <w:rFonts w:eastAsia="Calibri" w:cs="Calibri"/>
                <w:i/>
                <w:color w:val="000000"/>
                <w:sz w:val="21"/>
                <w:szCs w:val="21"/>
                <w:lang w:val="en-US"/>
              </w:rPr>
              <w:t>Moderators</w:t>
            </w:r>
            <w:r w:rsidRPr="00156F6E">
              <w:rPr>
                <w:rFonts w:eastAsia="Calibri" w:cs="Calibri"/>
                <w:color w:val="000000"/>
                <w:sz w:val="21"/>
                <w:szCs w:val="21"/>
                <w:lang w:val="en-US"/>
              </w:rPr>
              <w:t xml:space="preserve">) </w:t>
            </w:r>
            <w:r w:rsidRPr="00156F6E">
              <w:rPr>
                <w:rFonts w:eastAsia="Calibri" w:cs="Calibri"/>
                <w:b/>
                <w:color w:val="000000"/>
                <w:sz w:val="21"/>
                <w:szCs w:val="21"/>
                <w:lang w:val="en-US"/>
              </w:rPr>
              <w:t>Dr Michelle Limoli</w:t>
            </w:r>
            <w:r w:rsidRPr="00156F6E">
              <w:rPr>
                <w:rFonts w:eastAsia="Calibri" w:cs="Calibri"/>
                <w:color w:val="000000"/>
                <w:sz w:val="21"/>
                <w:szCs w:val="21"/>
                <w:lang w:val="en-US"/>
              </w:rPr>
              <w:t xml:space="preserve">, Co-Chair, APEC RHSC; Senior International Health Science Advisor, Food and  Drug Administration, The United States; </w:t>
            </w:r>
            <w:r w:rsidRPr="00156F6E">
              <w:rPr>
                <w:rFonts w:eastAsia="Calibri" w:cs="Calibri"/>
                <w:b/>
                <w:color w:val="000000"/>
                <w:sz w:val="21"/>
                <w:szCs w:val="21"/>
                <w:lang w:val="en-US"/>
              </w:rPr>
              <w:t>Dr Nobumasa Nakashima</w:t>
            </w:r>
            <w:r w:rsidRPr="00156F6E">
              <w:rPr>
                <w:rFonts w:eastAsia="Calibri" w:cs="Calibri"/>
                <w:color w:val="000000"/>
                <w:sz w:val="21"/>
                <w:szCs w:val="21"/>
                <w:lang w:val="en-US"/>
              </w:rPr>
              <w:t>, Co-Chair, APEC RHSC; Senior Director for International Programs, Pharmaceutical and Medical Device Agency, Japan</w:t>
            </w:r>
          </w:p>
          <w:p w:rsidRPr="00156F6E" w:rsidR="00156F6E" w:rsidP="00156F6E" w:rsidRDefault="00156F6E">
            <w:pPr>
              <w:widowControl w:val="0"/>
              <w:autoSpaceDE w:val="0"/>
              <w:autoSpaceDN w:val="0"/>
              <w:spacing w:after="0" w:line="240" w:lineRule="auto"/>
              <w:ind w:left="90" w:right="84"/>
              <w:jc w:val="both"/>
              <w:rPr>
                <w:rFonts w:eastAsia="Calibri" w:cs="Calibri"/>
                <w:color w:val="000000"/>
                <w:sz w:val="8"/>
                <w:szCs w:val="21"/>
                <w:lang w:val="en-US"/>
              </w:rPr>
            </w:pPr>
          </w:p>
          <w:p w:rsidRPr="00156F6E" w:rsidR="00156F6E" w:rsidP="00156F6E" w:rsidRDefault="00156F6E">
            <w:pPr>
              <w:widowControl w:val="0"/>
              <w:numPr>
                <w:ilvl w:val="0"/>
                <w:numId w:val="19"/>
              </w:numPr>
              <w:autoSpaceDE w:val="0"/>
              <w:autoSpaceDN w:val="0"/>
              <w:spacing w:after="0" w:line="240" w:lineRule="auto"/>
              <w:ind w:left="359" w:right="84" w:hanging="170"/>
              <w:rPr>
                <w:rFonts w:eastAsia="Calibri" w:cs="Calibri"/>
                <w:sz w:val="21"/>
                <w:szCs w:val="21"/>
                <w:lang w:val="en-US"/>
              </w:rPr>
            </w:pPr>
            <w:r w:rsidRPr="00156F6E">
              <w:rPr>
                <w:rFonts w:eastAsia="Calibri" w:cs="Calibri"/>
                <w:b/>
                <w:sz w:val="21"/>
                <w:szCs w:val="21"/>
                <w:lang w:val="en-US"/>
              </w:rPr>
              <w:t xml:space="preserve">Dr Mijeong Kim, </w:t>
            </w:r>
            <w:r w:rsidRPr="00156F6E">
              <w:rPr>
                <w:rFonts w:eastAsia="Calibri" w:cs="Calibri"/>
                <w:sz w:val="21"/>
                <w:szCs w:val="21"/>
                <w:lang w:val="en-US"/>
              </w:rPr>
              <w:t>Cardiovascular &amp; Neurology Products Division, National Institute of Food and Drug Safety Evaluation, Ministry of Food and Drug Safety, Korea</w:t>
            </w:r>
          </w:p>
          <w:p w:rsidRPr="00156F6E" w:rsidR="00156F6E" w:rsidP="00156F6E" w:rsidRDefault="00156F6E">
            <w:pPr>
              <w:widowControl w:val="0"/>
              <w:numPr>
                <w:ilvl w:val="0"/>
                <w:numId w:val="18"/>
              </w:numPr>
              <w:autoSpaceDE w:val="0"/>
              <w:autoSpaceDN w:val="0"/>
              <w:spacing w:after="0" w:line="240" w:lineRule="auto"/>
              <w:ind w:left="359" w:right="84" w:hanging="180"/>
              <w:jc w:val="both"/>
              <w:rPr>
                <w:rFonts w:eastAsia="Calibri" w:cs="Calibri"/>
                <w:color w:val="000000"/>
                <w:sz w:val="21"/>
                <w:szCs w:val="21"/>
                <w:lang w:val="en-US"/>
              </w:rPr>
            </w:pPr>
            <w:r w:rsidRPr="00156F6E">
              <w:rPr>
                <w:rFonts w:eastAsia="Calibri" w:cs="Calibri"/>
                <w:b/>
                <w:color w:val="000000"/>
                <w:sz w:val="21"/>
                <w:szCs w:val="21"/>
                <w:lang w:val="en-US"/>
              </w:rPr>
              <w:t>Datin Dr Faridah Aryani Binti Md. Yusof</w:t>
            </w:r>
            <w:r w:rsidRPr="00156F6E">
              <w:rPr>
                <w:rFonts w:eastAsia="Calibri" w:cs="Calibri"/>
                <w:color w:val="000000"/>
                <w:sz w:val="21"/>
                <w:szCs w:val="21"/>
                <w:lang w:val="en-US"/>
              </w:rPr>
              <w:t>, Head, National Pharmaceutical Regulatory Authority, Malaysia</w:t>
            </w:r>
          </w:p>
          <w:p w:rsidRPr="00156F6E" w:rsidR="00156F6E" w:rsidP="00156F6E" w:rsidRDefault="00156F6E">
            <w:pPr>
              <w:widowControl w:val="0"/>
              <w:numPr>
                <w:ilvl w:val="0"/>
                <w:numId w:val="18"/>
              </w:numPr>
              <w:autoSpaceDE w:val="0"/>
              <w:autoSpaceDN w:val="0"/>
              <w:spacing w:after="0" w:line="240" w:lineRule="auto"/>
              <w:ind w:left="359" w:right="84" w:hanging="180"/>
              <w:jc w:val="both"/>
              <w:rPr>
                <w:rFonts w:eastAsia="Calibri" w:cs="Calibri"/>
                <w:color w:val="000000"/>
                <w:sz w:val="21"/>
                <w:szCs w:val="21"/>
                <w:lang w:val="en-US"/>
              </w:rPr>
            </w:pPr>
            <w:r w:rsidRPr="00156F6E">
              <w:rPr>
                <w:rFonts w:eastAsia="Calibri" w:cs="Calibri"/>
                <w:b/>
                <w:color w:val="000000"/>
                <w:sz w:val="21"/>
                <w:szCs w:val="21"/>
                <w:lang w:val="en-US"/>
              </w:rPr>
              <w:t>Dr Oscar Guitierrez</w:t>
            </w:r>
            <w:r w:rsidRPr="00156F6E">
              <w:rPr>
                <w:rFonts w:eastAsia="Calibri" w:cs="Calibri"/>
                <w:color w:val="000000"/>
                <w:sz w:val="21"/>
                <w:szCs w:val="21"/>
                <w:lang w:val="en-US"/>
              </w:rPr>
              <w:t>, Officer-in-Charge, Policy &amp; Planning Service, Food and Drug Administration, The Philippines</w:t>
            </w:r>
          </w:p>
          <w:p w:rsidRPr="00156F6E" w:rsidR="00156F6E" w:rsidP="00156F6E" w:rsidRDefault="00156F6E">
            <w:pPr>
              <w:widowControl w:val="0"/>
              <w:numPr>
                <w:ilvl w:val="0"/>
                <w:numId w:val="18"/>
              </w:numPr>
              <w:autoSpaceDE w:val="0"/>
              <w:autoSpaceDN w:val="0"/>
              <w:spacing w:after="0" w:line="240" w:lineRule="auto"/>
              <w:ind w:left="359" w:right="84" w:hanging="180"/>
              <w:jc w:val="both"/>
              <w:rPr>
                <w:rFonts w:eastAsia="Calibri" w:cs="Calibri"/>
                <w:color w:val="000000"/>
                <w:sz w:val="21"/>
                <w:szCs w:val="21"/>
                <w:lang w:val="en-US"/>
              </w:rPr>
            </w:pPr>
            <w:r w:rsidRPr="00156F6E">
              <w:rPr>
                <w:rFonts w:eastAsia="Calibri" w:cs="Calibri"/>
                <w:b/>
                <w:color w:val="000000"/>
                <w:sz w:val="21"/>
                <w:szCs w:val="21"/>
                <w:lang w:val="en-US"/>
              </w:rPr>
              <w:t>Dr Shou-Mei Wu</w:t>
            </w:r>
            <w:r w:rsidRPr="00156F6E">
              <w:rPr>
                <w:rFonts w:eastAsia="Calibri" w:cs="Calibri"/>
                <w:color w:val="000000"/>
                <w:sz w:val="21"/>
                <w:szCs w:val="21"/>
                <w:lang w:val="en-US"/>
              </w:rPr>
              <w:t>, Director General, Taiwan Food and Drug Administration, Chinese Taipei</w:t>
            </w:r>
          </w:p>
        </w:tc>
      </w:tr>
      <w:tr w:rsidRPr="00156F6E" w:rsidR="00156F6E" w:rsidTr="00156F6E">
        <w:trPr>
          <w:trHeight w:val="288" w:hRule="exact"/>
          <w:jc w:val="center"/>
        </w:trPr>
        <w:tc>
          <w:tcPr>
            <w:tcW w:w="1196" w:type="dxa"/>
            <w:shd w:val="clear" w:color="auto" w:fill="95B3D7"/>
            <w:vAlign w:val="center"/>
          </w:tcPr>
          <w:p w:rsidRPr="00156F6E" w:rsidR="00156F6E" w:rsidP="00156F6E" w:rsidRDefault="00156F6E">
            <w:pPr>
              <w:widowControl w:val="0"/>
              <w:autoSpaceDE w:val="0"/>
              <w:autoSpaceDN w:val="0"/>
              <w:spacing w:after="0" w:line="240" w:lineRule="auto"/>
              <w:jc w:val="center"/>
              <w:rPr>
                <w:rFonts w:eastAsia="Calibri" w:cs="Calibri"/>
                <w:lang w:val="en-US"/>
              </w:rPr>
            </w:pPr>
            <w:r w:rsidRPr="00156F6E">
              <w:rPr>
                <w:rFonts w:eastAsia="Calibri" w:cs="Calibri"/>
                <w:lang w:val="en-US"/>
              </w:rPr>
              <w:t>12:00-13:30</w:t>
            </w:r>
          </w:p>
        </w:tc>
        <w:tc>
          <w:tcPr>
            <w:tcW w:w="9170" w:type="dxa"/>
            <w:shd w:val="clear" w:color="auto" w:fill="95B3D7"/>
            <w:vAlign w:val="center"/>
          </w:tcPr>
          <w:p w:rsidRPr="00156F6E" w:rsidR="00156F6E" w:rsidP="00156F6E" w:rsidRDefault="00156F6E">
            <w:pPr>
              <w:widowControl w:val="0"/>
              <w:autoSpaceDE w:val="0"/>
              <w:autoSpaceDN w:val="0"/>
              <w:spacing w:after="0" w:line="240" w:lineRule="auto"/>
              <w:ind w:left="89" w:right="84"/>
              <w:rPr>
                <w:rFonts w:eastAsia="Calibri" w:cs="Calibri"/>
                <w:color w:val="000000"/>
                <w:sz w:val="21"/>
                <w:szCs w:val="21"/>
                <w:lang w:val="en-US"/>
              </w:rPr>
            </w:pPr>
            <w:r w:rsidRPr="00156F6E">
              <w:rPr>
                <w:rFonts w:eastAsia="Calibri" w:cs="Calibri"/>
                <w:color w:val="000000"/>
                <w:sz w:val="21"/>
                <w:szCs w:val="21"/>
                <w:lang w:val="en-US"/>
              </w:rPr>
              <w:t>Lunch</w:t>
            </w:r>
          </w:p>
        </w:tc>
      </w:tr>
      <w:tr w:rsidRPr="00156F6E" w:rsidR="00156F6E" w:rsidTr="000A1FFF">
        <w:trPr>
          <w:trHeight w:val="3312" w:hRule="exact"/>
          <w:jc w:val="center"/>
        </w:trPr>
        <w:tc>
          <w:tcPr>
            <w:tcW w:w="1196" w:type="dxa"/>
            <w:vAlign w:val="center"/>
          </w:tcPr>
          <w:p w:rsidRPr="00156F6E" w:rsidR="00156F6E" w:rsidP="00156F6E" w:rsidRDefault="00156F6E">
            <w:pPr>
              <w:widowControl w:val="0"/>
              <w:autoSpaceDE w:val="0"/>
              <w:autoSpaceDN w:val="0"/>
              <w:spacing w:after="0" w:line="240" w:lineRule="auto"/>
              <w:jc w:val="center"/>
              <w:rPr>
                <w:rFonts w:eastAsia="Calibri" w:cs="Calibri"/>
                <w:lang w:val="en-US"/>
              </w:rPr>
            </w:pPr>
            <w:r w:rsidRPr="00156F6E">
              <w:rPr>
                <w:rFonts w:eastAsia="Calibri" w:cs="Calibri"/>
                <w:lang w:val="en-US"/>
              </w:rPr>
              <w:t>13:30-14:30</w:t>
            </w:r>
          </w:p>
        </w:tc>
        <w:tc>
          <w:tcPr>
            <w:tcW w:w="9170" w:type="dxa"/>
            <w:vAlign w:val="center"/>
          </w:tcPr>
          <w:p w:rsidRPr="00156F6E" w:rsidR="00156F6E" w:rsidP="00156F6E" w:rsidRDefault="00156F6E">
            <w:pPr>
              <w:widowControl w:val="0"/>
              <w:autoSpaceDE w:val="0"/>
              <w:autoSpaceDN w:val="0"/>
              <w:spacing w:after="0" w:line="240" w:lineRule="auto"/>
              <w:ind w:left="89" w:right="84"/>
              <w:jc w:val="both"/>
              <w:rPr>
                <w:rFonts w:eastAsia="Calibri" w:cs="Calibri"/>
                <w:b/>
                <w:color w:val="000000"/>
                <w:sz w:val="21"/>
                <w:szCs w:val="21"/>
                <w:u w:val="single"/>
                <w:lang w:val="en-US"/>
              </w:rPr>
            </w:pPr>
            <w:r w:rsidRPr="00156F6E">
              <w:rPr>
                <w:rFonts w:eastAsia="Calibri" w:cs="Calibri"/>
                <w:b/>
                <w:color w:val="000000"/>
                <w:sz w:val="21"/>
                <w:szCs w:val="21"/>
                <w:u w:val="single"/>
                <w:lang w:val="en-US"/>
              </w:rPr>
              <w:t>Session 2: Lessons on Innovation &amp; Regulatory Convergence from Beyond APEC</w:t>
            </w:r>
          </w:p>
          <w:p w:rsidRPr="00156F6E" w:rsidR="00156F6E" w:rsidP="00156F6E" w:rsidRDefault="00156F6E">
            <w:pPr>
              <w:widowControl w:val="0"/>
              <w:autoSpaceDE w:val="0"/>
              <w:autoSpaceDN w:val="0"/>
              <w:spacing w:after="0" w:line="240" w:lineRule="auto"/>
              <w:ind w:left="89" w:right="84"/>
              <w:rPr>
                <w:rFonts w:eastAsia="Calibri" w:cs="Calibri"/>
                <w:color w:val="000000"/>
                <w:sz w:val="21"/>
                <w:szCs w:val="21"/>
                <w:lang w:val="en-US"/>
              </w:rPr>
            </w:pPr>
            <w:r w:rsidRPr="00156F6E">
              <w:rPr>
                <w:rFonts w:eastAsia="Calibri" w:cs="Calibri"/>
                <w:color w:val="000000"/>
                <w:sz w:val="21"/>
                <w:szCs w:val="21"/>
                <w:lang w:val="en-US"/>
              </w:rPr>
              <w:t>This session will present unique perspectives, insights, and best practices from neighboring non-APEC economies on their own efforts to accelerate life sciences innovation and to promote regulatory convergence regionally and globally.</w:t>
            </w:r>
          </w:p>
          <w:p w:rsidRPr="00156F6E" w:rsidR="00156F6E" w:rsidP="00156F6E" w:rsidRDefault="00156F6E">
            <w:pPr>
              <w:widowControl w:val="0"/>
              <w:autoSpaceDE w:val="0"/>
              <w:autoSpaceDN w:val="0"/>
              <w:spacing w:after="0" w:line="240" w:lineRule="auto"/>
              <w:ind w:left="89" w:right="84"/>
              <w:rPr>
                <w:rFonts w:eastAsia="Calibri" w:cs="Calibri"/>
                <w:color w:val="000000"/>
                <w:sz w:val="8"/>
                <w:szCs w:val="21"/>
                <w:lang w:val="en-US"/>
              </w:rPr>
            </w:pPr>
          </w:p>
          <w:p w:rsidRPr="00156F6E" w:rsidR="00156F6E" w:rsidP="00156F6E" w:rsidRDefault="00156F6E">
            <w:pPr>
              <w:widowControl w:val="0"/>
              <w:autoSpaceDE w:val="0"/>
              <w:autoSpaceDN w:val="0"/>
              <w:spacing w:after="0" w:line="240" w:lineRule="auto"/>
              <w:ind w:left="90" w:right="84"/>
              <w:jc w:val="both"/>
              <w:rPr>
                <w:rFonts w:eastAsia="Calibri" w:cs="Calibri"/>
                <w:i/>
                <w:color w:val="000000"/>
                <w:sz w:val="21"/>
                <w:szCs w:val="21"/>
                <w:lang w:val="en-US"/>
              </w:rPr>
            </w:pPr>
            <w:r w:rsidRPr="00156F6E">
              <w:rPr>
                <w:rFonts w:eastAsia="Calibri" w:cs="Calibri"/>
                <w:color w:val="000000"/>
                <w:sz w:val="21"/>
                <w:szCs w:val="21"/>
                <w:lang w:val="en-US"/>
              </w:rPr>
              <w:t>(</w:t>
            </w:r>
            <w:r w:rsidRPr="00156F6E">
              <w:rPr>
                <w:rFonts w:eastAsia="Calibri" w:cs="Calibri"/>
                <w:i/>
                <w:color w:val="000000"/>
                <w:sz w:val="21"/>
                <w:szCs w:val="21"/>
                <w:lang w:val="en-US"/>
              </w:rPr>
              <w:t>Moderator</w:t>
            </w:r>
            <w:r w:rsidRPr="00156F6E">
              <w:rPr>
                <w:rFonts w:eastAsia="Calibri" w:cs="Calibri"/>
                <w:color w:val="000000"/>
                <w:sz w:val="21"/>
                <w:szCs w:val="21"/>
                <w:lang w:val="en-US"/>
              </w:rPr>
              <w:t xml:space="preserve">) </w:t>
            </w:r>
            <w:r w:rsidRPr="00156F6E">
              <w:rPr>
                <w:rFonts w:eastAsia="Calibri" w:cs="Calibri"/>
                <w:b/>
                <w:color w:val="000000"/>
                <w:sz w:val="21"/>
                <w:szCs w:val="21"/>
                <w:lang w:val="en-US"/>
              </w:rPr>
              <w:t>Mr Carlos Bravo Goldsmith</w:t>
            </w:r>
            <w:r w:rsidRPr="00156F6E">
              <w:rPr>
                <w:rFonts w:eastAsia="Calibri" w:cs="Calibri"/>
                <w:color w:val="000000"/>
                <w:sz w:val="21"/>
                <w:szCs w:val="21"/>
                <w:lang w:val="en-US"/>
              </w:rPr>
              <w:t>, Head, National Medicines Agency Department, Chile</w:t>
            </w:r>
          </w:p>
          <w:p w:rsidRPr="00156F6E" w:rsidR="00156F6E" w:rsidP="00156F6E" w:rsidRDefault="00156F6E">
            <w:pPr>
              <w:widowControl w:val="0"/>
              <w:autoSpaceDE w:val="0"/>
              <w:autoSpaceDN w:val="0"/>
              <w:spacing w:after="0" w:line="240" w:lineRule="auto"/>
              <w:ind w:left="90" w:right="84"/>
              <w:jc w:val="both"/>
              <w:rPr>
                <w:rFonts w:eastAsia="Calibri" w:cs="Calibri"/>
                <w:color w:val="0070C0"/>
                <w:sz w:val="8"/>
                <w:szCs w:val="21"/>
                <w:lang w:val="en-US"/>
              </w:rPr>
            </w:pPr>
          </w:p>
          <w:p w:rsidRPr="00156F6E" w:rsidR="00156F6E" w:rsidP="00156F6E" w:rsidRDefault="00156F6E">
            <w:pPr>
              <w:widowControl w:val="0"/>
              <w:numPr>
                <w:ilvl w:val="0"/>
                <w:numId w:val="22"/>
              </w:numPr>
              <w:autoSpaceDE w:val="0"/>
              <w:autoSpaceDN w:val="0"/>
              <w:spacing w:after="0" w:line="240" w:lineRule="auto"/>
              <w:ind w:left="360" w:right="84" w:hanging="180"/>
              <w:rPr>
                <w:rFonts w:eastAsia="Calibri" w:cs="Calibri"/>
                <w:color w:val="000000"/>
                <w:sz w:val="21"/>
                <w:szCs w:val="21"/>
                <w:lang w:val="en-US"/>
              </w:rPr>
            </w:pPr>
            <w:r w:rsidRPr="00156F6E">
              <w:rPr>
                <w:rFonts w:eastAsia="Calibri" w:cs="Calibri"/>
                <w:b/>
                <w:lang w:val="en-US"/>
              </w:rPr>
              <w:t>Ms Daniela Marreco Cerqueira</w:t>
            </w:r>
            <w:r w:rsidRPr="00156F6E">
              <w:rPr>
                <w:rFonts w:eastAsia="Calibri" w:cs="Calibri"/>
                <w:color w:val="000000"/>
                <w:sz w:val="21"/>
                <w:szCs w:val="21"/>
                <w:lang w:val="en-US"/>
              </w:rPr>
              <w:t xml:space="preserve">, Deputy Director,  National Health Surveillance Agency (ANVISA), Brazil </w:t>
            </w:r>
          </w:p>
          <w:p w:rsidRPr="00156F6E" w:rsidR="00156F6E" w:rsidP="00156F6E" w:rsidRDefault="00156F6E">
            <w:pPr>
              <w:widowControl w:val="0"/>
              <w:numPr>
                <w:ilvl w:val="0"/>
                <w:numId w:val="16"/>
              </w:numPr>
              <w:autoSpaceDE w:val="0"/>
              <w:autoSpaceDN w:val="0"/>
              <w:spacing w:after="0" w:line="240" w:lineRule="auto"/>
              <w:ind w:left="359" w:right="84" w:hanging="170"/>
              <w:rPr>
                <w:rFonts w:eastAsia="Calibri" w:cs="Calibri"/>
                <w:color w:val="000000"/>
                <w:sz w:val="21"/>
                <w:szCs w:val="21"/>
                <w:lang w:val="en-US"/>
              </w:rPr>
            </w:pPr>
            <w:r w:rsidRPr="00156F6E">
              <w:rPr>
                <w:rFonts w:eastAsia="Calibri" w:cs="Calibri"/>
                <w:b/>
                <w:color w:val="000000"/>
                <w:sz w:val="21"/>
                <w:szCs w:val="21"/>
                <w:lang w:val="en-US"/>
              </w:rPr>
              <w:t>Ms Judith Mestre</w:t>
            </w:r>
            <w:r w:rsidRPr="00156F6E">
              <w:rPr>
                <w:rFonts w:eastAsia="Calibri" w:cs="Calibri"/>
                <w:color w:val="000000"/>
                <w:sz w:val="21"/>
                <w:szCs w:val="21"/>
                <w:lang w:val="en-US"/>
              </w:rPr>
              <w:t>, Director of Medicines and Biologic Products, National Institute of Food &amp; Drug Surveillance (INVIMA), Colombia</w:t>
            </w:r>
          </w:p>
          <w:p w:rsidRPr="00156F6E" w:rsidR="00156F6E" w:rsidP="00156F6E" w:rsidRDefault="00156F6E">
            <w:pPr>
              <w:widowControl w:val="0"/>
              <w:numPr>
                <w:ilvl w:val="0"/>
                <w:numId w:val="16"/>
              </w:numPr>
              <w:autoSpaceDE w:val="0"/>
              <w:autoSpaceDN w:val="0"/>
              <w:spacing w:after="0" w:line="240" w:lineRule="auto"/>
              <w:ind w:left="359" w:right="84" w:hanging="170"/>
              <w:rPr>
                <w:rFonts w:eastAsia="Calibri" w:cs="Calibri"/>
                <w:color w:val="000000"/>
                <w:sz w:val="21"/>
                <w:szCs w:val="21"/>
                <w:lang w:val="en-US"/>
              </w:rPr>
            </w:pPr>
            <w:r w:rsidRPr="00156F6E">
              <w:rPr>
                <w:rFonts w:eastAsia="Calibri" w:cs="Calibri"/>
                <w:b/>
                <w:color w:val="000000"/>
                <w:sz w:val="21"/>
                <w:szCs w:val="21"/>
                <w:lang w:val="en-US"/>
              </w:rPr>
              <w:t>Mr Rafael Díaz-Granados</w:t>
            </w:r>
            <w:r w:rsidRPr="00156F6E">
              <w:rPr>
                <w:rFonts w:eastAsia="Calibri" w:cs="Calibri"/>
                <w:color w:val="000000"/>
                <w:sz w:val="21"/>
                <w:szCs w:val="21"/>
                <w:lang w:val="en-US"/>
              </w:rPr>
              <w:t>, Executive Director, Latin American Federation of Pharmaceutical Industry (FIFARMA)</w:t>
            </w:r>
          </w:p>
          <w:p w:rsidRPr="00156F6E" w:rsidR="00156F6E" w:rsidP="00156F6E" w:rsidRDefault="00156F6E">
            <w:pPr>
              <w:widowControl w:val="0"/>
              <w:numPr>
                <w:ilvl w:val="0"/>
                <w:numId w:val="21"/>
              </w:numPr>
              <w:autoSpaceDE w:val="0"/>
              <w:autoSpaceDN w:val="0"/>
              <w:spacing w:after="0" w:line="240" w:lineRule="auto"/>
              <w:ind w:left="360" w:right="84" w:hanging="180"/>
              <w:rPr>
                <w:rFonts w:eastAsia="Calibri" w:cs="Calibri"/>
                <w:color w:val="000000"/>
                <w:sz w:val="21"/>
                <w:szCs w:val="21"/>
                <w:lang w:val="en-US"/>
              </w:rPr>
            </w:pPr>
            <w:r w:rsidRPr="00156F6E">
              <w:rPr>
                <w:rFonts w:eastAsia="Calibri" w:cs="Calibri"/>
                <w:b/>
                <w:color w:val="000000"/>
                <w:sz w:val="21"/>
                <w:szCs w:val="21"/>
                <w:lang w:val="en-US"/>
              </w:rPr>
              <w:t>Dr James Fitzgerald</w:t>
            </w:r>
            <w:r w:rsidRPr="00156F6E">
              <w:rPr>
                <w:rFonts w:eastAsia="Calibri" w:cs="Calibri"/>
                <w:color w:val="000000"/>
                <w:sz w:val="21"/>
                <w:szCs w:val="21"/>
                <w:lang w:val="en-US"/>
              </w:rPr>
              <w:t>, Director, Health Systems and Services, Pan American Health Organization (PAHO)</w:t>
            </w:r>
          </w:p>
        </w:tc>
      </w:tr>
      <w:tr w:rsidRPr="00156F6E" w:rsidR="00156F6E" w:rsidTr="0013268C">
        <w:trPr>
          <w:trHeight w:val="5184" w:hRule="exact"/>
          <w:jc w:val="center"/>
        </w:trPr>
        <w:tc>
          <w:tcPr>
            <w:tcW w:w="1196" w:type="dxa"/>
            <w:vAlign w:val="center"/>
          </w:tcPr>
          <w:p w:rsidRPr="00156F6E" w:rsidR="00156F6E" w:rsidP="00156F6E" w:rsidRDefault="00156F6E">
            <w:pPr>
              <w:widowControl w:val="0"/>
              <w:autoSpaceDE w:val="0"/>
              <w:autoSpaceDN w:val="0"/>
              <w:spacing w:after="0" w:line="240" w:lineRule="auto"/>
              <w:jc w:val="center"/>
              <w:rPr>
                <w:rFonts w:eastAsia="Calibri" w:cs="Calibri"/>
                <w:lang w:val="en-US"/>
              </w:rPr>
            </w:pPr>
            <w:r w:rsidRPr="00156F6E">
              <w:rPr>
                <w:rFonts w:eastAsia="Calibri" w:cs="Calibri"/>
                <w:lang w:val="en-US"/>
              </w:rPr>
              <w:t>14:30-16:00</w:t>
            </w:r>
          </w:p>
        </w:tc>
        <w:tc>
          <w:tcPr>
            <w:tcW w:w="9170" w:type="dxa"/>
            <w:vAlign w:val="center"/>
          </w:tcPr>
          <w:p w:rsidRPr="00156F6E" w:rsidR="00156F6E" w:rsidP="00156F6E" w:rsidRDefault="00156F6E">
            <w:pPr>
              <w:widowControl w:val="0"/>
              <w:autoSpaceDE w:val="0"/>
              <w:autoSpaceDN w:val="0"/>
              <w:spacing w:after="0" w:line="240" w:lineRule="auto"/>
              <w:ind w:left="90" w:right="84"/>
              <w:jc w:val="both"/>
              <w:rPr>
                <w:rFonts w:eastAsia="Calibri" w:cs="Calibri"/>
                <w:b/>
                <w:color w:val="000000"/>
                <w:sz w:val="21"/>
                <w:szCs w:val="21"/>
                <w:u w:val="single"/>
                <w:lang w:val="en-US"/>
              </w:rPr>
            </w:pPr>
            <w:r w:rsidRPr="00156F6E">
              <w:rPr>
                <w:rFonts w:eastAsia="Calibri" w:cs="Calibri"/>
                <w:b/>
                <w:color w:val="000000"/>
                <w:sz w:val="21"/>
                <w:szCs w:val="21"/>
                <w:u w:val="single"/>
                <w:lang w:val="en-US"/>
              </w:rPr>
              <w:t>Session 3: Industry Perspectives on Regulatory Convergence &amp; the Future of Health Care</w:t>
            </w:r>
          </w:p>
          <w:p w:rsidRPr="00156F6E" w:rsidR="00156F6E" w:rsidP="00156F6E" w:rsidRDefault="00156F6E">
            <w:pPr>
              <w:widowControl w:val="0"/>
              <w:autoSpaceDE w:val="0"/>
              <w:autoSpaceDN w:val="0"/>
              <w:spacing w:after="0" w:line="240" w:lineRule="auto"/>
              <w:ind w:left="89" w:right="84"/>
              <w:jc w:val="both"/>
              <w:rPr>
                <w:rFonts w:eastAsia="Calibri" w:cs="Calibri"/>
                <w:color w:val="000000"/>
                <w:sz w:val="21"/>
                <w:szCs w:val="21"/>
                <w:lang w:val="en-US"/>
              </w:rPr>
            </w:pPr>
            <w:r w:rsidRPr="00156F6E">
              <w:rPr>
                <w:rFonts w:eastAsia="Calibri" w:cs="Calibri"/>
                <w:color w:val="000000"/>
                <w:sz w:val="21"/>
                <w:szCs w:val="21"/>
                <w:lang w:val="en-US"/>
              </w:rPr>
              <w:t>This session will examine how medical products industries are accelerating regulatory harmonization, how progress benefits consumers and patients, their reflections on a decade of regulatory convergence in APEC, and their thoughts on future efforts in APEC.</w:t>
            </w:r>
          </w:p>
          <w:p w:rsidRPr="00156F6E" w:rsidR="00156F6E" w:rsidP="00156F6E" w:rsidRDefault="00156F6E">
            <w:pPr>
              <w:widowControl w:val="0"/>
              <w:autoSpaceDE w:val="0"/>
              <w:autoSpaceDN w:val="0"/>
              <w:spacing w:after="0" w:line="240" w:lineRule="auto"/>
              <w:ind w:right="84"/>
              <w:jc w:val="both"/>
              <w:rPr>
                <w:rFonts w:eastAsia="Calibri" w:cs="Calibri"/>
                <w:color w:val="000000"/>
                <w:sz w:val="8"/>
                <w:szCs w:val="21"/>
                <w:lang w:val="en-US"/>
              </w:rPr>
            </w:pPr>
          </w:p>
          <w:p w:rsidRPr="00156F6E" w:rsidR="00156F6E" w:rsidP="00156F6E" w:rsidRDefault="00156F6E">
            <w:pPr>
              <w:widowControl w:val="0"/>
              <w:autoSpaceDE w:val="0"/>
              <w:autoSpaceDN w:val="0"/>
              <w:spacing w:after="0" w:line="240" w:lineRule="auto"/>
              <w:ind w:left="89" w:right="84"/>
              <w:jc w:val="both"/>
              <w:rPr>
                <w:rFonts w:eastAsia="Calibri" w:cs="Calibri"/>
                <w:color w:val="000000"/>
                <w:sz w:val="21"/>
                <w:szCs w:val="21"/>
                <w:lang w:val="en-US"/>
              </w:rPr>
            </w:pPr>
            <w:r w:rsidRPr="00156F6E">
              <w:rPr>
                <w:rFonts w:eastAsia="Calibri" w:cs="Calibri"/>
                <w:color w:val="000000"/>
                <w:sz w:val="21"/>
                <w:szCs w:val="21"/>
                <w:lang w:val="en-US"/>
              </w:rPr>
              <w:t>(</w:t>
            </w:r>
            <w:r w:rsidRPr="00156F6E">
              <w:rPr>
                <w:rFonts w:eastAsia="Calibri" w:cs="Calibri"/>
                <w:i/>
                <w:color w:val="000000"/>
                <w:sz w:val="21"/>
                <w:szCs w:val="21"/>
                <w:lang w:val="en-US"/>
              </w:rPr>
              <w:t>Moderator</w:t>
            </w:r>
            <w:r w:rsidRPr="00156F6E">
              <w:rPr>
                <w:rFonts w:eastAsia="Calibri" w:cs="Calibri"/>
                <w:color w:val="000000"/>
                <w:sz w:val="21"/>
                <w:szCs w:val="21"/>
                <w:lang w:val="en-US"/>
              </w:rPr>
              <w:t xml:space="preserve">) </w:t>
            </w:r>
            <w:r w:rsidRPr="00156F6E">
              <w:rPr>
                <w:rFonts w:eastAsia="Calibri" w:cs="Calibri"/>
                <w:b/>
                <w:color w:val="000000"/>
                <w:sz w:val="21"/>
                <w:szCs w:val="21"/>
                <w:lang w:val="en-US"/>
              </w:rPr>
              <w:t>Ambassador Robert Holleyman</w:t>
            </w:r>
            <w:r w:rsidRPr="00156F6E">
              <w:rPr>
                <w:rFonts w:eastAsia="Calibri" w:cs="Calibri"/>
                <w:color w:val="000000"/>
                <w:sz w:val="21"/>
                <w:szCs w:val="21"/>
                <w:lang w:val="en-US"/>
              </w:rPr>
              <w:t>, President &amp; CEO, Crowell &amp; Moring International</w:t>
            </w:r>
          </w:p>
          <w:p w:rsidRPr="00156F6E" w:rsidR="00156F6E" w:rsidP="00156F6E" w:rsidRDefault="00156F6E">
            <w:pPr>
              <w:widowControl w:val="0"/>
              <w:autoSpaceDE w:val="0"/>
              <w:autoSpaceDN w:val="0"/>
              <w:spacing w:after="0" w:line="240" w:lineRule="auto"/>
              <w:ind w:left="89" w:right="84"/>
              <w:jc w:val="both"/>
              <w:rPr>
                <w:rFonts w:eastAsia="Calibri" w:cs="Calibri"/>
                <w:color w:val="000000"/>
                <w:sz w:val="8"/>
                <w:szCs w:val="21"/>
                <w:lang w:val="en-US"/>
              </w:rPr>
            </w:pPr>
          </w:p>
          <w:p w:rsidRPr="00156F6E" w:rsidR="00156F6E" w:rsidP="00156F6E" w:rsidRDefault="00156F6E">
            <w:pPr>
              <w:widowControl w:val="0"/>
              <w:autoSpaceDE w:val="0"/>
              <w:autoSpaceDN w:val="0"/>
              <w:spacing w:after="0" w:line="240" w:lineRule="auto"/>
              <w:ind w:left="89" w:right="84"/>
              <w:jc w:val="both"/>
              <w:rPr>
                <w:rFonts w:eastAsia="Calibri" w:cs="Calibri"/>
                <w:b/>
                <w:color w:val="000000"/>
                <w:sz w:val="21"/>
                <w:szCs w:val="21"/>
                <w:lang w:val="en-US"/>
              </w:rPr>
            </w:pPr>
            <w:r w:rsidRPr="00156F6E">
              <w:rPr>
                <w:rFonts w:eastAsia="Calibri" w:cs="Calibri"/>
                <w:b/>
                <w:color w:val="000000"/>
                <w:sz w:val="21"/>
                <w:szCs w:val="21"/>
                <w:lang w:val="en-US"/>
              </w:rPr>
              <w:t>Medical Devices</w:t>
            </w:r>
          </w:p>
          <w:p w:rsidRPr="00156F6E" w:rsidR="00156F6E" w:rsidP="00156F6E" w:rsidRDefault="00156F6E">
            <w:pPr>
              <w:widowControl w:val="0"/>
              <w:numPr>
                <w:ilvl w:val="0"/>
                <w:numId w:val="15"/>
              </w:numPr>
              <w:autoSpaceDE w:val="0"/>
              <w:autoSpaceDN w:val="0"/>
              <w:spacing w:after="0" w:line="240" w:lineRule="auto"/>
              <w:ind w:left="359" w:right="84" w:hanging="180"/>
              <w:jc w:val="both"/>
              <w:rPr>
                <w:rFonts w:eastAsia="Calibri" w:cs="Calibri"/>
                <w:color w:val="000000"/>
                <w:sz w:val="21"/>
                <w:szCs w:val="21"/>
                <w:lang w:val="en-US"/>
              </w:rPr>
            </w:pPr>
            <w:r w:rsidRPr="00156F6E">
              <w:rPr>
                <w:rFonts w:eastAsia="Calibri" w:cs="Calibri"/>
                <w:b/>
                <w:color w:val="000000"/>
                <w:sz w:val="21"/>
                <w:szCs w:val="21"/>
                <w:lang w:val="en-US"/>
              </w:rPr>
              <w:t>Ms Nicole Taylor Smith</w:t>
            </w:r>
            <w:r w:rsidRPr="00156F6E">
              <w:rPr>
                <w:rFonts w:eastAsia="Calibri" w:cs="Calibri"/>
                <w:color w:val="000000"/>
                <w:sz w:val="21"/>
                <w:szCs w:val="21"/>
                <w:lang w:val="en-US"/>
              </w:rPr>
              <w:t>, APEC RHSC Medical Device Industry Coalition Member; Vice President, Medtronic</w:t>
            </w:r>
          </w:p>
          <w:p w:rsidRPr="00156F6E" w:rsidR="00156F6E" w:rsidP="00156F6E" w:rsidRDefault="00156F6E">
            <w:pPr>
              <w:widowControl w:val="0"/>
              <w:numPr>
                <w:ilvl w:val="0"/>
                <w:numId w:val="15"/>
              </w:numPr>
              <w:autoSpaceDE w:val="0"/>
              <w:autoSpaceDN w:val="0"/>
              <w:spacing w:after="0" w:line="240" w:lineRule="auto"/>
              <w:ind w:left="359" w:right="84" w:hanging="180"/>
              <w:jc w:val="both"/>
              <w:rPr>
                <w:rFonts w:eastAsia="Calibri" w:cs="Calibri"/>
                <w:color w:val="000000"/>
                <w:sz w:val="21"/>
                <w:szCs w:val="21"/>
                <w:lang w:val="en-US"/>
              </w:rPr>
            </w:pPr>
            <w:r w:rsidRPr="00156F6E">
              <w:rPr>
                <w:rFonts w:eastAsia="Calibri" w:cs="Calibri"/>
                <w:b/>
                <w:color w:val="000000"/>
                <w:sz w:val="21"/>
                <w:szCs w:val="21"/>
                <w:lang w:val="en-US"/>
              </w:rPr>
              <w:t>Mr Naoki Morooka</w:t>
            </w:r>
            <w:r w:rsidRPr="00156F6E">
              <w:rPr>
                <w:rFonts w:eastAsia="Calibri" w:cs="Calibri"/>
                <w:color w:val="000000"/>
                <w:sz w:val="21"/>
                <w:szCs w:val="21"/>
                <w:lang w:val="en-US"/>
              </w:rPr>
              <w:t>, APEC RHSC Medical Device Industry Coalition Coordinator; Vice Division Chairman, Regulatory &amp; Safety, Japan Medical Imaging &amp; Radiological Systems Industries Association (JIRA)</w:t>
            </w:r>
          </w:p>
          <w:p w:rsidRPr="00156F6E" w:rsidR="00156F6E" w:rsidP="00156F6E" w:rsidRDefault="00156F6E">
            <w:pPr>
              <w:widowControl w:val="0"/>
              <w:autoSpaceDE w:val="0"/>
              <w:autoSpaceDN w:val="0"/>
              <w:spacing w:after="0" w:line="240" w:lineRule="auto"/>
              <w:ind w:left="89" w:right="84"/>
              <w:jc w:val="both"/>
              <w:rPr>
                <w:rFonts w:eastAsia="Calibri" w:cs="Calibri"/>
                <w:color w:val="000000"/>
                <w:sz w:val="8"/>
                <w:szCs w:val="21"/>
                <w:lang w:val="en-US"/>
              </w:rPr>
            </w:pPr>
          </w:p>
          <w:p w:rsidRPr="00156F6E" w:rsidR="00156F6E" w:rsidP="00156F6E" w:rsidRDefault="00156F6E">
            <w:pPr>
              <w:widowControl w:val="0"/>
              <w:autoSpaceDE w:val="0"/>
              <w:autoSpaceDN w:val="0"/>
              <w:spacing w:after="0" w:line="240" w:lineRule="auto"/>
              <w:ind w:left="90" w:right="84"/>
              <w:jc w:val="both"/>
              <w:rPr>
                <w:rFonts w:eastAsia="Calibri" w:cs="Calibri"/>
                <w:b/>
                <w:color w:val="000000"/>
                <w:sz w:val="21"/>
                <w:szCs w:val="21"/>
                <w:lang w:val="en-US"/>
              </w:rPr>
            </w:pPr>
            <w:r w:rsidRPr="00156F6E">
              <w:rPr>
                <w:rFonts w:eastAsia="Calibri" w:cs="Calibri"/>
                <w:b/>
                <w:color w:val="000000"/>
                <w:sz w:val="21"/>
                <w:szCs w:val="21"/>
                <w:lang w:val="en-US"/>
              </w:rPr>
              <w:t>Research-Based Pharmaceuticals &amp; Biotechnological Products</w:t>
            </w:r>
          </w:p>
          <w:p w:rsidRPr="00156F6E" w:rsidR="00156F6E" w:rsidP="00156F6E" w:rsidRDefault="00156F6E">
            <w:pPr>
              <w:widowControl w:val="0"/>
              <w:numPr>
                <w:ilvl w:val="0"/>
                <w:numId w:val="15"/>
              </w:numPr>
              <w:autoSpaceDE w:val="0"/>
              <w:autoSpaceDN w:val="0"/>
              <w:spacing w:after="0" w:line="240" w:lineRule="auto"/>
              <w:ind w:left="359" w:right="84" w:hanging="180"/>
              <w:jc w:val="both"/>
              <w:rPr>
                <w:rFonts w:eastAsia="Calibri" w:cs="Calibri"/>
                <w:color w:val="000000"/>
                <w:sz w:val="21"/>
                <w:szCs w:val="21"/>
                <w:lang w:val="en-US"/>
              </w:rPr>
            </w:pPr>
            <w:r w:rsidRPr="00156F6E">
              <w:rPr>
                <w:rFonts w:eastAsia="Calibri" w:cs="Calibri"/>
                <w:b/>
                <w:color w:val="000000"/>
                <w:sz w:val="21"/>
                <w:szCs w:val="21"/>
                <w:lang w:val="en-US"/>
              </w:rPr>
              <w:t>Ms Camille Jackson</w:t>
            </w:r>
            <w:r w:rsidRPr="00156F6E">
              <w:rPr>
                <w:rFonts w:eastAsia="Calibri" w:cs="Calibri"/>
                <w:color w:val="000000"/>
                <w:sz w:val="21"/>
                <w:szCs w:val="21"/>
                <w:lang w:val="en-US"/>
              </w:rPr>
              <w:t>, APEC RHSC Research-Based Pharmaceutical Industry Coalition Coordinator; Associate Vice President, Pharmaceutical Researchers &amp; Manufacturers of America (PhRMA)</w:t>
            </w:r>
          </w:p>
          <w:p w:rsidRPr="00156F6E" w:rsidR="00156F6E" w:rsidP="00156F6E" w:rsidRDefault="00156F6E">
            <w:pPr>
              <w:widowControl w:val="0"/>
              <w:numPr>
                <w:ilvl w:val="0"/>
                <w:numId w:val="15"/>
              </w:numPr>
              <w:autoSpaceDE w:val="0"/>
              <w:autoSpaceDN w:val="0"/>
              <w:spacing w:after="0" w:line="240" w:lineRule="auto"/>
              <w:ind w:left="359" w:right="84" w:hanging="180"/>
              <w:jc w:val="both"/>
              <w:rPr>
                <w:rFonts w:eastAsia="Calibri" w:cs="Calibri"/>
                <w:color w:val="000000"/>
                <w:sz w:val="21"/>
                <w:szCs w:val="21"/>
                <w:lang w:val="en-US"/>
              </w:rPr>
            </w:pPr>
            <w:r w:rsidRPr="00156F6E">
              <w:rPr>
                <w:rFonts w:eastAsia="Calibri" w:cs="Calibri"/>
                <w:b/>
                <w:color w:val="000000"/>
                <w:sz w:val="21"/>
                <w:szCs w:val="21"/>
                <w:lang w:val="en-US"/>
              </w:rPr>
              <w:t>Mr Kazuharu Matsuoka</w:t>
            </w:r>
            <w:r w:rsidRPr="00156F6E">
              <w:rPr>
                <w:rFonts w:eastAsia="Calibri" w:cs="Calibri"/>
                <w:color w:val="000000"/>
                <w:sz w:val="21"/>
                <w:szCs w:val="21"/>
                <w:lang w:val="en-US"/>
              </w:rPr>
              <w:t>, APEC RHSC Research-Based Pharmaceutical Industry Coalition Coordinator; Director, Japan Pharmaceutical Manufacturers Association (JPMA)</w:t>
            </w:r>
          </w:p>
          <w:p w:rsidRPr="00156F6E" w:rsidR="00156F6E" w:rsidP="00156F6E" w:rsidRDefault="00156F6E">
            <w:pPr>
              <w:widowControl w:val="0"/>
              <w:numPr>
                <w:ilvl w:val="0"/>
                <w:numId w:val="15"/>
              </w:numPr>
              <w:autoSpaceDE w:val="0"/>
              <w:autoSpaceDN w:val="0"/>
              <w:spacing w:after="0" w:line="240" w:lineRule="auto"/>
              <w:ind w:left="359" w:right="84" w:hanging="180"/>
              <w:jc w:val="both"/>
              <w:rPr>
                <w:rFonts w:eastAsia="Calibri" w:cs="Calibri"/>
                <w:b/>
                <w:color w:val="000000"/>
                <w:sz w:val="21"/>
                <w:szCs w:val="21"/>
                <w:lang w:val="en-US"/>
              </w:rPr>
            </w:pPr>
            <w:r w:rsidRPr="00156F6E">
              <w:rPr>
                <w:rFonts w:eastAsia="Calibri" w:cs="Calibri"/>
                <w:b/>
                <w:color w:val="000000"/>
                <w:sz w:val="21"/>
                <w:szCs w:val="21"/>
                <w:lang w:val="en-US"/>
              </w:rPr>
              <w:t>Ms Lila Feisee</w:t>
            </w:r>
            <w:r w:rsidRPr="00156F6E">
              <w:rPr>
                <w:rFonts w:eastAsia="Calibri" w:cs="Calibri"/>
                <w:color w:val="000000"/>
                <w:sz w:val="21"/>
                <w:szCs w:val="21"/>
                <w:lang w:val="en-US"/>
              </w:rPr>
              <w:t>, APEC RHSC Biotechnological Products Industry Coalition Coordinator; Vice President, International Affairs, Biotechnology Innovation Organization (BIO)</w:t>
            </w:r>
          </w:p>
        </w:tc>
      </w:tr>
      <w:tr w:rsidRPr="00156F6E" w:rsidR="00156F6E" w:rsidTr="0013268C">
        <w:trPr>
          <w:trHeight w:val="4752" w:hRule="exact"/>
          <w:jc w:val="center"/>
        </w:trPr>
        <w:tc>
          <w:tcPr>
            <w:tcW w:w="1196" w:type="dxa"/>
            <w:vAlign w:val="center"/>
          </w:tcPr>
          <w:p w:rsidRPr="00156F6E" w:rsidR="00156F6E" w:rsidP="00156F6E" w:rsidRDefault="00156F6E">
            <w:pPr>
              <w:widowControl w:val="0"/>
              <w:autoSpaceDE w:val="0"/>
              <w:autoSpaceDN w:val="0"/>
              <w:spacing w:after="0" w:line="240" w:lineRule="auto"/>
              <w:jc w:val="center"/>
              <w:rPr>
                <w:rFonts w:eastAsia="Calibri" w:cs="Calibri"/>
                <w:lang w:val="en-US"/>
              </w:rPr>
            </w:pPr>
            <w:r w:rsidRPr="00156F6E">
              <w:rPr>
                <w:rFonts w:eastAsia="Calibri" w:cs="Calibri"/>
                <w:lang w:val="en-US"/>
              </w:rPr>
              <w:t>16:00-17:00</w:t>
            </w:r>
          </w:p>
        </w:tc>
        <w:tc>
          <w:tcPr>
            <w:tcW w:w="9170" w:type="dxa"/>
            <w:vAlign w:val="center"/>
          </w:tcPr>
          <w:p w:rsidRPr="00156F6E" w:rsidR="00156F6E" w:rsidP="00156F6E" w:rsidRDefault="00156F6E">
            <w:pPr>
              <w:widowControl w:val="0"/>
              <w:autoSpaceDE w:val="0"/>
              <w:autoSpaceDN w:val="0"/>
              <w:spacing w:after="0" w:line="240" w:lineRule="auto"/>
              <w:ind w:left="89" w:right="84"/>
              <w:jc w:val="both"/>
              <w:rPr>
                <w:rFonts w:eastAsia="Calibri" w:cs="Calibri"/>
                <w:b/>
                <w:color w:val="000000"/>
                <w:sz w:val="21"/>
                <w:szCs w:val="21"/>
                <w:u w:val="single"/>
                <w:lang w:val="en-US"/>
              </w:rPr>
            </w:pPr>
            <w:r w:rsidRPr="00156F6E">
              <w:rPr>
                <w:rFonts w:eastAsia="Calibri" w:cs="Calibri"/>
                <w:b/>
                <w:color w:val="000000"/>
                <w:sz w:val="21"/>
                <w:szCs w:val="21"/>
                <w:u w:val="single"/>
                <w:lang w:val="en-US"/>
              </w:rPr>
              <w:t>Session 4: Academic and Institute Perspectives</w:t>
            </w:r>
          </w:p>
          <w:p w:rsidRPr="00156F6E" w:rsidR="00156F6E" w:rsidP="00156F6E" w:rsidRDefault="00156F6E">
            <w:pPr>
              <w:widowControl w:val="0"/>
              <w:autoSpaceDE w:val="0"/>
              <w:autoSpaceDN w:val="0"/>
              <w:spacing w:after="0" w:line="240" w:lineRule="auto"/>
              <w:ind w:left="89" w:right="84"/>
              <w:jc w:val="both"/>
              <w:rPr>
                <w:rFonts w:eastAsia="Calibri" w:cs="Calibri"/>
                <w:color w:val="000000"/>
                <w:sz w:val="21"/>
                <w:szCs w:val="21"/>
                <w:lang w:val="en-US"/>
              </w:rPr>
            </w:pPr>
            <w:r w:rsidRPr="00156F6E">
              <w:rPr>
                <w:rFonts w:eastAsia="Calibri" w:cs="Calibri"/>
                <w:color w:val="000000"/>
                <w:sz w:val="21"/>
                <w:szCs w:val="21"/>
                <w:lang w:val="en-US"/>
              </w:rPr>
              <w:t>In 2019, RHSC’s network of Training Centers of Excellence for Regulatory Science is expected to hold over 20 regulatory training programs, reaching hundreds of regulators. This session will highlight how these institutions are facilitating regulatory convergence through research, education, and capacity-building, their reflections on a decade of regulatory convergence in APEC, and their thoughts on future efforts in APEC.</w:t>
            </w:r>
          </w:p>
          <w:p w:rsidRPr="00156F6E" w:rsidR="00156F6E" w:rsidP="00156F6E" w:rsidRDefault="00156F6E">
            <w:pPr>
              <w:widowControl w:val="0"/>
              <w:autoSpaceDE w:val="0"/>
              <w:autoSpaceDN w:val="0"/>
              <w:spacing w:after="0" w:line="240" w:lineRule="auto"/>
              <w:ind w:right="84"/>
              <w:jc w:val="both"/>
              <w:rPr>
                <w:rFonts w:eastAsia="Calibri" w:cs="Calibri"/>
                <w:color w:val="000000"/>
                <w:sz w:val="8"/>
                <w:szCs w:val="21"/>
                <w:lang w:val="en-US"/>
              </w:rPr>
            </w:pPr>
          </w:p>
          <w:p w:rsidRPr="00156F6E" w:rsidR="00156F6E" w:rsidP="0013268C" w:rsidRDefault="00156F6E">
            <w:pPr>
              <w:widowControl w:val="0"/>
              <w:autoSpaceDE w:val="0"/>
              <w:autoSpaceDN w:val="0"/>
              <w:spacing w:after="0" w:line="240" w:lineRule="auto"/>
              <w:ind w:left="89" w:right="84"/>
              <w:rPr>
                <w:rFonts w:eastAsia="Calibri" w:cs="Calibri"/>
                <w:i/>
                <w:color w:val="000000"/>
                <w:sz w:val="21"/>
                <w:szCs w:val="21"/>
                <w:lang w:val="en-US"/>
              </w:rPr>
            </w:pPr>
            <w:r w:rsidRPr="00156F6E">
              <w:rPr>
                <w:rFonts w:eastAsia="Calibri" w:cs="Calibri"/>
                <w:color w:val="000000"/>
                <w:sz w:val="21"/>
                <w:szCs w:val="21"/>
                <w:lang w:val="en-US"/>
              </w:rPr>
              <w:t xml:space="preserve"> (</w:t>
            </w:r>
            <w:r w:rsidRPr="00156F6E">
              <w:rPr>
                <w:rFonts w:eastAsia="Calibri" w:cs="Calibri"/>
                <w:i/>
                <w:color w:val="000000"/>
                <w:sz w:val="21"/>
                <w:szCs w:val="21"/>
                <w:lang w:val="en-US"/>
              </w:rPr>
              <w:t>Moderator</w:t>
            </w:r>
            <w:r w:rsidRPr="00156F6E">
              <w:rPr>
                <w:rFonts w:eastAsia="Calibri" w:cs="Calibri"/>
                <w:color w:val="000000"/>
                <w:sz w:val="21"/>
                <w:szCs w:val="21"/>
                <w:lang w:val="en-US"/>
              </w:rPr>
              <w:t xml:space="preserve">) </w:t>
            </w:r>
            <w:r w:rsidRPr="00156F6E">
              <w:rPr>
                <w:rFonts w:eastAsia="Calibri" w:cs="Calibri"/>
                <w:b/>
                <w:color w:val="000000"/>
                <w:sz w:val="21"/>
                <w:szCs w:val="21"/>
                <w:lang w:val="en-US"/>
              </w:rPr>
              <w:t>Dr Samvel Azatyan</w:t>
            </w:r>
            <w:r w:rsidRPr="00156F6E">
              <w:rPr>
                <w:rFonts w:eastAsia="Calibri" w:cs="Calibri"/>
                <w:color w:val="000000"/>
                <w:sz w:val="21"/>
                <w:szCs w:val="21"/>
                <w:lang w:val="en-US"/>
              </w:rPr>
              <w:t>, Group Lead, Capacity Building, Regulatory Systems Strengthening Team, World Health Organization (WHO)</w:t>
            </w:r>
          </w:p>
          <w:p w:rsidRPr="00156F6E" w:rsidR="00156F6E" w:rsidP="00156F6E" w:rsidRDefault="00156F6E">
            <w:pPr>
              <w:widowControl w:val="0"/>
              <w:autoSpaceDE w:val="0"/>
              <w:autoSpaceDN w:val="0"/>
              <w:spacing w:after="0" w:line="240" w:lineRule="auto"/>
              <w:ind w:right="84"/>
              <w:rPr>
                <w:rFonts w:eastAsia="Calibri" w:cs="Calibri"/>
                <w:i/>
                <w:color w:val="000000"/>
                <w:sz w:val="8"/>
                <w:szCs w:val="21"/>
                <w:lang w:val="en-US"/>
              </w:rPr>
            </w:pPr>
          </w:p>
          <w:p w:rsidRPr="00156F6E" w:rsidR="00156F6E" w:rsidP="00156F6E" w:rsidRDefault="00156F6E">
            <w:pPr>
              <w:widowControl w:val="0"/>
              <w:numPr>
                <w:ilvl w:val="0"/>
                <w:numId w:val="22"/>
              </w:numPr>
              <w:autoSpaceDE w:val="0"/>
              <w:autoSpaceDN w:val="0"/>
              <w:spacing w:after="0" w:line="240" w:lineRule="auto"/>
              <w:ind w:left="360" w:right="84" w:hanging="180"/>
              <w:rPr>
                <w:rFonts w:eastAsia="Calibri" w:cs="Calibri"/>
                <w:color w:val="000000"/>
                <w:sz w:val="21"/>
                <w:szCs w:val="21"/>
                <w:lang w:val="en-US"/>
              </w:rPr>
            </w:pPr>
            <w:r w:rsidRPr="00156F6E">
              <w:rPr>
                <w:rFonts w:hint="eastAsia" w:eastAsia="Calibri" w:cs="Calibri"/>
                <w:b/>
                <w:color w:val="000000"/>
                <w:sz w:val="21"/>
                <w:szCs w:val="21"/>
                <w:lang w:val="en-US"/>
              </w:rPr>
              <w:t xml:space="preserve">Prof Gong </w:t>
            </w:r>
            <w:r w:rsidRPr="00156F6E">
              <w:rPr>
                <w:rFonts w:eastAsia="Calibri" w:cs="Calibri"/>
                <w:b/>
                <w:color w:val="000000"/>
                <w:sz w:val="21"/>
                <w:szCs w:val="21"/>
                <w:lang w:val="en-US"/>
              </w:rPr>
              <w:t>Chen</w:t>
            </w:r>
            <w:r w:rsidRPr="00156F6E">
              <w:rPr>
                <w:rFonts w:hint="eastAsia" w:eastAsia="Calibri" w:cs="Calibri"/>
                <w:b/>
                <w:color w:val="000000"/>
                <w:sz w:val="21"/>
                <w:szCs w:val="21"/>
                <w:lang w:val="en-US"/>
              </w:rPr>
              <w:t xml:space="preserve">, </w:t>
            </w:r>
            <w:r w:rsidRPr="00156F6E">
              <w:rPr>
                <w:rFonts w:hint="eastAsia" w:eastAsia="Calibri" w:cs="Calibri"/>
                <w:color w:val="000000"/>
                <w:sz w:val="21"/>
                <w:szCs w:val="21"/>
                <w:lang w:val="en-US"/>
              </w:rPr>
              <w:t>Secretary-</w:t>
            </w:r>
            <w:r w:rsidRPr="00156F6E">
              <w:rPr>
                <w:rFonts w:eastAsia="Calibri" w:cs="Calibri"/>
                <w:color w:val="000000"/>
                <w:sz w:val="21"/>
                <w:szCs w:val="21"/>
                <w:lang w:val="en-US"/>
              </w:rPr>
              <w:t>G</w:t>
            </w:r>
            <w:r w:rsidRPr="00156F6E">
              <w:rPr>
                <w:rFonts w:hint="eastAsia" w:eastAsia="Calibri" w:cs="Calibri"/>
                <w:color w:val="000000"/>
                <w:sz w:val="21"/>
                <w:szCs w:val="21"/>
                <w:lang w:val="en-US"/>
              </w:rPr>
              <w:t>eneral</w:t>
            </w:r>
            <w:r w:rsidRPr="00156F6E">
              <w:rPr>
                <w:rFonts w:eastAsia="Calibri" w:cs="Calibri"/>
                <w:color w:val="000000"/>
                <w:sz w:val="21"/>
                <w:szCs w:val="21"/>
                <w:lang w:val="en-US"/>
              </w:rPr>
              <w:t xml:space="preserve">, </w:t>
            </w:r>
            <w:r w:rsidRPr="00156F6E">
              <w:rPr>
                <w:rFonts w:hint="eastAsia" w:eastAsia="Calibri" w:cs="Calibri"/>
                <w:color w:val="000000"/>
                <w:sz w:val="21"/>
                <w:szCs w:val="21"/>
                <w:lang w:val="en-US"/>
              </w:rPr>
              <w:t>APEC Health Science Academy</w:t>
            </w:r>
            <w:r w:rsidRPr="00156F6E">
              <w:rPr>
                <w:rFonts w:eastAsia="Calibri" w:cs="Calibri"/>
                <w:color w:val="000000"/>
                <w:sz w:val="21"/>
                <w:szCs w:val="21"/>
                <w:lang w:val="en-US"/>
              </w:rPr>
              <w:t>,</w:t>
            </w:r>
            <w:r w:rsidRPr="00156F6E">
              <w:rPr>
                <w:rFonts w:hint="eastAsia" w:eastAsia="Calibri" w:cs="Calibri"/>
                <w:color w:val="000000"/>
                <w:sz w:val="21"/>
                <w:szCs w:val="21"/>
                <w:lang w:val="en-US"/>
              </w:rPr>
              <w:t xml:space="preserve"> Executive Deputy Director</w:t>
            </w:r>
            <w:r w:rsidRPr="00156F6E">
              <w:rPr>
                <w:rFonts w:eastAsia="Calibri" w:cs="Calibri"/>
                <w:color w:val="000000"/>
                <w:sz w:val="21"/>
                <w:szCs w:val="21"/>
                <w:lang w:val="en-US"/>
              </w:rPr>
              <w:t>,</w:t>
            </w:r>
            <w:r w:rsidRPr="00156F6E">
              <w:rPr>
                <w:rFonts w:hint="eastAsia" w:eastAsia="Calibri" w:cs="Calibri"/>
                <w:color w:val="000000"/>
                <w:sz w:val="21"/>
                <w:szCs w:val="21"/>
                <w:lang w:val="en-US"/>
              </w:rPr>
              <w:t xml:space="preserve"> Institute of Population Research</w:t>
            </w:r>
            <w:r w:rsidRPr="00156F6E">
              <w:rPr>
                <w:rFonts w:eastAsia="Calibri" w:cs="Calibri"/>
                <w:color w:val="000000"/>
                <w:sz w:val="21"/>
                <w:szCs w:val="21"/>
                <w:lang w:val="en-US"/>
              </w:rPr>
              <w:t>, Peking University</w:t>
            </w:r>
          </w:p>
          <w:p w:rsidRPr="00156F6E" w:rsidR="00156F6E" w:rsidP="00156F6E" w:rsidRDefault="00156F6E">
            <w:pPr>
              <w:widowControl w:val="0"/>
              <w:numPr>
                <w:ilvl w:val="0"/>
                <w:numId w:val="20"/>
              </w:numPr>
              <w:autoSpaceDE w:val="0"/>
              <w:autoSpaceDN w:val="0"/>
              <w:spacing w:after="0" w:line="240" w:lineRule="auto"/>
              <w:ind w:left="359" w:right="84" w:hanging="180"/>
              <w:jc w:val="both"/>
              <w:rPr>
                <w:rFonts w:eastAsia="Calibri" w:cs="Calibri"/>
                <w:color w:val="000000"/>
                <w:sz w:val="21"/>
                <w:szCs w:val="21"/>
                <w:lang w:val="en-US"/>
              </w:rPr>
            </w:pPr>
            <w:r w:rsidRPr="00156F6E">
              <w:rPr>
                <w:rFonts w:eastAsia="Calibri" w:cs="Calibri"/>
                <w:b/>
                <w:color w:val="000000"/>
                <w:sz w:val="21"/>
                <w:szCs w:val="21"/>
                <w:lang w:val="en-US"/>
              </w:rPr>
              <w:t>Dr Jared Auclair</w:t>
            </w:r>
            <w:r w:rsidRPr="00156F6E">
              <w:rPr>
                <w:rFonts w:eastAsia="Calibri" w:cs="Calibri"/>
                <w:color w:val="000000"/>
                <w:sz w:val="21"/>
                <w:szCs w:val="21"/>
                <w:lang w:val="en-US"/>
              </w:rPr>
              <w:t>, Co-Chair, APEC RHSC Centers of Excellence Coalition; Associate Teaching Professor &amp; Director, Northeastern University (NEU)</w:t>
            </w:r>
          </w:p>
          <w:p w:rsidRPr="00156F6E" w:rsidR="00156F6E" w:rsidP="00156F6E" w:rsidRDefault="00156F6E">
            <w:pPr>
              <w:widowControl w:val="0"/>
              <w:numPr>
                <w:ilvl w:val="0"/>
                <w:numId w:val="20"/>
              </w:numPr>
              <w:autoSpaceDE w:val="0"/>
              <w:autoSpaceDN w:val="0"/>
              <w:spacing w:after="0" w:line="240" w:lineRule="auto"/>
              <w:ind w:left="359" w:right="84" w:hanging="180"/>
              <w:jc w:val="both"/>
              <w:rPr>
                <w:rFonts w:eastAsia="Calibri" w:cs="Calibri"/>
                <w:color w:val="000000"/>
                <w:sz w:val="21"/>
                <w:szCs w:val="21"/>
                <w:lang w:val="en-US"/>
              </w:rPr>
            </w:pPr>
            <w:r w:rsidRPr="00156F6E">
              <w:rPr>
                <w:rFonts w:eastAsia="Calibri" w:cs="Calibri"/>
                <w:b/>
                <w:color w:val="000000"/>
                <w:sz w:val="21"/>
                <w:szCs w:val="21"/>
                <w:lang w:val="en-US"/>
              </w:rPr>
              <w:t>Dr Ronald Piervincenzi</w:t>
            </w:r>
            <w:r w:rsidRPr="00156F6E">
              <w:rPr>
                <w:rFonts w:eastAsia="Calibri" w:cs="Calibri"/>
                <w:color w:val="000000"/>
                <w:sz w:val="21"/>
                <w:szCs w:val="21"/>
                <w:lang w:val="en-US"/>
              </w:rPr>
              <w:t>, Alternate Co-Chair, APEC RHSC Centers of Excellence Coalition; CEO, United States Pharmacopeia (USP)</w:t>
            </w:r>
          </w:p>
          <w:p w:rsidRPr="00156F6E" w:rsidR="00156F6E" w:rsidP="00156F6E" w:rsidRDefault="00156F6E">
            <w:pPr>
              <w:widowControl w:val="0"/>
              <w:numPr>
                <w:ilvl w:val="0"/>
                <w:numId w:val="20"/>
              </w:numPr>
              <w:autoSpaceDE w:val="0"/>
              <w:autoSpaceDN w:val="0"/>
              <w:spacing w:after="0" w:line="240" w:lineRule="auto"/>
              <w:ind w:left="359" w:right="84" w:hanging="180"/>
              <w:jc w:val="both"/>
              <w:rPr>
                <w:rFonts w:eastAsia="Calibri" w:cs="Calibri"/>
                <w:color w:val="000000"/>
                <w:sz w:val="21"/>
                <w:szCs w:val="21"/>
                <w:lang w:val="en-US"/>
              </w:rPr>
            </w:pPr>
            <w:r w:rsidRPr="00156F6E">
              <w:rPr>
                <w:rFonts w:eastAsia="Calibri" w:cs="Calibri"/>
                <w:b/>
                <w:color w:val="000000"/>
                <w:sz w:val="21"/>
                <w:szCs w:val="21"/>
                <w:lang w:val="en-US"/>
              </w:rPr>
              <w:t>Mr Cherng Yeu Neo</w:t>
            </w:r>
            <w:r w:rsidRPr="00156F6E">
              <w:rPr>
                <w:rFonts w:eastAsia="Calibri" w:cs="Calibri"/>
                <w:color w:val="000000"/>
                <w:sz w:val="21"/>
                <w:szCs w:val="21"/>
                <w:lang w:val="en-US"/>
              </w:rPr>
              <w:t>, Co-Chair, APEC RHSC Centers of Excellence Coalition; Associate Director, Center of Regulatory Excellence (CoRE), Duke-National University of Singapore (Duke-NUS)</w:t>
            </w:r>
          </w:p>
        </w:tc>
      </w:tr>
      <w:tr w:rsidRPr="00156F6E" w:rsidR="00156F6E" w:rsidTr="00156F6E">
        <w:trPr>
          <w:trHeight w:val="2448" w:hRule="exact"/>
          <w:jc w:val="center"/>
        </w:trPr>
        <w:tc>
          <w:tcPr>
            <w:tcW w:w="1196" w:type="dxa"/>
            <w:vAlign w:val="center"/>
          </w:tcPr>
          <w:p w:rsidRPr="00156F6E" w:rsidR="00156F6E" w:rsidP="00156F6E" w:rsidRDefault="00156F6E">
            <w:pPr>
              <w:widowControl w:val="0"/>
              <w:autoSpaceDE w:val="0"/>
              <w:autoSpaceDN w:val="0"/>
              <w:spacing w:after="0" w:line="240" w:lineRule="auto"/>
              <w:jc w:val="center"/>
              <w:rPr>
                <w:rFonts w:eastAsia="Calibri" w:cs="Calibri"/>
                <w:lang w:val="en-US"/>
              </w:rPr>
            </w:pPr>
            <w:r w:rsidRPr="00156F6E">
              <w:rPr>
                <w:rFonts w:eastAsia="Calibri" w:cs="Calibri"/>
                <w:lang w:val="en-US"/>
              </w:rPr>
              <w:t>17:00-17:50</w:t>
            </w:r>
          </w:p>
        </w:tc>
        <w:tc>
          <w:tcPr>
            <w:tcW w:w="9170" w:type="dxa"/>
            <w:vAlign w:val="center"/>
          </w:tcPr>
          <w:p w:rsidRPr="00156F6E" w:rsidR="00156F6E" w:rsidP="00156F6E" w:rsidRDefault="00156F6E">
            <w:pPr>
              <w:widowControl w:val="0"/>
              <w:autoSpaceDE w:val="0"/>
              <w:autoSpaceDN w:val="0"/>
              <w:spacing w:after="0" w:line="240" w:lineRule="auto"/>
              <w:ind w:left="89" w:right="84"/>
              <w:rPr>
                <w:rFonts w:eastAsia="Calibri" w:cs="Calibri"/>
                <w:b/>
                <w:color w:val="000000"/>
                <w:sz w:val="21"/>
                <w:szCs w:val="21"/>
                <w:u w:val="single"/>
                <w:lang w:val="en-US"/>
              </w:rPr>
            </w:pPr>
            <w:r w:rsidRPr="00156F6E">
              <w:rPr>
                <w:rFonts w:eastAsia="Calibri" w:cs="Calibri"/>
                <w:b/>
                <w:color w:val="000000"/>
                <w:sz w:val="21"/>
                <w:szCs w:val="21"/>
                <w:u w:val="single"/>
                <w:lang w:val="en-US"/>
              </w:rPr>
              <w:t>Concluding Observations, Recommendations, and Remarks</w:t>
            </w:r>
          </w:p>
          <w:p w:rsidRPr="00156F6E" w:rsidR="00156F6E" w:rsidP="00156F6E" w:rsidRDefault="00156F6E">
            <w:pPr>
              <w:widowControl w:val="0"/>
              <w:autoSpaceDE w:val="0"/>
              <w:autoSpaceDN w:val="0"/>
              <w:spacing w:after="0" w:line="240" w:lineRule="auto"/>
              <w:ind w:left="89" w:right="84"/>
              <w:rPr>
                <w:rFonts w:eastAsia="Calibri" w:cs="Calibri"/>
                <w:i/>
                <w:color w:val="000000"/>
                <w:sz w:val="21"/>
                <w:szCs w:val="21"/>
                <w:lang w:val="en-US"/>
              </w:rPr>
            </w:pPr>
            <w:r w:rsidRPr="00156F6E">
              <w:rPr>
                <w:rFonts w:eastAsia="Calibri" w:cs="Calibri"/>
                <w:color w:val="000000"/>
                <w:sz w:val="21"/>
                <w:szCs w:val="21"/>
                <w:lang w:val="en-US"/>
              </w:rPr>
              <w:t>(</w:t>
            </w:r>
            <w:r w:rsidRPr="00156F6E">
              <w:rPr>
                <w:rFonts w:eastAsia="Calibri" w:cs="Calibri"/>
                <w:i/>
                <w:color w:val="000000"/>
                <w:sz w:val="21"/>
                <w:szCs w:val="21"/>
                <w:lang w:val="en-US"/>
              </w:rPr>
              <w:t>Moderator</w:t>
            </w:r>
            <w:r w:rsidRPr="00156F6E">
              <w:rPr>
                <w:rFonts w:eastAsia="Calibri" w:cs="Calibri"/>
                <w:color w:val="000000"/>
                <w:sz w:val="21"/>
                <w:szCs w:val="21"/>
                <w:lang w:val="en-US"/>
              </w:rPr>
              <w:t xml:space="preserve">) </w:t>
            </w:r>
            <w:r w:rsidRPr="00156F6E">
              <w:rPr>
                <w:rFonts w:eastAsia="Calibri" w:cs="Calibri"/>
                <w:b/>
                <w:color w:val="000000"/>
                <w:sz w:val="21"/>
                <w:szCs w:val="21"/>
                <w:lang w:val="en-US"/>
              </w:rPr>
              <w:t>Ms Erika Elvander</w:t>
            </w:r>
            <w:r w:rsidRPr="00156F6E">
              <w:rPr>
                <w:rFonts w:eastAsia="Calibri" w:cs="Calibri"/>
                <w:color w:val="000000"/>
                <w:sz w:val="21"/>
                <w:szCs w:val="21"/>
                <w:lang w:val="en-US"/>
              </w:rPr>
              <w:t>, Chair, APEC LSIF Planning Group; Director, Asia-Pacific, Office of Global Affairs, Department of Health and Human Services, The United States</w:t>
            </w:r>
          </w:p>
          <w:p w:rsidRPr="00156F6E" w:rsidR="00156F6E" w:rsidP="00156F6E" w:rsidRDefault="00156F6E">
            <w:pPr>
              <w:widowControl w:val="0"/>
              <w:autoSpaceDE w:val="0"/>
              <w:autoSpaceDN w:val="0"/>
              <w:spacing w:after="0" w:line="240" w:lineRule="auto"/>
              <w:ind w:left="89" w:right="84"/>
              <w:rPr>
                <w:rFonts w:eastAsia="Calibri" w:cs="Calibri"/>
                <w:b/>
                <w:color w:val="000000"/>
                <w:sz w:val="8"/>
                <w:szCs w:val="21"/>
                <w:u w:val="single"/>
                <w:lang w:val="en-US"/>
              </w:rPr>
            </w:pPr>
          </w:p>
          <w:p w:rsidRPr="00156F6E" w:rsidR="00156F6E" w:rsidP="00156F6E" w:rsidRDefault="00156F6E">
            <w:pPr>
              <w:widowControl w:val="0"/>
              <w:numPr>
                <w:ilvl w:val="0"/>
                <w:numId w:val="21"/>
              </w:numPr>
              <w:autoSpaceDE w:val="0"/>
              <w:autoSpaceDN w:val="0"/>
              <w:spacing w:after="0" w:line="240" w:lineRule="auto"/>
              <w:ind w:left="360" w:right="84" w:hanging="180"/>
              <w:rPr>
                <w:rFonts w:eastAsia="Calibri" w:cs="Calibri"/>
                <w:color w:val="000000"/>
                <w:sz w:val="21"/>
                <w:szCs w:val="21"/>
                <w:lang w:val="en-US"/>
              </w:rPr>
            </w:pPr>
            <w:r w:rsidRPr="00156F6E">
              <w:rPr>
                <w:rFonts w:eastAsia="Calibri" w:cs="Calibri"/>
                <w:b/>
                <w:color w:val="000000"/>
                <w:sz w:val="21"/>
                <w:szCs w:val="21"/>
                <w:lang w:val="en-US"/>
              </w:rPr>
              <w:t>Prof John Lim</w:t>
            </w:r>
            <w:r w:rsidRPr="00156F6E">
              <w:rPr>
                <w:rFonts w:eastAsia="Calibri" w:cs="Calibri"/>
                <w:color w:val="000000"/>
                <w:sz w:val="21"/>
                <w:szCs w:val="21"/>
                <w:lang w:val="en-US"/>
              </w:rPr>
              <w:t>, Professor &amp; Executive Director, Center for Regulatory Excellence (CoRE), Duke-National University of Singapore</w:t>
            </w:r>
          </w:p>
          <w:p w:rsidRPr="00156F6E" w:rsidR="00156F6E" w:rsidP="00156F6E" w:rsidRDefault="00156F6E">
            <w:pPr>
              <w:widowControl w:val="0"/>
              <w:numPr>
                <w:ilvl w:val="0"/>
                <w:numId w:val="21"/>
              </w:numPr>
              <w:autoSpaceDE w:val="0"/>
              <w:autoSpaceDN w:val="0"/>
              <w:spacing w:after="0" w:line="240" w:lineRule="auto"/>
              <w:ind w:left="360" w:right="84" w:hanging="180"/>
              <w:rPr>
                <w:rFonts w:eastAsia="Calibri" w:cs="Calibri"/>
                <w:color w:val="000000"/>
                <w:sz w:val="21"/>
                <w:szCs w:val="21"/>
                <w:lang w:val="en-US"/>
              </w:rPr>
            </w:pPr>
            <w:r w:rsidRPr="00156F6E">
              <w:rPr>
                <w:rFonts w:eastAsia="Calibri" w:cs="Calibri"/>
                <w:b/>
                <w:sz w:val="21"/>
                <w:szCs w:val="21"/>
                <w:lang w:val="en-US"/>
              </w:rPr>
              <w:t xml:space="preserve">Dr Mijeong Kim, </w:t>
            </w:r>
            <w:r w:rsidRPr="00156F6E">
              <w:rPr>
                <w:rFonts w:eastAsia="Calibri" w:cs="Calibri"/>
                <w:sz w:val="21"/>
                <w:szCs w:val="21"/>
                <w:lang w:val="en-US"/>
              </w:rPr>
              <w:t>Cardiovascular &amp; Neurology Products Division, National Institute of Food and Drug Safety Evaluation, Ministry of Food and Drug Safety, Korea</w:t>
            </w:r>
          </w:p>
          <w:p w:rsidRPr="00156F6E" w:rsidR="00156F6E" w:rsidP="00156F6E" w:rsidRDefault="00156F6E">
            <w:pPr>
              <w:widowControl w:val="0"/>
              <w:numPr>
                <w:ilvl w:val="0"/>
                <w:numId w:val="21"/>
              </w:numPr>
              <w:autoSpaceDE w:val="0"/>
              <w:autoSpaceDN w:val="0"/>
              <w:spacing w:after="0" w:line="240" w:lineRule="auto"/>
              <w:ind w:left="360" w:right="84" w:hanging="180"/>
              <w:rPr>
                <w:rFonts w:eastAsia="Calibri" w:cs="Calibri"/>
                <w:color w:val="000000"/>
                <w:sz w:val="21"/>
                <w:szCs w:val="21"/>
                <w:lang w:val="en-US"/>
              </w:rPr>
            </w:pPr>
            <w:r w:rsidRPr="00156F6E">
              <w:rPr>
                <w:rFonts w:eastAsia="Calibri" w:cs="Calibri"/>
                <w:b/>
                <w:color w:val="000000"/>
                <w:sz w:val="21"/>
                <w:szCs w:val="21"/>
                <w:lang w:val="en-US"/>
              </w:rPr>
              <w:t>Dr James Fitzgerald</w:t>
            </w:r>
            <w:r w:rsidRPr="00156F6E">
              <w:rPr>
                <w:rFonts w:eastAsia="Calibri" w:cs="Calibri"/>
                <w:color w:val="000000"/>
                <w:sz w:val="21"/>
                <w:szCs w:val="21"/>
                <w:lang w:val="en-US"/>
              </w:rPr>
              <w:t>, Director, Health Systems and Services, Pan American Health Organization (PAHO)</w:t>
            </w:r>
          </w:p>
        </w:tc>
      </w:tr>
    </w:tbl>
    <w:p w:rsidR="003F38BC" w:rsidP="003F38BC" w:rsidRDefault="003F38BC">
      <w:pPr>
        <w:pStyle w:val="BodyText"/>
        <w:spacing w:after="0"/>
        <w:ind w:firstLine="0"/>
        <w:rPr>
          <w:sz w:val="22"/>
        </w:rPr>
      </w:pPr>
    </w:p>
    <w:p w:rsidR="000A559D" w:rsidRDefault="000A559D">
      <w:pPr>
        <w:spacing w:after="0" w:line="240" w:lineRule="auto"/>
      </w:pPr>
      <w:r>
        <w:br w:type="page"/>
      </w:r>
    </w:p>
    <w:p w:rsidRPr="00DA4A19" w:rsidR="0022632D" w:rsidP="0022632D" w:rsidRDefault="0022632D">
      <w:pPr>
        <w:pStyle w:val="Heading1"/>
        <w:numPr>
          <w:ilvl w:val="0"/>
          <w:numId w:val="0"/>
        </w:numPr>
      </w:pPr>
      <w:r>
        <w:t>Annex 2: Key Performance Indicators</w:t>
      </w:r>
      <w:r>
        <w:rPr>
          <w:bCs w:val="0"/>
          <w:noProof/>
          <w:lang w:val="en-US"/>
        </w:rPr>
        <w:drawing>
          <wp:anchor distT="0" distB="0" distL="114300" distR="114300" simplePos="0" relativeHeight="251659264" behindDoc="0" locked="0" layoutInCell="1" allowOverlap="1" wp14:editId="5029E30D" wp14:anchorId="57115D01">
            <wp:simplePos x="0" y="0"/>
            <wp:positionH relativeFrom="margin">
              <wp:align>center</wp:align>
            </wp:positionH>
            <wp:positionV relativeFrom="margin">
              <wp:align>center</wp:align>
            </wp:positionV>
            <wp:extent cx="5906937" cy="7680960"/>
            <wp:effectExtent l="0" t="0" r="0" b="0"/>
            <wp:wrapSquare wrapText="bothSides"/>
            <wp:docPr id="2"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PIs.PNG"/>
                    <pic:cNvPicPr/>
                  </pic:nvPicPr>
                  <pic:blipFill>
                    <a:blip r:embed="rId12">
                      <a:extLst>
                        <a:ext uri="{28A0092B-C50C-407E-A947-70E740481C1C}">
                          <a14:useLocalDpi xmlns:a14="http://schemas.microsoft.com/office/drawing/2010/main" val="0"/>
                        </a:ext>
                      </a:extLst>
                    </a:blip>
                    <a:stretch>
                      <a:fillRect/>
                    </a:stretch>
                  </pic:blipFill>
                  <pic:spPr>
                    <a:xfrm>
                      <a:off x="0" y="0"/>
                      <a:ext cx="5906937" cy="7680960"/>
                    </a:xfrm>
                    <a:prstGeom prst="rect">
                      <a:avLst/>
                    </a:prstGeom>
                  </pic:spPr>
                </pic:pic>
              </a:graphicData>
            </a:graphic>
            <wp14:sizeRelH relativeFrom="page">
              <wp14:pctWidth>0</wp14:pctWidth>
            </wp14:sizeRelH>
            <wp14:sizeRelV relativeFrom="page">
              <wp14:pctHeight>0</wp14:pctHeight>
            </wp14:sizeRelV>
          </wp:anchor>
        </w:drawing>
      </w:r>
    </w:p>
    <w:p w:rsidR="0022632D" w:rsidRDefault="0022632D">
      <w:pPr>
        <w:spacing w:after="0" w:line="240" w:lineRule="auto"/>
        <w:rPr>
          <w:rFonts w:ascii="Cambria" w:hAnsi="Cambria" w:eastAsia="Malgun Gothic"/>
          <w:b/>
          <w:bCs/>
          <w:color w:val="365F91"/>
          <w:sz w:val="28"/>
          <w:szCs w:val="28"/>
        </w:rPr>
      </w:pPr>
      <w:r>
        <w:br w:type="page"/>
      </w:r>
    </w:p>
    <w:p w:rsidR="000A559D" w:rsidP="000A559D" w:rsidRDefault="00302E03">
      <w:pPr>
        <w:pStyle w:val="Heading1"/>
        <w:numPr>
          <w:ilvl w:val="0"/>
          <w:numId w:val="0"/>
        </w:numPr>
      </w:pPr>
      <w:r>
        <w:t>Annex</w:t>
      </w:r>
      <w:r w:rsidR="0022632D">
        <w:t xml:space="preserve"> 3</w:t>
      </w:r>
      <w:r w:rsidR="000A559D">
        <w:t xml:space="preserve">: </w:t>
      </w:r>
      <w:r w:rsidR="00C92818">
        <w:t>APEC Training C</w:t>
      </w:r>
      <w:r w:rsidRPr="000A559D" w:rsidR="000A559D">
        <w:t>enter</w:t>
      </w:r>
      <w:r w:rsidR="00C92818">
        <w:t>s of Excellence for Regulatory Science</w:t>
      </w:r>
    </w:p>
    <w:p w:rsidR="002B4850" w:rsidP="00DA4A19" w:rsidRDefault="002B4850">
      <w:pPr>
        <w:spacing w:after="0" w:line="240" w:lineRule="auto"/>
        <w:rPr>
          <w:bCs/>
        </w:rPr>
      </w:pPr>
    </w:p>
    <w:p w:rsidR="00AC5819" w:rsidP="00F568D1" w:rsidRDefault="00F568D1">
      <w:pPr>
        <w:spacing w:after="0" w:line="240" w:lineRule="auto"/>
        <w:jc w:val="both"/>
        <w:rPr>
          <w:bCs/>
        </w:rPr>
      </w:pPr>
      <w:r>
        <w:rPr>
          <w:bCs/>
        </w:rPr>
        <w:t>As of 2019</w:t>
      </w:r>
      <w:r w:rsidRPr="00003DEB">
        <w:rPr>
          <w:bCs/>
        </w:rPr>
        <w:t xml:space="preserve"> across </w:t>
      </w:r>
      <w:r w:rsidR="00464A8F">
        <w:rPr>
          <w:bCs/>
        </w:rPr>
        <w:t>nine APEC economies there are 16</w:t>
      </w:r>
      <w:r w:rsidRPr="00003DEB">
        <w:rPr>
          <w:bCs/>
        </w:rPr>
        <w:t xml:space="preserve"> Centers of Excellence hosting 23 workshops this year, which will train hundreds of regulators.</w:t>
      </w:r>
    </w:p>
    <w:p w:rsidRPr="00DA4A19" w:rsidR="00F568D1" w:rsidP="00DA4A19" w:rsidRDefault="00F568D1">
      <w:pPr>
        <w:spacing w:after="0" w:line="240" w:lineRule="auto"/>
        <w:rPr>
          <w:bCs/>
        </w:rPr>
      </w:pPr>
    </w:p>
    <w:p w:rsidRPr="008B6CBA" w:rsidR="000A559D" w:rsidP="008B6CBA" w:rsidRDefault="000A559D">
      <w:pPr>
        <w:pStyle w:val="ListParagraph"/>
        <w:numPr>
          <w:ilvl w:val="0"/>
          <w:numId w:val="3"/>
        </w:numPr>
        <w:spacing w:after="0" w:line="240" w:lineRule="auto"/>
        <w:ind w:left="540"/>
        <w:rPr>
          <w:b/>
          <w:bCs/>
        </w:rPr>
      </w:pPr>
      <w:r w:rsidRPr="008B6CBA">
        <w:rPr>
          <w:b/>
          <w:bCs/>
        </w:rPr>
        <w:t>Multi-regional Clinical Trials (MRCT) and Good Clinical Practices (GCP) Inspection</w:t>
      </w:r>
    </w:p>
    <w:p w:rsidR="000A559D" w:rsidP="005562CE" w:rsidRDefault="000A559D">
      <w:pPr>
        <w:pStyle w:val="ListParagraph"/>
        <w:numPr>
          <w:ilvl w:val="0"/>
          <w:numId w:val="4"/>
        </w:numPr>
        <w:spacing w:after="0" w:line="240" w:lineRule="auto"/>
        <w:rPr>
          <w:bCs/>
        </w:rPr>
      </w:pPr>
      <w:r w:rsidRPr="001A7CB5">
        <w:rPr>
          <w:bCs/>
        </w:rPr>
        <w:t>Duke-</w:t>
      </w:r>
      <w:r w:rsidR="00703B59">
        <w:rPr>
          <w:bCs/>
        </w:rPr>
        <w:t>National University of Singapore (Duke-NUS)</w:t>
      </w:r>
      <w:r>
        <w:rPr>
          <w:bCs/>
        </w:rPr>
        <w:t xml:space="preserve"> – Singapore</w:t>
      </w:r>
    </w:p>
    <w:p w:rsidR="000A559D" w:rsidP="005562CE" w:rsidRDefault="000A559D">
      <w:pPr>
        <w:pStyle w:val="ListParagraph"/>
        <w:numPr>
          <w:ilvl w:val="0"/>
          <w:numId w:val="4"/>
        </w:numPr>
        <w:spacing w:after="0" w:line="240" w:lineRule="auto"/>
        <w:rPr>
          <w:bCs/>
        </w:rPr>
      </w:pPr>
      <w:r w:rsidRPr="001A7CB5">
        <w:rPr>
          <w:bCs/>
        </w:rPr>
        <w:t xml:space="preserve">Peking University </w:t>
      </w:r>
      <w:r>
        <w:rPr>
          <w:bCs/>
        </w:rPr>
        <w:t xml:space="preserve">– </w:t>
      </w:r>
      <w:r w:rsidR="008B6CBA">
        <w:rPr>
          <w:bCs/>
        </w:rPr>
        <w:t xml:space="preserve">P.R. </w:t>
      </w:r>
      <w:r>
        <w:rPr>
          <w:bCs/>
        </w:rPr>
        <w:t>China</w:t>
      </w:r>
    </w:p>
    <w:p w:rsidR="000A559D" w:rsidP="005562CE" w:rsidRDefault="000A559D">
      <w:pPr>
        <w:pStyle w:val="ListParagraph"/>
        <w:numPr>
          <w:ilvl w:val="0"/>
          <w:numId w:val="4"/>
        </w:numPr>
        <w:spacing w:after="0" w:line="240" w:lineRule="auto"/>
        <w:rPr>
          <w:bCs/>
        </w:rPr>
      </w:pPr>
      <w:r w:rsidRPr="00C1130E">
        <w:rPr>
          <w:bCs/>
        </w:rPr>
        <w:t>Pharmaceuticals and Medical Devices Agency</w:t>
      </w:r>
      <w:r w:rsidR="0000415A">
        <w:rPr>
          <w:bCs/>
        </w:rPr>
        <w:t xml:space="preserve"> (PMDA)</w:t>
      </w:r>
      <w:r>
        <w:rPr>
          <w:bCs/>
        </w:rPr>
        <w:t xml:space="preserve"> – Japan</w:t>
      </w:r>
    </w:p>
    <w:p w:rsidR="00C92818" w:rsidP="005562CE" w:rsidRDefault="008B6CBA">
      <w:pPr>
        <w:pStyle w:val="ListParagraph"/>
        <w:numPr>
          <w:ilvl w:val="0"/>
          <w:numId w:val="4"/>
        </w:numPr>
        <w:spacing w:after="0" w:line="240" w:lineRule="auto"/>
        <w:rPr>
          <w:bCs/>
        </w:rPr>
      </w:pPr>
      <w:r>
        <w:rPr>
          <w:bCs/>
        </w:rPr>
        <w:t xml:space="preserve">MRCT Center of </w:t>
      </w:r>
      <w:r w:rsidR="00C92818">
        <w:rPr>
          <w:bCs/>
        </w:rPr>
        <w:t xml:space="preserve">Brigham </w:t>
      </w:r>
      <w:r>
        <w:rPr>
          <w:bCs/>
        </w:rPr>
        <w:t>&amp;</w:t>
      </w:r>
      <w:r w:rsidR="00C92818">
        <w:rPr>
          <w:bCs/>
        </w:rPr>
        <w:t xml:space="preserve"> Women’s Hospital </w:t>
      </w:r>
      <w:r>
        <w:rPr>
          <w:bCs/>
        </w:rPr>
        <w:t xml:space="preserve">and Harvard University </w:t>
      </w:r>
      <w:r w:rsidR="00C92818">
        <w:rPr>
          <w:bCs/>
        </w:rPr>
        <w:t>– United States</w:t>
      </w:r>
    </w:p>
    <w:p w:rsidRPr="002B4850" w:rsidR="000A559D" w:rsidP="008B6CBA" w:rsidRDefault="000A559D">
      <w:pPr>
        <w:spacing w:after="0" w:line="240" w:lineRule="auto"/>
        <w:rPr>
          <w:bCs/>
        </w:rPr>
      </w:pPr>
    </w:p>
    <w:p w:rsidRPr="008B6CBA" w:rsidR="000A559D" w:rsidP="008B6CBA" w:rsidRDefault="001436EE">
      <w:pPr>
        <w:pStyle w:val="ListParagraph"/>
        <w:numPr>
          <w:ilvl w:val="0"/>
          <w:numId w:val="3"/>
        </w:numPr>
        <w:spacing w:after="0" w:line="240" w:lineRule="auto"/>
        <w:ind w:left="540"/>
        <w:rPr>
          <w:b/>
          <w:bCs/>
        </w:rPr>
      </w:pPr>
      <w:r w:rsidRPr="008B6CBA">
        <w:rPr>
          <w:b/>
          <w:bCs/>
        </w:rPr>
        <w:t>Biotechnological Products</w:t>
      </w:r>
      <w:r w:rsidRPr="008B6CBA" w:rsidR="00F129DA">
        <w:rPr>
          <w:b/>
          <w:bCs/>
        </w:rPr>
        <w:t xml:space="preserve"> (Biotherapeutics)</w:t>
      </w:r>
    </w:p>
    <w:p w:rsidR="000A559D" w:rsidP="008B6CBA" w:rsidRDefault="000A559D">
      <w:pPr>
        <w:pStyle w:val="ListParagraph"/>
        <w:numPr>
          <w:ilvl w:val="0"/>
          <w:numId w:val="6"/>
        </w:numPr>
        <w:spacing w:after="0" w:line="240" w:lineRule="auto"/>
        <w:ind w:left="1080"/>
        <w:rPr>
          <w:bCs/>
        </w:rPr>
      </w:pPr>
      <w:r w:rsidRPr="001A7CB5">
        <w:rPr>
          <w:bCs/>
        </w:rPr>
        <w:t xml:space="preserve">Northeastern University </w:t>
      </w:r>
      <w:r w:rsidR="00C92818">
        <w:rPr>
          <w:bCs/>
        </w:rPr>
        <w:t>– United States</w:t>
      </w:r>
    </w:p>
    <w:p w:rsidR="001436EE" w:rsidP="008B6CBA" w:rsidRDefault="001436EE">
      <w:pPr>
        <w:pStyle w:val="ListParagraph"/>
        <w:numPr>
          <w:ilvl w:val="0"/>
          <w:numId w:val="6"/>
        </w:numPr>
        <w:spacing w:after="0" w:line="240" w:lineRule="auto"/>
        <w:ind w:left="1080"/>
        <w:rPr>
          <w:bCs/>
        </w:rPr>
      </w:pPr>
      <w:r>
        <w:rPr>
          <w:bCs/>
        </w:rPr>
        <w:t xml:space="preserve">APEC Harmonization Center – </w:t>
      </w:r>
      <w:r w:rsidR="008B6CBA">
        <w:rPr>
          <w:bCs/>
        </w:rPr>
        <w:t xml:space="preserve">Republic of </w:t>
      </w:r>
      <w:r>
        <w:rPr>
          <w:bCs/>
        </w:rPr>
        <w:t>Korea</w:t>
      </w:r>
    </w:p>
    <w:p w:rsidR="001436EE" w:rsidP="008B6CBA" w:rsidRDefault="001436EE">
      <w:pPr>
        <w:pStyle w:val="ListParagraph"/>
        <w:numPr>
          <w:ilvl w:val="0"/>
          <w:numId w:val="6"/>
        </w:numPr>
        <w:spacing w:after="0" w:line="240" w:lineRule="auto"/>
        <w:ind w:left="1080"/>
        <w:rPr>
          <w:bCs/>
        </w:rPr>
      </w:pPr>
      <w:r>
        <w:rPr>
          <w:bCs/>
        </w:rPr>
        <w:t>Duke-NUS – Singapore</w:t>
      </w:r>
    </w:p>
    <w:p w:rsidRPr="001436EE" w:rsidR="00D47B0F" w:rsidP="008B6CBA" w:rsidRDefault="00D47B0F">
      <w:pPr>
        <w:pStyle w:val="ListParagraph"/>
        <w:numPr>
          <w:ilvl w:val="0"/>
          <w:numId w:val="6"/>
        </w:numPr>
        <w:spacing w:after="0" w:line="240" w:lineRule="auto"/>
        <w:ind w:left="1080"/>
        <w:rPr>
          <w:bCs/>
        </w:rPr>
      </w:pPr>
      <w:r>
        <w:rPr>
          <w:bCs/>
        </w:rPr>
        <w:t>Kobe University – Japan (</w:t>
      </w:r>
      <w:r w:rsidRPr="00D47B0F">
        <w:rPr>
          <w:b/>
          <w:bCs/>
          <w:i/>
        </w:rPr>
        <w:t>Pilot</w:t>
      </w:r>
      <w:r>
        <w:rPr>
          <w:bCs/>
        </w:rPr>
        <w:t>)</w:t>
      </w:r>
    </w:p>
    <w:p w:rsidRPr="0000415A" w:rsidR="0000415A" w:rsidP="008B6CBA" w:rsidRDefault="0000415A">
      <w:pPr>
        <w:spacing w:after="0" w:line="240" w:lineRule="auto"/>
        <w:ind w:left="540"/>
        <w:rPr>
          <w:bCs/>
        </w:rPr>
      </w:pPr>
    </w:p>
    <w:p w:rsidRPr="00614BB2" w:rsidR="000A559D" w:rsidP="008B6CBA" w:rsidRDefault="002B4850">
      <w:pPr>
        <w:pStyle w:val="ListParagraph"/>
        <w:numPr>
          <w:ilvl w:val="0"/>
          <w:numId w:val="3"/>
        </w:numPr>
        <w:spacing w:after="0" w:line="240" w:lineRule="auto"/>
        <w:ind w:left="540"/>
        <w:rPr>
          <w:b/>
          <w:bCs/>
        </w:rPr>
      </w:pPr>
      <w:r w:rsidRPr="00614BB2">
        <w:rPr>
          <w:b/>
          <w:bCs/>
        </w:rPr>
        <w:t>Good Registration Management</w:t>
      </w:r>
      <w:r w:rsidRPr="00614BB2" w:rsidR="00F129DA">
        <w:rPr>
          <w:b/>
          <w:bCs/>
        </w:rPr>
        <w:t xml:space="preserve"> (GRM)</w:t>
      </w:r>
    </w:p>
    <w:p w:rsidR="000A559D" w:rsidP="00614BB2" w:rsidRDefault="00703B59">
      <w:pPr>
        <w:pStyle w:val="ListParagraph"/>
        <w:numPr>
          <w:ilvl w:val="0"/>
          <w:numId w:val="7"/>
        </w:numPr>
        <w:spacing w:after="0" w:line="240" w:lineRule="auto"/>
        <w:ind w:left="1080"/>
        <w:rPr>
          <w:bCs/>
        </w:rPr>
      </w:pPr>
      <w:r>
        <w:rPr>
          <w:bCs/>
        </w:rPr>
        <w:t xml:space="preserve">Taiwan Food </w:t>
      </w:r>
      <w:r w:rsidR="008B6CBA">
        <w:rPr>
          <w:bCs/>
        </w:rPr>
        <w:t>and</w:t>
      </w:r>
      <w:r>
        <w:rPr>
          <w:bCs/>
        </w:rPr>
        <w:t xml:space="preserve"> Drug Administration (TFDA), Chinese Taipei</w:t>
      </w:r>
      <w:r w:rsidRPr="001A7CB5" w:rsidR="000A559D">
        <w:rPr>
          <w:bCs/>
        </w:rPr>
        <w:t xml:space="preserve"> in coope</w:t>
      </w:r>
      <w:r>
        <w:rPr>
          <w:bCs/>
        </w:rPr>
        <w:t>ration with Regulatory Affairs Professional Society (RAPS) – Chinese Taipei</w:t>
      </w:r>
    </w:p>
    <w:p w:rsidR="002B4850" w:rsidP="00614BB2" w:rsidRDefault="002B4850">
      <w:pPr>
        <w:pStyle w:val="ListParagraph"/>
        <w:numPr>
          <w:ilvl w:val="0"/>
          <w:numId w:val="7"/>
        </w:numPr>
        <w:spacing w:after="0" w:line="240" w:lineRule="auto"/>
        <w:ind w:left="1080"/>
        <w:rPr>
          <w:bCs/>
        </w:rPr>
      </w:pPr>
      <w:r>
        <w:rPr>
          <w:bCs/>
        </w:rPr>
        <w:t>COFEPRIS – Mexico</w:t>
      </w:r>
    </w:p>
    <w:p w:rsidR="002B4850" w:rsidP="00614BB2" w:rsidRDefault="002B4850">
      <w:pPr>
        <w:pStyle w:val="ListParagraph"/>
        <w:numPr>
          <w:ilvl w:val="0"/>
          <w:numId w:val="7"/>
        </w:numPr>
        <w:spacing w:after="0" w:line="240" w:lineRule="auto"/>
        <w:ind w:left="1080"/>
        <w:rPr>
          <w:bCs/>
        </w:rPr>
      </w:pPr>
      <w:r>
        <w:rPr>
          <w:bCs/>
        </w:rPr>
        <w:t xml:space="preserve">Thailand </w:t>
      </w:r>
      <w:r w:rsidR="00703B59">
        <w:rPr>
          <w:bCs/>
        </w:rPr>
        <w:t>Food &amp; Drug</w:t>
      </w:r>
      <w:r>
        <w:rPr>
          <w:bCs/>
        </w:rPr>
        <w:t xml:space="preserve"> </w:t>
      </w:r>
      <w:r w:rsidR="00703B59">
        <w:rPr>
          <w:bCs/>
        </w:rPr>
        <w:t xml:space="preserve">Administration (Thai FDA) </w:t>
      </w:r>
      <w:r>
        <w:rPr>
          <w:bCs/>
        </w:rPr>
        <w:t>– Thailand (</w:t>
      </w:r>
      <w:r w:rsidRPr="002B4850">
        <w:rPr>
          <w:b/>
          <w:bCs/>
          <w:i/>
        </w:rPr>
        <w:t>Pilot</w:t>
      </w:r>
      <w:r>
        <w:rPr>
          <w:bCs/>
        </w:rPr>
        <w:t>)</w:t>
      </w:r>
    </w:p>
    <w:p w:rsidRPr="0000415A" w:rsidR="000A559D" w:rsidP="008B6CBA" w:rsidRDefault="000A559D">
      <w:pPr>
        <w:spacing w:after="0" w:line="240" w:lineRule="auto"/>
        <w:ind w:left="540"/>
        <w:rPr>
          <w:bCs/>
        </w:rPr>
      </w:pPr>
    </w:p>
    <w:p w:rsidRPr="00614BB2" w:rsidR="000A559D" w:rsidP="008B6CBA" w:rsidRDefault="002B4850">
      <w:pPr>
        <w:pStyle w:val="ListParagraph"/>
        <w:numPr>
          <w:ilvl w:val="0"/>
          <w:numId w:val="3"/>
        </w:numPr>
        <w:ind w:left="540"/>
        <w:rPr>
          <w:b/>
          <w:bCs/>
        </w:rPr>
      </w:pPr>
      <w:r w:rsidRPr="00614BB2">
        <w:rPr>
          <w:b/>
          <w:bCs/>
        </w:rPr>
        <w:t>Pharmacovigilance</w:t>
      </w:r>
    </w:p>
    <w:p w:rsidR="000A559D" w:rsidP="00614BB2" w:rsidRDefault="00614BB2">
      <w:pPr>
        <w:pStyle w:val="ListParagraph"/>
        <w:numPr>
          <w:ilvl w:val="0"/>
          <w:numId w:val="8"/>
        </w:numPr>
        <w:spacing w:after="0" w:line="240" w:lineRule="auto"/>
        <w:ind w:left="1080"/>
        <w:rPr>
          <w:bCs/>
        </w:rPr>
      </w:pPr>
      <w:r>
        <w:rPr>
          <w:bCs/>
        </w:rPr>
        <w:t>PMDA</w:t>
      </w:r>
      <w:r w:rsidR="002B4850">
        <w:rPr>
          <w:bCs/>
        </w:rPr>
        <w:t xml:space="preserve"> </w:t>
      </w:r>
      <w:r w:rsidR="000A559D">
        <w:rPr>
          <w:bCs/>
        </w:rPr>
        <w:t>– Japan</w:t>
      </w:r>
    </w:p>
    <w:p w:rsidR="00E0367F" w:rsidP="00614BB2" w:rsidRDefault="00614BB2">
      <w:pPr>
        <w:pStyle w:val="ListParagraph"/>
        <w:numPr>
          <w:ilvl w:val="0"/>
          <w:numId w:val="8"/>
        </w:numPr>
        <w:spacing w:after="0" w:line="240" w:lineRule="auto"/>
        <w:ind w:left="1080"/>
        <w:rPr>
          <w:bCs/>
        </w:rPr>
      </w:pPr>
      <w:r>
        <w:rPr>
          <w:bCs/>
        </w:rPr>
        <w:t>Korean Institute for Drug Safety</w:t>
      </w:r>
      <w:r w:rsidRPr="00124134" w:rsidR="00E0367F">
        <w:rPr>
          <w:bCs/>
        </w:rPr>
        <w:t xml:space="preserve"> </w:t>
      </w:r>
      <w:r w:rsidR="00F61B79">
        <w:rPr>
          <w:bCs/>
        </w:rPr>
        <w:t xml:space="preserve">(KIDS) </w:t>
      </w:r>
      <w:r w:rsidR="0000415A">
        <w:rPr>
          <w:bCs/>
        </w:rPr>
        <w:t xml:space="preserve">– </w:t>
      </w:r>
      <w:r>
        <w:rPr>
          <w:bCs/>
        </w:rPr>
        <w:t xml:space="preserve">Republic of </w:t>
      </w:r>
      <w:r w:rsidR="0000415A">
        <w:rPr>
          <w:bCs/>
        </w:rPr>
        <w:t>Korea</w:t>
      </w:r>
    </w:p>
    <w:p w:rsidR="002B4850" w:rsidP="00614BB2" w:rsidRDefault="002B4850">
      <w:pPr>
        <w:pStyle w:val="ListParagraph"/>
        <w:numPr>
          <w:ilvl w:val="0"/>
          <w:numId w:val="8"/>
        </w:numPr>
        <w:spacing w:after="0" w:line="240" w:lineRule="auto"/>
        <w:ind w:left="1080"/>
        <w:rPr>
          <w:bCs/>
        </w:rPr>
      </w:pPr>
      <w:r>
        <w:rPr>
          <w:bCs/>
        </w:rPr>
        <w:t xml:space="preserve">Peking University – </w:t>
      </w:r>
      <w:r w:rsidR="00614BB2">
        <w:rPr>
          <w:bCs/>
        </w:rPr>
        <w:t>P.R. China</w:t>
      </w:r>
    </w:p>
    <w:p w:rsidR="00E0367F" w:rsidP="008B6CBA" w:rsidRDefault="00E0367F">
      <w:pPr>
        <w:pStyle w:val="ListParagraph"/>
        <w:ind w:left="540"/>
        <w:rPr>
          <w:bCs/>
        </w:rPr>
      </w:pPr>
    </w:p>
    <w:p w:rsidRPr="00614BB2" w:rsidR="00E0367F" w:rsidP="008B6CBA" w:rsidRDefault="00E0367F">
      <w:pPr>
        <w:pStyle w:val="ListParagraph"/>
        <w:numPr>
          <w:ilvl w:val="0"/>
          <w:numId w:val="3"/>
        </w:numPr>
        <w:ind w:left="540"/>
        <w:rPr>
          <w:b/>
          <w:bCs/>
        </w:rPr>
      </w:pPr>
      <w:r w:rsidRPr="00614BB2">
        <w:rPr>
          <w:b/>
          <w:bCs/>
        </w:rPr>
        <w:t>Global Supply Chain Integrity</w:t>
      </w:r>
    </w:p>
    <w:p w:rsidRPr="00E0367F" w:rsidR="00E0367F" w:rsidP="00614BB2" w:rsidRDefault="00E0367F">
      <w:pPr>
        <w:pStyle w:val="ListParagraph"/>
        <w:numPr>
          <w:ilvl w:val="0"/>
          <w:numId w:val="9"/>
        </w:numPr>
        <w:spacing w:after="0" w:line="240" w:lineRule="auto"/>
        <w:ind w:left="1080"/>
        <w:rPr>
          <w:bCs/>
        </w:rPr>
      </w:pPr>
      <w:r w:rsidRPr="00E0367F">
        <w:rPr>
          <w:bCs/>
        </w:rPr>
        <w:t>U.</w:t>
      </w:r>
      <w:r w:rsidR="002B4850">
        <w:rPr>
          <w:bCs/>
        </w:rPr>
        <w:t xml:space="preserve">S. Pharmacopeia </w:t>
      </w:r>
      <w:r w:rsidR="00F61B79">
        <w:rPr>
          <w:bCs/>
        </w:rPr>
        <w:t xml:space="preserve">(USP) </w:t>
      </w:r>
      <w:r w:rsidR="002B4850">
        <w:rPr>
          <w:bCs/>
        </w:rPr>
        <w:t>– United States</w:t>
      </w:r>
    </w:p>
    <w:p w:rsidR="00E0367F" w:rsidP="00614BB2" w:rsidRDefault="00E0367F">
      <w:pPr>
        <w:pStyle w:val="ListParagraph"/>
        <w:numPr>
          <w:ilvl w:val="0"/>
          <w:numId w:val="9"/>
        </w:numPr>
        <w:spacing w:after="0" w:line="240" w:lineRule="auto"/>
        <w:ind w:left="1080"/>
        <w:rPr>
          <w:bCs/>
        </w:rPr>
      </w:pPr>
      <w:r w:rsidRPr="00124134">
        <w:rPr>
          <w:bCs/>
        </w:rPr>
        <w:t xml:space="preserve">University of Tennessee Health Science Center </w:t>
      </w:r>
      <w:r w:rsidR="002B4850">
        <w:rPr>
          <w:bCs/>
        </w:rPr>
        <w:t>– United States</w:t>
      </w:r>
    </w:p>
    <w:p w:rsidR="002B4850" w:rsidP="00614BB2" w:rsidRDefault="002B4850">
      <w:pPr>
        <w:pStyle w:val="ListParagraph"/>
        <w:numPr>
          <w:ilvl w:val="0"/>
          <w:numId w:val="9"/>
        </w:numPr>
        <w:spacing w:after="0" w:line="240" w:lineRule="auto"/>
        <w:ind w:left="1080"/>
        <w:rPr>
          <w:bCs/>
        </w:rPr>
      </w:pPr>
      <w:r>
        <w:rPr>
          <w:bCs/>
        </w:rPr>
        <w:t>Taylor’s University – Malaysia (</w:t>
      </w:r>
      <w:r w:rsidRPr="002B4850">
        <w:rPr>
          <w:b/>
          <w:bCs/>
          <w:i/>
        </w:rPr>
        <w:t>Pilot</w:t>
      </w:r>
      <w:r>
        <w:rPr>
          <w:bCs/>
        </w:rPr>
        <w:t>)</w:t>
      </w:r>
    </w:p>
    <w:p w:rsidR="0000415A" w:rsidP="008B6CBA" w:rsidRDefault="0000415A">
      <w:pPr>
        <w:pStyle w:val="ListParagraph"/>
        <w:spacing w:after="0" w:line="240" w:lineRule="auto"/>
        <w:ind w:left="540"/>
        <w:rPr>
          <w:bCs/>
        </w:rPr>
      </w:pPr>
    </w:p>
    <w:p w:rsidRPr="005562CE" w:rsidR="0000415A" w:rsidP="005562CE" w:rsidRDefault="0000415A">
      <w:pPr>
        <w:pStyle w:val="ListParagraph"/>
        <w:numPr>
          <w:ilvl w:val="0"/>
          <w:numId w:val="3"/>
        </w:numPr>
        <w:ind w:left="540"/>
        <w:rPr>
          <w:b/>
          <w:bCs/>
        </w:rPr>
      </w:pPr>
      <w:r w:rsidRPr="005562CE">
        <w:rPr>
          <w:b/>
          <w:bCs/>
        </w:rPr>
        <w:t>Advanced Therapies</w:t>
      </w:r>
      <w:r w:rsidRPr="005562CE" w:rsidR="00F129DA">
        <w:rPr>
          <w:b/>
          <w:bCs/>
        </w:rPr>
        <w:t xml:space="preserve"> (Cell, Gene, and Tissue-Based Therapies)</w:t>
      </w:r>
    </w:p>
    <w:p w:rsidRPr="00E0367F" w:rsidR="002B4850" w:rsidP="00614BB2" w:rsidRDefault="002B4850">
      <w:pPr>
        <w:pStyle w:val="ListParagraph"/>
        <w:numPr>
          <w:ilvl w:val="1"/>
          <w:numId w:val="4"/>
        </w:numPr>
        <w:spacing w:after="0" w:line="240" w:lineRule="auto"/>
        <w:ind w:left="1080"/>
        <w:rPr>
          <w:bCs/>
        </w:rPr>
      </w:pPr>
      <w:r>
        <w:rPr>
          <w:bCs/>
        </w:rPr>
        <w:t>Northeastern University – United States</w:t>
      </w:r>
    </w:p>
    <w:p w:rsidR="002B4850" w:rsidP="00614BB2" w:rsidRDefault="002B4850">
      <w:pPr>
        <w:pStyle w:val="ListParagraph"/>
        <w:numPr>
          <w:ilvl w:val="1"/>
          <w:numId w:val="4"/>
        </w:numPr>
        <w:spacing w:after="0" w:line="240" w:lineRule="auto"/>
        <w:ind w:left="1080"/>
        <w:rPr>
          <w:bCs/>
        </w:rPr>
      </w:pPr>
      <w:r>
        <w:rPr>
          <w:bCs/>
        </w:rPr>
        <w:t>Duke-NUS – Singapore</w:t>
      </w:r>
    </w:p>
    <w:p w:rsidR="005562CE" w:rsidP="005562CE" w:rsidRDefault="005562CE">
      <w:pPr>
        <w:spacing w:after="0"/>
        <w:rPr>
          <w:bCs/>
        </w:rPr>
      </w:pPr>
    </w:p>
    <w:p w:rsidRPr="005562CE" w:rsidR="0000415A" w:rsidP="005562CE" w:rsidRDefault="0000415A">
      <w:pPr>
        <w:pStyle w:val="ListParagraph"/>
        <w:numPr>
          <w:ilvl w:val="0"/>
          <w:numId w:val="3"/>
        </w:numPr>
        <w:ind w:left="540"/>
        <w:rPr>
          <w:b/>
          <w:bCs/>
        </w:rPr>
      </w:pPr>
      <w:r w:rsidRPr="005562CE">
        <w:rPr>
          <w:b/>
          <w:bCs/>
        </w:rPr>
        <w:t>Medical Devices</w:t>
      </w:r>
    </w:p>
    <w:p w:rsidR="0000415A" w:rsidP="005562CE" w:rsidRDefault="002B4850">
      <w:pPr>
        <w:pStyle w:val="ListParagraph"/>
        <w:numPr>
          <w:ilvl w:val="0"/>
          <w:numId w:val="23"/>
        </w:numPr>
        <w:spacing w:after="0" w:line="240" w:lineRule="auto"/>
        <w:ind w:left="1080"/>
        <w:rPr>
          <w:bCs/>
        </w:rPr>
      </w:pPr>
      <w:r>
        <w:rPr>
          <w:bCs/>
        </w:rPr>
        <w:t xml:space="preserve">University of Southern California </w:t>
      </w:r>
      <w:r w:rsidR="00F61B79">
        <w:rPr>
          <w:bCs/>
        </w:rPr>
        <w:t xml:space="preserve">(USC) </w:t>
      </w:r>
      <w:r>
        <w:rPr>
          <w:bCs/>
        </w:rPr>
        <w:t>– United States</w:t>
      </w:r>
    </w:p>
    <w:p w:rsidRPr="00E0367F" w:rsidR="005562CE" w:rsidP="005562CE" w:rsidRDefault="005562CE">
      <w:pPr>
        <w:pStyle w:val="ListParagraph"/>
        <w:numPr>
          <w:ilvl w:val="0"/>
          <w:numId w:val="23"/>
        </w:numPr>
        <w:spacing w:after="0" w:line="240" w:lineRule="auto"/>
        <w:ind w:left="1080"/>
        <w:rPr>
          <w:bCs/>
        </w:rPr>
      </w:pPr>
      <w:r>
        <w:rPr>
          <w:bCs/>
        </w:rPr>
        <w:t>National Institute of Device Safety (NIDS) – Republic of Korea</w:t>
      </w:r>
    </w:p>
    <w:p w:rsidR="0000415A" w:rsidP="005562CE" w:rsidRDefault="00F61B79">
      <w:pPr>
        <w:pStyle w:val="ListParagraph"/>
        <w:numPr>
          <w:ilvl w:val="0"/>
          <w:numId w:val="23"/>
        </w:numPr>
        <w:spacing w:after="0" w:line="240" w:lineRule="auto"/>
        <w:ind w:left="1080"/>
        <w:rPr>
          <w:bCs/>
        </w:rPr>
      </w:pPr>
      <w:r>
        <w:rPr>
          <w:bCs/>
        </w:rPr>
        <w:t>PMDA</w:t>
      </w:r>
      <w:r w:rsidR="002B4850">
        <w:rPr>
          <w:bCs/>
        </w:rPr>
        <w:t xml:space="preserve"> – Japan</w:t>
      </w:r>
      <w:r w:rsidR="00F129DA">
        <w:rPr>
          <w:bCs/>
        </w:rPr>
        <w:t xml:space="preserve"> (</w:t>
      </w:r>
      <w:r w:rsidRPr="00F129DA" w:rsidR="00F129DA">
        <w:rPr>
          <w:b/>
          <w:bCs/>
          <w:i/>
        </w:rPr>
        <w:t>Pilot</w:t>
      </w:r>
      <w:r w:rsidR="00F129DA">
        <w:rPr>
          <w:bCs/>
        </w:rPr>
        <w:t>)</w:t>
      </w:r>
    </w:p>
    <w:p w:rsidR="002B4850" w:rsidP="005562CE" w:rsidRDefault="00F129DA">
      <w:pPr>
        <w:pStyle w:val="ListParagraph"/>
        <w:numPr>
          <w:ilvl w:val="0"/>
          <w:numId w:val="23"/>
        </w:numPr>
        <w:spacing w:after="0" w:line="240" w:lineRule="auto"/>
        <w:ind w:left="1080"/>
        <w:rPr>
          <w:bCs/>
        </w:rPr>
      </w:pPr>
      <w:r>
        <w:rPr>
          <w:bCs/>
        </w:rPr>
        <w:t>TFDA</w:t>
      </w:r>
      <w:r w:rsidR="00F61B79">
        <w:rPr>
          <w:bCs/>
        </w:rPr>
        <w:t>, Chinese Taipei</w:t>
      </w:r>
      <w:r>
        <w:rPr>
          <w:bCs/>
        </w:rPr>
        <w:t xml:space="preserve"> in cooperation with RAPS – Chinese Taipei (</w:t>
      </w:r>
      <w:r w:rsidRPr="00F129DA">
        <w:rPr>
          <w:b/>
          <w:bCs/>
          <w:i/>
        </w:rPr>
        <w:t>Pilot</w:t>
      </w:r>
      <w:r>
        <w:rPr>
          <w:bCs/>
        </w:rPr>
        <w:t>)</w:t>
      </w:r>
    </w:p>
    <w:p w:rsidR="00FD194F" w:rsidP="005562CE" w:rsidRDefault="00F129DA">
      <w:pPr>
        <w:pStyle w:val="ListParagraph"/>
        <w:numPr>
          <w:ilvl w:val="0"/>
          <w:numId w:val="23"/>
        </w:numPr>
        <w:spacing w:after="0" w:line="240" w:lineRule="auto"/>
        <w:ind w:left="1080"/>
        <w:rPr>
          <w:bCs/>
        </w:rPr>
      </w:pPr>
      <w:r>
        <w:rPr>
          <w:bCs/>
        </w:rPr>
        <w:t>Northeastern University – United States (</w:t>
      </w:r>
      <w:r w:rsidRPr="00F129DA">
        <w:rPr>
          <w:b/>
          <w:bCs/>
          <w:i/>
        </w:rPr>
        <w:t>Pilot</w:t>
      </w:r>
      <w:r>
        <w:rPr>
          <w:bCs/>
        </w:rPr>
        <w:t>)</w:t>
      </w:r>
    </w:p>
    <w:sectPr w:rsidR="00FD194F" w:rsidSect="0026199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16C" w:rsidRDefault="00AE516C">
      <w:pPr>
        <w:spacing w:after="0" w:line="240" w:lineRule="auto"/>
      </w:pPr>
      <w:r>
        <w:separator/>
      </w:r>
    </w:p>
  </w:endnote>
  <w:endnote w:type="continuationSeparator" w:id="0">
    <w:p w:rsidR="00AE516C" w:rsidRDefault="00AE5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C1" w:rsidRDefault="00A615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DA4A19" w:rsidR="00AE516C" w:rsidRDefault="00AE516C">
    <w:pPr>
      <w:pStyle w:val="Footer"/>
      <w:jc w:val="center"/>
    </w:pPr>
    <w:r w:rsidRPr="00DA4A19">
      <w:rPr>
        <w:b/>
        <w:bCs/>
      </w:rPr>
      <w:fldChar w:fldCharType="begin"/>
    </w:r>
    <w:r w:rsidRPr="00DA4A19">
      <w:rPr>
        <w:b/>
        <w:bCs/>
      </w:rPr>
      <w:instrText xml:space="preserve"> PAGE </w:instrText>
    </w:r>
    <w:r w:rsidRPr="00DA4A19">
      <w:rPr>
        <w:b/>
        <w:bCs/>
      </w:rPr>
      <w:fldChar w:fldCharType="separate"/>
    </w:r>
    <w:r w:rsidR="00A615C1">
      <w:rPr>
        <w:b/>
        <w:bCs/>
        <w:noProof/>
      </w:rPr>
      <w:t>2</w:t>
    </w:r>
    <w:r w:rsidRPr="00DA4A19">
      <w:rPr>
        <w:b/>
        <w:bCs/>
      </w:rPr>
      <w:fldChar w:fldCharType="end"/>
    </w:r>
    <w:r w:rsidRPr="00DA4A19">
      <w:t xml:space="preserve"> of </w:t>
    </w:r>
    <w:r w:rsidRPr="00DA4A19">
      <w:rPr>
        <w:b/>
        <w:bCs/>
      </w:rPr>
      <w:fldChar w:fldCharType="begin"/>
    </w:r>
    <w:r w:rsidRPr="00DA4A19">
      <w:rPr>
        <w:b/>
        <w:bCs/>
      </w:rPr>
      <w:instrText xml:space="preserve"> NUMPAGES   \* MERGEFORMAT </w:instrText>
    </w:r>
    <w:r w:rsidRPr="00DA4A19">
      <w:rPr>
        <w:b/>
        <w:bCs/>
      </w:rPr>
      <w:fldChar w:fldCharType="separate"/>
    </w:r>
    <w:r w:rsidR="00A615C1">
      <w:rPr>
        <w:b/>
        <w:bCs/>
        <w:noProof/>
      </w:rPr>
      <w:t>9</w:t>
    </w:r>
    <w:r w:rsidRPr="00DA4A19">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C1" w:rsidRDefault="00A61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16C" w:rsidP="00867EDA" w:rsidRDefault="00AE516C">
      <w:pPr>
        <w:spacing w:after="0" w:line="240" w:lineRule="auto"/>
      </w:pPr>
      <w:r>
        <w:separator/>
      </w:r>
    </w:p>
  </w:footnote>
  <w:footnote w:type="continuationSeparator" w:id="0">
    <w:p w:rsidR="00AE516C" w:rsidP="00867EDA" w:rsidRDefault="00AE516C">
      <w:pPr>
        <w:spacing w:after="0" w:line="240" w:lineRule="auto"/>
      </w:pPr>
      <w:r>
        <w:continuationSeparator/>
      </w:r>
    </w:p>
  </w:footnote>
  <w:footnote w:id="1">
    <w:p w:rsidRPr="00124134" w:rsidR="00AE516C" w:rsidP="00804553" w:rsidRDefault="00AE516C">
      <w:pPr>
        <w:pStyle w:val="FootnoteText"/>
        <w:jc w:val="both"/>
        <w:rPr>
          <w:lang w:val="en-US"/>
        </w:rPr>
      </w:pPr>
      <w:r>
        <w:rPr>
          <w:rStyle w:val="FootnoteReference"/>
        </w:rPr>
        <w:footnoteRef/>
      </w:r>
      <w:r>
        <w:t xml:space="preserve"> </w:t>
      </w:r>
      <w:r w:rsidRPr="00124134">
        <w:t>The RHSC defines “regulatory convergence” as a voluntary process whereby the regulatory requirements across economies become more similar or “aligned” over time as a result of the gradual adoption of internationally recognized technical guidance documents, standards and scientific principles (harmonization) and common or similar practices and procedures. It does not represent the harmonization of laws and regulations, which is not necessary to allow for the alignment of technical requirements and for greater regulatory cooperation.</w:t>
      </w:r>
    </w:p>
  </w:footnote>
  <w:footnote w:id="2">
    <w:p w:rsidRPr="00C7394A" w:rsidR="00C7394A" w:rsidRDefault="00C7394A">
      <w:pPr>
        <w:pStyle w:val="FootnoteText"/>
        <w:rPr>
          <w:lang w:val="en-US"/>
        </w:rPr>
      </w:pPr>
      <w:r>
        <w:rPr>
          <w:rStyle w:val="FootnoteReference"/>
        </w:rPr>
        <w:footnoteRef/>
      </w:r>
      <w:r>
        <w:t xml:space="preserve"> </w:t>
      </w:r>
      <w:r w:rsidRPr="00C7394A">
        <w:t xml:space="preserve">Chong, S.S.F., Lim, J.C.W. &amp; Tominaga, T. </w:t>
      </w:r>
      <w:r>
        <w:t>“</w:t>
      </w:r>
      <w:r w:rsidRPr="00C7394A">
        <w:t>Developing key performance indicators to measure the progress of regional regulatory convergence and cooperation in APEC</w:t>
      </w:r>
      <w:r>
        <w:t xml:space="preserve">.” </w:t>
      </w:r>
      <w:r w:rsidRPr="00C7394A">
        <w:rPr>
          <w:i/>
        </w:rPr>
        <w:t>AAPS Open</w:t>
      </w:r>
      <w:r>
        <w:t xml:space="preserve"> (2018) 4: 4. </w:t>
      </w:r>
      <w:r w:rsidRPr="00C7394A">
        <w:t>doi.org/10.1186/s41120-018-0024-2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C1" w:rsidRDefault="00A615C1">
    <w:pPr>
      <w:pStyle w:val="Header"/>
    </w:pPr>
  </w:p>
</w:hdr>
</file>

<file path=word/header2.xml><?xml version="1.0" encoding="utf-8"?>
<w:hdr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8510BE" w:rsidR="00AE516C" w:rsidP="00E57AE5" w:rsidRDefault="00AE516C">
    <w:pPr>
      <w:pStyle w:val="Header"/>
      <w:jc w:val="center"/>
      <w:rPr>
        <w:rFonts w:ascii="Copperplate Gothic Light" w:hAnsi="Copperplate Gothic Light"/>
        <w:sz w:val="20"/>
        <w:lang w:val="en-US"/>
      </w:rPr>
    </w:pPr>
    <w:r w:rsidRPr="008510BE">
      <w:rPr>
        <w:rFonts w:ascii="Copperplate Gothic Light" w:hAnsi="Copperplate Gothic Light"/>
        <w:sz w:val="20"/>
        <w:lang w:val="en-US"/>
      </w:rPr>
      <w:t xml:space="preserve">APEC LSIF Policy Dialogue </w:t>
    </w:r>
  </w:p>
  <w:p w:rsidRPr="00583A99" w:rsidR="00AE516C" w:rsidP="00E57AE5" w:rsidRDefault="00B024A7">
    <w:pPr>
      <w:pStyle w:val="Header"/>
      <w:jc w:val="center"/>
    </w:pPr>
    <w:r>
      <w:rPr>
        <w:rFonts w:ascii="Copperplate Gothic Light" w:hAnsi="Copperplate Gothic Light"/>
        <w:sz w:val="20"/>
      </w:rPr>
      <w:t>O</w:t>
    </w:r>
    <w:r w:rsidRPr="00D11AAF" w:rsidR="00AE516C">
      <w:rPr>
        <w:rFonts w:ascii="Copperplate Gothic Light" w:hAnsi="Copperplate Gothic Light"/>
        <w:sz w:val="20"/>
      </w:rPr>
      <w:t>n Innovation, Regulatory Systems, and Regulatory Convergence</w:t>
    </w:r>
  </w:p>
  <w:p w:rsidR="00AE516C" w:rsidRDefault="00AE516C">
    <w:pPr>
      <w:pStyle w:val="Header"/>
    </w:pPr>
    <w:r>
      <w:rPr>
        <w:rFonts w:ascii="Copperplate Gothic Light" w:hAnsi="Copperplate Gothic Light"/>
        <w:noProof/>
        <w:sz w:val="20"/>
        <w:lang w:val="en-US"/>
      </w:rPr>
      <mc:AlternateContent>
        <mc:Choice Requires="wps">
          <w:drawing>
            <wp:anchor distT="0" distB="0" distL="114300" distR="114300" simplePos="0" relativeHeight="251657216" behindDoc="0" locked="0" layoutInCell="1" allowOverlap="1" wp14:editId="38F22DC6" wp14:anchorId="1008B41B">
              <wp:simplePos x="0" y="0"/>
              <wp:positionH relativeFrom="column">
                <wp:posOffset>-314325</wp:posOffset>
              </wp:positionH>
              <wp:positionV relativeFrom="paragraph">
                <wp:posOffset>36668</wp:posOffset>
              </wp:positionV>
              <wp:extent cx="6619875" cy="0"/>
              <wp:effectExtent l="0" t="0" r="9525" b="19050"/>
              <wp:wrapNone/>
              <wp:docPr id="1" name="AutoShape 6" descr="" tit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32" coordsize="21600,21600" o:oned="t" filled="f" o:spt="32" path="m,l21600,21600e">
              <v:path fillok="f" arrowok="t" o:connecttype="none"/>
              <o:lock v:ext="edit" shapetype="t"/>
            </v:shapetype>
            <v:shape id="AutoShape 6" style="position:absolute;margin-left:-24.75pt;margin-top:2.9pt;width:521.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HlHgIAADwEAAAOAAAAZHJzL2Uyb0RvYy54bWysU8GO2jAQvVfqP1i+QxKaDR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C1" w:rsidRDefault="00A615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7710"/>
    <w:multiLevelType w:val="hybridMultilevel"/>
    <w:tmpl w:val="5FE680B2"/>
    <w:lvl w:ilvl="0" w:tplc="C9A2E9A6">
      <w:start w:val="1"/>
      <w:numFmt w:val="bullet"/>
      <w:lvlText w:val=""/>
      <w:lvlJc w:val="left"/>
      <w:pPr>
        <w:ind w:left="809" w:hanging="360"/>
      </w:pPr>
      <w:rPr>
        <w:rFonts w:ascii="Symbol" w:hAnsi="Symbol" w:hint="default"/>
        <w:sz w:val="20"/>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
    <w:nsid w:val="0F4C7DA2"/>
    <w:multiLevelType w:val="hybridMultilevel"/>
    <w:tmpl w:val="E8CA0C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963F05"/>
    <w:multiLevelType w:val="hybridMultilevel"/>
    <w:tmpl w:val="D1AEAA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B901557"/>
    <w:multiLevelType w:val="hybridMultilevel"/>
    <w:tmpl w:val="9AF2AB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E251E8A"/>
    <w:multiLevelType w:val="hybridMultilevel"/>
    <w:tmpl w:val="9AE24B7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E765207"/>
    <w:multiLevelType w:val="hybridMultilevel"/>
    <w:tmpl w:val="264C77FA"/>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F92C3C"/>
    <w:multiLevelType w:val="hybridMultilevel"/>
    <w:tmpl w:val="EB3CECCA"/>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4BF73AE"/>
    <w:multiLevelType w:val="hybridMultilevel"/>
    <w:tmpl w:val="79F8AB3C"/>
    <w:lvl w:ilvl="0" w:tplc="91A01FD2">
      <w:start w:val="1"/>
      <w:numFmt w:val="bullet"/>
      <w:lvlText w:val=""/>
      <w:lvlJc w:val="left"/>
      <w:pPr>
        <w:ind w:left="909" w:hanging="360"/>
      </w:pPr>
      <w:rPr>
        <w:rFonts w:ascii="Symbol" w:hAnsi="Symbol" w:hint="default"/>
        <w:sz w:val="20"/>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8">
    <w:nsid w:val="26425F82"/>
    <w:multiLevelType w:val="hybridMultilevel"/>
    <w:tmpl w:val="264C77F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77A20"/>
    <w:multiLevelType w:val="hybridMultilevel"/>
    <w:tmpl w:val="6248CE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B5E744D"/>
    <w:multiLevelType w:val="hybridMultilevel"/>
    <w:tmpl w:val="DCC03504"/>
    <w:lvl w:ilvl="0" w:tplc="382431D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D1D10"/>
    <w:multiLevelType w:val="hybridMultilevel"/>
    <w:tmpl w:val="E53A6794"/>
    <w:lvl w:ilvl="0" w:tplc="91A01FD2">
      <w:start w:val="1"/>
      <w:numFmt w:val="bullet"/>
      <w:lvlText w:val=""/>
      <w:lvlJc w:val="left"/>
      <w:pPr>
        <w:ind w:left="909" w:hanging="360"/>
      </w:pPr>
      <w:rPr>
        <w:rFonts w:ascii="Symbol" w:hAnsi="Symbol" w:hint="default"/>
        <w:sz w:val="20"/>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2">
    <w:nsid w:val="356A5736"/>
    <w:multiLevelType w:val="hybridMultilevel"/>
    <w:tmpl w:val="DBFE2780"/>
    <w:lvl w:ilvl="0" w:tplc="E6C48264">
      <w:start w:val="1"/>
      <w:numFmt w:val="bullet"/>
      <w:lvlText w:val=""/>
      <w:lvlJc w:val="left"/>
      <w:pPr>
        <w:ind w:left="809" w:hanging="360"/>
      </w:pPr>
      <w:rPr>
        <w:rFonts w:ascii="Symbol" w:hAnsi="Symbol" w:hint="default"/>
        <w:sz w:val="20"/>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3">
    <w:nsid w:val="41AB0358"/>
    <w:multiLevelType w:val="hybridMultilevel"/>
    <w:tmpl w:val="CCCE716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52442E8"/>
    <w:multiLevelType w:val="hybridMultilevel"/>
    <w:tmpl w:val="F69EB2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795525E"/>
    <w:multiLevelType w:val="hybridMultilevel"/>
    <w:tmpl w:val="65FC09C0"/>
    <w:lvl w:ilvl="0" w:tplc="91A01FD2">
      <w:start w:val="1"/>
      <w:numFmt w:val="bullet"/>
      <w:lvlText w:val=""/>
      <w:lvlJc w:val="left"/>
      <w:pPr>
        <w:ind w:left="909" w:hanging="360"/>
      </w:pPr>
      <w:rPr>
        <w:rFonts w:ascii="Symbol" w:hAnsi="Symbol" w:hint="default"/>
        <w:sz w:val="20"/>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6">
    <w:nsid w:val="4F1E6AC8"/>
    <w:multiLevelType w:val="hybridMultilevel"/>
    <w:tmpl w:val="3B684EA6"/>
    <w:lvl w:ilvl="0" w:tplc="D064333C">
      <w:start w:val="1"/>
      <w:numFmt w:val="bullet"/>
      <w:lvlText w:val=""/>
      <w:lvlJc w:val="left"/>
      <w:pPr>
        <w:ind w:left="909" w:hanging="360"/>
      </w:pPr>
      <w:rPr>
        <w:rFonts w:ascii="Symbol" w:hAnsi="Symbol" w:hint="default"/>
        <w:color w:val="auto"/>
        <w:sz w:val="20"/>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7">
    <w:nsid w:val="56C51A30"/>
    <w:multiLevelType w:val="hybridMultilevel"/>
    <w:tmpl w:val="C776B6E2"/>
    <w:lvl w:ilvl="0" w:tplc="91A01FD2">
      <w:start w:val="1"/>
      <w:numFmt w:val="bullet"/>
      <w:lvlText w:val=""/>
      <w:lvlJc w:val="left"/>
      <w:pPr>
        <w:ind w:left="909" w:hanging="360"/>
      </w:pPr>
      <w:rPr>
        <w:rFonts w:ascii="Symbol" w:hAnsi="Symbol" w:hint="default"/>
        <w:sz w:val="20"/>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8">
    <w:nsid w:val="605313BC"/>
    <w:multiLevelType w:val="hybridMultilevel"/>
    <w:tmpl w:val="96861F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5831B85"/>
    <w:multiLevelType w:val="hybridMultilevel"/>
    <w:tmpl w:val="0512D8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6494CE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81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nsid w:val="745B1CC5"/>
    <w:multiLevelType w:val="hybridMultilevel"/>
    <w:tmpl w:val="264C77F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7D3B6C"/>
    <w:multiLevelType w:val="hybridMultilevel"/>
    <w:tmpl w:val="C18E1CB0"/>
    <w:lvl w:ilvl="0" w:tplc="91A01FD2">
      <w:start w:val="1"/>
      <w:numFmt w:val="bullet"/>
      <w:lvlText w:val=""/>
      <w:lvlJc w:val="left"/>
      <w:pPr>
        <w:ind w:left="909" w:hanging="360"/>
      </w:pPr>
      <w:rPr>
        <w:rFonts w:ascii="Symbol" w:hAnsi="Symbol" w:hint="default"/>
        <w:sz w:val="20"/>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3">
    <w:nsid w:val="7C4E11C3"/>
    <w:multiLevelType w:val="hybridMultilevel"/>
    <w:tmpl w:val="264C77FA"/>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0"/>
  </w:num>
  <w:num w:numId="3">
    <w:abstractNumId w:val="9"/>
  </w:num>
  <w:num w:numId="4">
    <w:abstractNumId w:val="6"/>
  </w:num>
  <w:num w:numId="5">
    <w:abstractNumId w:val="4"/>
  </w:num>
  <w:num w:numId="6">
    <w:abstractNumId w:val="5"/>
  </w:num>
  <w:num w:numId="7">
    <w:abstractNumId w:val="8"/>
  </w:num>
  <w:num w:numId="8">
    <w:abstractNumId w:val="23"/>
  </w:num>
  <w:num w:numId="9">
    <w:abstractNumId w:val="21"/>
  </w:num>
  <w:num w:numId="10">
    <w:abstractNumId w:val="14"/>
  </w:num>
  <w:num w:numId="11">
    <w:abstractNumId w:val="18"/>
  </w:num>
  <w:num w:numId="12">
    <w:abstractNumId w:val="19"/>
  </w:num>
  <w:num w:numId="13">
    <w:abstractNumId w:val="1"/>
  </w:num>
  <w:num w:numId="14">
    <w:abstractNumId w:val="3"/>
  </w:num>
  <w:num w:numId="15">
    <w:abstractNumId w:val="22"/>
  </w:num>
  <w:num w:numId="16">
    <w:abstractNumId w:val="7"/>
  </w:num>
  <w:num w:numId="17">
    <w:abstractNumId w:val="11"/>
  </w:num>
  <w:num w:numId="18">
    <w:abstractNumId w:val="16"/>
  </w:num>
  <w:num w:numId="19">
    <w:abstractNumId w:val="17"/>
  </w:num>
  <w:num w:numId="20">
    <w:abstractNumId w:val="15"/>
  </w:num>
  <w:num w:numId="21">
    <w:abstractNumId w:val="0"/>
  </w:num>
  <w:num w:numId="22">
    <w:abstractNumId w:val="12"/>
  </w:num>
  <w:num w:numId="23">
    <w:abstractNumId w:val="2"/>
  </w:num>
  <w:num w:numId="2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0F4"/>
    <w:rsid w:val="000028FA"/>
    <w:rsid w:val="00003DEB"/>
    <w:rsid w:val="0000415A"/>
    <w:rsid w:val="00012863"/>
    <w:rsid w:val="00014678"/>
    <w:rsid w:val="00017569"/>
    <w:rsid w:val="00027518"/>
    <w:rsid w:val="00040FBF"/>
    <w:rsid w:val="00053812"/>
    <w:rsid w:val="00091834"/>
    <w:rsid w:val="000960FC"/>
    <w:rsid w:val="000A1FFF"/>
    <w:rsid w:val="000A559D"/>
    <w:rsid w:val="000A59C8"/>
    <w:rsid w:val="000B1512"/>
    <w:rsid w:val="000B39F2"/>
    <w:rsid w:val="000C5D00"/>
    <w:rsid w:val="000F129B"/>
    <w:rsid w:val="00105D4B"/>
    <w:rsid w:val="00106B06"/>
    <w:rsid w:val="00124134"/>
    <w:rsid w:val="0013014C"/>
    <w:rsid w:val="0013268C"/>
    <w:rsid w:val="00135E6A"/>
    <w:rsid w:val="001435E9"/>
    <w:rsid w:val="001436EE"/>
    <w:rsid w:val="0014599F"/>
    <w:rsid w:val="00156F6E"/>
    <w:rsid w:val="00163A9E"/>
    <w:rsid w:val="00177095"/>
    <w:rsid w:val="0019771E"/>
    <w:rsid w:val="001A041E"/>
    <w:rsid w:val="001A7507"/>
    <w:rsid w:val="001A7CB5"/>
    <w:rsid w:val="001C2062"/>
    <w:rsid w:val="001C57EE"/>
    <w:rsid w:val="001D6B2A"/>
    <w:rsid w:val="001E0933"/>
    <w:rsid w:val="0022632D"/>
    <w:rsid w:val="0025075A"/>
    <w:rsid w:val="0025164B"/>
    <w:rsid w:val="002556CE"/>
    <w:rsid w:val="00261993"/>
    <w:rsid w:val="00264701"/>
    <w:rsid w:val="00292310"/>
    <w:rsid w:val="0029557C"/>
    <w:rsid w:val="002B0ED5"/>
    <w:rsid w:val="002B4850"/>
    <w:rsid w:val="002D48E0"/>
    <w:rsid w:val="002E35BC"/>
    <w:rsid w:val="002E7F00"/>
    <w:rsid w:val="00302E03"/>
    <w:rsid w:val="003063DE"/>
    <w:rsid w:val="003220ED"/>
    <w:rsid w:val="0032307B"/>
    <w:rsid w:val="00335E84"/>
    <w:rsid w:val="0034054F"/>
    <w:rsid w:val="0036765C"/>
    <w:rsid w:val="00367769"/>
    <w:rsid w:val="003750AD"/>
    <w:rsid w:val="00383D5D"/>
    <w:rsid w:val="00384392"/>
    <w:rsid w:val="003A0749"/>
    <w:rsid w:val="003A5ACC"/>
    <w:rsid w:val="003B1153"/>
    <w:rsid w:val="003C7E35"/>
    <w:rsid w:val="003D703B"/>
    <w:rsid w:val="003D79EF"/>
    <w:rsid w:val="003E3377"/>
    <w:rsid w:val="003E39B5"/>
    <w:rsid w:val="003E71F5"/>
    <w:rsid w:val="003F1079"/>
    <w:rsid w:val="003F1914"/>
    <w:rsid w:val="003F38BC"/>
    <w:rsid w:val="003F3D24"/>
    <w:rsid w:val="00416774"/>
    <w:rsid w:val="0042111C"/>
    <w:rsid w:val="00461C2B"/>
    <w:rsid w:val="00464A8F"/>
    <w:rsid w:val="00476C67"/>
    <w:rsid w:val="004E205F"/>
    <w:rsid w:val="00501E98"/>
    <w:rsid w:val="005060AD"/>
    <w:rsid w:val="005116EF"/>
    <w:rsid w:val="005562CE"/>
    <w:rsid w:val="0056215F"/>
    <w:rsid w:val="00562904"/>
    <w:rsid w:val="005B3263"/>
    <w:rsid w:val="005C6986"/>
    <w:rsid w:val="005D2471"/>
    <w:rsid w:val="00606DA4"/>
    <w:rsid w:val="0061295E"/>
    <w:rsid w:val="00614BB2"/>
    <w:rsid w:val="00636CBE"/>
    <w:rsid w:val="00637B9C"/>
    <w:rsid w:val="0064510E"/>
    <w:rsid w:val="00653934"/>
    <w:rsid w:val="00675F5D"/>
    <w:rsid w:val="00683B39"/>
    <w:rsid w:val="00694791"/>
    <w:rsid w:val="006A1E52"/>
    <w:rsid w:val="006A68B2"/>
    <w:rsid w:val="006F27E5"/>
    <w:rsid w:val="00703B59"/>
    <w:rsid w:val="00717EFE"/>
    <w:rsid w:val="00724887"/>
    <w:rsid w:val="00734A06"/>
    <w:rsid w:val="00743DE7"/>
    <w:rsid w:val="007448EA"/>
    <w:rsid w:val="007534E2"/>
    <w:rsid w:val="0075373E"/>
    <w:rsid w:val="00773876"/>
    <w:rsid w:val="007774F5"/>
    <w:rsid w:val="007A1D4E"/>
    <w:rsid w:val="007A5DF6"/>
    <w:rsid w:val="007B6E2B"/>
    <w:rsid w:val="007D445B"/>
    <w:rsid w:val="00804553"/>
    <w:rsid w:val="008118FF"/>
    <w:rsid w:val="00815B40"/>
    <w:rsid w:val="00816527"/>
    <w:rsid w:val="00844E7A"/>
    <w:rsid w:val="008510BE"/>
    <w:rsid w:val="00853501"/>
    <w:rsid w:val="00856DEB"/>
    <w:rsid w:val="00867074"/>
    <w:rsid w:val="00867EDA"/>
    <w:rsid w:val="0087272E"/>
    <w:rsid w:val="00874117"/>
    <w:rsid w:val="008B6CBA"/>
    <w:rsid w:val="008D5D81"/>
    <w:rsid w:val="008E6ACC"/>
    <w:rsid w:val="008E6D3F"/>
    <w:rsid w:val="008F685D"/>
    <w:rsid w:val="00903DED"/>
    <w:rsid w:val="00922C92"/>
    <w:rsid w:val="00926DCA"/>
    <w:rsid w:val="00941814"/>
    <w:rsid w:val="009875EB"/>
    <w:rsid w:val="009933D6"/>
    <w:rsid w:val="00996E13"/>
    <w:rsid w:val="009A555D"/>
    <w:rsid w:val="009C5CA4"/>
    <w:rsid w:val="009D1928"/>
    <w:rsid w:val="00A102EB"/>
    <w:rsid w:val="00A2020E"/>
    <w:rsid w:val="00A43BA4"/>
    <w:rsid w:val="00A466BF"/>
    <w:rsid w:val="00A615C1"/>
    <w:rsid w:val="00A96361"/>
    <w:rsid w:val="00AA128E"/>
    <w:rsid w:val="00AA5B6B"/>
    <w:rsid w:val="00AC5819"/>
    <w:rsid w:val="00AE516C"/>
    <w:rsid w:val="00AE65F2"/>
    <w:rsid w:val="00AE7EC8"/>
    <w:rsid w:val="00B024A7"/>
    <w:rsid w:val="00B66815"/>
    <w:rsid w:val="00B8275C"/>
    <w:rsid w:val="00B90061"/>
    <w:rsid w:val="00B93F31"/>
    <w:rsid w:val="00B940F4"/>
    <w:rsid w:val="00B94FD7"/>
    <w:rsid w:val="00BA389E"/>
    <w:rsid w:val="00BA7404"/>
    <w:rsid w:val="00BB2A42"/>
    <w:rsid w:val="00BD45E8"/>
    <w:rsid w:val="00BF1B1A"/>
    <w:rsid w:val="00C05AB6"/>
    <w:rsid w:val="00C1130E"/>
    <w:rsid w:val="00C24DFE"/>
    <w:rsid w:val="00C31133"/>
    <w:rsid w:val="00C37B7D"/>
    <w:rsid w:val="00C437AF"/>
    <w:rsid w:val="00C537D4"/>
    <w:rsid w:val="00C57A7B"/>
    <w:rsid w:val="00C66C0A"/>
    <w:rsid w:val="00C7394A"/>
    <w:rsid w:val="00C8675A"/>
    <w:rsid w:val="00C92818"/>
    <w:rsid w:val="00CD1F72"/>
    <w:rsid w:val="00CD5854"/>
    <w:rsid w:val="00CD7372"/>
    <w:rsid w:val="00CF7EB7"/>
    <w:rsid w:val="00D05FA5"/>
    <w:rsid w:val="00D11AAF"/>
    <w:rsid w:val="00D23F21"/>
    <w:rsid w:val="00D25A01"/>
    <w:rsid w:val="00D47B0F"/>
    <w:rsid w:val="00D820CC"/>
    <w:rsid w:val="00D833F4"/>
    <w:rsid w:val="00DA4A19"/>
    <w:rsid w:val="00DA64D8"/>
    <w:rsid w:val="00DB059F"/>
    <w:rsid w:val="00DD1ED2"/>
    <w:rsid w:val="00DE46E4"/>
    <w:rsid w:val="00DF3421"/>
    <w:rsid w:val="00E0367F"/>
    <w:rsid w:val="00E1165E"/>
    <w:rsid w:val="00E35927"/>
    <w:rsid w:val="00E57AE5"/>
    <w:rsid w:val="00E93724"/>
    <w:rsid w:val="00E95A45"/>
    <w:rsid w:val="00EA60F1"/>
    <w:rsid w:val="00ED1185"/>
    <w:rsid w:val="00EF190A"/>
    <w:rsid w:val="00F00FF8"/>
    <w:rsid w:val="00F06A26"/>
    <w:rsid w:val="00F129DA"/>
    <w:rsid w:val="00F21F1B"/>
    <w:rsid w:val="00F251C6"/>
    <w:rsid w:val="00F42262"/>
    <w:rsid w:val="00F56118"/>
    <w:rsid w:val="00F568D1"/>
    <w:rsid w:val="00F61B79"/>
    <w:rsid w:val="00F83511"/>
    <w:rsid w:val="00F91858"/>
    <w:rsid w:val="00FA1109"/>
    <w:rsid w:val="00FC1A85"/>
    <w:rsid w:val="00FD194F"/>
    <w:rsid w:val="00FD468E"/>
    <w:rsid w:val="00FF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MS Mincho" w:cs="Times New Roman"/>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67342"/>
    <w:pPr>
      <w:spacing w:after="200" w:line="276" w:lineRule="auto"/>
    </w:pPr>
    <w:rPr>
      <w:sz w:val="22"/>
      <w:szCs w:val="22"/>
      <w:lang w:val="en-CA"/>
    </w:rPr>
  </w:style>
  <w:style w:type="paragraph" w:styleId="Heading1">
    <w:name w:val="heading 1"/>
    <w:basedOn w:val="Normal"/>
    <w:next w:val="Normal"/>
    <w:link w:val="Heading1Char"/>
    <w:uiPriority w:val="9"/>
    <w:qFormat/>
    <w:rsid w:val="001F7D8C"/>
    <w:pPr>
      <w:keepNext/>
      <w:keepLines/>
      <w:numPr>
        <w:numId w:val="1"/>
      </w:numPr>
      <w:spacing w:before="480" w:after="0"/>
      <w:outlineLvl w:val="0"/>
    </w:pPr>
    <w:rPr>
      <w:rFonts w:ascii="Cambria" w:hAnsi="Cambria" w:eastAsia="Malgun Gothic"/>
      <w:b/>
      <w:bCs/>
      <w:color w:val="365F91"/>
      <w:sz w:val="28"/>
      <w:szCs w:val="28"/>
    </w:rPr>
  </w:style>
  <w:style w:type="paragraph" w:styleId="Heading2">
    <w:name w:val="heading 2"/>
    <w:basedOn w:val="Normal"/>
    <w:next w:val="Normal"/>
    <w:link w:val="Heading2Char"/>
    <w:uiPriority w:val="9"/>
    <w:qFormat/>
    <w:rsid w:val="001F7D8C"/>
    <w:pPr>
      <w:keepNext/>
      <w:keepLines/>
      <w:numPr>
        <w:ilvl w:val="1"/>
        <w:numId w:val="1"/>
      </w:numPr>
      <w:spacing w:before="200" w:after="0"/>
      <w:outlineLvl w:val="1"/>
    </w:pPr>
    <w:rPr>
      <w:rFonts w:ascii="Cambria" w:hAnsi="Cambria" w:eastAsia="Malgun Gothic"/>
      <w:b/>
      <w:bCs/>
      <w:color w:val="4F81BD"/>
      <w:sz w:val="26"/>
      <w:szCs w:val="26"/>
    </w:rPr>
  </w:style>
  <w:style w:type="paragraph" w:styleId="Heading3">
    <w:name w:val="heading 3"/>
    <w:basedOn w:val="Normal"/>
    <w:next w:val="Normal"/>
    <w:link w:val="Heading3Char"/>
    <w:uiPriority w:val="9"/>
    <w:qFormat/>
    <w:rsid w:val="001F7D8C"/>
    <w:pPr>
      <w:keepNext/>
      <w:keepLines/>
      <w:numPr>
        <w:ilvl w:val="2"/>
        <w:numId w:val="1"/>
      </w:numPr>
      <w:spacing w:before="200" w:after="0"/>
      <w:outlineLvl w:val="2"/>
    </w:pPr>
    <w:rPr>
      <w:rFonts w:ascii="Cambria" w:hAnsi="Cambria" w:eastAsia="Malgun Gothic"/>
      <w:b/>
      <w:bCs/>
      <w:color w:val="4F81BD"/>
    </w:rPr>
  </w:style>
  <w:style w:type="paragraph" w:styleId="Heading4">
    <w:name w:val="heading 4"/>
    <w:basedOn w:val="Normal"/>
    <w:next w:val="Normal"/>
    <w:link w:val="Heading4Char"/>
    <w:uiPriority w:val="9"/>
    <w:qFormat/>
    <w:rsid w:val="001F7D8C"/>
    <w:pPr>
      <w:keepNext/>
      <w:keepLines/>
      <w:numPr>
        <w:ilvl w:val="3"/>
        <w:numId w:val="1"/>
      </w:numPr>
      <w:spacing w:before="200" w:after="0"/>
      <w:outlineLvl w:val="3"/>
    </w:pPr>
    <w:rPr>
      <w:rFonts w:ascii="Cambria" w:hAnsi="Cambria" w:eastAsia="Malgun Gothic"/>
      <w:b/>
      <w:bCs/>
      <w:i/>
      <w:iCs/>
      <w:color w:val="4F81BD"/>
    </w:rPr>
  </w:style>
  <w:style w:type="paragraph" w:styleId="Heading5">
    <w:name w:val="heading 5"/>
    <w:basedOn w:val="Normal"/>
    <w:next w:val="Normal"/>
    <w:link w:val="Heading5Char"/>
    <w:uiPriority w:val="9"/>
    <w:qFormat/>
    <w:rsid w:val="001F7D8C"/>
    <w:pPr>
      <w:keepNext/>
      <w:keepLines/>
      <w:numPr>
        <w:ilvl w:val="4"/>
        <w:numId w:val="1"/>
      </w:numPr>
      <w:spacing w:before="200" w:after="0"/>
      <w:outlineLvl w:val="4"/>
    </w:pPr>
    <w:rPr>
      <w:rFonts w:ascii="Cambria" w:hAnsi="Cambria" w:eastAsia="Malgun Gothic"/>
      <w:color w:val="243F60"/>
    </w:rPr>
  </w:style>
  <w:style w:type="paragraph" w:styleId="Heading6">
    <w:name w:val="heading 6"/>
    <w:basedOn w:val="Normal"/>
    <w:next w:val="Normal"/>
    <w:link w:val="Heading6Char"/>
    <w:uiPriority w:val="9"/>
    <w:qFormat/>
    <w:rsid w:val="001F7D8C"/>
    <w:pPr>
      <w:keepNext/>
      <w:keepLines/>
      <w:numPr>
        <w:ilvl w:val="5"/>
        <w:numId w:val="1"/>
      </w:numPr>
      <w:spacing w:before="200" w:after="0"/>
      <w:outlineLvl w:val="5"/>
    </w:pPr>
    <w:rPr>
      <w:rFonts w:ascii="Cambria" w:hAnsi="Cambria" w:eastAsia="Malgun Gothic"/>
      <w:i/>
      <w:iCs/>
      <w:color w:val="243F60"/>
    </w:rPr>
  </w:style>
  <w:style w:type="paragraph" w:styleId="Heading7">
    <w:name w:val="heading 7"/>
    <w:basedOn w:val="Normal"/>
    <w:next w:val="Normal"/>
    <w:link w:val="Heading7Char"/>
    <w:uiPriority w:val="9"/>
    <w:qFormat/>
    <w:rsid w:val="001F7D8C"/>
    <w:pPr>
      <w:keepNext/>
      <w:keepLines/>
      <w:numPr>
        <w:ilvl w:val="6"/>
        <w:numId w:val="1"/>
      </w:numPr>
      <w:spacing w:before="200" w:after="0"/>
      <w:outlineLvl w:val="6"/>
    </w:pPr>
    <w:rPr>
      <w:rFonts w:ascii="Cambria" w:hAnsi="Cambria" w:eastAsia="Malgun Gothic"/>
      <w:i/>
      <w:iCs/>
      <w:color w:val="404040"/>
    </w:rPr>
  </w:style>
  <w:style w:type="paragraph" w:styleId="Heading8">
    <w:name w:val="heading 8"/>
    <w:basedOn w:val="Normal"/>
    <w:next w:val="Normal"/>
    <w:link w:val="Heading8Char"/>
    <w:uiPriority w:val="9"/>
    <w:qFormat/>
    <w:rsid w:val="001F7D8C"/>
    <w:pPr>
      <w:keepNext/>
      <w:keepLines/>
      <w:numPr>
        <w:ilvl w:val="7"/>
        <w:numId w:val="1"/>
      </w:numPr>
      <w:spacing w:before="200" w:after="0"/>
      <w:outlineLvl w:val="7"/>
    </w:pPr>
    <w:rPr>
      <w:rFonts w:ascii="Cambria" w:hAnsi="Cambria" w:eastAsia="Malgun Gothic"/>
      <w:color w:val="404040"/>
      <w:sz w:val="20"/>
      <w:szCs w:val="20"/>
    </w:rPr>
  </w:style>
  <w:style w:type="paragraph" w:styleId="Heading9">
    <w:name w:val="heading 9"/>
    <w:basedOn w:val="Normal"/>
    <w:next w:val="Normal"/>
    <w:link w:val="Heading9Char"/>
    <w:uiPriority w:val="9"/>
    <w:qFormat/>
    <w:rsid w:val="001F7D8C"/>
    <w:pPr>
      <w:keepNext/>
      <w:keepLines/>
      <w:numPr>
        <w:ilvl w:val="8"/>
        <w:numId w:val="1"/>
      </w:numPr>
      <w:spacing w:before="200" w:after="0"/>
      <w:outlineLvl w:val="8"/>
    </w:pPr>
    <w:rPr>
      <w:rFonts w:ascii="Cambria" w:hAnsi="Cambria" w:eastAsia="Malgun Gothic"/>
      <w:i/>
      <w:iCs/>
      <w:color w:val="404040"/>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F7D8C"/>
    <w:pPr>
      <w:ind w:left="720"/>
      <w:contextualSpacing/>
    </w:pPr>
  </w:style>
  <w:style w:type="paragraph" w:styleId="Header">
    <w:name w:val="header"/>
    <w:basedOn w:val="Normal"/>
    <w:link w:val="HeaderChar"/>
    <w:uiPriority w:val="99"/>
    <w:unhideWhenUsed/>
    <w:rsid w:val="001F7D8C"/>
    <w:pPr>
      <w:tabs>
        <w:tab w:val="center" w:pos="4680"/>
        <w:tab w:val="right" w:pos="9360"/>
      </w:tabs>
      <w:spacing w:after="0" w:line="240" w:lineRule="auto"/>
    </w:pPr>
  </w:style>
  <w:style w:type="character" w:styleId="HeaderChar" w:customStyle="1">
    <w:name w:val="Header Char"/>
    <w:link w:val="Header"/>
    <w:uiPriority w:val="99"/>
    <w:rsid w:val="009D2672"/>
    <w:rPr>
      <w:sz w:val="22"/>
      <w:szCs w:val="22"/>
      <w:lang w:val="en-CA"/>
    </w:rPr>
  </w:style>
  <w:style w:type="paragraph" w:styleId="Footer">
    <w:name w:val="footer"/>
    <w:basedOn w:val="Normal"/>
    <w:link w:val="FooterChar"/>
    <w:uiPriority w:val="99"/>
    <w:unhideWhenUsed/>
    <w:rsid w:val="001F7D8C"/>
    <w:pPr>
      <w:tabs>
        <w:tab w:val="center" w:pos="4680"/>
        <w:tab w:val="right" w:pos="9360"/>
      </w:tabs>
      <w:spacing w:after="0" w:line="240" w:lineRule="auto"/>
    </w:pPr>
  </w:style>
  <w:style w:type="character" w:styleId="FooterChar" w:customStyle="1">
    <w:name w:val="Footer Char"/>
    <w:link w:val="Footer"/>
    <w:uiPriority w:val="99"/>
    <w:rsid w:val="009D2672"/>
    <w:rPr>
      <w:sz w:val="22"/>
      <w:szCs w:val="22"/>
      <w:lang w:val="en-CA"/>
    </w:rPr>
  </w:style>
  <w:style w:type="character" w:styleId="CommentReference">
    <w:name w:val="annotation reference"/>
    <w:uiPriority w:val="99"/>
    <w:semiHidden/>
    <w:unhideWhenUsed/>
    <w:rsid w:val="008173A8"/>
    <w:rPr>
      <w:sz w:val="16"/>
      <w:szCs w:val="16"/>
    </w:rPr>
  </w:style>
  <w:style w:type="paragraph" w:styleId="CommentText">
    <w:name w:val="annotation text"/>
    <w:basedOn w:val="Normal"/>
    <w:link w:val="CommentTextChar"/>
    <w:uiPriority w:val="99"/>
    <w:unhideWhenUsed/>
    <w:rsid w:val="001F7D8C"/>
    <w:pPr>
      <w:spacing w:line="240" w:lineRule="auto"/>
    </w:pPr>
    <w:rPr>
      <w:sz w:val="20"/>
      <w:szCs w:val="20"/>
    </w:rPr>
  </w:style>
  <w:style w:type="character" w:styleId="CommentTextChar" w:customStyle="1">
    <w:name w:val="Comment Text Char"/>
    <w:link w:val="CommentText"/>
    <w:uiPriority w:val="99"/>
    <w:rsid w:val="008173A8"/>
    <w:rPr>
      <w:lang w:val="en-CA"/>
    </w:rPr>
  </w:style>
  <w:style w:type="paragraph" w:styleId="CommentSubject">
    <w:name w:val="annotation subject"/>
    <w:basedOn w:val="CommentText"/>
    <w:next w:val="CommentText"/>
    <w:link w:val="CommentSubjectChar"/>
    <w:uiPriority w:val="99"/>
    <w:semiHidden/>
    <w:unhideWhenUsed/>
    <w:rsid w:val="001F7D8C"/>
    <w:rPr>
      <w:b/>
      <w:bCs/>
    </w:rPr>
  </w:style>
  <w:style w:type="character" w:styleId="CommentSubjectChar" w:customStyle="1">
    <w:name w:val="Comment Subject Char"/>
    <w:link w:val="CommentSubject"/>
    <w:uiPriority w:val="99"/>
    <w:semiHidden/>
    <w:rsid w:val="008173A8"/>
    <w:rPr>
      <w:b/>
      <w:bCs/>
      <w:lang w:val="en-CA"/>
    </w:rPr>
  </w:style>
  <w:style w:type="paragraph" w:styleId="BalloonText">
    <w:name w:val="Balloon Text"/>
    <w:basedOn w:val="Normal"/>
    <w:link w:val="BalloonTextChar"/>
    <w:uiPriority w:val="99"/>
    <w:semiHidden/>
    <w:unhideWhenUsed/>
    <w:rsid w:val="00567342"/>
    <w:pPr>
      <w:spacing w:after="0" w:line="240" w:lineRule="auto"/>
    </w:pPr>
    <w:rPr>
      <w:rFonts w:ascii="Tahoma" w:hAnsi="Tahoma" w:cs="Tahoma"/>
      <w:sz w:val="21"/>
      <w:szCs w:val="16"/>
    </w:rPr>
  </w:style>
  <w:style w:type="character" w:styleId="BalloonTextChar" w:customStyle="1">
    <w:name w:val="Balloon Text Char"/>
    <w:link w:val="BalloonText"/>
    <w:uiPriority w:val="99"/>
    <w:semiHidden/>
    <w:rsid w:val="00567342"/>
    <w:rPr>
      <w:rFonts w:ascii="Tahoma" w:hAnsi="Tahoma" w:cs="Tahoma"/>
      <w:sz w:val="21"/>
      <w:szCs w:val="16"/>
      <w:lang w:val="en-CA" w:eastAsia="en-US"/>
    </w:rPr>
  </w:style>
  <w:style w:type="paragraph" w:styleId="DocID" w:customStyle="1">
    <w:name w:val="DocID"/>
    <w:basedOn w:val="Normal"/>
    <w:next w:val="Footer"/>
    <w:link w:val="DocIDChar"/>
    <w:rsid w:val="003941E9"/>
    <w:pPr>
      <w:spacing w:after="0" w:line="240" w:lineRule="auto"/>
    </w:pPr>
    <w:rPr>
      <w:rFonts w:ascii="Times New Roman" w:hAnsi="Times New Roman"/>
      <w:sz w:val="16"/>
      <w:szCs w:val="24"/>
      <w:lang w:val="en-US"/>
    </w:rPr>
  </w:style>
  <w:style w:type="character" w:styleId="DocIDChar" w:customStyle="1">
    <w:name w:val="DocID Char"/>
    <w:link w:val="DocID"/>
    <w:rsid w:val="003941E9"/>
    <w:rPr>
      <w:rFonts w:ascii="Times New Roman" w:hAnsi="Times New Roman"/>
      <w:sz w:val="16"/>
      <w:szCs w:val="24"/>
    </w:rPr>
  </w:style>
  <w:style w:type="paragraph" w:styleId="FootnoteText">
    <w:name w:val="footnote text"/>
    <w:basedOn w:val="Normal"/>
    <w:link w:val="FootnoteTextChar"/>
    <w:uiPriority w:val="99"/>
    <w:semiHidden/>
    <w:unhideWhenUsed/>
    <w:rsid w:val="001F7D8C"/>
    <w:pPr>
      <w:spacing w:after="0" w:line="240" w:lineRule="auto"/>
    </w:pPr>
    <w:rPr>
      <w:sz w:val="20"/>
      <w:szCs w:val="20"/>
    </w:rPr>
  </w:style>
  <w:style w:type="character" w:styleId="FootnoteTextChar" w:customStyle="1">
    <w:name w:val="Footnote Text Char"/>
    <w:link w:val="FootnoteText"/>
    <w:uiPriority w:val="99"/>
    <w:semiHidden/>
    <w:rsid w:val="00490783"/>
    <w:rPr>
      <w:lang w:val="en-CA"/>
    </w:rPr>
  </w:style>
  <w:style w:type="character" w:styleId="FootnoteReference">
    <w:name w:val="footnote reference"/>
    <w:uiPriority w:val="99"/>
    <w:semiHidden/>
    <w:unhideWhenUsed/>
    <w:rsid w:val="00490783"/>
    <w:rPr>
      <w:vertAlign w:val="superscript"/>
    </w:rPr>
  </w:style>
  <w:style w:type="character" w:styleId="Heading1Char" w:customStyle="1">
    <w:name w:val="Heading 1 Char"/>
    <w:link w:val="Heading1"/>
    <w:uiPriority w:val="9"/>
    <w:rsid w:val="00834A4B"/>
    <w:rPr>
      <w:rFonts w:ascii="Cambria" w:hAnsi="Cambria" w:eastAsia="Malgun Gothic"/>
      <w:b/>
      <w:bCs/>
      <w:color w:val="365F91"/>
      <w:sz w:val="28"/>
      <w:szCs w:val="28"/>
      <w:lang w:val="en-CA"/>
    </w:rPr>
  </w:style>
  <w:style w:type="paragraph" w:styleId="Title">
    <w:name w:val="Title"/>
    <w:basedOn w:val="Normal"/>
    <w:next w:val="Normal"/>
    <w:link w:val="TitleChar"/>
    <w:uiPriority w:val="10"/>
    <w:qFormat/>
    <w:rsid w:val="001F7D8C"/>
    <w:pPr>
      <w:pBdr>
        <w:bottom w:val="single" w:color="4F81BD" w:sz="8" w:space="4"/>
      </w:pBdr>
      <w:spacing w:after="300" w:line="240" w:lineRule="auto"/>
      <w:contextualSpacing/>
    </w:pPr>
    <w:rPr>
      <w:rFonts w:ascii="Cambria" w:hAnsi="Cambria" w:eastAsia="Malgun Gothic"/>
      <w:color w:val="17365D"/>
      <w:spacing w:val="5"/>
      <w:kern w:val="28"/>
      <w:sz w:val="52"/>
      <w:szCs w:val="52"/>
    </w:rPr>
  </w:style>
  <w:style w:type="character" w:styleId="TitleChar" w:customStyle="1">
    <w:name w:val="Title Char"/>
    <w:link w:val="Title"/>
    <w:uiPriority w:val="10"/>
    <w:rsid w:val="00834A4B"/>
    <w:rPr>
      <w:rFonts w:ascii="Cambria" w:hAnsi="Cambria" w:eastAsia="Malgun Gothic"/>
      <w:color w:val="17365D"/>
      <w:spacing w:val="5"/>
      <w:kern w:val="28"/>
      <w:sz w:val="52"/>
      <w:szCs w:val="52"/>
      <w:lang w:val="en-CA"/>
    </w:rPr>
  </w:style>
  <w:style w:type="paragraph" w:styleId="Subtitle">
    <w:name w:val="Subtitle"/>
    <w:basedOn w:val="Normal"/>
    <w:next w:val="Normal"/>
    <w:link w:val="SubtitleChar"/>
    <w:uiPriority w:val="11"/>
    <w:qFormat/>
    <w:rsid w:val="001F7D8C"/>
    <w:pPr>
      <w:numPr>
        <w:ilvl w:val="1"/>
      </w:numPr>
    </w:pPr>
    <w:rPr>
      <w:rFonts w:ascii="Cambria" w:hAnsi="Cambria" w:eastAsia="Malgun Gothic"/>
      <w:i/>
      <w:iCs/>
      <w:color w:val="4F81BD"/>
      <w:spacing w:val="15"/>
      <w:sz w:val="24"/>
      <w:szCs w:val="24"/>
    </w:rPr>
  </w:style>
  <w:style w:type="character" w:styleId="SubtitleChar" w:customStyle="1">
    <w:name w:val="Subtitle Char"/>
    <w:link w:val="Subtitle"/>
    <w:uiPriority w:val="11"/>
    <w:rsid w:val="00834A4B"/>
    <w:rPr>
      <w:rFonts w:ascii="Cambria" w:hAnsi="Cambria" w:eastAsia="Malgun Gothic"/>
      <w:i/>
      <w:iCs/>
      <w:color w:val="4F81BD"/>
      <w:spacing w:val="15"/>
      <w:sz w:val="24"/>
      <w:szCs w:val="24"/>
      <w:lang w:val="en-CA"/>
    </w:rPr>
  </w:style>
  <w:style w:type="character" w:styleId="Heading2Char" w:customStyle="1">
    <w:name w:val="Heading 2 Char"/>
    <w:link w:val="Heading2"/>
    <w:uiPriority w:val="9"/>
    <w:rsid w:val="001726FD"/>
    <w:rPr>
      <w:rFonts w:ascii="Cambria" w:hAnsi="Cambria" w:eastAsia="Malgun Gothic"/>
      <w:b/>
      <w:bCs/>
      <w:color w:val="4F81BD"/>
      <w:sz w:val="26"/>
      <w:szCs w:val="26"/>
      <w:lang w:val="en-CA"/>
    </w:rPr>
  </w:style>
  <w:style w:type="character" w:styleId="Heading3Char" w:customStyle="1">
    <w:name w:val="Heading 3 Char"/>
    <w:link w:val="Heading3"/>
    <w:uiPriority w:val="9"/>
    <w:rsid w:val="001726FD"/>
    <w:rPr>
      <w:rFonts w:ascii="Cambria" w:hAnsi="Cambria" w:eastAsia="Malgun Gothic"/>
      <w:b/>
      <w:bCs/>
      <w:color w:val="4F81BD"/>
      <w:sz w:val="22"/>
      <w:szCs w:val="22"/>
      <w:lang w:val="en-CA"/>
    </w:rPr>
  </w:style>
  <w:style w:type="character" w:styleId="Heading4Char" w:customStyle="1">
    <w:name w:val="Heading 4 Char"/>
    <w:link w:val="Heading4"/>
    <w:uiPriority w:val="9"/>
    <w:rsid w:val="001726FD"/>
    <w:rPr>
      <w:rFonts w:ascii="Cambria" w:hAnsi="Cambria" w:eastAsia="Malgun Gothic"/>
      <w:b/>
      <w:bCs/>
      <w:i/>
      <w:iCs/>
      <w:color w:val="4F81BD"/>
      <w:sz w:val="22"/>
      <w:szCs w:val="22"/>
      <w:lang w:val="en-CA"/>
    </w:rPr>
  </w:style>
  <w:style w:type="character" w:styleId="Heading5Char" w:customStyle="1">
    <w:name w:val="Heading 5 Char"/>
    <w:link w:val="Heading5"/>
    <w:uiPriority w:val="9"/>
    <w:rsid w:val="001726FD"/>
    <w:rPr>
      <w:rFonts w:ascii="Cambria" w:hAnsi="Cambria" w:eastAsia="Malgun Gothic"/>
      <w:color w:val="243F60"/>
      <w:sz w:val="22"/>
      <w:szCs w:val="22"/>
      <w:lang w:val="en-CA"/>
    </w:rPr>
  </w:style>
  <w:style w:type="character" w:styleId="Heading6Char" w:customStyle="1">
    <w:name w:val="Heading 6 Char"/>
    <w:link w:val="Heading6"/>
    <w:uiPriority w:val="9"/>
    <w:rsid w:val="001726FD"/>
    <w:rPr>
      <w:rFonts w:ascii="Cambria" w:hAnsi="Cambria" w:eastAsia="Malgun Gothic"/>
      <w:i/>
      <w:iCs/>
      <w:color w:val="243F60"/>
      <w:sz w:val="22"/>
      <w:szCs w:val="22"/>
      <w:lang w:val="en-CA"/>
    </w:rPr>
  </w:style>
  <w:style w:type="character" w:styleId="Heading7Char" w:customStyle="1">
    <w:name w:val="Heading 7 Char"/>
    <w:link w:val="Heading7"/>
    <w:uiPriority w:val="9"/>
    <w:rsid w:val="001726FD"/>
    <w:rPr>
      <w:rFonts w:ascii="Cambria" w:hAnsi="Cambria" w:eastAsia="Malgun Gothic"/>
      <w:i/>
      <w:iCs/>
      <w:color w:val="404040"/>
      <w:sz w:val="22"/>
      <w:szCs w:val="22"/>
      <w:lang w:val="en-CA"/>
    </w:rPr>
  </w:style>
  <w:style w:type="character" w:styleId="Heading8Char" w:customStyle="1">
    <w:name w:val="Heading 8 Char"/>
    <w:link w:val="Heading8"/>
    <w:uiPriority w:val="9"/>
    <w:rsid w:val="001726FD"/>
    <w:rPr>
      <w:rFonts w:ascii="Cambria" w:hAnsi="Cambria" w:eastAsia="Malgun Gothic"/>
      <w:color w:val="404040"/>
      <w:lang w:val="en-CA"/>
    </w:rPr>
  </w:style>
  <w:style w:type="character" w:styleId="Heading9Char" w:customStyle="1">
    <w:name w:val="Heading 9 Char"/>
    <w:link w:val="Heading9"/>
    <w:uiPriority w:val="9"/>
    <w:rsid w:val="001726FD"/>
    <w:rPr>
      <w:rFonts w:ascii="Cambria" w:hAnsi="Cambria" w:eastAsia="Malgun Gothic"/>
      <w:i/>
      <w:iCs/>
      <w:color w:val="404040"/>
      <w:lang w:val="en-CA"/>
    </w:rPr>
  </w:style>
  <w:style w:type="paragraph" w:styleId="Revision">
    <w:name w:val="Revision"/>
    <w:hidden/>
    <w:uiPriority w:val="99"/>
    <w:semiHidden/>
    <w:rsid w:val="001F7D8C"/>
    <w:rPr>
      <w:sz w:val="22"/>
      <w:szCs w:val="22"/>
      <w:lang w:val="en-CA"/>
    </w:rPr>
  </w:style>
  <w:style w:type="paragraph" w:styleId="PlainText">
    <w:name w:val="Plain Text"/>
    <w:basedOn w:val="Normal"/>
    <w:link w:val="PlainTextChar"/>
    <w:uiPriority w:val="99"/>
    <w:semiHidden/>
    <w:unhideWhenUsed/>
    <w:rsid w:val="00E84CA7"/>
    <w:pPr>
      <w:spacing w:after="0" w:line="240" w:lineRule="auto"/>
    </w:pPr>
    <w:rPr>
      <w:rFonts w:eastAsia="Calibri"/>
      <w:szCs w:val="21"/>
      <w:lang w:val="en-US"/>
    </w:rPr>
  </w:style>
  <w:style w:type="character" w:styleId="PlainTextChar" w:customStyle="1">
    <w:name w:val="Plain Text Char"/>
    <w:link w:val="PlainText"/>
    <w:uiPriority w:val="99"/>
    <w:semiHidden/>
    <w:rsid w:val="00E84CA7"/>
    <w:rPr>
      <w:rFonts w:eastAsia="Calibri"/>
      <w:sz w:val="22"/>
      <w:szCs w:val="21"/>
    </w:rPr>
  </w:style>
  <w:style w:type="paragraph" w:styleId="NoSpacing">
    <w:name w:val="No Spacing"/>
    <w:link w:val="NoSpacingChar"/>
    <w:uiPriority w:val="1"/>
    <w:qFormat/>
    <w:rsid w:val="00583A99"/>
    <w:rPr>
      <w:rFonts w:cs="Arial"/>
      <w:sz w:val="22"/>
      <w:szCs w:val="22"/>
      <w:lang w:eastAsia="ja-JP"/>
    </w:rPr>
  </w:style>
  <w:style w:type="character" w:styleId="NoSpacingChar" w:customStyle="1">
    <w:name w:val="No Spacing Char"/>
    <w:link w:val="NoSpacing"/>
    <w:uiPriority w:val="1"/>
    <w:rsid w:val="00583A99"/>
    <w:rPr>
      <w:rFonts w:cs="Arial"/>
      <w:sz w:val="22"/>
      <w:szCs w:val="22"/>
      <w:lang w:eastAsia="ja-JP"/>
    </w:rPr>
  </w:style>
  <w:style w:type="paragraph" w:styleId="BodyText">
    <w:name w:val="Body Text"/>
    <w:basedOn w:val="Normal"/>
    <w:link w:val="BodyTextChar"/>
    <w:rsid w:val="003F38BC"/>
    <w:pPr>
      <w:spacing w:after="240" w:line="240" w:lineRule="auto"/>
      <w:ind w:firstLine="1440"/>
    </w:pPr>
    <w:rPr>
      <w:rFonts w:ascii="Times New Roman" w:hAnsi="Times New Roman" w:eastAsia="Times New Roman"/>
      <w:sz w:val="24"/>
      <w:szCs w:val="24"/>
      <w:lang w:val="en-US"/>
    </w:rPr>
  </w:style>
  <w:style w:type="character" w:styleId="BodyTextChar" w:customStyle="1">
    <w:name w:val="Body Text Char"/>
    <w:basedOn w:val="DefaultParagraphFont"/>
    <w:link w:val="BodyText"/>
    <w:rsid w:val="003F38BC"/>
    <w:rPr>
      <w:rFonts w:ascii="Times New Roman" w:hAnsi="Times New Roman" w:eastAsia="Times New Roman"/>
      <w:sz w:val="24"/>
      <w:szCs w:val="24"/>
    </w:rPr>
  </w:style>
  <w:style w:type="table" w:styleId="TableGrid">
    <w:name w:val="Table Grid"/>
    <w:basedOn w:val="TableNormal"/>
    <w:uiPriority w:val="59"/>
    <w:rsid w:val="003F38BC"/>
    <w:rPr>
      <w:rFonts w:asciiTheme="minorHAnsi" w:hAnsiTheme="minorHAnsi" w:eastAsiaTheme="minorHAnsi" w:cstheme="minorBidi"/>
      <w:sz w:val="22"/>
      <w:szCs w:val="22"/>
      <w:lang w:val="en-P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Mincho"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342"/>
    <w:pPr>
      <w:spacing w:after="200" w:line="276" w:lineRule="auto"/>
    </w:pPr>
    <w:rPr>
      <w:sz w:val="22"/>
      <w:szCs w:val="22"/>
      <w:lang w:val="en-CA"/>
    </w:rPr>
  </w:style>
  <w:style w:type="paragraph" w:styleId="Heading1">
    <w:name w:val="heading 1"/>
    <w:basedOn w:val="Normal"/>
    <w:next w:val="Normal"/>
    <w:link w:val="Heading1Char"/>
    <w:uiPriority w:val="9"/>
    <w:qFormat/>
    <w:rsid w:val="001F7D8C"/>
    <w:pPr>
      <w:keepNext/>
      <w:keepLines/>
      <w:numPr>
        <w:numId w:val="1"/>
      </w:numPr>
      <w:spacing w:before="480" w:after="0"/>
      <w:outlineLvl w:val="0"/>
    </w:pPr>
    <w:rPr>
      <w:rFonts w:ascii="Cambria" w:eastAsia="Malgun Gothic" w:hAnsi="Cambria"/>
      <w:b/>
      <w:bCs/>
      <w:color w:val="365F91"/>
      <w:sz w:val="28"/>
      <w:szCs w:val="28"/>
    </w:rPr>
  </w:style>
  <w:style w:type="paragraph" w:styleId="Heading2">
    <w:name w:val="heading 2"/>
    <w:basedOn w:val="Normal"/>
    <w:next w:val="Normal"/>
    <w:link w:val="Heading2Char"/>
    <w:uiPriority w:val="9"/>
    <w:qFormat/>
    <w:rsid w:val="001F7D8C"/>
    <w:pPr>
      <w:keepNext/>
      <w:keepLines/>
      <w:numPr>
        <w:ilvl w:val="1"/>
        <w:numId w:val="1"/>
      </w:numPr>
      <w:spacing w:before="200" w:after="0"/>
      <w:outlineLvl w:val="1"/>
    </w:pPr>
    <w:rPr>
      <w:rFonts w:ascii="Cambria" w:eastAsia="Malgun Gothic" w:hAnsi="Cambria"/>
      <w:b/>
      <w:bCs/>
      <w:color w:val="4F81BD"/>
      <w:sz w:val="26"/>
      <w:szCs w:val="26"/>
    </w:rPr>
  </w:style>
  <w:style w:type="paragraph" w:styleId="Heading3">
    <w:name w:val="heading 3"/>
    <w:basedOn w:val="Normal"/>
    <w:next w:val="Normal"/>
    <w:link w:val="Heading3Char"/>
    <w:uiPriority w:val="9"/>
    <w:qFormat/>
    <w:rsid w:val="001F7D8C"/>
    <w:pPr>
      <w:keepNext/>
      <w:keepLines/>
      <w:numPr>
        <w:ilvl w:val="2"/>
        <w:numId w:val="1"/>
      </w:numPr>
      <w:spacing w:before="200" w:after="0"/>
      <w:outlineLvl w:val="2"/>
    </w:pPr>
    <w:rPr>
      <w:rFonts w:ascii="Cambria" w:eastAsia="Malgun Gothic" w:hAnsi="Cambria"/>
      <w:b/>
      <w:bCs/>
      <w:color w:val="4F81BD"/>
    </w:rPr>
  </w:style>
  <w:style w:type="paragraph" w:styleId="Heading4">
    <w:name w:val="heading 4"/>
    <w:basedOn w:val="Normal"/>
    <w:next w:val="Normal"/>
    <w:link w:val="Heading4Char"/>
    <w:uiPriority w:val="9"/>
    <w:qFormat/>
    <w:rsid w:val="001F7D8C"/>
    <w:pPr>
      <w:keepNext/>
      <w:keepLines/>
      <w:numPr>
        <w:ilvl w:val="3"/>
        <w:numId w:val="1"/>
      </w:numPr>
      <w:spacing w:before="200" w:after="0"/>
      <w:outlineLvl w:val="3"/>
    </w:pPr>
    <w:rPr>
      <w:rFonts w:ascii="Cambria" w:eastAsia="Malgun Gothic" w:hAnsi="Cambria"/>
      <w:b/>
      <w:bCs/>
      <w:i/>
      <w:iCs/>
      <w:color w:val="4F81BD"/>
    </w:rPr>
  </w:style>
  <w:style w:type="paragraph" w:styleId="Heading5">
    <w:name w:val="heading 5"/>
    <w:basedOn w:val="Normal"/>
    <w:next w:val="Normal"/>
    <w:link w:val="Heading5Char"/>
    <w:uiPriority w:val="9"/>
    <w:qFormat/>
    <w:rsid w:val="001F7D8C"/>
    <w:pPr>
      <w:keepNext/>
      <w:keepLines/>
      <w:numPr>
        <w:ilvl w:val="4"/>
        <w:numId w:val="1"/>
      </w:numPr>
      <w:spacing w:before="200" w:after="0"/>
      <w:outlineLvl w:val="4"/>
    </w:pPr>
    <w:rPr>
      <w:rFonts w:ascii="Cambria" w:eastAsia="Malgun Gothic" w:hAnsi="Cambria"/>
      <w:color w:val="243F60"/>
    </w:rPr>
  </w:style>
  <w:style w:type="paragraph" w:styleId="Heading6">
    <w:name w:val="heading 6"/>
    <w:basedOn w:val="Normal"/>
    <w:next w:val="Normal"/>
    <w:link w:val="Heading6Char"/>
    <w:uiPriority w:val="9"/>
    <w:qFormat/>
    <w:rsid w:val="001F7D8C"/>
    <w:pPr>
      <w:keepNext/>
      <w:keepLines/>
      <w:numPr>
        <w:ilvl w:val="5"/>
        <w:numId w:val="1"/>
      </w:numPr>
      <w:spacing w:before="200" w:after="0"/>
      <w:outlineLvl w:val="5"/>
    </w:pPr>
    <w:rPr>
      <w:rFonts w:ascii="Cambria" w:eastAsia="Malgun Gothic" w:hAnsi="Cambria"/>
      <w:i/>
      <w:iCs/>
      <w:color w:val="243F60"/>
    </w:rPr>
  </w:style>
  <w:style w:type="paragraph" w:styleId="Heading7">
    <w:name w:val="heading 7"/>
    <w:basedOn w:val="Normal"/>
    <w:next w:val="Normal"/>
    <w:link w:val="Heading7Char"/>
    <w:uiPriority w:val="9"/>
    <w:qFormat/>
    <w:rsid w:val="001F7D8C"/>
    <w:pPr>
      <w:keepNext/>
      <w:keepLines/>
      <w:numPr>
        <w:ilvl w:val="6"/>
        <w:numId w:val="1"/>
      </w:numPr>
      <w:spacing w:before="200" w:after="0"/>
      <w:outlineLvl w:val="6"/>
    </w:pPr>
    <w:rPr>
      <w:rFonts w:ascii="Cambria" w:eastAsia="Malgun Gothic" w:hAnsi="Cambria"/>
      <w:i/>
      <w:iCs/>
      <w:color w:val="404040"/>
    </w:rPr>
  </w:style>
  <w:style w:type="paragraph" w:styleId="Heading8">
    <w:name w:val="heading 8"/>
    <w:basedOn w:val="Normal"/>
    <w:next w:val="Normal"/>
    <w:link w:val="Heading8Char"/>
    <w:uiPriority w:val="9"/>
    <w:qFormat/>
    <w:rsid w:val="001F7D8C"/>
    <w:pPr>
      <w:keepNext/>
      <w:keepLines/>
      <w:numPr>
        <w:ilvl w:val="7"/>
        <w:numId w:val="1"/>
      </w:numPr>
      <w:spacing w:before="200" w:after="0"/>
      <w:outlineLvl w:val="7"/>
    </w:pPr>
    <w:rPr>
      <w:rFonts w:ascii="Cambria" w:eastAsia="Malgun Gothic" w:hAnsi="Cambria"/>
      <w:color w:val="404040"/>
      <w:sz w:val="20"/>
      <w:szCs w:val="20"/>
    </w:rPr>
  </w:style>
  <w:style w:type="paragraph" w:styleId="Heading9">
    <w:name w:val="heading 9"/>
    <w:basedOn w:val="Normal"/>
    <w:next w:val="Normal"/>
    <w:link w:val="Heading9Char"/>
    <w:uiPriority w:val="9"/>
    <w:qFormat/>
    <w:rsid w:val="001F7D8C"/>
    <w:pPr>
      <w:keepNext/>
      <w:keepLines/>
      <w:numPr>
        <w:ilvl w:val="8"/>
        <w:numId w:val="1"/>
      </w:numPr>
      <w:spacing w:before="200" w:after="0"/>
      <w:outlineLvl w:val="8"/>
    </w:pPr>
    <w:rPr>
      <w:rFonts w:ascii="Cambria" w:eastAsia="Malgun Gothic"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D8C"/>
    <w:pPr>
      <w:ind w:left="720"/>
      <w:contextualSpacing/>
    </w:pPr>
  </w:style>
  <w:style w:type="paragraph" w:styleId="Header">
    <w:name w:val="header"/>
    <w:basedOn w:val="Normal"/>
    <w:link w:val="HeaderChar"/>
    <w:uiPriority w:val="99"/>
    <w:unhideWhenUsed/>
    <w:rsid w:val="001F7D8C"/>
    <w:pPr>
      <w:tabs>
        <w:tab w:val="center" w:pos="4680"/>
        <w:tab w:val="right" w:pos="9360"/>
      </w:tabs>
      <w:spacing w:after="0" w:line="240" w:lineRule="auto"/>
    </w:pPr>
  </w:style>
  <w:style w:type="character" w:customStyle="1" w:styleId="HeaderChar">
    <w:name w:val="Header Char"/>
    <w:link w:val="Header"/>
    <w:uiPriority w:val="99"/>
    <w:rsid w:val="009D2672"/>
    <w:rPr>
      <w:sz w:val="22"/>
      <w:szCs w:val="22"/>
      <w:lang w:val="en-CA"/>
    </w:rPr>
  </w:style>
  <w:style w:type="paragraph" w:styleId="Footer">
    <w:name w:val="footer"/>
    <w:basedOn w:val="Normal"/>
    <w:link w:val="FooterChar"/>
    <w:uiPriority w:val="99"/>
    <w:unhideWhenUsed/>
    <w:rsid w:val="001F7D8C"/>
    <w:pPr>
      <w:tabs>
        <w:tab w:val="center" w:pos="4680"/>
        <w:tab w:val="right" w:pos="9360"/>
      </w:tabs>
      <w:spacing w:after="0" w:line="240" w:lineRule="auto"/>
    </w:pPr>
  </w:style>
  <w:style w:type="character" w:customStyle="1" w:styleId="FooterChar">
    <w:name w:val="Footer Char"/>
    <w:link w:val="Footer"/>
    <w:uiPriority w:val="99"/>
    <w:rsid w:val="009D2672"/>
    <w:rPr>
      <w:sz w:val="22"/>
      <w:szCs w:val="22"/>
      <w:lang w:val="en-CA"/>
    </w:rPr>
  </w:style>
  <w:style w:type="character" w:styleId="CommentReference">
    <w:name w:val="annotation reference"/>
    <w:uiPriority w:val="99"/>
    <w:semiHidden/>
    <w:unhideWhenUsed/>
    <w:rsid w:val="008173A8"/>
    <w:rPr>
      <w:sz w:val="16"/>
      <w:szCs w:val="16"/>
    </w:rPr>
  </w:style>
  <w:style w:type="paragraph" w:styleId="CommentText">
    <w:name w:val="annotation text"/>
    <w:basedOn w:val="Normal"/>
    <w:link w:val="CommentTextChar"/>
    <w:uiPriority w:val="99"/>
    <w:unhideWhenUsed/>
    <w:rsid w:val="001F7D8C"/>
    <w:pPr>
      <w:spacing w:line="240" w:lineRule="auto"/>
    </w:pPr>
    <w:rPr>
      <w:sz w:val="20"/>
      <w:szCs w:val="20"/>
    </w:rPr>
  </w:style>
  <w:style w:type="character" w:customStyle="1" w:styleId="CommentTextChar">
    <w:name w:val="Comment Text Char"/>
    <w:link w:val="CommentText"/>
    <w:uiPriority w:val="99"/>
    <w:rsid w:val="008173A8"/>
    <w:rPr>
      <w:lang w:val="en-CA"/>
    </w:rPr>
  </w:style>
  <w:style w:type="paragraph" w:styleId="CommentSubject">
    <w:name w:val="annotation subject"/>
    <w:basedOn w:val="CommentText"/>
    <w:next w:val="CommentText"/>
    <w:link w:val="CommentSubjectChar"/>
    <w:uiPriority w:val="99"/>
    <w:semiHidden/>
    <w:unhideWhenUsed/>
    <w:rsid w:val="001F7D8C"/>
    <w:rPr>
      <w:b/>
      <w:bCs/>
    </w:rPr>
  </w:style>
  <w:style w:type="character" w:customStyle="1" w:styleId="CommentSubjectChar">
    <w:name w:val="Comment Subject Char"/>
    <w:link w:val="CommentSubject"/>
    <w:uiPriority w:val="99"/>
    <w:semiHidden/>
    <w:rsid w:val="008173A8"/>
    <w:rPr>
      <w:b/>
      <w:bCs/>
      <w:lang w:val="en-CA"/>
    </w:rPr>
  </w:style>
  <w:style w:type="paragraph" w:styleId="BalloonText">
    <w:name w:val="Balloon Text"/>
    <w:basedOn w:val="Normal"/>
    <w:link w:val="BalloonTextChar"/>
    <w:uiPriority w:val="99"/>
    <w:semiHidden/>
    <w:unhideWhenUsed/>
    <w:rsid w:val="00567342"/>
    <w:pPr>
      <w:spacing w:after="0" w:line="240" w:lineRule="auto"/>
    </w:pPr>
    <w:rPr>
      <w:rFonts w:ascii="Tahoma" w:hAnsi="Tahoma" w:cs="Tahoma"/>
      <w:sz w:val="21"/>
      <w:szCs w:val="16"/>
    </w:rPr>
  </w:style>
  <w:style w:type="character" w:customStyle="1" w:styleId="BalloonTextChar">
    <w:name w:val="Balloon Text Char"/>
    <w:link w:val="BalloonText"/>
    <w:uiPriority w:val="99"/>
    <w:semiHidden/>
    <w:rsid w:val="00567342"/>
    <w:rPr>
      <w:rFonts w:ascii="Tahoma" w:hAnsi="Tahoma" w:cs="Tahoma"/>
      <w:sz w:val="21"/>
      <w:szCs w:val="16"/>
      <w:lang w:val="en-CA" w:eastAsia="en-US"/>
    </w:rPr>
  </w:style>
  <w:style w:type="paragraph" w:customStyle="1" w:styleId="DocID">
    <w:name w:val="DocID"/>
    <w:basedOn w:val="Normal"/>
    <w:next w:val="Footer"/>
    <w:link w:val="DocIDChar"/>
    <w:rsid w:val="003941E9"/>
    <w:pPr>
      <w:spacing w:after="0" w:line="240" w:lineRule="auto"/>
    </w:pPr>
    <w:rPr>
      <w:rFonts w:ascii="Times New Roman" w:hAnsi="Times New Roman"/>
      <w:sz w:val="16"/>
      <w:szCs w:val="24"/>
      <w:lang w:val="en-US"/>
    </w:rPr>
  </w:style>
  <w:style w:type="character" w:customStyle="1" w:styleId="DocIDChar">
    <w:name w:val="DocID Char"/>
    <w:link w:val="DocID"/>
    <w:rsid w:val="003941E9"/>
    <w:rPr>
      <w:rFonts w:ascii="Times New Roman" w:hAnsi="Times New Roman"/>
      <w:sz w:val="16"/>
      <w:szCs w:val="24"/>
    </w:rPr>
  </w:style>
  <w:style w:type="paragraph" w:styleId="FootnoteText">
    <w:name w:val="footnote text"/>
    <w:basedOn w:val="Normal"/>
    <w:link w:val="FootnoteTextChar"/>
    <w:uiPriority w:val="99"/>
    <w:semiHidden/>
    <w:unhideWhenUsed/>
    <w:rsid w:val="001F7D8C"/>
    <w:pPr>
      <w:spacing w:after="0" w:line="240" w:lineRule="auto"/>
    </w:pPr>
    <w:rPr>
      <w:sz w:val="20"/>
      <w:szCs w:val="20"/>
    </w:rPr>
  </w:style>
  <w:style w:type="character" w:customStyle="1" w:styleId="FootnoteTextChar">
    <w:name w:val="Footnote Text Char"/>
    <w:link w:val="FootnoteText"/>
    <w:uiPriority w:val="99"/>
    <w:semiHidden/>
    <w:rsid w:val="00490783"/>
    <w:rPr>
      <w:lang w:val="en-CA"/>
    </w:rPr>
  </w:style>
  <w:style w:type="character" w:styleId="FootnoteReference">
    <w:name w:val="footnote reference"/>
    <w:uiPriority w:val="99"/>
    <w:semiHidden/>
    <w:unhideWhenUsed/>
    <w:rsid w:val="00490783"/>
    <w:rPr>
      <w:vertAlign w:val="superscript"/>
    </w:rPr>
  </w:style>
  <w:style w:type="character" w:customStyle="1" w:styleId="Heading1Char">
    <w:name w:val="Heading 1 Char"/>
    <w:link w:val="Heading1"/>
    <w:uiPriority w:val="9"/>
    <w:rsid w:val="00834A4B"/>
    <w:rPr>
      <w:rFonts w:ascii="Cambria" w:eastAsia="Malgun Gothic" w:hAnsi="Cambria"/>
      <w:b/>
      <w:bCs/>
      <w:color w:val="365F91"/>
      <w:sz w:val="28"/>
      <w:szCs w:val="28"/>
      <w:lang w:val="en-CA"/>
    </w:rPr>
  </w:style>
  <w:style w:type="paragraph" w:styleId="Title">
    <w:name w:val="Title"/>
    <w:basedOn w:val="Normal"/>
    <w:next w:val="Normal"/>
    <w:link w:val="TitleChar"/>
    <w:uiPriority w:val="10"/>
    <w:qFormat/>
    <w:rsid w:val="001F7D8C"/>
    <w:pPr>
      <w:pBdr>
        <w:bottom w:val="single" w:sz="8" w:space="4" w:color="4F81BD"/>
      </w:pBdr>
      <w:spacing w:after="300" w:line="240" w:lineRule="auto"/>
      <w:contextualSpacing/>
    </w:pPr>
    <w:rPr>
      <w:rFonts w:ascii="Cambria" w:eastAsia="Malgun Gothic" w:hAnsi="Cambria"/>
      <w:color w:val="17365D"/>
      <w:spacing w:val="5"/>
      <w:kern w:val="28"/>
      <w:sz w:val="52"/>
      <w:szCs w:val="52"/>
    </w:rPr>
  </w:style>
  <w:style w:type="character" w:customStyle="1" w:styleId="TitleChar">
    <w:name w:val="Title Char"/>
    <w:link w:val="Title"/>
    <w:uiPriority w:val="10"/>
    <w:rsid w:val="00834A4B"/>
    <w:rPr>
      <w:rFonts w:ascii="Cambria" w:eastAsia="Malgun Gothic" w:hAnsi="Cambria"/>
      <w:color w:val="17365D"/>
      <w:spacing w:val="5"/>
      <w:kern w:val="28"/>
      <w:sz w:val="52"/>
      <w:szCs w:val="52"/>
      <w:lang w:val="en-CA"/>
    </w:rPr>
  </w:style>
  <w:style w:type="paragraph" w:styleId="Subtitle">
    <w:name w:val="Subtitle"/>
    <w:basedOn w:val="Normal"/>
    <w:next w:val="Normal"/>
    <w:link w:val="SubtitleChar"/>
    <w:uiPriority w:val="11"/>
    <w:qFormat/>
    <w:rsid w:val="001F7D8C"/>
    <w:pPr>
      <w:numPr>
        <w:ilvl w:val="1"/>
      </w:numPr>
    </w:pPr>
    <w:rPr>
      <w:rFonts w:ascii="Cambria" w:eastAsia="Malgun Gothic" w:hAnsi="Cambria"/>
      <w:i/>
      <w:iCs/>
      <w:color w:val="4F81BD"/>
      <w:spacing w:val="15"/>
      <w:sz w:val="24"/>
      <w:szCs w:val="24"/>
    </w:rPr>
  </w:style>
  <w:style w:type="character" w:customStyle="1" w:styleId="SubtitleChar">
    <w:name w:val="Subtitle Char"/>
    <w:link w:val="Subtitle"/>
    <w:uiPriority w:val="11"/>
    <w:rsid w:val="00834A4B"/>
    <w:rPr>
      <w:rFonts w:ascii="Cambria" w:eastAsia="Malgun Gothic" w:hAnsi="Cambria"/>
      <w:i/>
      <w:iCs/>
      <w:color w:val="4F81BD"/>
      <w:spacing w:val="15"/>
      <w:sz w:val="24"/>
      <w:szCs w:val="24"/>
      <w:lang w:val="en-CA"/>
    </w:rPr>
  </w:style>
  <w:style w:type="character" w:customStyle="1" w:styleId="Heading2Char">
    <w:name w:val="Heading 2 Char"/>
    <w:link w:val="Heading2"/>
    <w:uiPriority w:val="9"/>
    <w:rsid w:val="001726FD"/>
    <w:rPr>
      <w:rFonts w:ascii="Cambria" w:eastAsia="Malgun Gothic" w:hAnsi="Cambria"/>
      <w:b/>
      <w:bCs/>
      <w:color w:val="4F81BD"/>
      <w:sz w:val="26"/>
      <w:szCs w:val="26"/>
      <w:lang w:val="en-CA"/>
    </w:rPr>
  </w:style>
  <w:style w:type="character" w:customStyle="1" w:styleId="Heading3Char">
    <w:name w:val="Heading 3 Char"/>
    <w:link w:val="Heading3"/>
    <w:uiPriority w:val="9"/>
    <w:rsid w:val="001726FD"/>
    <w:rPr>
      <w:rFonts w:ascii="Cambria" w:eastAsia="Malgun Gothic" w:hAnsi="Cambria"/>
      <w:b/>
      <w:bCs/>
      <w:color w:val="4F81BD"/>
      <w:sz w:val="22"/>
      <w:szCs w:val="22"/>
      <w:lang w:val="en-CA"/>
    </w:rPr>
  </w:style>
  <w:style w:type="character" w:customStyle="1" w:styleId="Heading4Char">
    <w:name w:val="Heading 4 Char"/>
    <w:link w:val="Heading4"/>
    <w:uiPriority w:val="9"/>
    <w:rsid w:val="001726FD"/>
    <w:rPr>
      <w:rFonts w:ascii="Cambria" w:eastAsia="Malgun Gothic" w:hAnsi="Cambria"/>
      <w:b/>
      <w:bCs/>
      <w:i/>
      <w:iCs/>
      <w:color w:val="4F81BD"/>
      <w:sz w:val="22"/>
      <w:szCs w:val="22"/>
      <w:lang w:val="en-CA"/>
    </w:rPr>
  </w:style>
  <w:style w:type="character" w:customStyle="1" w:styleId="Heading5Char">
    <w:name w:val="Heading 5 Char"/>
    <w:link w:val="Heading5"/>
    <w:uiPriority w:val="9"/>
    <w:rsid w:val="001726FD"/>
    <w:rPr>
      <w:rFonts w:ascii="Cambria" w:eastAsia="Malgun Gothic" w:hAnsi="Cambria"/>
      <w:color w:val="243F60"/>
      <w:sz w:val="22"/>
      <w:szCs w:val="22"/>
      <w:lang w:val="en-CA"/>
    </w:rPr>
  </w:style>
  <w:style w:type="character" w:customStyle="1" w:styleId="Heading6Char">
    <w:name w:val="Heading 6 Char"/>
    <w:link w:val="Heading6"/>
    <w:uiPriority w:val="9"/>
    <w:rsid w:val="001726FD"/>
    <w:rPr>
      <w:rFonts w:ascii="Cambria" w:eastAsia="Malgun Gothic" w:hAnsi="Cambria"/>
      <w:i/>
      <w:iCs/>
      <w:color w:val="243F60"/>
      <w:sz w:val="22"/>
      <w:szCs w:val="22"/>
      <w:lang w:val="en-CA"/>
    </w:rPr>
  </w:style>
  <w:style w:type="character" w:customStyle="1" w:styleId="Heading7Char">
    <w:name w:val="Heading 7 Char"/>
    <w:link w:val="Heading7"/>
    <w:uiPriority w:val="9"/>
    <w:rsid w:val="001726FD"/>
    <w:rPr>
      <w:rFonts w:ascii="Cambria" w:eastAsia="Malgun Gothic" w:hAnsi="Cambria"/>
      <w:i/>
      <w:iCs/>
      <w:color w:val="404040"/>
      <w:sz w:val="22"/>
      <w:szCs w:val="22"/>
      <w:lang w:val="en-CA"/>
    </w:rPr>
  </w:style>
  <w:style w:type="character" w:customStyle="1" w:styleId="Heading8Char">
    <w:name w:val="Heading 8 Char"/>
    <w:link w:val="Heading8"/>
    <w:uiPriority w:val="9"/>
    <w:rsid w:val="001726FD"/>
    <w:rPr>
      <w:rFonts w:ascii="Cambria" w:eastAsia="Malgun Gothic" w:hAnsi="Cambria"/>
      <w:color w:val="404040"/>
      <w:lang w:val="en-CA"/>
    </w:rPr>
  </w:style>
  <w:style w:type="character" w:customStyle="1" w:styleId="Heading9Char">
    <w:name w:val="Heading 9 Char"/>
    <w:link w:val="Heading9"/>
    <w:uiPriority w:val="9"/>
    <w:rsid w:val="001726FD"/>
    <w:rPr>
      <w:rFonts w:ascii="Cambria" w:eastAsia="Malgun Gothic" w:hAnsi="Cambria"/>
      <w:i/>
      <w:iCs/>
      <w:color w:val="404040"/>
      <w:lang w:val="en-CA"/>
    </w:rPr>
  </w:style>
  <w:style w:type="paragraph" w:styleId="Revision">
    <w:name w:val="Revision"/>
    <w:hidden/>
    <w:uiPriority w:val="99"/>
    <w:semiHidden/>
    <w:rsid w:val="001F7D8C"/>
    <w:rPr>
      <w:sz w:val="22"/>
      <w:szCs w:val="22"/>
      <w:lang w:val="en-CA"/>
    </w:rPr>
  </w:style>
  <w:style w:type="paragraph" w:styleId="PlainText">
    <w:name w:val="Plain Text"/>
    <w:basedOn w:val="Normal"/>
    <w:link w:val="PlainTextChar"/>
    <w:uiPriority w:val="99"/>
    <w:semiHidden/>
    <w:unhideWhenUsed/>
    <w:rsid w:val="00E84CA7"/>
    <w:pPr>
      <w:spacing w:after="0" w:line="240" w:lineRule="auto"/>
    </w:pPr>
    <w:rPr>
      <w:rFonts w:eastAsia="Calibri"/>
      <w:szCs w:val="21"/>
      <w:lang w:val="en-US"/>
    </w:rPr>
  </w:style>
  <w:style w:type="character" w:customStyle="1" w:styleId="PlainTextChar">
    <w:name w:val="Plain Text Char"/>
    <w:link w:val="PlainText"/>
    <w:uiPriority w:val="99"/>
    <w:semiHidden/>
    <w:rsid w:val="00E84CA7"/>
    <w:rPr>
      <w:rFonts w:eastAsia="Calibri"/>
      <w:sz w:val="22"/>
      <w:szCs w:val="21"/>
    </w:rPr>
  </w:style>
  <w:style w:type="paragraph" w:styleId="NoSpacing">
    <w:name w:val="No Spacing"/>
    <w:link w:val="NoSpacingChar"/>
    <w:uiPriority w:val="1"/>
    <w:qFormat/>
    <w:rsid w:val="00583A99"/>
    <w:rPr>
      <w:rFonts w:cs="Arial"/>
      <w:sz w:val="22"/>
      <w:szCs w:val="22"/>
      <w:lang w:eastAsia="ja-JP"/>
    </w:rPr>
  </w:style>
  <w:style w:type="character" w:customStyle="1" w:styleId="NoSpacingChar">
    <w:name w:val="No Spacing Char"/>
    <w:link w:val="NoSpacing"/>
    <w:uiPriority w:val="1"/>
    <w:rsid w:val="00583A99"/>
    <w:rPr>
      <w:rFonts w:cs="Arial"/>
      <w:sz w:val="22"/>
      <w:szCs w:val="22"/>
      <w:lang w:eastAsia="ja-JP"/>
    </w:rPr>
  </w:style>
  <w:style w:type="paragraph" w:styleId="BodyText">
    <w:name w:val="Body Text"/>
    <w:basedOn w:val="Normal"/>
    <w:link w:val="BodyTextChar"/>
    <w:rsid w:val="003F38BC"/>
    <w:pPr>
      <w:spacing w:after="240" w:line="240" w:lineRule="auto"/>
      <w:ind w:firstLine="1440"/>
    </w:pPr>
    <w:rPr>
      <w:rFonts w:ascii="Times New Roman" w:eastAsia="Times New Roman" w:hAnsi="Times New Roman"/>
      <w:sz w:val="24"/>
      <w:szCs w:val="24"/>
      <w:lang w:val="en-US"/>
    </w:rPr>
  </w:style>
  <w:style w:type="character" w:customStyle="1" w:styleId="BodyTextChar">
    <w:name w:val="Body Text Char"/>
    <w:basedOn w:val="DefaultParagraphFont"/>
    <w:link w:val="BodyText"/>
    <w:rsid w:val="003F38BC"/>
    <w:rPr>
      <w:rFonts w:ascii="Times New Roman" w:eastAsia="Times New Roman" w:hAnsi="Times New Roman"/>
      <w:sz w:val="24"/>
      <w:szCs w:val="24"/>
    </w:rPr>
  </w:style>
  <w:style w:type="table" w:styleId="TableGrid">
    <w:name w:val="Table Grid"/>
    <w:basedOn w:val="TableNormal"/>
    <w:uiPriority w:val="59"/>
    <w:rsid w:val="003F38BC"/>
    <w:rPr>
      <w:rFonts w:asciiTheme="minorHAnsi" w:eastAsiaTheme="minorHAnsi" w:hAnsiTheme="minorHAnsi" w:cstheme="minorBidi"/>
      <w:sz w:val="22"/>
      <w:szCs w:val="22"/>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213860">
      <w:bodyDiv w:val="1"/>
      <w:marLeft w:val="0"/>
      <w:marRight w:val="0"/>
      <w:marTop w:val="0"/>
      <w:marBottom w:val="0"/>
      <w:divBdr>
        <w:top w:val="none" w:sz="0" w:space="0" w:color="auto"/>
        <w:left w:val="none" w:sz="0" w:space="0" w:color="auto"/>
        <w:bottom w:val="none" w:sz="0" w:space="0" w:color="auto"/>
        <w:right w:val="none" w:sz="0" w:space="0" w:color="auto"/>
      </w:divBdr>
    </w:div>
    <w:div w:id="12072581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image" Target="media/image4.PNG" Id="rId12" /><Relationship Type="http://schemas.openxmlformats.org/officeDocument/2006/relationships/header" Target="head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webSettings" Target="webSettings.xml" Id="rId6" /><Relationship Type="http://schemas.openxmlformats.org/officeDocument/2006/relationships/image" Target="media/image3.jpeg"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2.jpg" Id="rId10" /><Relationship Type="http://schemas.openxmlformats.org/officeDocument/2006/relationships/fontTable" Target="fontTable.xml" Id="rId19" /><Relationship Type="http://schemas.microsoft.com/office/2007/relationships/stylesWithEffects" Target="stylesWithEffects.xml" Id="rId4" /><Relationship Type="http://schemas.openxmlformats.org/officeDocument/2006/relationships/image" Target="media/image1.jpg"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9</Pages>
  <Words>2734</Words>
  <Characters>15588</Characters>
  <Application>
  </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1900-01-01T05:00:00Z</dcterms:created>
  <dcterms:modified xsi:type="dcterms:W3CDTF">1900-01-01T05:00:00Z</dcterms:modified>
</cp:coreProperties>
</file>