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08" w:rsidRPr="00D668B7" w:rsidRDefault="00FE7A08" w:rsidP="00FE7A08">
      <w:pPr>
        <w:pBdr>
          <w:bottom w:val="single" w:sz="12" w:space="1" w:color="auto"/>
        </w:pBdr>
        <w:jc w:val="center"/>
        <w:rPr>
          <w:b/>
        </w:rPr>
      </w:pPr>
      <w:bookmarkStart w:id="0" w:name="OLE_LINK7"/>
      <w:bookmarkStart w:id="1" w:name="OLE_LINK8"/>
      <w:bookmarkStart w:id="2" w:name="_GoBack"/>
      <w:bookmarkEnd w:id="2"/>
      <w:r>
        <w:rPr>
          <w:b/>
        </w:rPr>
        <w:t xml:space="preserve">GUIDELINES FOR ENGAGEMENT BETWEEN </w:t>
      </w:r>
      <w:r w:rsidR="00FB3022">
        <w:rPr>
          <w:b/>
        </w:rPr>
        <w:br/>
      </w:r>
      <w:r>
        <w:rPr>
          <w:b/>
        </w:rPr>
        <w:t xml:space="preserve">THE </w:t>
      </w:r>
      <w:r w:rsidR="00FB3022">
        <w:rPr>
          <w:b/>
        </w:rPr>
        <w:t>H</w:t>
      </w:r>
      <w:r w:rsidR="00FC3B75">
        <w:rPr>
          <w:b/>
        </w:rPr>
        <w:t xml:space="preserve">EALTH </w:t>
      </w:r>
      <w:r w:rsidR="00FB3022">
        <w:rPr>
          <w:b/>
        </w:rPr>
        <w:t>W</w:t>
      </w:r>
      <w:r w:rsidR="00FC3B75">
        <w:rPr>
          <w:b/>
        </w:rPr>
        <w:t xml:space="preserve">ORKING </w:t>
      </w:r>
      <w:r w:rsidR="00FB3022">
        <w:rPr>
          <w:b/>
        </w:rPr>
        <w:t>G</w:t>
      </w:r>
      <w:r w:rsidR="00FC3B75">
        <w:rPr>
          <w:b/>
        </w:rPr>
        <w:t>ROUP</w:t>
      </w:r>
      <w:r>
        <w:rPr>
          <w:b/>
        </w:rPr>
        <w:t xml:space="preserve"> AND THE PRIVATE SECTOR</w:t>
      </w:r>
    </w:p>
    <w:p w:rsidR="00AF51C5" w:rsidRDefault="00AF51C5" w:rsidP="00A67627">
      <w:pPr>
        <w:spacing w:afterLines="50" w:after="120" w:line="260" w:lineRule="exact"/>
        <w:rPr>
          <w:b/>
          <w:bCs/>
          <w:u w:val="single"/>
        </w:rPr>
      </w:pPr>
    </w:p>
    <w:p w:rsidR="006642A9" w:rsidRPr="005F1D29" w:rsidRDefault="00DE7DF8" w:rsidP="005F1D29">
      <w:pPr>
        <w:pStyle w:val="ListParagraph"/>
        <w:numPr>
          <w:ilvl w:val="0"/>
          <w:numId w:val="14"/>
        </w:numPr>
        <w:spacing w:afterLines="50" w:after="120" w:line="260" w:lineRule="exact"/>
        <w:rPr>
          <w:rFonts w:eastAsia="PMingLiU"/>
          <w:b/>
        </w:rPr>
      </w:pPr>
      <w:r w:rsidRPr="005F1D29">
        <w:rPr>
          <w:rFonts w:eastAsia="PMingLiU"/>
          <w:b/>
        </w:rPr>
        <w:t>BACKGROUND</w:t>
      </w:r>
    </w:p>
    <w:p w:rsidR="009A44C4" w:rsidRDefault="00CE5A6C">
      <w:pPr>
        <w:spacing w:afterLines="50" w:after="120" w:line="260" w:lineRule="exact"/>
        <w:rPr>
          <w:rFonts w:eastAsia="PMingLiU"/>
        </w:rPr>
      </w:pPr>
      <w:r>
        <w:rPr>
          <w:rFonts w:eastAsia="PMingLiU"/>
        </w:rPr>
        <w:t xml:space="preserve">1. </w:t>
      </w:r>
      <w:r w:rsidR="00A67627" w:rsidRPr="007C7335">
        <w:rPr>
          <w:rFonts w:eastAsia="PMingLiU"/>
        </w:rPr>
        <w:t>The mandate of the</w:t>
      </w:r>
      <w:r w:rsidR="00FA3673">
        <w:rPr>
          <w:rFonts w:eastAsia="PMingLiU"/>
        </w:rPr>
        <w:t xml:space="preserve"> A</w:t>
      </w:r>
      <w:r w:rsidR="00FC3B75">
        <w:rPr>
          <w:rFonts w:eastAsia="PMingLiU"/>
        </w:rPr>
        <w:t xml:space="preserve">sia </w:t>
      </w:r>
      <w:r w:rsidR="00FA3673">
        <w:rPr>
          <w:rFonts w:eastAsia="PMingLiU"/>
        </w:rPr>
        <w:t>P</w:t>
      </w:r>
      <w:r w:rsidR="00FC3B75">
        <w:rPr>
          <w:rFonts w:eastAsia="PMingLiU"/>
        </w:rPr>
        <w:t xml:space="preserve">acific </w:t>
      </w:r>
      <w:r w:rsidR="00FA3673">
        <w:rPr>
          <w:rFonts w:eastAsia="PMingLiU"/>
        </w:rPr>
        <w:t>E</w:t>
      </w:r>
      <w:r w:rsidR="00FC3B75">
        <w:rPr>
          <w:rFonts w:eastAsia="PMingLiU"/>
        </w:rPr>
        <w:t xml:space="preserve">conomic </w:t>
      </w:r>
      <w:r w:rsidR="00FA3673">
        <w:rPr>
          <w:rFonts w:eastAsia="PMingLiU"/>
        </w:rPr>
        <w:t>C</w:t>
      </w:r>
      <w:r w:rsidR="00FC3B75">
        <w:rPr>
          <w:rFonts w:eastAsia="PMingLiU"/>
        </w:rPr>
        <w:t xml:space="preserve">ooperation (APEC) forum’s </w:t>
      </w:r>
      <w:r w:rsidR="00FA3673">
        <w:rPr>
          <w:rFonts w:eastAsia="PMingLiU"/>
        </w:rPr>
        <w:t>H</w:t>
      </w:r>
      <w:r w:rsidR="00FC3B75">
        <w:rPr>
          <w:rFonts w:eastAsia="PMingLiU"/>
        </w:rPr>
        <w:t xml:space="preserve">ealth </w:t>
      </w:r>
      <w:r w:rsidR="00FA3673">
        <w:rPr>
          <w:rFonts w:eastAsia="PMingLiU"/>
        </w:rPr>
        <w:t>W</w:t>
      </w:r>
      <w:r w:rsidR="00FC3B75">
        <w:rPr>
          <w:rFonts w:eastAsia="PMingLiU"/>
        </w:rPr>
        <w:t xml:space="preserve">orking Group (HWG) </w:t>
      </w:r>
      <w:r w:rsidR="00A67627" w:rsidRPr="007C7335">
        <w:rPr>
          <w:rFonts w:eastAsia="PMingLiU"/>
        </w:rPr>
        <w:t xml:space="preserve">is to </w:t>
      </w:r>
      <w:r w:rsidR="00A67627" w:rsidRPr="007C7335">
        <w:rPr>
          <w:rFonts w:eastAsia="SimSun"/>
          <w:lang w:eastAsia="zh-CN"/>
        </w:rPr>
        <w:t>work together to improve people’s health and well-being</w:t>
      </w:r>
      <w:r w:rsidR="00836E27">
        <w:rPr>
          <w:rFonts w:eastAsia="SimSun"/>
          <w:lang w:eastAsia="zh-CN"/>
        </w:rPr>
        <w:t xml:space="preserve"> </w:t>
      </w:r>
      <w:r w:rsidR="00A67627" w:rsidRPr="007C7335">
        <w:rPr>
          <w:rFonts w:eastAsia="SimSun"/>
          <w:lang w:eastAsia="zh-CN"/>
        </w:rPr>
        <w:t xml:space="preserve">to promote trade, security, inclusive growth and development </w:t>
      </w:r>
      <w:r w:rsidR="00A67627" w:rsidRPr="007C7335">
        <w:rPr>
          <w:rFonts w:eastAsia="PMingLiU"/>
        </w:rPr>
        <w:t>in the APEC region</w:t>
      </w:r>
      <w:bookmarkEnd w:id="0"/>
      <w:bookmarkEnd w:id="1"/>
      <w:r w:rsidR="007B68CC">
        <w:rPr>
          <w:rFonts w:eastAsia="PMingLiU"/>
        </w:rPr>
        <w:t>.</w:t>
      </w:r>
    </w:p>
    <w:p w:rsidR="006465B8" w:rsidRPr="00A12345" w:rsidRDefault="006465B8" w:rsidP="006465B8">
      <w:pPr>
        <w:spacing w:afterLines="50" w:after="120" w:line="260" w:lineRule="exact"/>
      </w:pPr>
      <w:r>
        <w:rPr>
          <w:rStyle w:val="IntenseReference"/>
          <w:b w:val="0"/>
          <w:bCs w:val="0"/>
          <w:i w:val="0"/>
          <w:smallCaps w:val="0"/>
          <w:color w:val="auto"/>
          <w:spacing w:val="0"/>
        </w:rPr>
        <w:t>2. The HWG is comprised of representatives from APEC economies, and provides a useful forum for discussion and collaboration on regional health issues. The HWG operates on the basis of consensus and there are no binding commitments through HWG participation – it is not a norms and standard-setting body.</w:t>
      </w:r>
    </w:p>
    <w:p w:rsidR="00006DE2" w:rsidRDefault="00CE5A6C" w:rsidP="00DE7DF8">
      <w:pPr>
        <w:spacing w:afterLines="50" w:after="120" w:line="260" w:lineRule="exact"/>
        <w:rPr>
          <w:rStyle w:val="IntenseReference"/>
          <w:b w:val="0"/>
          <w:bCs w:val="0"/>
          <w:i w:val="0"/>
          <w:smallCaps w:val="0"/>
          <w:color w:val="auto"/>
          <w:spacing w:val="0"/>
        </w:rPr>
      </w:pPr>
      <w:r>
        <w:rPr>
          <w:rStyle w:val="IntenseReference"/>
          <w:b w:val="0"/>
          <w:bCs w:val="0"/>
          <w:i w:val="0"/>
          <w:smallCaps w:val="0"/>
          <w:color w:val="auto"/>
          <w:spacing w:val="0"/>
        </w:rPr>
        <w:t xml:space="preserve">3. </w:t>
      </w:r>
      <w:r w:rsidR="00AF51C5">
        <w:rPr>
          <w:rStyle w:val="IntenseReference"/>
          <w:b w:val="0"/>
          <w:bCs w:val="0"/>
          <w:i w:val="0"/>
          <w:smallCaps w:val="0"/>
          <w:color w:val="auto"/>
          <w:spacing w:val="0"/>
        </w:rPr>
        <w:t>T</w:t>
      </w:r>
      <w:r w:rsidR="006216B1">
        <w:rPr>
          <w:rStyle w:val="IntenseReference"/>
          <w:b w:val="0"/>
          <w:bCs w:val="0"/>
          <w:i w:val="0"/>
          <w:smallCaps w:val="0"/>
          <w:color w:val="auto"/>
          <w:spacing w:val="0"/>
        </w:rPr>
        <w:t>he HWG</w:t>
      </w:r>
      <w:r w:rsidR="00AF51C5">
        <w:rPr>
          <w:rStyle w:val="IntenseReference"/>
          <w:b w:val="0"/>
          <w:bCs w:val="0"/>
          <w:i w:val="0"/>
          <w:smallCaps w:val="0"/>
          <w:color w:val="auto"/>
          <w:spacing w:val="0"/>
        </w:rPr>
        <w:t xml:space="preserve"> acknowledges </w:t>
      </w:r>
      <w:r w:rsidR="00006DE2">
        <w:rPr>
          <w:rStyle w:val="IntenseReference"/>
          <w:b w:val="0"/>
          <w:bCs w:val="0"/>
          <w:i w:val="0"/>
          <w:smallCaps w:val="0"/>
          <w:color w:val="auto"/>
          <w:spacing w:val="0"/>
        </w:rPr>
        <w:t xml:space="preserve">the importance of </w:t>
      </w:r>
      <w:r w:rsidR="00FC3B75">
        <w:rPr>
          <w:rStyle w:val="IntenseReference"/>
          <w:b w:val="0"/>
          <w:bCs w:val="0"/>
          <w:i w:val="0"/>
          <w:smallCaps w:val="0"/>
          <w:color w:val="auto"/>
          <w:spacing w:val="0"/>
        </w:rPr>
        <w:t xml:space="preserve">engaging </w:t>
      </w:r>
      <w:r w:rsidR="00006DE2">
        <w:rPr>
          <w:rStyle w:val="IntenseReference"/>
          <w:b w:val="0"/>
          <w:bCs w:val="0"/>
          <w:i w:val="0"/>
          <w:smallCaps w:val="0"/>
          <w:color w:val="auto"/>
          <w:spacing w:val="0"/>
        </w:rPr>
        <w:t>with the private sector</w:t>
      </w:r>
      <w:r w:rsidR="00EA1182">
        <w:rPr>
          <w:rStyle w:val="IntenseReference"/>
          <w:b w:val="0"/>
          <w:bCs w:val="0"/>
          <w:i w:val="0"/>
          <w:smallCaps w:val="0"/>
          <w:color w:val="auto"/>
          <w:spacing w:val="0"/>
        </w:rPr>
        <w:t xml:space="preserve"> </w:t>
      </w:r>
      <w:r w:rsidR="00006DE2">
        <w:rPr>
          <w:rStyle w:val="IntenseReference"/>
          <w:b w:val="0"/>
          <w:bCs w:val="0"/>
          <w:i w:val="0"/>
          <w:smallCaps w:val="0"/>
          <w:color w:val="auto"/>
          <w:spacing w:val="0"/>
        </w:rPr>
        <w:t xml:space="preserve">to successfully </w:t>
      </w:r>
      <w:r w:rsidR="00757D81">
        <w:rPr>
          <w:rStyle w:val="IntenseReference"/>
          <w:b w:val="0"/>
          <w:bCs w:val="0"/>
          <w:i w:val="0"/>
          <w:smallCaps w:val="0"/>
          <w:color w:val="auto"/>
          <w:spacing w:val="0"/>
        </w:rPr>
        <w:t>achieve</w:t>
      </w:r>
      <w:r w:rsidR="00006DE2">
        <w:rPr>
          <w:rStyle w:val="IntenseReference"/>
          <w:b w:val="0"/>
          <w:bCs w:val="0"/>
          <w:i w:val="0"/>
          <w:smallCaps w:val="0"/>
          <w:color w:val="auto"/>
          <w:spacing w:val="0"/>
        </w:rPr>
        <w:t xml:space="preserve"> </w:t>
      </w:r>
      <w:r w:rsidR="00FC3B75">
        <w:rPr>
          <w:rStyle w:val="IntenseReference"/>
          <w:b w:val="0"/>
          <w:bCs w:val="0"/>
          <w:i w:val="0"/>
          <w:smallCaps w:val="0"/>
          <w:color w:val="auto"/>
          <w:spacing w:val="0"/>
        </w:rPr>
        <w:t xml:space="preserve">this </w:t>
      </w:r>
      <w:r w:rsidR="00006DE2">
        <w:rPr>
          <w:rStyle w:val="IntenseReference"/>
          <w:b w:val="0"/>
          <w:bCs w:val="0"/>
          <w:i w:val="0"/>
          <w:smallCaps w:val="0"/>
          <w:color w:val="auto"/>
          <w:spacing w:val="0"/>
        </w:rPr>
        <w:t>mandate</w:t>
      </w:r>
      <w:r w:rsidR="00006DE2">
        <w:t>. T</w:t>
      </w:r>
      <w:r w:rsidR="00AF51C5">
        <w:rPr>
          <w:rStyle w:val="IntenseReference"/>
          <w:b w:val="0"/>
          <w:bCs w:val="0"/>
          <w:i w:val="0"/>
          <w:smallCaps w:val="0"/>
          <w:color w:val="auto"/>
          <w:spacing w:val="0"/>
        </w:rPr>
        <w:t>he</w:t>
      </w:r>
      <w:r w:rsidR="008B4B57">
        <w:rPr>
          <w:rStyle w:val="IntenseReference"/>
          <w:b w:val="0"/>
          <w:bCs w:val="0"/>
          <w:i w:val="0"/>
          <w:smallCaps w:val="0"/>
          <w:color w:val="auto"/>
          <w:spacing w:val="0"/>
        </w:rPr>
        <w:t xml:space="preserve"> </w:t>
      </w:r>
      <w:r w:rsidR="00006DE2">
        <w:rPr>
          <w:rStyle w:val="IntenseReference"/>
          <w:b w:val="0"/>
          <w:bCs w:val="0"/>
          <w:i w:val="0"/>
          <w:smallCaps w:val="0"/>
          <w:color w:val="auto"/>
          <w:spacing w:val="0"/>
        </w:rPr>
        <w:t xml:space="preserve">private sector makes </w:t>
      </w:r>
      <w:r w:rsidR="008B4B57">
        <w:rPr>
          <w:rStyle w:val="IntenseReference"/>
          <w:b w:val="0"/>
          <w:bCs w:val="0"/>
          <w:i w:val="0"/>
          <w:smallCaps w:val="0"/>
          <w:color w:val="auto"/>
          <w:spacing w:val="0"/>
        </w:rPr>
        <w:t xml:space="preserve">significant contributions to </w:t>
      </w:r>
      <w:r w:rsidR="00FA3673">
        <w:rPr>
          <w:rStyle w:val="IntenseReference"/>
          <w:b w:val="0"/>
          <w:bCs w:val="0"/>
          <w:i w:val="0"/>
          <w:smallCaps w:val="0"/>
          <w:color w:val="auto"/>
          <w:spacing w:val="0"/>
        </w:rPr>
        <w:t>regional</w:t>
      </w:r>
      <w:r w:rsidR="008B4B57">
        <w:rPr>
          <w:rStyle w:val="IntenseReference"/>
          <w:b w:val="0"/>
          <w:bCs w:val="0"/>
          <w:i w:val="0"/>
          <w:smallCaps w:val="0"/>
          <w:color w:val="auto"/>
          <w:spacing w:val="0"/>
        </w:rPr>
        <w:t xml:space="preserve"> health</w:t>
      </w:r>
      <w:r w:rsidR="00FA3673">
        <w:rPr>
          <w:rStyle w:val="IntenseReference"/>
          <w:b w:val="0"/>
          <w:bCs w:val="0"/>
          <w:i w:val="0"/>
          <w:smallCaps w:val="0"/>
          <w:color w:val="auto"/>
          <w:spacing w:val="0"/>
        </w:rPr>
        <w:t xml:space="preserve"> outcomes</w:t>
      </w:r>
      <w:r w:rsidR="00A17689">
        <w:rPr>
          <w:rStyle w:val="IntenseReference"/>
          <w:b w:val="0"/>
          <w:bCs w:val="0"/>
          <w:i w:val="0"/>
          <w:smallCaps w:val="0"/>
          <w:color w:val="auto"/>
          <w:spacing w:val="0"/>
        </w:rPr>
        <w:t xml:space="preserve"> </w:t>
      </w:r>
      <w:r w:rsidR="000C0E3E">
        <w:rPr>
          <w:rStyle w:val="IntenseReference"/>
          <w:b w:val="0"/>
          <w:bCs w:val="0"/>
          <w:i w:val="0"/>
          <w:smallCaps w:val="0"/>
          <w:color w:val="auto"/>
          <w:spacing w:val="0"/>
        </w:rPr>
        <w:t>including</w:t>
      </w:r>
      <w:r w:rsidR="00006DE2">
        <w:rPr>
          <w:rStyle w:val="IntenseReference"/>
          <w:b w:val="0"/>
          <w:bCs w:val="0"/>
          <w:i w:val="0"/>
          <w:smallCaps w:val="0"/>
          <w:color w:val="auto"/>
          <w:spacing w:val="0"/>
        </w:rPr>
        <w:t xml:space="preserve"> </w:t>
      </w:r>
      <w:r w:rsidR="00056626">
        <w:rPr>
          <w:rStyle w:val="IntenseReference"/>
          <w:b w:val="0"/>
          <w:bCs w:val="0"/>
          <w:i w:val="0"/>
          <w:smallCaps w:val="0"/>
          <w:color w:val="auto"/>
          <w:spacing w:val="0"/>
        </w:rPr>
        <w:t xml:space="preserve">through </w:t>
      </w:r>
      <w:r w:rsidR="00371611">
        <w:rPr>
          <w:rStyle w:val="IntenseReference"/>
          <w:b w:val="0"/>
          <w:bCs w:val="0"/>
          <w:i w:val="0"/>
          <w:smallCaps w:val="0"/>
          <w:color w:val="auto"/>
          <w:spacing w:val="0"/>
        </w:rPr>
        <w:t xml:space="preserve">research and development to advance medical science, </w:t>
      </w:r>
      <w:r w:rsidR="00006DE2">
        <w:rPr>
          <w:rStyle w:val="IntenseReference"/>
          <w:b w:val="0"/>
          <w:bCs w:val="0"/>
          <w:i w:val="0"/>
          <w:smallCaps w:val="0"/>
          <w:color w:val="auto"/>
          <w:spacing w:val="0"/>
        </w:rPr>
        <w:t>improvement</w:t>
      </w:r>
      <w:r w:rsidR="00371611">
        <w:rPr>
          <w:rStyle w:val="IntenseReference"/>
          <w:b w:val="0"/>
          <w:bCs w:val="0"/>
          <w:i w:val="0"/>
          <w:smallCaps w:val="0"/>
          <w:color w:val="auto"/>
          <w:spacing w:val="0"/>
        </w:rPr>
        <w:t>s</w:t>
      </w:r>
      <w:r w:rsidR="00006DE2">
        <w:rPr>
          <w:rStyle w:val="IntenseReference"/>
          <w:b w:val="0"/>
          <w:bCs w:val="0"/>
          <w:i w:val="0"/>
          <w:smallCaps w:val="0"/>
          <w:color w:val="auto"/>
          <w:spacing w:val="0"/>
        </w:rPr>
        <w:t xml:space="preserve"> to existing products and services, and enhancement</w:t>
      </w:r>
      <w:r w:rsidR="00371611">
        <w:rPr>
          <w:rStyle w:val="IntenseReference"/>
          <w:b w:val="0"/>
          <w:bCs w:val="0"/>
          <w:i w:val="0"/>
          <w:smallCaps w:val="0"/>
          <w:color w:val="auto"/>
          <w:spacing w:val="0"/>
        </w:rPr>
        <w:t>s to</w:t>
      </w:r>
      <w:r w:rsidR="00006DE2">
        <w:rPr>
          <w:rStyle w:val="IntenseReference"/>
          <w:b w:val="0"/>
          <w:bCs w:val="0"/>
          <w:i w:val="0"/>
          <w:smallCaps w:val="0"/>
          <w:color w:val="auto"/>
          <w:spacing w:val="0"/>
        </w:rPr>
        <w:t xml:space="preserve"> the quality and efficacy of care.</w:t>
      </w:r>
      <w:r w:rsidR="008B4B57">
        <w:rPr>
          <w:rStyle w:val="IntenseReference"/>
          <w:b w:val="0"/>
          <w:bCs w:val="0"/>
          <w:i w:val="0"/>
          <w:smallCaps w:val="0"/>
          <w:color w:val="auto"/>
          <w:spacing w:val="0"/>
        </w:rPr>
        <w:t xml:space="preserve"> </w:t>
      </w:r>
      <w:r w:rsidR="00FC3B75">
        <w:rPr>
          <w:rStyle w:val="IntenseReference"/>
          <w:b w:val="0"/>
          <w:bCs w:val="0"/>
          <w:i w:val="0"/>
          <w:smallCaps w:val="0"/>
          <w:color w:val="auto"/>
          <w:spacing w:val="0"/>
        </w:rPr>
        <w:t xml:space="preserve">It is essential the HWG actively engages with all stakeholders to deliver better health outcomes in the Asia-Pacific region. </w:t>
      </w:r>
    </w:p>
    <w:p w:rsidR="00206847" w:rsidRPr="00360A89" w:rsidRDefault="00CE5A6C" w:rsidP="00DE7DF8">
      <w:pPr>
        <w:spacing w:afterLines="50" w:after="120" w:line="260" w:lineRule="exact"/>
        <w:rPr>
          <w:rStyle w:val="IntenseReference"/>
          <w:rFonts w:eastAsia="PMingLiU"/>
          <w:b w:val="0"/>
          <w:bCs w:val="0"/>
          <w:i w:val="0"/>
          <w:smallCaps w:val="0"/>
          <w:color w:val="auto"/>
          <w:spacing w:val="0"/>
        </w:rPr>
      </w:pPr>
      <w:r>
        <w:rPr>
          <w:rStyle w:val="IntenseReference"/>
          <w:rFonts w:eastAsia="PMingLiU"/>
          <w:b w:val="0"/>
          <w:bCs w:val="0"/>
          <w:i w:val="0"/>
          <w:smallCaps w:val="0"/>
          <w:color w:val="auto"/>
          <w:spacing w:val="0"/>
        </w:rPr>
        <w:t xml:space="preserve">4. </w:t>
      </w:r>
      <w:r w:rsidR="00DD1382">
        <w:rPr>
          <w:rStyle w:val="IntenseReference"/>
          <w:rFonts w:eastAsia="PMingLiU"/>
          <w:b w:val="0"/>
          <w:bCs w:val="0"/>
          <w:i w:val="0"/>
          <w:smallCaps w:val="0"/>
          <w:color w:val="auto"/>
          <w:spacing w:val="0"/>
        </w:rPr>
        <w:t>As t</w:t>
      </w:r>
      <w:r w:rsidR="001310D3">
        <w:rPr>
          <w:rStyle w:val="IntenseReference"/>
          <w:rFonts w:eastAsia="PMingLiU"/>
          <w:b w:val="0"/>
          <w:bCs w:val="0"/>
          <w:i w:val="0"/>
          <w:smallCaps w:val="0"/>
          <w:color w:val="auto"/>
          <w:spacing w:val="0"/>
        </w:rPr>
        <w:t>he HWG is comprised of representatives from member econom</w:t>
      </w:r>
      <w:r w:rsidR="006465B8">
        <w:rPr>
          <w:rStyle w:val="IntenseReference"/>
          <w:rFonts w:eastAsia="PMingLiU"/>
          <w:b w:val="0"/>
          <w:bCs w:val="0"/>
          <w:i w:val="0"/>
          <w:smallCaps w:val="0"/>
          <w:color w:val="auto"/>
          <w:spacing w:val="0"/>
        </w:rPr>
        <w:t>ies</w:t>
      </w:r>
      <w:r w:rsidR="00EA1182">
        <w:rPr>
          <w:rStyle w:val="IntenseReference"/>
          <w:rFonts w:eastAsia="PMingLiU"/>
          <w:b w:val="0"/>
          <w:bCs w:val="0"/>
          <w:i w:val="0"/>
          <w:smallCaps w:val="0"/>
          <w:color w:val="auto"/>
          <w:spacing w:val="0"/>
        </w:rPr>
        <w:t xml:space="preserve"> </w:t>
      </w:r>
      <w:r w:rsidR="001310D3">
        <w:rPr>
          <w:rStyle w:val="IntenseReference"/>
          <w:rFonts w:eastAsia="PMingLiU"/>
          <w:b w:val="0"/>
          <w:bCs w:val="0"/>
          <w:i w:val="0"/>
          <w:smallCaps w:val="0"/>
          <w:color w:val="auto"/>
          <w:spacing w:val="0"/>
        </w:rPr>
        <w:t xml:space="preserve">who set </w:t>
      </w:r>
      <w:r w:rsidR="00D02EC6">
        <w:rPr>
          <w:rStyle w:val="IntenseReference"/>
          <w:rFonts w:eastAsia="PMingLiU"/>
          <w:b w:val="0"/>
          <w:bCs w:val="0"/>
          <w:i w:val="0"/>
          <w:smallCaps w:val="0"/>
          <w:color w:val="auto"/>
          <w:spacing w:val="0"/>
        </w:rPr>
        <w:t>domestic</w:t>
      </w:r>
      <w:r w:rsidR="00B36833" w:rsidRPr="00B36833">
        <w:rPr>
          <w:rStyle w:val="IntenseReference"/>
          <w:rFonts w:eastAsia="PMingLiU"/>
          <w:b w:val="0"/>
          <w:bCs w:val="0"/>
          <w:i w:val="0"/>
          <w:smallCaps w:val="0"/>
          <w:color w:val="auto"/>
          <w:spacing w:val="0"/>
        </w:rPr>
        <w:t xml:space="preserve"> </w:t>
      </w:r>
      <w:r w:rsidR="00B36833">
        <w:rPr>
          <w:rStyle w:val="IntenseReference"/>
          <w:rFonts w:eastAsia="PMingLiU"/>
          <w:b w:val="0"/>
          <w:bCs w:val="0"/>
          <w:i w:val="0"/>
          <w:smallCaps w:val="0"/>
          <w:color w:val="auto"/>
          <w:spacing w:val="0"/>
        </w:rPr>
        <w:t>health and</w:t>
      </w:r>
      <w:r w:rsidR="00D02EC6">
        <w:rPr>
          <w:rStyle w:val="IntenseReference"/>
          <w:rFonts w:eastAsia="PMingLiU"/>
          <w:b w:val="0"/>
          <w:bCs w:val="0"/>
          <w:i w:val="0"/>
          <w:smallCaps w:val="0"/>
          <w:color w:val="auto"/>
          <w:spacing w:val="0"/>
        </w:rPr>
        <w:t xml:space="preserve"> </w:t>
      </w:r>
      <w:r w:rsidR="001310D3">
        <w:rPr>
          <w:rStyle w:val="IntenseReference"/>
          <w:rFonts w:eastAsia="PMingLiU"/>
          <w:b w:val="0"/>
          <w:bCs w:val="0"/>
          <w:i w:val="0"/>
          <w:smallCaps w:val="0"/>
          <w:color w:val="auto"/>
          <w:spacing w:val="0"/>
        </w:rPr>
        <w:t xml:space="preserve">regulatory policy </w:t>
      </w:r>
      <w:r w:rsidR="00D02EC6">
        <w:rPr>
          <w:rStyle w:val="IntenseReference"/>
          <w:rFonts w:eastAsia="PMingLiU"/>
          <w:b w:val="0"/>
          <w:bCs w:val="0"/>
          <w:i w:val="0"/>
          <w:smallCaps w:val="0"/>
          <w:color w:val="auto"/>
          <w:spacing w:val="0"/>
        </w:rPr>
        <w:t xml:space="preserve">and are </w:t>
      </w:r>
      <w:r w:rsidR="00F1591C">
        <w:rPr>
          <w:rStyle w:val="IntenseReference"/>
          <w:rFonts w:eastAsia="PMingLiU"/>
          <w:b w:val="0"/>
          <w:bCs w:val="0"/>
          <w:i w:val="0"/>
          <w:smallCaps w:val="0"/>
          <w:color w:val="auto"/>
          <w:spacing w:val="0"/>
        </w:rPr>
        <w:t>involved in</w:t>
      </w:r>
      <w:r w:rsidR="00B22062">
        <w:rPr>
          <w:rStyle w:val="IntenseReference"/>
          <w:rFonts w:eastAsia="PMingLiU"/>
          <w:b w:val="0"/>
          <w:bCs w:val="0"/>
          <w:i w:val="0"/>
          <w:smallCaps w:val="0"/>
          <w:color w:val="auto"/>
          <w:spacing w:val="0"/>
        </w:rPr>
        <w:t xml:space="preserve"> </w:t>
      </w:r>
      <w:r w:rsidR="00206847">
        <w:rPr>
          <w:rStyle w:val="IntenseReference"/>
          <w:rFonts w:eastAsia="PMingLiU"/>
          <w:b w:val="0"/>
          <w:bCs w:val="0"/>
          <w:i w:val="0"/>
          <w:smallCaps w:val="0"/>
          <w:color w:val="auto"/>
          <w:spacing w:val="0"/>
        </w:rPr>
        <w:t>significant procurement of goods and services in the health sector</w:t>
      </w:r>
      <w:r w:rsidR="00DD1382">
        <w:rPr>
          <w:rStyle w:val="IntenseReference"/>
          <w:rFonts w:eastAsia="PMingLiU"/>
          <w:b w:val="0"/>
          <w:bCs w:val="0"/>
          <w:i w:val="0"/>
          <w:smallCaps w:val="0"/>
          <w:color w:val="auto"/>
          <w:spacing w:val="0"/>
        </w:rPr>
        <w:t>, i</w:t>
      </w:r>
      <w:r w:rsidR="00033A45">
        <w:rPr>
          <w:rStyle w:val="IntenseReference"/>
          <w:rFonts w:eastAsia="PMingLiU"/>
          <w:b w:val="0"/>
          <w:bCs w:val="0"/>
          <w:i w:val="0"/>
          <w:smallCaps w:val="0"/>
          <w:color w:val="auto"/>
          <w:spacing w:val="0"/>
        </w:rPr>
        <w:t xml:space="preserve">t is </w:t>
      </w:r>
      <w:r w:rsidR="00206847">
        <w:rPr>
          <w:rStyle w:val="IntenseReference"/>
          <w:rFonts w:eastAsia="PMingLiU"/>
          <w:b w:val="0"/>
          <w:bCs w:val="0"/>
          <w:i w:val="0"/>
          <w:smallCaps w:val="0"/>
          <w:color w:val="auto"/>
          <w:spacing w:val="0"/>
        </w:rPr>
        <w:t xml:space="preserve">important that </w:t>
      </w:r>
      <w:r w:rsidR="00D02EC6">
        <w:rPr>
          <w:rStyle w:val="IntenseReference"/>
          <w:rFonts w:eastAsia="PMingLiU"/>
          <w:b w:val="0"/>
          <w:bCs w:val="0"/>
          <w:i w:val="0"/>
          <w:smallCaps w:val="0"/>
          <w:color w:val="auto"/>
          <w:spacing w:val="0"/>
        </w:rPr>
        <w:t xml:space="preserve">any engagement </w:t>
      </w:r>
      <w:r w:rsidR="00033A45">
        <w:rPr>
          <w:rStyle w:val="IntenseReference"/>
          <w:rFonts w:eastAsia="PMingLiU"/>
          <w:b w:val="0"/>
          <w:bCs w:val="0"/>
          <w:i w:val="0"/>
          <w:smallCaps w:val="0"/>
          <w:color w:val="auto"/>
          <w:spacing w:val="0"/>
        </w:rPr>
        <w:t>with the private sector i</w:t>
      </w:r>
      <w:r w:rsidR="00D02EC6">
        <w:rPr>
          <w:rStyle w:val="IntenseReference"/>
          <w:rFonts w:eastAsia="PMingLiU"/>
          <w:b w:val="0"/>
          <w:bCs w:val="0"/>
          <w:i w:val="0"/>
          <w:smallCaps w:val="0"/>
          <w:color w:val="auto"/>
          <w:spacing w:val="0"/>
        </w:rPr>
        <w:t>s conducted in</w:t>
      </w:r>
      <w:r w:rsidR="00033A45">
        <w:rPr>
          <w:rStyle w:val="IntenseReference"/>
          <w:rFonts w:eastAsia="PMingLiU"/>
          <w:b w:val="0"/>
          <w:bCs w:val="0"/>
          <w:i w:val="0"/>
          <w:smallCaps w:val="0"/>
          <w:color w:val="auto"/>
          <w:spacing w:val="0"/>
        </w:rPr>
        <w:t xml:space="preserve"> a</w:t>
      </w:r>
      <w:r w:rsidR="00D02EC6">
        <w:rPr>
          <w:rStyle w:val="IntenseReference"/>
          <w:rFonts w:eastAsia="PMingLiU"/>
          <w:b w:val="0"/>
          <w:bCs w:val="0"/>
          <w:i w:val="0"/>
          <w:smallCaps w:val="0"/>
          <w:color w:val="auto"/>
          <w:spacing w:val="0"/>
        </w:rPr>
        <w:t xml:space="preserve"> </w:t>
      </w:r>
      <w:r w:rsidR="00033A45">
        <w:rPr>
          <w:rStyle w:val="IntenseReference"/>
          <w:rFonts w:eastAsia="PMingLiU"/>
          <w:b w:val="0"/>
          <w:bCs w:val="0"/>
          <w:i w:val="0"/>
          <w:smallCaps w:val="0"/>
          <w:color w:val="auto"/>
          <w:spacing w:val="0"/>
        </w:rPr>
        <w:t>transparent and</w:t>
      </w:r>
      <w:r w:rsidR="00915BEB">
        <w:rPr>
          <w:rStyle w:val="IntenseReference"/>
          <w:rFonts w:eastAsia="PMingLiU"/>
          <w:b w:val="0"/>
          <w:bCs w:val="0"/>
          <w:i w:val="0"/>
          <w:smallCaps w:val="0"/>
          <w:color w:val="auto"/>
          <w:spacing w:val="0"/>
        </w:rPr>
        <w:t xml:space="preserve"> competitively neutral </w:t>
      </w:r>
      <w:r w:rsidR="00D02EC6">
        <w:rPr>
          <w:rStyle w:val="IntenseReference"/>
          <w:rFonts w:eastAsia="PMingLiU"/>
          <w:b w:val="0"/>
          <w:bCs w:val="0"/>
          <w:i w:val="0"/>
          <w:smallCaps w:val="0"/>
          <w:color w:val="auto"/>
          <w:spacing w:val="0"/>
        </w:rPr>
        <w:t>manner</w:t>
      </w:r>
      <w:r w:rsidR="00915BEB">
        <w:rPr>
          <w:rStyle w:val="IntenseReference"/>
          <w:rFonts w:eastAsia="PMingLiU"/>
          <w:b w:val="0"/>
          <w:bCs w:val="0"/>
          <w:i w:val="0"/>
          <w:smallCaps w:val="0"/>
          <w:color w:val="auto"/>
          <w:spacing w:val="0"/>
        </w:rPr>
        <w:t xml:space="preserve"> that manages risks</w:t>
      </w:r>
      <w:r w:rsidR="00DD1382">
        <w:rPr>
          <w:rStyle w:val="IntenseReference"/>
          <w:rFonts w:eastAsia="PMingLiU"/>
          <w:b w:val="0"/>
          <w:bCs w:val="0"/>
          <w:i w:val="0"/>
          <w:smallCaps w:val="0"/>
          <w:color w:val="auto"/>
          <w:spacing w:val="0"/>
        </w:rPr>
        <w:t xml:space="preserve"> </w:t>
      </w:r>
      <w:r w:rsidR="006465B8">
        <w:rPr>
          <w:rStyle w:val="IntenseReference"/>
          <w:rFonts w:eastAsia="PMingLiU"/>
          <w:b w:val="0"/>
          <w:bCs w:val="0"/>
          <w:i w:val="0"/>
          <w:smallCaps w:val="0"/>
          <w:color w:val="auto"/>
          <w:spacing w:val="0"/>
        </w:rPr>
        <w:t xml:space="preserve">(real or perceived) </w:t>
      </w:r>
      <w:r w:rsidR="00915BEB">
        <w:rPr>
          <w:rStyle w:val="IntenseReference"/>
          <w:rFonts w:eastAsia="PMingLiU"/>
          <w:b w:val="0"/>
          <w:bCs w:val="0"/>
          <w:i w:val="0"/>
          <w:smallCaps w:val="0"/>
          <w:color w:val="auto"/>
          <w:spacing w:val="0"/>
        </w:rPr>
        <w:t>of conflict of interest</w:t>
      </w:r>
      <w:r w:rsidR="00C95149">
        <w:rPr>
          <w:rStyle w:val="IntenseReference"/>
          <w:rFonts w:eastAsia="PMingLiU"/>
          <w:b w:val="0"/>
          <w:bCs w:val="0"/>
          <w:i w:val="0"/>
          <w:smallCaps w:val="0"/>
          <w:color w:val="auto"/>
          <w:spacing w:val="0"/>
        </w:rPr>
        <w:t xml:space="preserve">. </w:t>
      </w:r>
    </w:p>
    <w:p w:rsidR="004D7E1E" w:rsidRDefault="00CE5A6C" w:rsidP="006642A9">
      <w:pPr>
        <w:spacing w:afterLines="50" w:after="120" w:line="260" w:lineRule="exact"/>
        <w:rPr>
          <w:u w:val="single"/>
        </w:rPr>
      </w:pPr>
      <w:r>
        <w:rPr>
          <w:rStyle w:val="IntenseReference"/>
          <w:b w:val="0"/>
          <w:bCs w:val="0"/>
          <w:i w:val="0"/>
          <w:smallCaps w:val="0"/>
          <w:color w:val="auto"/>
          <w:spacing w:val="0"/>
        </w:rPr>
        <w:t xml:space="preserve">5. </w:t>
      </w:r>
      <w:r w:rsidR="00FA3673">
        <w:rPr>
          <w:rStyle w:val="IntenseReference"/>
          <w:b w:val="0"/>
          <w:bCs w:val="0"/>
          <w:i w:val="0"/>
          <w:smallCaps w:val="0"/>
          <w:color w:val="auto"/>
          <w:spacing w:val="0"/>
        </w:rPr>
        <w:t xml:space="preserve">The </w:t>
      </w:r>
      <w:r w:rsidR="00FC3B75">
        <w:rPr>
          <w:rStyle w:val="IntenseReference"/>
          <w:b w:val="0"/>
          <w:bCs w:val="0"/>
          <w:i w:val="0"/>
          <w:smallCaps w:val="0"/>
          <w:color w:val="auto"/>
          <w:spacing w:val="0"/>
        </w:rPr>
        <w:t xml:space="preserve">HWG’s </w:t>
      </w:r>
      <w:r w:rsidR="00FA3673" w:rsidRPr="00174B6F">
        <w:rPr>
          <w:rStyle w:val="IntenseReference"/>
          <w:b w:val="0"/>
          <w:bCs w:val="0"/>
          <w:smallCaps w:val="0"/>
          <w:color w:val="auto"/>
          <w:spacing w:val="0"/>
        </w:rPr>
        <w:t xml:space="preserve">Guidelines </w:t>
      </w:r>
      <w:r w:rsidR="00FC3B75" w:rsidRPr="00174B6F">
        <w:rPr>
          <w:rStyle w:val="IntenseReference"/>
          <w:b w:val="0"/>
          <w:bCs w:val="0"/>
          <w:smallCaps w:val="0"/>
          <w:color w:val="auto"/>
          <w:spacing w:val="0"/>
        </w:rPr>
        <w:t xml:space="preserve">for engagement between the Health Working Group and the private sector </w:t>
      </w:r>
      <w:r w:rsidR="00FC3B75">
        <w:rPr>
          <w:rStyle w:val="IntenseReference"/>
          <w:b w:val="0"/>
          <w:bCs w:val="0"/>
          <w:i w:val="0"/>
          <w:smallCaps w:val="0"/>
          <w:color w:val="auto"/>
          <w:spacing w:val="0"/>
        </w:rPr>
        <w:t xml:space="preserve">(the Guidelines) </w:t>
      </w:r>
      <w:r w:rsidR="00C95149">
        <w:rPr>
          <w:rStyle w:val="IntenseReference"/>
          <w:b w:val="0"/>
          <w:bCs w:val="0"/>
          <w:i w:val="0"/>
          <w:smallCaps w:val="0"/>
          <w:color w:val="auto"/>
          <w:spacing w:val="0"/>
        </w:rPr>
        <w:t xml:space="preserve">guide this engagement and </w:t>
      </w:r>
      <w:r w:rsidR="00FC3B75">
        <w:rPr>
          <w:rStyle w:val="IntenseReference"/>
          <w:b w:val="0"/>
          <w:bCs w:val="0"/>
          <w:i w:val="0"/>
          <w:smallCaps w:val="0"/>
          <w:color w:val="auto"/>
          <w:spacing w:val="0"/>
        </w:rPr>
        <w:t>build on APEC’s broader collaboration with the private sector</w:t>
      </w:r>
      <w:r w:rsidR="00CA3E8D">
        <w:rPr>
          <w:rStyle w:val="IntenseReference"/>
          <w:b w:val="0"/>
          <w:bCs w:val="0"/>
          <w:i w:val="0"/>
          <w:smallCaps w:val="0"/>
          <w:color w:val="auto"/>
          <w:spacing w:val="0"/>
        </w:rPr>
        <w:t xml:space="preserve"> to enhance cooperation in the field of human health</w:t>
      </w:r>
      <w:r w:rsidR="00FC3B75">
        <w:rPr>
          <w:rStyle w:val="IntenseReference"/>
          <w:b w:val="0"/>
          <w:bCs w:val="0"/>
          <w:i w:val="0"/>
          <w:smallCaps w:val="0"/>
          <w:color w:val="auto"/>
          <w:spacing w:val="0"/>
        </w:rPr>
        <w:t>. The Guidelines will facilitate greater engagement with the private sector and</w:t>
      </w:r>
      <w:r w:rsidR="00C95149">
        <w:rPr>
          <w:rStyle w:val="IntenseReference"/>
          <w:b w:val="0"/>
          <w:bCs w:val="0"/>
          <w:i w:val="0"/>
          <w:smallCaps w:val="0"/>
          <w:color w:val="auto"/>
          <w:spacing w:val="0"/>
        </w:rPr>
        <w:t>, importantly,</w:t>
      </w:r>
      <w:r w:rsidR="00CA3E8D">
        <w:rPr>
          <w:rStyle w:val="IntenseReference"/>
          <w:b w:val="0"/>
          <w:bCs w:val="0"/>
          <w:i w:val="0"/>
          <w:smallCaps w:val="0"/>
          <w:color w:val="auto"/>
          <w:spacing w:val="0"/>
        </w:rPr>
        <w:t xml:space="preserve"> </w:t>
      </w:r>
      <w:r w:rsidR="00FC3B75">
        <w:rPr>
          <w:rStyle w:val="IntenseReference"/>
          <w:b w:val="0"/>
          <w:bCs w:val="0"/>
          <w:i w:val="0"/>
          <w:smallCaps w:val="0"/>
          <w:color w:val="auto"/>
          <w:spacing w:val="0"/>
        </w:rPr>
        <w:t xml:space="preserve">will </w:t>
      </w:r>
      <w:r w:rsidR="00CA3E8D">
        <w:rPr>
          <w:rStyle w:val="IntenseReference"/>
          <w:b w:val="0"/>
          <w:bCs w:val="0"/>
          <w:i w:val="0"/>
          <w:smallCaps w:val="0"/>
          <w:color w:val="auto"/>
          <w:spacing w:val="0"/>
        </w:rPr>
        <w:t xml:space="preserve">provide a mechanism to actively manage real (or perceived) conflicts of interest, guarantee </w:t>
      </w:r>
      <w:r w:rsidR="00DE7DF8" w:rsidRPr="00DE7DF8">
        <w:rPr>
          <w:rStyle w:val="IntenseReference"/>
          <w:b w:val="0"/>
          <w:bCs w:val="0"/>
          <w:i w:val="0"/>
          <w:smallCaps w:val="0"/>
          <w:color w:val="auto"/>
          <w:spacing w:val="0"/>
        </w:rPr>
        <w:t>competitive neutrality</w:t>
      </w:r>
      <w:r w:rsidR="00FA3673">
        <w:rPr>
          <w:rStyle w:val="IntenseReference"/>
          <w:b w:val="0"/>
          <w:bCs w:val="0"/>
          <w:i w:val="0"/>
          <w:smallCaps w:val="0"/>
          <w:color w:val="auto"/>
          <w:spacing w:val="0"/>
        </w:rPr>
        <w:t xml:space="preserve"> </w:t>
      </w:r>
      <w:r w:rsidR="00CA3E8D">
        <w:rPr>
          <w:rStyle w:val="IntenseReference"/>
          <w:b w:val="0"/>
          <w:bCs w:val="0"/>
          <w:i w:val="0"/>
          <w:smallCaps w:val="0"/>
          <w:color w:val="auto"/>
          <w:spacing w:val="0"/>
        </w:rPr>
        <w:t xml:space="preserve">and assure that all engagement with the private sector is managed in an open and transparent manner. </w:t>
      </w:r>
      <w:r w:rsidR="00C95149">
        <w:rPr>
          <w:rStyle w:val="IntenseReference"/>
          <w:b w:val="0"/>
          <w:bCs w:val="0"/>
          <w:i w:val="0"/>
          <w:smallCaps w:val="0"/>
          <w:color w:val="auto"/>
          <w:spacing w:val="0"/>
        </w:rPr>
        <w:t xml:space="preserve"> </w:t>
      </w:r>
    </w:p>
    <w:p w:rsidR="00475BAE" w:rsidRDefault="00475BAE" w:rsidP="00174B6F">
      <w:pPr>
        <w:autoSpaceDE w:val="0"/>
        <w:autoSpaceDN w:val="0"/>
        <w:adjustRightInd w:val="0"/>
      </w:pPr>
    </w:p>
    <w:p w:rsidR="00475BAE" w:rsidRPr="005F1D29" w:rsidRDefault="00475BAE" w:rsidP="005F1D29">
      <w:pPr>
        <w:pStyle w:val="ListParagraph"/>
        <w:numPr>
          <w:ilvl w:val="0"/>
          <w:numId w:val="14"/>
        </w:numPr>
        <w:spacing w:before="240" w:after="120"/>
        <w:rPr>
          <w:b/>
          <w:lang w:eastAsia="en-AU"/>
        </w:rPr>
      </w:pPr>
      <w:r w:rsidRPr="005F1D29">
        <w:rPr>
          <w:b/>
          <w:lang w:eastAsia="en-AU"/>
        </w:rPr>
        <w:t>APPLICATION</w:t>
      </w:r>
    </w:p>
    <w:p w:rsidR="00475BAE" w:rsidRDefault="00CE5A6C" w:rsidP="00475BAE">
      <w:pPr>
        <w:autoSpaceDE w:val="0"/>
        <w:autoSpaceDN w:val="0"/>
        <w:adjustRightInd w:val="0"/>
        <w:spacing w:after="120"/>
      </w:pPr>
      <w:r>
        <w:t xml:space="preserve">6. </w:t>
      </w:r>
      <w:r w:rsidR="00475BAE">
        <w:t xml:space="preserve">These Guidelines apply to all HWG events including: HWG meetings, HWG projects, HWG-endorsed policy dialogues and High-Level Meetings.  These Guidelines should be adhered to in all HWG interaction with the private sector. </w:t>
      </w:r>
    </w:p>
    <w:p w:rsidR="00475BAE" w:rsidRDefault="00CE5A6C" w:rsidP="00475BAE">
      <w:pPr>
        <w:spacing w:afterLines="50" w:after="120" w:line="260" w:lineRule="exact"/>
      </w:pPr>
      <w:r>
        <w:t xml:space="preserve">7. </w:t>
      </w:r>
      <w:r w:rsidR="00475BAE">
        <w:t xml:space="preserve">Any reference to the private sector is a reference to all non-governmental entities including business/industry, academia, civil society and non-governmental organisations. For the purposes of these Guidelines, state-owned enterprises will also be treated as private sector entities to ensure they do not receive any unwarranted advantage over private enterprises through their interaction with the HWG. </w:t>
      </w:r>
    </w:p>
    <w:p w:rsidR="00CE5A6C" w:rsidRDefault="00CE5A6C">
      <w:r>
        <w:br w:type="page"/>
      </w:r>
    </w:p>
    <w:p w:rsidR="00475BAE" w:rsidRDefault="00475BAE" w:rsidP="00174B6F">
      <w:pPr>
        <w:autoSpaceDE w:val="0"/>
        <w:autoSpaceDN w:val="0"/>
        <w:adjustRightInd w:val="0"/>
      </w:pPr>
    </w:p>
    <w:p w:rsidR="006642A9" w:rsidRDefault="00F70489" w:rsidP="005F1D29">
      <w:pPr>
        <w:pStyle w:val="ListParagraph"/>
        <w:numPr>
          <w:ilvl w:val="0"/>
          <w:numId w:val="14"/>
        </w:numPr>
        <w:rPr>
          <w:lang w:eastAsia="en-AU"/>
        </w:rPr>
      </w:pPr>
      <w:r w:rsidRPr="005F1D29">
        <w:rPr>
          <w:b/>
          <w:lang w:eastAsia="en-AU"/>
        </w:rPr>
        <w:t>GUIDING PRINCIPLES</w:t>
      </w:r>
    </w:p>
    <w:p w:rsidR="00CE5A6C" w:rsidRDefault="00CE5A6C" w:rsidP="00024F9C">
      <w:pPr>
        <w:autoSpaceDE w:val="0"/>
        <w:autoSpaceDN w:val="0"/>
        <w:adjustRightInd w:val="0"/>
      </w:pPr>
    </w:p>
    <w:p w:rsidR="00024F9C" w:rsidRPr="00B5412F" w:rsidRDefault="00CE5A6C" w:rsidP="00024F9C">
      <w:pPr>
        <w:autoSpaceDE w:val="0"/>
        <w:autoSpaceDN w:val="0"/>
        <w:adjustRightInd w:val="0"/>
        <w:rPr>
          <w:b/>
        </w:rPr>
      </w:pPr>
      <w:r>
        <w:t xml:space="preserve">8. </w:t>
      </w:r>
      <w:r w:rsidR="00024F9C">
        <w:t xml:space="preserve">The </w:t>
      </w:r>
      <w:r w:rsidR="00024F9C">
        <w:rPr>
          <w:i/>
        </w:rPr>
        <w:t xml:space="preserve">Guidelines on Managing Cooperation with Non-Members </w:t>
      </w:r>
      <w:r w:rsidR="00024F9C">
        <w:t xml:space="preserve">(the SOM Guidelines), were approved by APEC Senior Officials in September 2015. The SOM Guidelines set out the principles and procedures for managing cooperation between APEC and non-member entities and individuals and outline how the APEC Working Groups should engage with private sector representatives. The HWG Guidelines are consistent with, and adhere to, the SOM Guidelines. </w:t>
      </w:r>
      <w:r w:rsidR="00024F9C" w:rsidRPr="006F1E6A">
        <w:t>As such the</w:t>
      </w:r>
      <w:r w:rsidR="00024F9C">
        <w:t xml:space="preserve"> HWG Guidelines </w:t>
      </w:r>
      <w:r w:rsidR="00024F9C" w:rsidRPr="006F1E6A">
        <w:t xml:space="preserve">do not apply to the participation of non-APEC economies and intergovernmental multilateral organizations, engagement </w:t>
      </w:r>
      <w:r w:rsidR="006465B8">
        <w:t xml:space="preserve">with </w:t>
      </w:r>
      <w:r w:rsidR="00024F9C" w:rsidRPr="006F1E6A">
        <w:t>which may only be approved by the SOM Steering Committee on Economic and Technical Cooperation</w:t>
      </w:r>
      <w:r w:rsidR="00024F9C">
        <w:t xml:space="preserve"> (SCE)</w:t>
      </w:r>
      <w:r w:rsidR="00024F9C" w:rsidRPr="006F1E6A">
        <w:t xml:space="preserve">.  </w:t>
      </w:r>
    </w:p>
    <w:p w:rsidR="00024F9C" w:rsidRDefault="00024F9C" w:rsidP="00024F9C">
      <w:pPr>
        <w:autoSpaceDE w:val="0"/>
        <w:autoSpaceDN w:val="0"/>
        <w:adjustRightInd w:val="0"/>
      </w:pPr>
    </w:p>
    <w:p w:rsidR="00024F9C" w:rsidRDefault="00CE5A6C" w:rsidP="00024F9C">
      <w:pPr>
        <w:autoSpaceDE w:val="0"/>
        <w:autoSpaceDN w:val="0"/>
        <w:adjustRightInd w:val="0"/>
      </w:pPr>
      <w:r>
        <w:t xml:space="preserve">9. </w:t>
      </w:r>
      <w:r w:rsidR="00024F9C">
        <w:t xml:space="preserve">The </w:t>
      </w:r>
      <w:r w:rsidR="00024F9C" w:rsidRPr="00E61D95">
        <w:rPr>
          <w:i/>
        </w:rPr>
        <w:t>Rules of Procedure on Participation by Non-Members in APEC Working Groups</w:t>
      </w:r>
      <w:r w:rsidR="00024F9C">
        <w:t xml:space="preserve"> (Rules of Procedure; 1993APEC Ministerial Statement), provide that </w:t>
      </w:r>
      <w:r w:rsidR="00024F9C" w:rsidRPr="005A581E">
        <w:t xml:space="preserve">private sector representatives </w:t>
      </w:r>
      <w:r w:rsidR="00024F9C">
        <w:t xml:space="preserve">who </w:t>
      </w:r>
      <w:r w:rsidR="00024F9C" w:rsidRPr="005A581E">
        <w:t>are included as part of a member economies</w:t>
      </w:r>
      <w:r w:rsidR="00024F9C">
        <w:t>’</w:t>
      </w:r>
      <w:r w:rsidR="00024F9C" w:rsidRPr="005A581E">
        <w:t xml:space="preserve"> delegation have the full rights of all participants of member economy delegations, at the discretion of their heads of delegation.</w:t>
      </w:r>
      <w:r w:rsidR="00024F9C">
        <w:t xml:space="preserve"> These Guidelines are consistent with the Rules of Procedure and are intended to provide clearer principles and procedures for how the HWG engages with private sector entities</w:t>
      </w:r>
      <w:r w:rsidR="003E0E74">
        <w:t xml:space="preserve">, </w:t>
      </w:r>
      <w:r w:rsidR="006465B8">
        <w:t xml:space="preserve">including those who </w:t>
      </w:r>
      <w:r w:rsidR="00024F9C">
        <w:t>are part of member economy delegations</w:t>
      </w:r>
      <w:r w:rsidR="003849D4">
        <w:t>,</w:t>
      </w:r>
      <w:r w:rsidR="00024F9C">
        <w:t xml:space="preserve"> to ensure competitive neutrality and transparency, and to avoid any conflicts of interest. </w:t>
      </w:r>
    </w:p>
    <w:p w:rsidR="00024F9C" w:rsidRDefault="00024F9C" w:rsidP="00DE7DF8">
      <w:pPr>
        <w:spacing w:afterLines="50" w:after="120" w:line="260" w:lineRule="exact"/>
        <w:rPr>
          <w:lang w:eastAsia="en-AU"/>
        </w:rPr>
      </w:pPr>
    </w:p>
    <w:p w:rsidR="00F70489" w:rsidRDefault="00CE5A6C" w:rsidP="00DE7DF8">
      <w:pPr>
        <w:spacing w:afterLines="50" w:after="120" w:line="260" w:lineRule="exact"/>
        <w:rPr>
          <w:lang w:eastAsia="en-AU"/>
        </w:rPr>
      </w:pPr>
      <w:r>
        <w:rPr>
          <w:lang w:eastAsia="en-AU"/>
        </w:rPr>
        <w:t xml:space="preserve">10. </w:t>
      </w:r>
      <w:r w:rsidR="00024F9C">
        <w:rPr>
          <w:lang w:eastAsia="en-AU"/>
        </w:rPr>
        <w:t xml:space="preserve">Considering </w:t>
      </w:r>
      <w:r>
        <w:rPr>
          <w:lang w:eastAsia="en-AU"/>
        </w:rPr>
        <w:t xml:space="preserve">this </w:t>
      </w:r>
      <w:r w:rsidR="00024F9C">
        <w:rPr>
          <w:lang w:eastAsia="en-AU"/>
        </w:rPr>
        <w:t>APEC guidance, t</w:t>
      </w:r>
      <w:r w:rsidR="00DE7DF8">
        <w:rPr>
          <w:lang w:eastAsia="en-AU"/>
        </w:rPr>
        <w:t xml:space="preserve">he </w:t>
      </w:r>
      <w:r w:rsidR="00006DE2">
        <w:rPr>
          <w:lang w:eastAsia="en-AU"/>
        </w:rPr>
        <w:t>G</w:t>
      </w:r>
      <w:r w:rsidR="00F70489">
        <w:rPr>
          <w:lang w:eastAsia="en-AU"/>
        </w:rPr>
        <w:t>uidelines</w:t>
      </w:r>
      <w:r w:rsidR="00DC790B">
        <w:rPr>
          <w:lang w:eastAsia="en-AU"/>
        </w:rPr>
        <w:t xml:space="preserve"> </w:t>
      </w:r>
      <w:r w:rsidR="00740BF9">
        <w:rPr>
          <w:lang w:eastAsia="en-AU"/>
        </w:rPr>
        <w:t>adhere to t</w:t>
      </w:r>
      <w:r w:rsidR="00EA3AFB">
        <w:rPr>
          <w:lang w:eastAsia="en-AU"/>
        </w:rPr>
        <w:t>he following</w:t>
      </w:r>
      <w:r w:rsidR="00371611">
        <w:rPr>
          <w:lang w:eastAsia="en-AU"/>
        </w:rPr>
        <w:t xml:space="preserve"> </w:t>
      </w:r>
      <w:r w:rsidR="00F70489">
        <w:rPr>
          <w:lang w:eastAsia="en-AU"/>
        </w:rPr>
        <w:t>principles:</w:t>
      </w:r>
    </w:p>
    <w:p w:rsidR="00740BF9" w:rsidRPr="005F1D29" w:rsidRDefault="00740BF9" w:rsidP="00F70489">
      <w:pPr>
        <w:pStyle w:val="ListParagraph"/>
        <w:numPr>
          <w:ilvl w:val="0"/>
          <w:numId w:val="8"/>
        </w:numPr>
        <w:spacing w:afterLines="50" w:after="120" w:line="260" w:lineRule="exact"/>
        <w:rPr>
          <w:i/>
          <w:lang w:eastAsia="en-AU"/>
        </w:rPr>
      </w:pPr>
      <w:r>
        <w:rPr>
          <w:i/>
          <w:lang w:eastAsia="en-AU"/>
        </w:rPr>
        <w:t>Collaboration to advance health</w:t>
      </w:r>
      <w:r w:rsidR="00BA5FE3">
        <w:rPr>
          <w:i/>
          <w:lang w:eastAsia="en-AU"/>
        </w:rPr>
        <w:t xml:space="preserve"> </w:t>
      </w:r>
      <w:r>
        <w:rPr>
          <w:i/>
          <w:lang w:eastAsia="en-AU"/>
        </w:rPr>
        <w:t>–</w:t>
      </w:r>
      <w:r w:rsidR="00BA5FE3">
        <w:rPr>
          <w:i/>
          <w:lang w:eastAsia="en-AU"/>
        </w:rPr>
        <w:t xml:space="preserve"> </w:t>
      </w:r>
      <w:r>
        <w:rPr>
          <w:lang w:eastAsia="en-AU"/>
        </w:rPr>
        <w:t xml:space="preserve">the HWG </w:t>
      </w:r>
      <w:r w:rsidR="00836E27">
        <w:rPr>
          <w:lang w:eastAsia="en-AU"/>
        </w:rPr>
        <w:t xml:space="preserve">will engage with the private sector </w:t>
      </w:r>
      <w:r>
        <w:rPr>
          <w:lang w:eastAsia="en-AU"/>
        </w:rPr>
        <w:t>where</w:t>
      </w:r>
      <w:r w:rsidR="00836E27">
        <w:rPr>
          <w:lang w:eastAsia="en-AU"/>
        </w:rPr>
        <w:t xml:space="preserve"> collaboration will </w:t>
      </w:r>
      <w:r>
        <w:rPr>
          <w:lang w:eastAsia="en-AU"/>
        </w:rPr>
        <w:t xml:space="preserve">advance health outcomes. </w:t>
      </w:r>
    </w:p>
    <w:p w:rsidR="00CE5A6C" w:rsidRPr="005F1D29" w:rsidRDefault="00CE5A6C" w:rsidP="005F1D29">
      <w:pPr>
        <w:pStyle w:val="ListParagraph"/>
        <w:spacing w:afterLines="50" w:after="120" w:line="260" w:lineRule="exact"/>
        <w:rPr>
          <w:b/>
          <w:lang w:eastAsia="en-AU"/>
        </w:rPr>
      </w:pPr>
    </w:p>
    <w:p w:rsidR="00816184" w:rsidRPr="006603D2" w:rsidRDefault="00816184" w:rsidP="00816184">
      <w:pPr>
        <w:pStyle w:val="ListParagraph"/>
        <w:numPr>
          <w:ilvl w:val="0"/>
          <w:numId w:val="8"/>
        </w:numPr>
        <w:spacing w:afterLines="50" w:after="120" w:line="260" w:lineRule="exact"/>
        <w:rPr>
          <w:b/>
          <w:lang w:eastAsia="en-AU"/>
        </w:rPr>
      </w:pPr>
      <w:r w:rsidRPr="00CF1E6C">
        <w:rPr>
          <w:i/>
          <w:lang w:eastAsia="en-AU"/>
        </w:rPr>
        <w:t xml:space="preserve">Integrity </w:t>
      </w:r>
      <w:r>
        <w:rPr>
          <w:lang w:eastAsia="en-AU"/>
        </w:rPr>
        <w:t xml:space="preserve">– all HWG engagement with the private sector must maintain the integrity of the HWG and ensure the mutual respect of all member economies. Any conflicts of interest, whether real or perceived, must be clearly identified and appropriately managed.   </w:t>
      </w:r>
    </w:p>
    <w:p w:rsidR="00740BF9" w:rsidRPr="00174B6F" w:rsidRDefault="00740BF9" w:rsidP="00174B6F">
      <w:pPr>
        <w:pStyle w:val="ListParagraph"/>
        <w:spacing w:afterLines="50" w:after="120" w:line="260" w:lineRule="exact"/>
        <w:rPr>
          <w:b/>
          <w:lang w:eastAsia="en-AU"/>
        </w:rPr>
      </w:pPr>
    </w:p>
    <w:p w:rsidR="00F70489" w:rsidRDefault="00006DE2" w:rsidP="00F70489">
      <w:pPr>
        <w:pStyle w:val="ListParagraph"/>
        <w:numPr>
          <w:ilvl w:val="0"/>
          <w:numId w:val="8"/>
        </w:numPr>
        <w:spacing w:afterLines="50" w:after="120" w:line="260" w:lineRule="exact"/>
        <w:rPr>
          <w:b/>
          <w:lang w:eastAsia="en-AU"/>
        </w:rPr>
      </w:pPr>
      <w:r w:rsidRPr="00006DE2">
        <w:rPr>
          <w:i/>
          <w:lang w:eastAsia="en-AU"/>
        </w:rPr>
        <w:t>C</w:t>
      </w:r>
      <w:r w:rsidR="00867CC6" w:rsidRPr="00006DE2">
        <w:rPr>
          <w:i/>
          <w:lang w:eastAsia="en-AU"/>
        </w:rPr>
        <w:t>ompetitive neutrality</w:t>
      </w:r>
      <w:r w:rsidR="00867CC6">
        <w:rPr>
          <w:lang w:eastAsia="en-AU"/>
        </w:rPr>
        <w:t xml:space="preserve"> –</w:t>
      </w:r>
      <w:r w:rsidR="00EA3AFB">
        <w:rPr>
          <w:lang w:eastAsia="en-AU"/>
        </w:rPr>
        <w:t xml:space="preserve"> </w:t>
      </w:r>
      <w:r w:rsidR="006B6B02">
        <w:rPr>
          <w:lang w:eastAsia="en-AU"/>
        </w:rPr>
        <w:t xml:space="preserve">all HWG </w:t>
      </w:r>
      <w:r w:rsidR="00740BF9">
        <w:rPr>
          <w:lang w:eastAsia="en-AU"/>
        </w:rPr>
        <w:t xml:space="preserve">engagement with the private sector will be conducted in a </w:t>
      </w:r>
      <w:r w:rsidR="00867CC6">
        <w:rPr>
          <w:lang w:eastAsia="en-AU"/>
        </w:rPr>
        <w:t>fair</w:t>
      </w:r>
      <w:r w:rsidR="00B17CB1">
        <w:rPr>
          <w:lang w:eastAsia="en-AU"/>
        </w:rPr>
        <w:t xml:space="preserve">, </w:t>
      </w:r>
      <w:r w:rsidR="006465B8">
        <w:rPr>
          <w:lang w:eastAsia="en-AU"/>
        </w:rPr>
        <w:t xml:space="preserve">inclusive </w:t>
      </w:r>
      <w:r w:rsidR="00867CC6">
        <w:rPr>
          <w:lang w:eastAsia="en-AU"/>
        </w:rPr>
        <w:t>and</w:t>
      </w:r>
      <w:r w:rsidR="00740BF9">
        <w:rPr>
          <w:lang w:eastAsia="en-AU"/>
        </w:rPr>
        <w:t xml:space="preserve"> open manner to ensure that one private entity</w:t>
      </w:r>
      <w:r w:rsidR="006B6B02">
        <w:rPr>
          <w:lang w:eastAsia="en-AU"/>
        </w:rPr>
        <w:t xml:space="preserve">, including state-owned enterprises, </w:t>
      </w:r>
      <w:r w:rsidR="00740BF9">
        <w:rPr>
          <w:lang w:eastAsia="en-AU"/>
        </w:rPr>
        <w:t xml:space="preserve">does not receive </w:t>
      </w:r>
      <w:r w:rsidR="006B6B02">
        <w:rPr>
          <w:lang w:eastAsia="en-AU"/>
        </w:rPr>
        <w:t xml:space="preserve">preferential treatment or </w:t>
      </w:r>
      <w:r w:rsidR="00740BF9">
        <w:rPr>
          <w:lang w:eastAsia="en-AU"/>
        </w:rPr>
        <w:t xml:space="preserve">a competitive advantage over another due </w:t>
      </w:r>
      <w:r w:rsidR="00056626">
        <w:rPr>
          <w:lang w:eastAsia="en-AU"/>
        </w:rPr>
        <w:t>to</w:t>
      </w:r>
      <w:r w:rsidR="00740BF9">
        <w:rPr>
          <w:lang w:eastAsia="en-AU"/>
        </w:rPr>
        <w:t xml:space="preserve"> its engagement with HWG. </w:t>
      </w:r>
    </w:p>
    <w:p w:rsidR="00C95149" w:rsidRPr="00F70489" w:rsidRDefault="00C95149" w:rsidP="00CF1E6C">
      <w:pPr>
        <w:pStyle w:val="ListParagraph"/>
        <w:spacing w:afterLines="50" w:after="120" w:line="260" w:lineRule="exact"/>
        <w:rPr>
          <w:b/>
          <w:lang w:eastAsia="en-AU"/>
        </w:rPr>
      </w:pPr>
    </w:p>
    <w:p w:rsidR="00CF1E6C" w:rsidRPr="00CF1E6C" w:rsidRDefault="00D05498" w:rsidP="00CF1E6C">
      <w:pPr>
        <w:pStyle w:val="ListParagraph"/>
        <w:numPr>
          <w:ilvl w:val="0"/>
          <w:numId w:val="8"/>
        </w:numPr>
        <w:spacing w:afterLines="50" w:after="120" w:line="260" w:lineRule="exact"/>
        <w:rPr>
          <w:b/>
          <w:lang w:eastAsia="en-AU"/>
        </w:rPr>
      </w:pPr>
      <w:r w:rsidRPr="00D05498">
        <w:rPr>
          <w:i/>
          <w:lang w:eastAsia="en-AU"/>
        </w:rPr>
        <w:t>T</w:t>
      </w:r>
      <w:r w:rsidR="00DE7DF8" w:rsidRPr="00D05498">
        <w:rPr>
          <w:i/>
          <w:lang w:eastAsia="en-AU"/>
        </w:rPr>
        <w:t>ransparency</w:t>
      </w:r>
      <w:r w:rsidR="00F70489" w:rsidRPr="00D05498">
        <w:rPr>
          <w:i/>
          <w:lang w:eastAsia="en-AU"/>
        </w:rPr>
        <w:t xml:space="preserve"> and accountability</w:t>
      </w:r>
      <w:r w:rsidR="00867CC6">
        <w:rPr>
          <w:lang w:eastAsia="en-AU"/>
        </w:rPr>
        <w:t xml:space="preserve"> </w:t>
      </w:r>
      <w:r w:rsidR="00006DE2">
        <w:rPr>
          <w:lang w:eastAsia="en-AU"/>
        </w:rPr>
        <w:t>–</w:t>
      </w:r>
      <w:r w:rsidR="00463848">
        <w:rPr>
          <w:lang w:eastAsia="en-AU"/>
        </w:rPr>
        <w:t xml:space="preserve"> </w:t>
      </w:r>
      <w:r w:rsidR="00740BF9">
        <w:rPr>
          <w:lang w:eastAsia="en-AU"/>
        </w:rPr>
        <w:t xml:space="preserve">the HWG will </w:t>
      </w:r>
      <w:r w:rsidR="00D32015">
        <w:rPr>
          <w:lang w:eastAsia="en-AU"/>
        </w:rPr>
        <w:t xml:space="preserve">ensure that any decision to collaborate and engage with the private sector is managed by </w:t>
      </w:r>
      <w:r w:rsidR="007E79D6">
        <w:rPr>
          <w:lang w:eastAsia="en-AU"/>
        </w:rPr>
        <w:t xml:space="preserve">consensus and in a </w:t>
      </w:r>
      <w:r w:rsidR="00D32015">
        <w:rPr>
          <w:lang w:eastAsia="en-AU"/>
        </w:rPr>
        <w:t>transparent manner</w:t>
      </w:r>
      <w:r w:rsidR="00006DE2">
        <w:rPr>
          <w:lang w:eastAsia="en-AU"/>
        </w:rPr>
        <w:t xml:space="preserve">. </w:t>
      </w:r>
    </w:p>
    <w:p w:rsidR="00CF1E6C" w:rsidRPr="00CF1E6C" w:rsidRDefault="00CF1E6C" w:rsidP="00CF1E6C">
      <w:pPr>
        <w:pStyle w:val="ListParagraph"/>
        <w:spacing w:afterLines="50" w:after="120" w:line="260" w:lineRule="exact"/>
        <w:rPr>
          <w:b/>
          <w:lang w:eastAsia="en-AU"/>
        </w:rPr>
      </w:pPr>
    </w:p>
    <w:p w:rsidR="00914CBC" w:rsidRDefault="00CE5A6C" w:rsidP="00E61664">
      <w:pPr>
        <w:spacing w:afterLines="50" w:after="120" w:line="260" w:lineRule="exact"/>
        <w:rPr>
          <w:lang w:eastAsia="en-AU"/>
        </w:rPr>
      </w:pPr>
      <w:r w:rsidRPr="005F1D29">
        <w:rPr>
          <w:lang w:eastAsia="en-AU"/>
        </w:rPr>
        <w:t xml:space="preserve">11. </w:t>
      </w:r>
      <w:r w:rsidR="00B36833" w:rsidRPr="00CE5A6C">
        <w:rPr>
          <w:lang w:eastAsia="en-AU"/>
        </w:rPr>
        <w:t>T</w:t>
      </w:r>
      <w:r w:rsidR="00B36833">
        <w:rPr>
          <w:lang w:eastAsia="en-AU"/>
        </w:rPr>
        <w:t xml:space="preserve">hese principles support the work of the </w:t>
      </w:r>
      <w:r w:rsidR="00B36833" w:rsidRPr="00914CBC">
        <w:rPr>
          <w:lang w:eastAsia="en-AU"/>
        </w:rPr>
        <w:t>APEC</w:t>
      </w:r>
      <w:r w:rsidR="00B36833" w:rsidRPr="00914CBC">
        <w:t xml:space="preserve"> </w:t>
      </w:r>
      <w:r w:rsidR="00B36833" w:rsidRPr="00914CBC">
        <w:rPr>
          <w:lang w:eastAsia="en-AU"/>
        </w:rPr>
        <w:t>Business Ethics for Small and Medium Enterprises (SMEs) Initiative</w:t>
      </w:r>
      <w:r w:rsidR="00B36833">
        <w:rPr>
          <w:lang w:eastAsia="en-AU"/>
        </w:rPr>
        <w:t>, and align with APEC Principles for codes of ethics endorsed by APEC Ministers and Leaders.</w:t>
      </w:r>
    </w:p>
    <w:p w:rsidR="00CE5A6C" w:rsidRDefault="00CE5A6C">
      <w:pPr>
        <w:rPr>
          <w:lang w:eastAsia="en-AU"/>
        </w:rPr>
      </w:pPr>
      <w:r>
        <w:rPr>
          <w:lang w:eastAsia="en-AU"/>
        </w:rPr>
        <w:br w:type="page"/>
      </w:r>
    </w:p>
    <w:p w:rsidR="00CE5A6C" w:rsidRPr="00E61664" w:rsidRDefault="00CE5A6C" w:rsidP="00E61664">
      <w:pPr>
        <w:spacing w:afterLines="50" w:after="120" w:line="260" w:lineRule="exact"/>
        <w:rPr>
          <w:b/>
          <w:lang w:eastAsia="en-AU"/>
        </w:rPr>
      </w:pPr>
    </w:p>
    <w:p w:rsidR="006465B8" w:rsidRPr="007043F9" w:rsidRDefault="006465B8" w:rsidP="005F1D29">
      <w:pPr>
        <w:pStyle w:val="ListParagraph"/>
        <w:numPr>
          <w:ilvl w:val="0"/>
          <w:numId w:val="14"/>
        </w:numPr>
        <w:spacing w:before="240" w:after="120" w:line="260" w:lineRule="exact"/>
      </w:pPr>
      <w:r>
        <w:rPr>
          <w:b/>
          <w:lang w:eastAsia="en-AU"/>
        </w:rPr>
        <w:t>MANAGEMENT PROCEDURES</w:t>
      </w:r>
    </w:p>
    <w:p w:rsidR="00CE5A6C" w:rsidRPr="004241A8" w:rsidRDefault="00CE5A6C" w:rsidP="005F1D29">
      <w:pPr>
        <w:pStyle w:val="ListParagraph"/>
        <w:spacing w:before="240" w:after="120" w:line="260" w:lineRule="exact"/>
      </w:pPr>
    </w:p>
    <w:p w:rsidR="004D7E1E" w:rsidRPr="005F1D29" w:rsidRDefault="00BC6199" w:rsidP="005F1D29">
      <w:pPr>
        <w:pStyle w:val="ListParagraph"/>
        <w:numPr>
          <w:ilvl w:val="0"/>
          <w:numId w:val="15"/>
        </w:numPr>
        <w:autoSpaceDE w:val="0"/>
        <w:autoSpaceDN w:val="0"/>
        <w:adjustRightInd w:val="0"/>
        <w:spacing w:afterLines="50" w:after="120" w:line="260" w:lineRule="exact"/>
        <w:rPr>
          <w:b/>
          <w:u w:val="single"/>
          <w:lang w:eastAsia="en-AU"/>
        </w:rPr>
      </w:pPr>
      <w:r w:rsidRPr="005F1D29">
        <w:rPr>
          <w:b/>
          <w:u w:val="single"/>
          <w:lang w:eastAsia="en-AU"/>
        </w:rPr>
        <w:t xml:space="preserve">Private sector </w:t>
      </w:r>
      <w:r w:rsidR="003624C6" w:rsidRPr="005F1D29">
        <w:rPr>
          <w:b/>
          <w:u w:val="single"/>
          <w:lang w:eastAsia="en-AU"/>
        </w:rPr>
        <w:t>delegates</w:t>
      </w:r>
    </w:p>
    <w:p w:rsidR="004D7E1E" w:rsidRDefault="00CE5A6C" w:rsidP="00B36833">
      <w:pPr>
        <w:autoSpaceDE w:val="0"/>
        <w:autoSpaceDN w:val="0"/>
        <w:adjustRightInd w:val="0"/>
        <w:spacing w:afterLines="50" w:after="120" w:line="260" w:lineRule="exact"/>
        <w:rPr>
          <w:lang w:eastAsia="en-AU"/>
        </w:rPr>
      </w:pPr>
      <w:r>
        <w:rPr>
          <w:lang w:eastAsia="en-AU"/>
        </w:rPr>
        <w:t xml:space="preserve">12. </w:t>
      </w:r>
      <w:r w:rsidR="00BC6199">
        <w:rPr>
          <w:lang w:eastAsia="en-AU"/>
        </w:rPr>
        <w:t xml:space="preserve">Consistent with broader APEC practice, HWG member economies may </w:t>
      </w:r>
      <w:r w:rsidR="00BC6199" w:rsidRPr="00BC6199">
        <w:rPr>
          <w:lang w:eastAsia="en-AU"/>
        </w:rPr>
        <w:t>include business/private sector representatives as part of their own delegations</w:t>
      </w:r>
      <w:r w:rsidR="00836E27">
        <w:rPr>
          <w:lang w:eastAsia="en-AU"/>
        </w:rPr>
        <w:t>.  Th</w:t>
      </w:r>
      <w:r w:rsidR="00BC6199" w:rsidRPr="00BC6199">
        <w:rPr>
          <w:lang w:eastAsia="en-AU"/>
        </w:rPr>
        <w:t xml:space="preserve">ese </w:t>
      </w:r>
      <w:r w:rsidR="00836E27">
        <w:rPr>
          <w:lang w:eastAsia="en-AU"/>
        </w:rPr>
        <w:t xml:space="preserve">private sector </w:t>
      </w:r>
      <w:r w:rsidR="00BC6199" w:rsidRPr="00BC6199">
        <w:rPr>
          <w:lang w:eastAsia="en-AU"/>
        </w:rPr>
        <w:t>representatives have the full rights of all participants of member economy delegations</w:t>
      </w:r>
      <w:r w:rsidR="006465B8">
        <w:rPr>
          <w:lang w:eastAsia="en-AU"/>
        </w:rPr>
        <w:t>, as decided by the relevant head of delegation</w:t>
      </w:r>
      <w:r w:rsidR="00BA5FE3">
        <w:rPr>
          <w:lang w:eastAsia="en-AU"/>
        </w:rPr>
        <w:t xml:space="preserve">. </w:t>
      </w:r>
      <w:r w:rsidR="00BC6199">
        <w:rPr>
          <w:lang w:eastAsia="en-AU"/>
        </w:rPr>
        <w:t xml:space="preserve"> </w:t>
      </w:r>
      <w:r w:rsidR="00836E27">
        <w:rPr>
          <w:lang w:eastAsia="en-AU"/>
        </w:rPr>
        <w:t>The composition of a member economy delegation remains</w:t>
      </w:r>
      <w:r w:rsidR="003849D4">
        <w:rPr>
          <w:lang w:eastAsia="en-AU"/>
        </w:rPr>
        <w:t xml:space="preserve"> at</w:t>
      </w:r>
      <w:r w:rsidR="00836E27">
        <w:rPr>
          <w:lang w:eastAsia="en-AU"/>
        </w:rPr>
        <w:t xml:space="preserve"> </w:t>
      </w:r>
      <w:r w:rsidR="00BC6199" w:rsidRPr="00BC6199">
        <w:rPr>
          <w:lang w:eastAsia="en-AU"/>
        </w:rPr>
        <w:t>the discretion of the head of delegation</w:t>
      </w:r>
      <w:r w:rsidR="00056626">
        <w:rPr>
          <w:lang w:eastAsia="en-AU"/>
        </w:rPr>
        <w:t>.</w:t>
      </w:r>
    </w:p>
    <w:p w:rsidR="00F80B89" w:rsidRDefault="00CE5A6C" w:rsidP="00B5412F">
      <w:pPr>
        <w:autoSpaceDE w:val="0"/>
        <w:autoSpaceDN w:val="0"/>
        <w:adjustRightInd w:val="0"/>
        <w:spacing w:afterLines="50" w:after="120" w:line="260" w:lineRule="exact"/>
        <w:rPr>
          <w:lang w:eastAsia="en-AU"/>
        </w:rPr>
      </w:pPr>
      <w:r>
        <w:rPr>
          <w:lang w:eastAsia="en-AU"/>
        </w:rPr>
        <w:t xml:space="preserve">13. </w:t>
      </w:r>
      <w:r w:rsidR="00BC6199">
        <w:rPr>
          <w:lang w:eastAsia="en-AU"/>
        </w:rPr>
        <w:t>To ensure transparency, the head of delegation should</w:t>
      </w:r>
      <w:r w:rsidR="00F80B89">
        <w:rPr>
          <w:lang w:eastAsia="en-AU"/>
        </w:rPr>
        <w:t xml:space="preserve">, at least </w:t>
      </w:r>
      <w:r w:rsidR="009B51D0">
        <w:rPr>
          <w:lang w:eastAsia="en-AU"/>
        </w:rPr>
        <w:t xml:space="preserve">14 days </w:t>
      </w:r>
      <w:r w:rsidR="00F80B89">
        <w:rPr>
          <w:lang w:eastAsia="en-AU"/>
        </w:rPr>
        <w:t xml:space="preserve">in advance of the </w:t>
      </w:r>
      <w:r w:rsidR="004D70D7">
        <w:rPr>
          <w:lang w:eastAsia="en-AU"/>
        </w:rPr>
        <w:t xml:space="preserve">HWG </w:t>
      </w:r>
      <w:r w:rsidR="00206847">
        <w:rPr>
          <w:lang w:eastAsia="en-AU"/>
        </w:rPr>
        <w:t>event</w:t>
      </w:r>
      <w:r w:rsidR="00F80B89">
        <w:rPr>
          <w:lang w:eastAsia="en-AU"/>
        </w:rPr>
        <w:t>:</w:t>
      </w:r>
    </w:p>
    <w:p w:rsidR="00F80B89" w:rsidRDefault="00BC6199" w:rsidP="00174B6F">
      <w:pPr>
        <w:pStyle w:val="ListParagraph"/>
        <w:numPr>
          <w:ilvl w:val="0"/>
          <w:numId w:val="11"/>
        </w:numPr>
        <w:autoSpaceDE w:val="0"/>
        <w:autoSpaceDN w:val="0"/>
        <w:adjustRightInd w:val="0"/>
        <w:spacing w:afterLines="50" w:after="120" w:line="260" w:lineRule="exact"/>
        <w:rPr>
          <w:lang w:eastAsia="en-AU"/>
        </w:rPr>
      </w:pPr>
      <w:r>
        <w:rPr>
          <w:lang w:eastAsia="en-AU"/>
        </w:rPr>
        <w:t>notify the APEC Secretariat and the Chair of the HWG that non-government representatives will form part of the delegation</w:t>
      </w:r>
      <w:r w:rsidR="00F80B89">
        <w:rPr>
          <w:lang w:eastAsia="en-AU"/>
        </w:rPr>
        <w:t xml:space="preserve">; </w:t>
      </w:r>
    </w:p>
    <w:p w:rsidR="00824EE3" w:rsidRDefault="00BC6199" w:rsidP="00174B6F">
      <w:pPr>
        <w:pStyle w:val="ListParagraph"/>
        <w:numPr>
          <w:ilvl w:val="0"/>
          <w:numId w:val="11"/>
        </w:numPr>
        <w:autoSpaceDE w:val="0"/>
        <w:autoSpaceDN w:val="0"/>
        <w:adjustRightInd w:val="0"/>
        <w:spacing w:afterLines="50" w:after="120" w:line="260" w:lineRule="exact"/>
        <w:rPr>
          <w:lang w:eastAsia="en-AU"/>
        </w:rPr>
      </w:pPr>
      <w:r>
        <w:rPr>
          <w:lang w:eastAsia="en-AU"/>
        </w:rPr>
        <w:t>identify which private sector entity will be represented</w:t>
      </w:r>
      <w:r w:rsidR="00824EE3">
        <w:rPr>
          <w:lang w:eastAsia="en-AU"/>
        </w:rPr>
        <w:t>;</w:t>
      </w:r>
    </w:p>
    <w:p w:rsidR="005D6942" w:rsidRDefault="00824EE3" w:rsidP="00174B6F">
      <w:pPr>
        <w:pStyle w:val="ListParagraph"/>
        <w:numPr>
          <w:ilvl w:val="0"/>
          <w:numId w:val="11"/>
        </w:numPr>
        <w:autoSpaceDE w:val="0"/>
        <w:autoSpaceDN w:val="0"/>
        <w:adjustRightInd w:val="0"/>
        <w:spacing w:afterLines="50" w:after="120" w:line="260" w:lineRule="exact"/>
        <w:rPr>
          <w:lang w:eastAsia="en-AU"/>
        </w:rPr>
      </w:pPr>
      <w:r>
        <w:rPr>
          <w:lang w:eastAsia="en-AU"/>
        </w:rPr>
        <w:t xml:space="preserve">specify the role of the private sector entity as part of the delegation and reasons for participation; </w:t>
      </w:r>
    </w:p>
    <w:p w:rsidR="00816184" w:rsidRDefault="00816184" w:rsidP="00174B6F">
      <w:pPr>
        <w:pStyle w:val="ListParagraph"/>
        <w:numPr>
          <w:ilvl w:val="0"/>
          <w:numId w:val="11"/>
        </w:numPr>
        <w:autoSpaceDE w:val="0"/>
        <w:autoSpaceDN w:val="0"/>
        <w:adjustRightInd w:val="0"/>
        <w:spacing w:afterLines="50" w:after="120" w:line="260" w:lineRule="exact"/>
        <w:rPr>
          <w:lang w:eastAsia="en-AU"/>
        </w:rPr>
      </w:pPr>
      <w:r>
        <w:rPr>
          <w:lang w:eastAsia="en-AU"/>
        </w:rPr>
        <w:t>identify any conflicts of interest that may arise (based on the HWG agenda)</w:t>
      </w:r>
      <w:r w:rsidR="00824EE3">
        <w:rPr>
          <w:lang w:eastAsia="en-AU"/>
        </w:rPr>
        <w:t>;</w:t>
      </w:r>
      <w:r>
        <w:rPr>
          <w:lang w:eastAsia="en-AU"/>
        </w:rPr>
        <w:t xml:space="preserve"> and</w:t>
      </w:r>
    </w:p>
    <w:p w:rsidR="00F80B89" w:rsidRDefault="005D6942" w:rsidP="00174B6F">
      <w:pPr>
        <w:pStyle w:val="ListParagraph"/>
        <w:numPr>
          <w:ilvl w:val="0"/>
          <w:numId w:val="11"/>
        </w:numPr>
        <w:autoSpaceDE w:val="0"/>
        <w:autoSpaceDN w:val="0"/>
        <w:adjustRightInd w:val="0"/>
        <w:spacing w:afterLines="50" w:after="120" w:line="260" w:lineRule="exact"/>
        <w:rPr>
          <w:lang w:eastAsia="en-AU"/>
        </w:rPr>
      </w:pPr>
      <w:proofErr w:type="gramStart"/>
      <w:r>
        <w:rPr>
          <w:lang w:eastAsia="en-AU"/>
        </w:rPr>
        <w:t>identify</w:t>
      </w:r>
      <w:proofErr w:type="gramEnd"/>
      <w:r>
        <w:rPr>
          <w:lang w:eastAsia="en-AU"/>
        </w:rPr>
        <w:t xml:space="preserve"> </w:t>
      </w:r>
      <w:r w:rsidR="004D70D7">
        <w:rPr>
          <w:lang w:eastAsia="en-AU"/>
        </w:rPr>
        <w:t>any opportunities</w:t>
      </w:r>
      <w:r>
        <w:rPr>
          <w:lang w:eastAsia="en-AU"/>
        </w:rPr>
        <w:t xml:space="preserve"> for competitors to participate in the </w:t>
      </w:r>
      <w:r w:rsidR="004D70D7">
        <w:rPr>
          <w:lang w:eastAsia="en-AU"/>
        </w:rPr>
        <w:t>event</w:t>
      </w:r>
      <w:r w:rsidR="00CF1E6C">
        <w:rPr>
          <w:lang w:eastAsia="en-AU"/>
        </w:rPr>
        <w:t xml:space="preserve"> (to ensure competitive neutrality)</w:t>
      </w:r>
      <w:r w:rsidR="00816184">
        <w:rPr>
          <w:lang w:eastAsia="en-AU"/>
        </w:rPr>
        <w:t>.</w:t>
      </w:r>
    </w:p>
    <w:p w:rsidR="004D7E1E" w:rsidRDefault="004D7E1E" w:rsidP="00174B6F">
      <w:pPr>
        <w:pStyle w:val="ListParagraph"/>
        <w:autoSpaceDE w:val="0"/>
        <w:autoSpaceDN w:val="0"/>
        <w:adjustRightInd w:val="0"/>
        <w:spacing w:afterLines="50" w:after="120" w:line="260" w:lineRule="exact"/>
        <w:ind w:left="774"/>
        <w:rPr>
          <w:lang w:eastAsia="en-AU"/>
        </w:rPr>
      </w:pPr>
    </w:p>
    <w:p w:rsidR="00F80B89" w:rsidRDefault="00CE5A6C" w:rsidP="00B5412F">
      <w:pPr>
        <w:autoSpaceDE w:val="0"/>
        <w:autoSpaceDN w:val="0"/>
        <w:adjustRightInd w:val="0"/>
        <w:spacing w:afterLines="50" w:after="120" w:line="260" w:lineRule="exact"/>
        <w:rPr>
          <w:lang w:eastAsia="en-AU"/>
        </w:rPr>
      </w:pPr>
      <w:r>
        <w:rPr>
          <w:lang w:eastAsia="en-AU"/>
        </w:rPr>
        <w:t xml:space="preserve">14. </w:t>
      </w:r>
      <w:r w:rsidR="00F80B89">
        <w:rPr>
          <w:lang w:eastAsia="en-AU"/>
        </w:rPr>
        <w:t xml:space="preserve">The APEC Secretariat will distribute a list of all HWG delegates, including any private sector delegates, to HWG member economies in advance of the </w:t>
      </w:r>
      <w:r w:rsidR="00206847">
        <w:rPr>
          <w:lang w:eastAsia="en-AU"/>
        </w:rPr>
        <w:t>event</w:t>
      </w:r>
      <w:r w:rsidR="00F80B89">
        <w:rPr>
          <w:lang w:eastAsia="en-AU"/>
        </w:rPr>
        <w:t xml:space="preserve">. </w:t>
      </w:r>
      <w:r w:rsidR="00824EE3">
        <w:rPr>
          <w:lang w:eastAsia="en-AU"/>
        </w:rPr>
        <w:t xml:space="preserve">This list will include a description of any private sector entities intended to participate in the HWG and reasons for </w:t>
      </w:r>
      <w:r w:rsidR="006465B8">
        <w:rPr>
          <w:lang w:eastAsia="en-AU"/>
        </w:rPr>
        <w:t>their</w:t>
      </w:r>
      <w:r w:rsidR="00824EE3">
        <w:rPr>
          <w:lang w:eastAsia="en-AU"/>
        </w:rPr>
        <w:t xml:space="preserve"> attendance.  </w:t>
      </w:r>
    </w:p>
    <w:p w:rsidR="00F80B89" w:rsidRDefault="00CE5A6C" w:rsidP="00B5412F">
      <w:pPr>
        <w:autoSpaceDE w:val="0"/>
        <w:autoSpaceDN w:val="0"/>
        <w:adjustRightInd w:val="0"/>
        <w:spacing w:afterLines="50" w:after="120" w:line="260" w:lineRule="exact"/>
        <w:rPr>
          <w:lang w:eastAsia="en-AU"/>
        </w:rPr>
      </w:pPr>
      <w:r>
        <w:rPr>
          <w:lang w:eastAsia="en-AU"/>
        </w:rPr>
        <w:t xml:space="preserve">15. </w:t>
      </w:r>
      <w:r w:rsidR="007E79D6">
        <w:rPr>
          <w:lang w:eastAsia="en-AU"/>
        </w:rPr>
        <w:t>Any member economy with concerns of</w:t>
      </w:r>
      <w:r w:rsidR="00F80B89">
        <w:rPr>
          <w:lang w:eastAsia="en-AU"/>
        </w:rPr>
        <w:t xml:space="preserve"> </w:t>
      </w:r>
      <w:r w:rsidR="007E79D6">
        <w:rPr>
          <w:lang w:eastAsia="en-AU"/>
        </w:rPr>
        <w:t xml:space="preserve">any </w:t>
      </w:r>
      <w:r w:rsidR="00F80B89">
        <w:rPr>
          <w:lang w:eastAsia="en-AU"/>
        </w:rPr>
        <w:t>real or perceived conflicts of interest</w:t>
      </w:r>
      <w:r w:rsidR="007E79D6">
        <w:rPr>
          <w:lang w:eastAsia="en-AU"/>
        </w:rPr>
        <w:t xml:space="preserve"> should raise this wi</w:t>
      </w:r>
      <w:r w:rsidR="00F80B89">
        <w:rPr>
          <w:lang w:eastAsia="en-AU"/>
        </w:rPr>
        <w:t xml:space="preserve">th the Chair of the HWG. The Chair will discuss these concerns with the proposing head of delegation </w:t>
      </w:r>
      <w:r w:rsidR="007E79D6">
        <w:rPr>
          <w:lang w:eastAsia="en-AU"/>
        </w:rPr>
        <w:t xml:space="preserve">to determine </w:t>
      </w:r>
      <w:r w:rsidR="0079262C">
        <w:rPr>
          <w:lang w:eastAsia="en-AU"/>
        </w:rPr>
        <w:t xml:space="preserve">what </w:t>
      </w:r>
      <w:r w:rsidR="00F80B89">
        <w:rPr>
          <w:lang w:eastAsia="en-AU"/>
        </w:rPr>
        <w:t>suitable action</w:t>
      </w:r>
      <w:r w:rsidR="0079262C">
        <w:rPr>
          <w:lang w:eastAsia="en-AU"/>
        </w:rPr>
        <w:t xml:space="preserve"> (if any)</w:t>
      </w:r>
      <w:r w:rsidR="00F80B89">
        <w:rPr>
          <w:lang w:eastAsia="en-AU"/>
        </w:rPr>
        <w:t xml:space="preserve"> can be taken to alleviate these concerns. Suitable actions may include:</w:t>
      </w:r>
    </w:p>
    <w:p w:rsidR="00F80B89" w:rsidRDefault="00F80B89" w:rsidP="00174B6F">
      <w:pPr>
        <w:pStyle w:val="ListParagraph"/>
        <w:numPr>
          <w:ilvl w:val="0"/>
          <w:numId w:val="12"/>
        </w:numPr>
        <w:autoSpaceDE w:val="0"/>
        <w:autoSpaceDN w:val="0"/>
        <w:adjustRightInd w:val="0"/>
        <w:spacing w:afterLines="50" w:after="120" w:line="260" w:lineRule="exact"/>
        <w:rPr>
          <w:lang w:eastAsia="en-AU"/>
        </w:rPr>
      </w:pPr>
      <w:r>
        <w:rPr>
          <w:lang w:eastAsia="en-AU"/>
        </w:rPr>
        <w:t xml:space="preserve">discussion of any conflict of interest prior to opening of </w:t>
      </w:r>
      <w:r w:rsidR="005D6942">
        <w:rPr>
          <w:lang w:eastAsia="en-AU"/>
        </w:rPr>
        <w:t>event</w:t>
      </w:r>
      <w:r>
        <w:rPr>
          <w:lang w:eastAsia="en-AU"/>
        </w:rPr>
        <w:t xml:space="preserve">, or prior to discussion of </w:t>
      </w:r>
      <w:r w:rsidR="009B51D0">
        <w:rPr>
          <w:lang w:eastAsia="en-AU"/>
        </w:rPr>
        <w:t xml:space="preserve">a specific </w:t>
      </w:r>
      <w:r>
        <w:rPr>
          <w:lang w:eastAsia="en-AU"/>
        </w:rPr>
        <w:t xml:space="preserve">agenda item; </w:t>
      </w:r>
    </w:p>
    <w:p w:rsidR="00F80B89" w:rsidRDefault="00F80B89" w:rsidP="00174B6F">
      <w:pPr>
        <w:pStyle w:val="ListParagraph"/>
        <w:numPr>
          <w:ilvl w:val="0"/>
          <w:numId w:val="12"/>
        </w:numPr>
        <w:autoSpaceDE w:val="0"/>
        <w:autoSpaceDN w:val="0"/>
        <w:adjustRightInd w:val="0"/>
        <w:spacing w:afterLines="50" w:after="120" w:line="260" w:lineRule="exact"/>
        <w:rPr>
          <w:lang w:eastAsia="en-AU"/>
        </w:rPr>
      </w:pPr>
      <w:r>
        <w:rPr>
          <w:lang w:eastAsia="en-AU"/>
        </w:rPr>
        <w:t>identification of the delegate</w:t>
      </w:r>
      <w:r w:rsidR="007E79D6">
        <w:rPr>
          <w:lang w:eastAsia="en-AU"/>
        </w:rPr>
        <w:t xml:space="preserve"> before speaking to specific items</w:t>
      </w:r>
      <w:r>
        <w:rPr>
          <w:lang w:eastAsia="en-AU"/>
        </w:rPr>
        <w:t xml:space="preserve">; </w:t>
      </w:r>
      <w:r w:rsidR="009B51D0">
        <w:rPr>
          <w:lang w:eastAsia="en-AU"/>
        </w:rPr>
        <w:t>or</w:t>
      </w:r>
    </w:p>
    <w:p w:rsidR="00F80B89" w:rsidRDefault="00F80B89" w:rsidP="00174B6F">
      <w:pPr>
        <w:pStyle w:val="ListParagraph"/>
        <w:numPr>
          <w:ilvl w:val="0"/>
          <w:numId w:val="12"/>
        </w:numPr>
        <w:autoSpaceDE w:val="0"/>
        <w:autoSpaceDN w:val="0"/>
        <w:adjustRightInd w:val="0"/>
        <w:spacing w:afterLines="50" w:after="120" w:line="260" w:lineRule="exact"/>
        <w:rPr>
          <w:lang w:eastAsia="en-AU"/>
        </w:rPr>
      </w:pPr>
      <w:proofErr w:type="gramStart"/>
      <w:r>
        <w:rPr>
          <w:lang w:eastAsia="en-AU"/>
        </w:rPr>
        <w:t>voluntary</w:t>
      </w:r>
      <w:proofErr w:type="gramEnd"/>
      <w:r>
        <w:rPr>
          <w:lang w:eastAsia="en-AU"/>
        </w:rPr>
        <w:t xml:space="preserve"> </w:t>
      </w:r>
      <w:r w:rsidR="00206847">
        <w:rPr>
          <w:lang w:eastAsia="en-AU"/>
        </w:rPr>
        <w:t>withdrawal</w:t>
      </w:r>
      <w:r w:rsidR="007E79D6">
        <w:rPr>
          <w:lang w:eastAsia="en-AU"/>
        </w:rPr>
        <w:t xml:space="preserve"> of a private sector delegate </w:t>
      </w:r>
      <w:r>
        <w:rPr>
          <w:lang w:eastAsia="en-AU"/>
        </w:rPr>
        <w:t>from the room</w:t>
      </w:r>
      <w:r w:rsidR="007E79D6">
        <w:rPr>
          <w:lang w:eastAsia="en-AU"/>
        </w:rPr>
        <w:t>,</w:t>
      </w:r>
      <w:r>
        <w:rPr>
          <w:lang w:eastAsia="en-AU"/>
        </w:rPr>
        <w:t xml:space="preserve"> </w:t>
      </w:r>
      <w:r w:rsidR="009B51D0">
        <w:rPr>
          <w:lang w:eastAsia="en-AU"/>
        </w:rPr>
        <w:t>or from the table</w:t>
      </w:r>
      <w:r w:rsidR="007E79D6">
        <w:rPr>
          <w:lang w:eastAsia="en-AU"/>
        </w:rPr>
        <w:t>,</w:t>
      </w:r>
      <w:r w:rsidR="009B51D0">
        <w:rPr>
          <w:lang w:eastAsia="en-AU"/>
        </w:rPr>
        <w:t xml:space="preserve"> </w:t>
      </w:r>
      <w:r>
        <w:rPr>
          <w:lang w:eastAsia="en-AU"/>
        </w:rPr>
        <w:t>for discussion of a particular</w:t>
      </w:r>
      <w:r w:rsidR="007E79D6">
        <w:rPr>
          <w:lang w:eastAsia="en-AU"/>
        </w:rPr>
        <w:t xml:space="preserve"> agenda</w:t>
      </w:r>
      <w:r>
        <w:rPr>
          <w:lang w:eastAsia="en-AU"/>
        </w:rPr>
        <w:t xml:space="preserve"> item</w:t>
      </w:r>
      <w:r w:rsidR="007E79D6">
        <w:rPr>
          <w:lang w:eastAsia="en-AU"/>
        </w:rPr>
        <w:t>.</w:t>
      </w:r>
      <w:r w:rsidR="009B51D0">
        <w:rPr>
          <w:lang w:eastAsia="en-AU"/>
        </w:rPr>
        <w:t xml:space="preserve"> </w:t>
      </w:r>
    </w:p>
    <w:p w:rsidR="00A420EA" w:rsidRDefault="00CE5A6C" w:rsidP="00CF1E6C">
      <w:pPr>
        <w:autoSpaceDE w:val="0"/>
        <w:autoSpaceDN w:val="0"/>
        <w:adjustRightInd w:val="0"/>
        <w:spacing w:line="260" w:lineRule="exact"/>
        <w:rPr>
          <w:lang w:eastAsia="en-AU"/>
        </w:rPr>
      </w:pPr>
      <w:r>
        <w:rPr>
          <w:lang w:eastAsia="en-AU"/>
        </w:rPr>
        <w:t xml:space="preserve">16. </w:t>
      </w:r>
      <w:r w:rsidR="00F80B89">
        <w:rPr>
          <w:lang w:eastAsia="en-AU"/>
        </w:rPr>
        <w:t xml:space="preserve">Nothing in these Guidelines can be taken to </w:t>
      </w:r>
      <w:r w:rsidR="00CF1E6C">
        <w:rPr>
          <w:lang w:eastAsia="en-AU"/>
        </w:rPr>
        <w:t xml:space="preserve">force the </w:t>
      </w:r>
      <w:r w:rsidR="00206847">
        <w:rPr>
          <w:lang w:eastAsia="en-AU"/>
        </w:rPr>
        <w:t xml:space="preserve">withdrawal </w:t>
      </w:r>
      <w:r w:rsidR="003624C6">
        <w:rPr>
          <w:lang w:eastAsia="en-AU"/>
        </w:rPr>
        <w:t>of a delegate without the approval of the head of delegation</w:t>
      </w:r>
      <w:r w:rsidR="00B36833">
        <w:rPr>
          <w:lang w:eastAsia="en-AU"/>
        </w:rPr>
        <w:t xml:space="preserve">. The Guidelines </w:t>
      </w:r>
      <w:r w:rsidR="00EA46F8">
        <w:rPr>
          <w:lang w:eastAsia="en-AU"/>
        </w:rPr>
        <w:t xml:space="preserve">do not prejudice the authority of </w:t>
      </w:r>
      <w:r w:rsidR="00B36833">
        <w:rPr>
          <w:lang w:eastAsia="en-AU"/>
        </w:rPr>
        <w:t xml:space="preserve">any </w:t>
      </w:r>
      <w:r w:rsidR="00EA46F8">
        <w:rPr>
          <w:lang w:eastAsia="en-AU"/>
        </w:rPr>
        <w:t>member econom</w:t>
      </w:r>
      <w:r w:rsidR="00B36833">
        <w:rPr>
          <w:lang w:eastAsia="en-AU"/>
        </w:rPr>
        <w:t xml:space="preserve">y </w:t>
      </w:r>
      <w:r w:rsidR="00EA46F8">
        <w:rPr>
          <w:lang w:eastAsia="en-AU"/>
        </w:rPr>
        <w:t>over its own delegation</w:t>
      </w:r>
      <w:r w:rsidR="00FB7696">
        <w:rPr>
          <w:lang w:eastAsia="en-AU"/>
        </w:rPr>
        <w:t xml:space="preserve">. </w:t>
      </w:r>
    </w:p>
    <w:p w:rsidR="00A420EA" w:rsidRDefault="00A420EA" w:rsidP="00CF1E6C">
      <w:pPr>
        <w:autoSpaceDE w:val="0"/>
        <w:autoSpaceDN w:val="0"/>
        <w:adjustRightInd w:val="0"/>
        <w:spacing w:line="260" w:lineRule="exact"/>
        <w:rPr>
          <w:lang w:eastAsia="en-AU"/>
        </w:rPr>
      </w:pPr>
    </w:p>
    <w:p w:rsidR="00DD1382" w:rsidRDefault="00CE5A6C" w:rsidP="00CF1E6C">
      <w:pPr>
        <w:autoSpaceDE w:val="0"/>
        <w:autoSpaceDN w:val="0"/>
        <w:adjustRightInd w:val="0"/>
        <w:spacing w:line="260" w:lineRule="exact"/>
        <w:rPr>
          <w:lang w:eastAsia="en-AU"/>
        </w:rPr>
      </w:pPr>
      <w:r>
        <w:rPr>
          <w:lang w:eastAsia="en-AU"/>
        </w:rPr>
        <w:t xml:space="preserve">17. </w:t>
      </w:r>
      <w:r w:rsidR="00B36833">
        <w:rPr>
          <w:lang w:eastAsia="en-AU"/>
        </w:rPr>
        <w:t>The Guidelines will not affect participation at HWG meetings by representatives from other APEC groups who have undertaken an APEC-approved delegate appointment process external to HWG, such as APEC Business Advisory Council observers.</w:t>
      </w:r>
      <w:r w:rsidR="00247F5F">
        <w:rPr>
          <w:lang w:eastAsia="en-AU"/>
        </w:rPr>
        <w:br/>
      </w:r>
    </w:p>
    <w:p w:rsidR="00DD1382" w:rsidRDefault="00DD1382">
      <w:pPr>
        <w:rPr>
          <w:lang w:eastAsia="en-AU"/>
        </w:rPr>
      </w:pPr>
      <w:r>
        <w:rPr>
          <w:lang w:eastAsia="en-AU"/>
        </w:rPr>
        <w:br w:type="page"/>
      </w:r>
    </w:p>
    <w:p w:rsidR="009B51D0" w:rsidRDefault="009B51D0" w:rsidP="00CF1E6C">
      <w:pPr>
        <w:autoSpaceDE w:val="0"/>
        <w:autoSpaceDN w:val="0"/>
        <w:adjustRightInd w:val="0"/>
        <w:spacing w:line="260" w:lineRule="exact"/>
        <w:rPr>
          <w:lang w:eastAsia="en-AU"/>
        </w:rPr>
      </w:pPr>
    </w:p>
    <w:p w:rsidR="00182A8F" w:rsidRPr="005F1D29" w:rsidRDefault="003624C6" w:rsidP="005F1D29">
      <w:pPr>
        <w:pStyle w:val="ListParagraph"/>
        <w:numPr>
          <w:ilvl w:val="0"/>
          <w:numId w:val="15"/>
        </w:numPr>
        <w:autoSpaceDE w:val="0"/>
        <w:autoSpaceDN w:val="0"/>
        <w:adjustRightInd w:val="0"/>
        <w:spacing w:afterLines="50" w:after="120" w:line="260" w:lineRule="exact"/>
        <w:rPr>
          <w:b/>
          <w:u w:val="single"/>
          <w:lang w:eastAsia="en-AU"/>
        </w:rPr>
      </w:pPr>
      <w:r w:rsidRPr="005F1D29">
        <w:rPr>
          <w:b/>
          <w:u w:val="single"/>
          <w:lang w:eastAsia="en-AU"/>
        </w:rPr>
        <w:t>Private sector guests</w:t>
      </w:r>
      <w:r w:rsidR="00F80B89" w:rsidRPr="005F1D29">
        <w:rPr>
          <w:b/>
          <w:u w:val="single"/>
          <w:lang w:eastAsia="en-AU"/>
        </w:rPr>
        <w:t xml:space="preserve"> </w:t>
      </w:r>
      <w:r w:rsidR="006F1E6A" w:rsidRPr="005F1D29">
        <w:rPr>
          <w:b/>
          <w:u w:val="single"/>
          <w:lang w:eastAsia="en-AU"/>
        </w:rPr>
        <w:t xml:space="preserve">– single participation </w:t>
      </w:r>
      <w:r w:rsidR="00182A8F" w:rsidRPr="005F1D29">
        <w:rPr>
          <w:b/>
          <w:u w:val="single"/>
          <w:lang w:eastAsia="en-AU"/>
        </w:rPr>
        <w:t>in HWG activities</w:t>
      </w:r>
    </w:p>
    <w:p w:rsidR="00182A8F" w:rsidRDefault="00CE5A6C">
      <w:pPr>
        <w:autoSpaceDE w:val="0"/>
        <w:autoSpaceDN w:val="0"/>
        <w:adjustRightInd w:val="0"/>
        <w:spacing w:afterLines="50" w:after="120" w:line="260" w:lineRule="exact"/>
        <w:rPr>
          <w:lang w:eastAsia="en-AU"/>
        </w:rPr>
      </w:pPr>
      <w:r>
        <w:rPr>
          <w:lang w:eastAsia="en-AU"/>
        </w:rPr>
        <w:t xml:space="preserve">18. </w:t>
      </w:r>
      <w:r w:rsidR="00182A8F">
        <w:rPr>
          <w:lang w:eastAsia="en-AU"/>
        </w:rPr>
        <w:t>The private sector may request to participate in HWG activities, or may be invited to do so by the HWG Chair, the AP</w:t>
      </w:r>
      <w:r w:rsidR="00836E27">
        <w:rPr>
          <w:lang w:eastAsia="en-AU"/>
        </w:rPr>
        <w:t>E</w:t>
      </w:r>
      <w:r w:rsidR="00182A8F">
        <w:rPr>
          <w:lang w:eastAsia="en-AU"/>
        </w:rPr>
        <w:t xml:space="preserve">C Secretariat or any </w:t>
      </w:r>
      <w:r w:rsidR="009B51D0">
        <w:rPr>
          <w:lang w:eastAsia="en-AU"/>
        </w:rPr>
        <w:t xml:space="preserve">HWG </w:t>
      </w:r>
      <w:r w:rsidR="00182A8F">
        <w:rPr>
          <w:lang w:eastAsia="en-AU"/>
        </w:rPr>
        <w:t>member economy. Any participation by the private sector must be approved</w:t>
      </w:r>
      <w:r w:rsidR="00836E27">
        <w:rPr>
          <w:lang w:eastAsia="en-AU"/>
        </w:rPr>
        <w:t>,</w:t>
      </w:r>
      <w:r w:rsidR="00182A8F">
        <w:rPr>
          <w:lang w:eastAsia="en-AU"/>
        </w:rPr>
        <w:t xml:space="preserve"> by consensus</w:t>
      </w:r>
      <w:r w:rsidR="00836E27">
        <w:rPr>
          <w:lang w:eastAsia="en-AU"/>
        </w:rPr>
        <w:t>,</w:t>
      </w:r>
      <w:r w:rsidR="00182A8F">
        <w:rPr>
          <w:lang w:eastAsia="en-AU"/>
        </w:rPr>
        <w:t xml:space="preserve"> by the HWG.  Consistent with the SOM Guidelines, when considering private sector applications, or invitations, the HWG will take into consideration: </w:t>
      </w:r>
    </w:p>
    <w:p w:rsidR="00824EE3" w:rsidRDefault="00824EE3" w:rsidP="00174B6F">
      <w:pPr>
        <w:pStyle w:val="ListParagraph"/>
        <w:numPr>
          <w:ilvl w:val="0"/>
          <w:numId w:val="13"/>
        </w:numPr>
        <w:autoSpaceDE w:val="0"/>
        <w:autoSpaceDN w:val="0"/>
        <w:adjustRightInd w:val="0"/>
        <w:spacing w:afterLines="50" w:after="120" w:line="260" w:lineRule="exact"/>
        <w:rPr>
          <w:lang w:eastAsia="en-AU"/>
        </w:rPr>
      </w:pPr>
      <w:r>
        <w:rPr>
          <w:lang w:eastAsia="en-AU"/>
        </w:rPr>
        <w:t>relevant information about the private sector entity and its public profile;</w:t>
      </w:r>
    </w:p>
    <w:p w:rsidR="00182A8F" w:rsidRDefault="00182A8F" w:rsidP="00174B6F">
      <w:pPr>
        <w:pStyle w:val="ListParagraph"/>
        <w:numPr>
          <w:ilvl w:val="0"/>
          <w:numId w:val="13"/>
        </w:numPr>
        <w:autoSpaceDE w:val="0"/>
        <w:autoSpaceDN w:val="0"/>
        <w:adjustRightInd w:val="0"/>
        <w:spacing w:afterLines="50" w:after="120" w:line="260" w:lineRule="exact"/>
        <w:rPr>
          <w:lang w:eastAsia="en-AU"/>
        </w:rPr>
      </w:pPr>
      <w:r>
        <w:rPr>
          <w:lang w:eastAsia="en-AU"/>
        </w:rPr>
        <w:t>the relevance of the private sector’s expertise to the issues being addressed;</w:t>
      </w:r>
    </w:p>
    <w:p w:rsidR="00182A8F" w:rsidRDefault="00182A8F" w:rsidP="00174B6F">
      <w:pPr>
        <w:pStyle w:val="ListParagraph"/>
        <w:numPr>
          <w:ilvl w:val="0"/>
          <w:numId w:val="13"/>
        </w:numPr>
        <w:autoSpaceDE w:val="0"/>
        <w:autoSpaceDN w:val="0"/>
        <w:adjustRightInd w:val="0"/>
        <w:spacing w:afterLines="50" w:after="120" w:line="260" w:lineRule="exact"/>
        <w:rPr>
          <w:lang w:eastAsia="en-AU"/>
        </w:rPr>
      </w:pPr>
      <w:r>
        <w:rPr>
          <w:lang w:eastAsia="en-AU"/>
        </w:rPr>
        <w:t>capacity to make a contribution to the work of the HWG; and</w:t>
      </w:r>
    </w:p>
    <w:p w:rsidR="00182A8F" w:rsidRDefault="00182A8F" w:rsidP="00174B6F">
      <w:pPr>
        <w:pStyle w:val="ListParagraph"/>
        <w:numPr>
          <w:ilvl w:val="0"/>
          <w:numId w:val="13"/>
        </w:numPr>
        <w:autoSpaceDE w:val="0"/>
        <w:autoSpaceDN w:val="0"/>
        <w:adjustRightInd w:val="0"/>
        <w:spacing w:afterLines="50" w:after="120" w:line="260" w:lineRule="exact"/>
        <w:rPr>
          <w:lang w:eastAsia="en-AU"/>
        </w:rPr>
      </w:pPr>
      <w:proofErr w:type="gramStart"/>
      <w:r>
        <w:rPr>
          <w:lang w:eastAsia="en-AU"/>
        </w:rPr>
        <w:t>any</w:t>
      </w:r>
      <w:proofErr w:type="gramEnd"/>
      <w:r>
        <w:rPr>
          <w:lang w:eastAsia="en-AU"/>
        </w:rPr>
        <w:t xml:space="preserve"> demonstrated interest in the APEC region, and in the issues APEC addresses. </w:t>
      </w:r>
    </w:p>
    <w:p w:rsidR="004D7E1E" w:rsidRPr="00174B6F" w:rsidRDefault="00CE5A6C" w:rsidP="00EE7F60">
      <w:pPr>
        <w:autoSpaceDE w:val="0"/>
        <w:autoSpaceDN w:val="0"/>
        <w:adjustRightInd w:val="0"/>
        <w:spacing w:afterLines="50" w:after="120" w:line="260" w:lineRule="exact"/>
        <w:rPr>
          <w:u w:val="single"/>
          <w:lang w:eastAsia="en-AU"/>
        </w:rPr>
      </w:pPr>
      <w:r>
        <w:rPr>
          <w:lang w:eastAsia="en-AU"/>
        </w:rPr>
        <w:t xml:space="preserve">19. </w:t>
      </w:r>
      <w:r w:rsidR="00ED6B33" w:rsidRPr="00174B6F">
        <w:rPr>
          <w:lang w:eastAsia="en-AU"/>
        </w:rPr>
        <w:t xml:space="preserve">Any request </w:t>
      </w:r>
      <w:r w:rsidR="009B51D0">
        <w:rPr>
          <w:lang w:eastAsia="en-AU"/>
        </w:rPr>
        <w:t xml:space="preserve">(including a proposed invitation) </w:t>
      </w:r>
      <w:r w:rsidR="00ED6B33">
        <w:rPr>
          <w:lang w:eastAsia="en-AU"/>
        </w:rPr>
        <w:t>will be dealt with in a consistent and transparent manner</w:t>
      </w:r>
      <w:r w:rsidR="000E7EDE">
        <w:rPr>
          <w:lang w:eastAsia="en-AU"/>
        </w:rPr>
        <w:t xml:space="preserve"> according to the following pr</w:t>
      </w:r>
      <w:r w:rsidR="008A58EB">
        <w:rPr>
          <w:lang w:eastAsia="en-AU"/>
        </w:rPr>
        <w:t>ocess</w:t>
      </w:r>
      <w:r w:rsidR="00ED6B33">
        <w:rPr>
          <w:lang w:eastAsia="en-AU"/>
        </w:rPr>
        <w:t xml:space="preserve">: </w:t>
      </w:r>
    </w:p>
    <w:p w:rsidR="00EE7F60" w:rsidRDefault="00ED6B33" w:rsidP="00174B6F">
      <w:pPr>
        <w:pStyle w:val="ListParagraph"/>
        <w:numPr>
          <w:ilvl w:val="0"/>
          <w:numId w:val="12"/>
        </w:numPr>
        <w:autoSpaceDE w:val="0"/>
        <w:autoSpaceDN w:val="0"/>
        <w:adjustRightInd w:val="0"/>
        <w:spacing w:afterLines="50" w:after="120" w:line="260" w:lineRule="exact"/>
        <w:rPr>
          <w:lang w:eastAsia="en-AU"/>
        </w:rPr>
      </w:pPr>
      <w:r>
        <w:rPr>
          <w:lang w:eastAsia="en-AU"/>
        </w:rPr>
        <w:t>A</w:t>
      </w:r>
      <w:r w:rsidR="00D339E4">
        <w:rPr>
          <w:lang w:eastAsia="en-AU"/>
        </w:rPr>
        <w:t>ny</w:t>
      </w:r>
      <w:r w:rsidR="00EE7F60">
        <w:rPr>
          <w:lang w:eastAsia="en-AU"/>
        </w:rPr>
        <w:t xml:space="preserve"> request</w:t>
      </w:r>
      <w:r w:rsidR="00D339E4">
        <w:rPr>
          <w:lang w:eastAsia="en-AU"/>
        </w:rPr>
        <w:t xml:space="preserve"> </w:t>
      </w:r>
      <w:r w:rsidR="00EE7F60">
        <w:rPr>
          <w:lang w:eastAsia="en-AU"/>
        </w:rPr>
        <w:t xml:space="preserve">to participate in </w:t>
      </w:r>
      <w:r w:rsidR="009B51D0">
        <w:rPr>
          <w:lang w:eastAsia="en-AU"/>
        </w:rPr>
        <w:t xml:space="preserve">a </w:t>
      </w:r>
      <w:r w:rsidR="00EE7F60">
        <w:rPr>
          <w:lang w:eastAsia="en-AU"/>
        </w:rPr>
        <w:t xml:space="preserve">HWG event must be provided to the </w:t>
      </w:r>
      <w:r w:rsidR="00D339E4">
        <w:rPr>
          <w:lang w:eastAsia="en-AU"/>
        </w:rPr>
        <w:t xml:space="preserve">APEC Secretariat </w:t>
      </w:r>
      <w:r w:rsidR="00EE7F60">
        <w:rPr>
          <w:lang w:eastAsia="en-AU"/>
        </w:rPr>
        <w:t>at least 14 days before the event</w:t>
      </w:r>
      <w:r>
        <w:rPr>
          <w:lang w:eastAsia="en-AU"/>
        </w:rPr>
        <w:t>.</w:t>
      </w:r>
    </w:p>
    <w:p w:rsidR="00C722C8" w:rsidRDefault="00C722C8" w:rsidP="00174B6F">
      <w:pPr>
        <w:pStyle w:val="ListParagraph"/>
        <w:numPr>
          <w:ilvl w:val="0"/>
          <w:numId w:val="12"/>
        </w:numPr>
        <w:autoSpaceDE w:val="0"/>
        <w:autoSpaceDN w:val="0"/>
        <w:adjustRightInd w:val="0"/>
        <w:spacing w:afterLines="50" w:after="120" w:line="260" w:lineRule="exact"/>
        <w:rPr>
          <w:lang w:eastAsia="en-AU"/>
        </w:rPr>
      </w:pPr>
      <w:r>
        <w:rPr>
          <w:lang w:eastAsia="en-AU"/>
        </w:rPr>
        <w:t>Any request must be accompanied by a completed Declaration of Interest form (</w:t>
      </w:r>
      <w:r w:rsidR="003E73C2">
        <w:rPr>
          <w:u w:val="single"/>
          <w:lang w:eastAsia="en-AU"/>
        </w:rPr>
        <w:t>Annex</w:t>
      </w:r>
      <w:r w:rsidRPr="00174B6F">
        <w:rPr>
          <w:u w:val="single"/>
          <w:lang w:eastAsia="en-AU"/>
        </w:rPr>
        <w:t xml:space="preserve"> A</w:t>
      </w:r>
      <w:r>
        <w:rPr>
          <w:lang w:eastAsia="en-AU"/>
        </w:rPr>
        <w:t xml:space="preserve">). </w:t>
      </w:r>
    </w:p>
    <w:p w:rsidR="00EE7F60" w:rsidRDefault="00EE7F60" w:rsidP="00174B6F">
      <w:pPr>
        <w:pStyle w:val="ListParagraph"/>
        <w:numPr>
          <w:ilvl w:val="0"/>
          <w:numId w:val="12"/>
        </w:numPr>
        <w:autoSpaceDE w:val="0"/>
        <w:autoSpaceDN w:val="0"/>
        <w:adjustRightInd w:val="0"/>
        <w:spacing w:afterLines="50" w:after="120" w:line="260" w:lineRule="exact"/>
        <w:rPr>
          <w:lang w:eastAsia="en-AU"/>
        </w:rPr>
      </w:pPr>
      <w:r>
        <w:rPr>
          <w:lang w:eastAsia="en-AU"/>
        </w:rPr>
        <w:t>T</w:t>
      </w:r>
      <w:r w:rsidR="00D339E4">
        <w:rPr>
          <w:lang w:eastAsia="en-AU"/>
        </w:rPr>
        <w:t>he</w:t>
      </w:r>
      <w:r>
        <w:rPr>
          <w:lang w:eastAsia="en-AU"/>
        </w:rPr>
        <w:t xml:space="preserve"> APEC Secretariat will notify the HWG</w:t>
      </w:r>
      <w:r w:rsidR="00D339E4">
        <w:rPr>
          <w:lang w:eastAsia="en-AU"/>
        </w:rPr>
        <w:t xml:space="preserve"> Chair</w:t>
      </w:r>
      <w:r>
        <w:rPr>
          <w:lang w:eastAsia="en-AU"/>
        </w:rPr>
        <w:t xml:space="preserve"> of any such request</w:t>
      </w:r>
      <w:r w:rsidR="00ED6B33">
        <w:rPr>
          <w:lang w:eastAsia="en-AU"/>
        </w:rPr>
        <w:t>.</w:t>
      </w:r>
    </w:p>
    <w:p w:rsidR="00EE7F60" w:rsidRDefault="00EE7F60" w:rsidP="00174B6F">
      <w:pPr>
        <w:pStyle w:val="ListParagraph"/>
        <w:numPr>
          <w:ilvl w:val="0"/>
          <w:numId w:val="12"/>
        </w:numPr>
        <w:autoSpaceDE w:val="0"/>
        <w:autoSpaceDN w:val="0"/>
        <w:adjustRightInd w:val="0"/>
        <w:spacing w:afterLines="50" w:after="120" w:line="260" w:lineRule="exact"/>
        <w:rPr>
          <w:lang w:eastAsia="en-AU"/>
        </w:rPr>
      </w:pPr>
      <w:r>
        <w:rPr>
          <w:lang w:eastAsia="en-AU"/>
        </w:rPr>
        <w:t>If the request is</w:t>
      </w:r>
      <w:r w:rsidR="00ED6B33">
        <w:rPr>
          <w:lang w:eastAsia="en-AU"/>
        </w:rPr>
        <w:t xml:space="preserve"> not</w:t>
      </w:r>
      <w:r>
        <w:rPr>
          <w:lang w:eastAsia="en-AU"/>
        </w:rPr>
        <w:t xml:space="preserve"> received </w:t>
      </w:r>
      <w:r w:rsidR="00ED6B33">
        <w:rPr>
          <w:lang w:eastAsia="en-AU"/>
        </w:rPr>
        <w:t>by this deadline</w:t>
      </w:r>
      <w:r>
        <w:rPr>
          <w:lang w:eastAsia="en-AU"/>
        </w:rPr>
        <w:t xml:space="preserve">, the HWG Chair can exercise </w:t>
      </w:r>
      <w:r w:rsidR="00045997">
        <w:rPr>
          <w:lang w:eastAsia="en-AU"/>
        </w:rPr>
        <w:t>his/her</w:t>
      </w:r>
      <w:r>
        <w:rPr>
          <w:lang w:eastAsia="en-AU"/>
        </w:rPr>
        <w:t xml:space="preserve"> discretion in accepting any </w:t>
      </w:r>
      <w:r w:rsidR="009B51D0">
        <w:rPr>
          <w:lang w:eastAsia="en-AU"/>
        </w:rPr>
        <w:t xml:space="preserve">late </w:t>
      </w:r>
      <w:r>
        <w:rPr>
          <w:lang w:eastAsia="en-AU"/>
        </w:rPr>
        <w:t>request</w:t>
      </w:r>
      <w:r w:rsidR="00ED6B33">
        <w:rPr>
          <w:lang w:eastAsia="en-AU"/>
        </w:rPr>
        <w:t>.</w:t>
      </w:r>
      <w:r>
        <w:rPr>
          <w:lang w:eastAsia="en-AU"/>
        </w:rPr>
        <w:t xml:space="preserve"> </w:t>
      </w:r>
    </w:p>
    <w:p w:rsidR="00EE7F60" w:rsidRDefault="00EE7F60" w:rsidP="00174B6F">
      <w:pPr>
        <w:pStyle w:val="ListParagraph"/>
        <w:numPr>
          <w:ilvl w:val="0"/>
          <w:numId w:val="12"/>
        </w:numPr>
        <w:autoSpaceDE w:val="0"/>
        <w:autoSpaceDN w:val="0"/>
        <w:adjustRightInd w:val="0"/>
        <w:spacing w:afterLines="50" w:after="120" w:line="260" w:lineRule="exact"/>
        <w:rPr>
          <w:lang w:eastAsia="en-AU"/>
        </w:rPr>
      </w:pPr>
      <w:r>
        <w:rPr>
          <w:lang w:eastAsia="en-AU"/>
        </w:rPr>
        <w:t>Upon receiving a request</w:t>
      </w:r>
      <w:r w:rsidR="008700CE">
        <w:rPr>
          <w:lang w:eastAsia="en-AU"/>
        </w:rPr>
        <w:t>,</w:t>
      </w:r>
      <w:r>
        <w:rPr>
          <w:lang w:eastAsia="en-AU"/>
        </w:rPr>
        <w:t xml:space="preserve"> the HWG Chair</w:t>
      </w:r>
      <w:r w:rsidR="008700CE">
        <w:rPr>
          <w:lang w:eastAsia="en-AU"/>
        </w:rPr>
        <w:t xml:space="preserve"> with the assistance of the APEC Secretariat,</w:t>
      </w:r>
      <w:r>
        <w:rPr>
          <w:lang w:eastAsia="en-AU"/>
        </w:rPr>
        <w:t xml:space="preserve"> will write (via email) to all member economies </w:t>
      </w:r>
      <w:r w:rsidR="00ED5F73">
        <w:rPr>
          <w:lang w:eastAsia="en-AU"/>
        </w:rPr>
        <w:t>to</w:t>
      </w:r>
      <w:r>
        <w:rPr>
          <w:lang w:eastAsia="en-AU"/>
        </w:rPr>
        <w:t xml:space="preserve"> seek agreement </w:t>
      </w:r>
      <w:r w:rsidR="009B51D0">
        <w:rPr>
          <w:lang w:eastAsia="en-AU"/>
        </w:rPr>
        <w:t xml:space="preserve">to </w:t>
      </w:r>
      <w:r>
        <w:rPr>
          <w:lang w:eastAsia="en-AU"/>
        </w:rPr>
        <w:t>the private sector’s participation</w:t>
      </w:r>
      <w:r w:rsidR="009B51D0">
        <w:rPr>
          <w:lang w:eastAsia="en-AU"/>
        </w:rPr>
        <w:t xml:space="preserve"> in the event</w:t>
      </w:r>
      <w:r w:rsidR="00ED6B33">
        <w:rPr>
          <w:lang w:eastAsia="en-AU"/>
        </w:rPr>
        <w:t>.</w:t>
      </w:r>
    </w:p>
    <w:p w:rsidR="009B51D0" w:rsidRDefault="009B51D0" w:rsidP="00174B6F">
      <w:pPr>
        <w:pStyle w:val="ListParagraph"/>
        <w:numPr>
          <w:ilvl w:val="0"/>
          <w:numId w:val="12"/>
        </w:numPr>
        <w:autoSpaceDE w:val="0"/>
        <w:autoSpaceDN w:val="0"/>
        <w:adjustRightInd w:val="0"/>
        <w:spacing w:afterLines="50" w:after="120" w:line="260" w:lineRule="exact"/>
        <w:rPr>
          <w:lang w:eastAsia="en-AU"/>
        </w:rPr>
      </w:pPr>
      <w:r>
        <w:rPr>
          <w:lang w:eastAsia="en-AU"/>
        </w:rPr>
        <w:t>Agreement must be by consensus</w:t>
      </w:r>
      <w:r w:rsidR="00045997">
        <w:rPr>
          <w:lang w:eastAsia="en-AU"/>
        </w:rPr>
        <w:t>; a nil response will be taken as agreement to the private sector’s participation in the event</w:t>
      </w:r>
      <w:r>
        <w:rPr>
          <w:lang w:eastAsia="en-AU"/>
        </w:rPr>
        <w:t xml:space="preserve">. </w:t>
      </w:r>
    </w:p>
    <w:p w:rsidR="00ED6B33" w:rsidRDefault="00ED6B33" w:rsidP="00174B6F">
      <w:pPr>
        <w:pStyle w:val="ListParagraph"/>
        <w:numPr>
          <w:ilvl w:val="0"/>
          <w:numId w:val="12"/>
        </w:numPr>
        <w:autoSpaceDE w:val="0"/>
        <w:autoSpaceDN w:val="0"/>
        <w:adjustRightInd w:val="0"/>
        <w:spacing w:afterLines="50" w:after="120" w:line="260" w:lineRule="exact"/>
        <w:rPr>
          <w:lang w:eastAsia="en-AU"/>
        </w:rPr>
      </w:pPr>
      <w:r>
        <w:rPr>
          <w:lang w:eastAsia="en-AU"/>
        </w:rPr>
        <w:t xml:space="preserve">Member economies will notify the HWG Chair of any concerns or potential conflicts of interest </w:t>
      </w:r>
      <w:r w:rsidR="000E7EDE">
        <w:rPr>
          <w:lang w:eastAsia="en-AU"/>
        </w:rPr>
        <w:t xml:space="preserve">that </w:t>
      </w:r>
      <w:r w:rsidR="003701E0">
        <w:rPr>
          <w:lang w:eastAsia="en-AU"/>
        </w:rPr>
        <w:t xml:space="preserve">a </w:t>
      </w:r>
      <w:r>
        <w:rPr>
          <w:lang w:eastAsia="en-AU"/>
        </w:rPr>
        <w:t xml:space="preserve">request </w:t>
      </w:r>
      <w:r w:rsidR="003701E0">
        <w:rPr>
          <w:lang w:eastAsia="en-AU"/>
        </w:rPr>
        <w:t xml:space="preserve">for participation by the private sector </w:t>
      </w:r>
      <w:r>
        <w:rPr>
          <w:lang w:eastAsia="en-AU"/>
        </w:rPr>
        <w:t>may raise</w:t>
      </w:r>
      <w:r w:rsidR="009B51D0">
        <w:rPr>
          <w:lang w:eastAsia="en-AU"/>
        </w:rPr>
        <w:t>.</w:t>
      </w:r>
    </w:p>
    <w:p w:rsidR="00EE7F60" w:rsidRDefault="008700CE" w:rsidP="008700CE">
      <w:pPr>
        <w:pStyle w:val="ListParagraph"/>
        <w:numPr>
          <w:ilvl w:val="0"/>
          <w:numId w:val="12"/>
        </w:numPr>
        <w:autoSpaceDE w:val="0"/>
        <w:autoSpaceDN w:val="0"/>
        <w:adjustRightInd w:val="0"/>
        <w:spacing w:afterLines="50" w:after="120" w:line="260" w:lineRule="exact"/>
        <w:rPr>
          <w:lang w:eastAsia="en-AU"/>
        </w:rPr>
      </w:pPr>
      <w:r>
        <w:rPr>
          <w:lang w:eastAsia="en-AU"/>
        </w:rPr>
        <w:t>T</w:t>
      </w:r>
      <w:r w:rsidR="00EE7F60">
        <w:rPr>
          <w:lang w:eastAsia="en-AU"/>
        </w:rPr>
        <w:t xml:space="preserve">he Chair will </w:t>
      </w:r>
      <w:r>
        <w:rPr>
          <w:lang w:eastAsia="en-AU"/>
        </w:rPr>
        <w:t>inform</w:t>
      </w:r>
      <w:r w:rsidR="00EE7F60">
        <w:rPr>
          <w:lang w:eastAsia="en-AU"/>
        </w:rPr>
        <w:t xml:space="preserve"> the </w:t>
      </w:r>
      <w:r>
        <w:rPr>
          <w:lang w:eastAsia="en-AU"/>
        </w:rPr>
        <w:t xml:space="preserve">APEC Secretariat </w:t>
      </w:r>
      <w:r w:rsidR="00EE7F60">
        <w:rPr>
          <w:lang w:eastAsia="en-AU"/>
        </w:rPr>
        <w:t>of any private sector participation</w:t>
      </w:r>
      <w:r>
        <w:rPr>
          <w:lang w:eastAsia="en-AU"/>
        </w:rPr>
        <w:t xml:space="preserve"> so they can notify the SCE.</w:t>
      </w:r>
      <w:r w:rsidR="00ED6B33">
        <w:rPr>
          <w:lang w:eastAsia="en-AU"/>
        </w:rPr>
        <w:t xml:space="preserve"> </w:t>
      </w:r>
      <w:r w:rsidR="00EE7F60">
        <w:rPr>
          <w:lang w:eastAsia="en-AU"/>
        </w:rPr>
        <w:t xml:space="preserve"> </w:t>
      </w:r>
    </w:p>
    <w:p w:rsidR="00EE7F60" w:rsidRDefault="00EE7F60" w:rsidP="00174B6F">
      <w:pPr>
        <w:pStyle w:val="ListParagraph"/>
        <w:numPr>
          <w:ilvl w:val="0"/>
          <w:numId w:val="12"/>
        </w:numPr>
        <w:autoSpaceDE w:val="0"/>
        <w:autoSpaceDN w:val="0"/>
        <w:adjustRightInd w:val="0"/>
        <w:spacing w:afterLines="50" w:after="120" w:line="260" w:lineRule="exact"/>
        <w:rPr>
          <w:lang w:eastAsia="en-AU"/>
        </w:rPr>
      </w:pPr>
      <w:r>
        <w:rPr>
          <w:lang w:eastAsia="en-AU"/>
        </w:rPr>
        <w:t xml:space="preserve">Prior to any HWG </w:t>
      </w:r>
      <w:r w:rsidR="00206847">
        <w:rPr>
          <w:lang w:eastAsia="en-AU"/>
        </w:rPr>
        <w:t>event</w:t>
      </w:r>
      <w:r>
        <w:rPr>
          <w:lang w:eastAsia="en-AU"/>
        </w:rPr>
        <w:t xml:space="preserve">, the Chair (independently, or at the request of a member economy) may choose to hold a closed session of the HWG to discuss the participation of the private sector participant and any conflicts of interests that may arise as a result of such participation. During this </w:t>
      </w:r>
      <w:r w:rsidR="005D6942">
        <w:rPr>
          <w:lang w:eastAsia="en-AU"/>
        </w:rPr>
        <w:t>session</w:t>
      </w:r>
      <w:r w:rsidR="00206847">
        <w:rPr>
          <w:lang w:eastAsia="en-AU"/>
        </w:rPr>
        <w:t xml:space="preserve"> </w:t>
      </w:r>
      <w:r>
        <w:rPr>
          <w:lang w:eastAsia="en-AU"/>
        </w:rPr>
        <w:t>the HWG may</w:t>
      </w:r>
      <w:r w:rsidR="00ED6B33">
        <w:rPr>
          <w:lang w:eastAsia="en-AU"/>
        </w:rPr>
        <w:t xml:space="preserve"> choose to take any action, including</w:t>
      </w:r>
      <w:r w:rsidR="00ED5F73">
        <w:rPr>
          <w:lang w:eastAsia="en-AU"/>
        </w:rPr>
        <w:t xml:space="preserve"> limiting</w:t>
      </w:r>
      <w:r>
        <w:rPr>
          <w:lang w:eastAsia="en-AU"/>
        </w:rPr>
        <w:t xml:space="preserve">: </w:t>
      </w:r>
    </w:p>
    <w:p w:rsidR="00ED6B33" w:rsidRDefault="000E7EDE" w:rsidP="00174B6F">
      <w:pPr>
        <w:pStyle w:val="ListParagraph"/>
        <w:numPr>
          <w:ilvl w:val="1"/>
          <w:numId w:val="12"/>
        </w:numPr>
        <w:autoSpaceDE w:val="0"/>
        <w:autoSpaceDN w:val="0"/>
        <w:adjustRightInd w:val="0"/>
        <w:spacing w:afterLines="50" w:after="120" w:line="260" w:lineRule="exact"/>
        <w:rPr>
          <w:lang w:eastAsia="en-AU"/>
        </w:rPr>
      </w:pPr>
      <w:r>
        <w:rPr>
          <w:lang w:eastAsia="en-AU"/>
        </w:rPr>
        <w:t xml:space="preserve">the </w:t>
      </w:r>
      <w:r w:rsidR="00EE7F60">
        <w:rPr>
          <w:lang w:eastAsia="en-AU"/>
        </w:rPr>
        <w:t xml:space="preserve">topics </w:t>
      </w:r>
      <w:r>
        <w:rPr>
          <w:lang w:eastAsia="en-AU"/>
        </w:rPr>
        <w:t xml:space="preserve">on which </w:t>
      </w:r>
      <w:r w:rsidR="00EE7F60">
        <w:rPr>
          <w:lang w:eastAsia="en-AU"/>
        </w:rPr>
        <w:t>the private sector</w:t>
      </w:r>
      <w:r w:rsidR="00B67654">
        <w:rPr>
          <w:lang w:eastAsia="en-AU"/>
        </w:rPr>
        <w:t xml:space="preserve"> entity</w:t>
      </w:r>
      <w:r w:rsidR="00EE7F60">
        <w:rPr>
          <w:lang w:eastAsia="en-AU"/>
        </w:rPr>
        <w:t xml:space="preserve"> </w:t>
      </w:r>
      <w:r>
        <w:rPr>
          <w:lang w:eastAsia="en-AU"/>
        </w:rPr>
        <w:t xml:space="preserve">may </w:t>
      </w:r>
      <w:r w:rsidR="005D6942">
        <w:rPr>
          <w:lang w:eastAsia="en-AU"/>
        </w:rPr>
        <w:t xml:space="preserve">present </w:t>
      </w:r>
      <w:r w:rsidR="009B51D0">
        <w:rPr>
          <w:lang w:eastAsia="en-AU"/>
        </w:rPr>
        <w:t>during the event</w:t>
      </w:r>
      <w:r w:rsidR="00ED6B33">
        <w:rPr>
          <w:lang w:eastAsia="en-AU"/>
        </w:rPr>
        <w:t>;</w:t>
      </w:r>
    </w:p>
    <w:p w:rsidR="00ED6B33" w:rsidRDefault="00EE7F60" w:rsidP="00174B6F">
      <w:pPr>
        <w:pStyle w:val="ListParagraph"/>
        <w:numPr>
          <w:ilvl w:val="1"/>
          <w:numId w:val="12"/>
        </w:numPr>
        <w:autoSpaceDE w:val="0"/>
        <w:autoSpaceDN w:val="0"/>
        <w:adjustRightInd w:val="0"/>
        <w:spacing w:afterLines="50" w:after="120" w:line="260" w:lineRule="exact"/>
        <w:rPr>
          <w:lang w:eastAsia="en-AU"/>
        </w:rPr>
      </w:pPr>
      <w:r>
        <w:rPr>
          <w:lang w:eastAsia="en-AU"/>
        </w:rPr>
        <w:t xml:space="preserve">the agenda items </w:t>
      </w:r>
      <w:r w:rsidR="000E7EDE">
        <w:rPr>
          <w:lang w:eastAsia="en-AU"/>
        </w:rPr>
        <w:t xml:space="preserve">for which </w:t>
      </w:r>
      <w:r>
        <w:rPr>
          <w:lang w:eastAsia="en-AU"/>
        </w:rPr>
        <w:t xml:space="preserve">the private sector </w:t>
      </w:r>
      <w:r w:rsidR="00B67654">
        <w:rPr>
          <w:lang w:eastAsia="en-AU"/>
        </w:rPr>
        <w:t xml:space="preserve">entity </w:t>
      </w:r>
      <w:r>
        <w:rPr>
          <w:lang w:eastAsia="en-AU"/>
        </w:rPr>
        <w:t xml:space="preserve">is </w:t>
      </w:r>
      <w:r w:rsidR="00ED6B33">
        <w:rPr>
          <w:lang w:eastAsia="en-AU"/>
        </w:rPr>
        <w:t>able</w:t>
      </w:r>
      <w:r w:rsidR="00B67654">
        <w:rPr>
          <w:lang w:eastAsia="en-AU"/>
        </w:rPr>
        <w:t xml:space="preserve"> to </w:t>
      </w:r>
      <w:r w:rsidR="005D6942">
        <w:rPr>
          <w:lang w:eastAsia="en-AU"/>
        </w:rPr>
        <w:t xml:space="preserve">be present </w:t>
      </w:r>
      <w:r w:rsidR="00B67654">
        <w:rPr>
          <w:lang w:eastAsia="en-AU"/>
        </w:rPr>
        <w:t>during the event</w:t>
      </w:r>
      <w:r w:rsidR="00ED6B33">
        <w:rPr>
          <w:lang w:eastAsia="en-AU"/>
        </w:rPr>
        <w:t>;</w:t>
      </w:r>
    </w:p>
    <w:p w:rsidR="00ED6B33" w:rsidRDefault="00ED5F73" w:rsidP="00174B6F">
      <w:pPr>
        <w:pStyle w:val="ListParagraph"/>
        <w:numPr>
          <w:ilvl w:val="1"/>
          <w:numId w:val="12"/>
        </w:numPr>
        <w:autoSpaceDE w:val="0"/>
        <w:autoSpaceDN w:val="0"/>
        <w:adjustRightInd w:val="0"/>
        <w:spacing w:afterLines="50" w:after="120" w:line="260" w:lineRule="exact"/>
        <w:rPr>
          <w:lang w:eastAsia="en-AU"/>
        </w:rPr>
      </w:pPr>
      <w:r>
        <w:rPr>
          <w:lang w:eastAsia="en-AU"/>
        </w:rPr>
        <w:t>attendance of the p</w:t>
      </w:r>
      <w:r w:rsidR="009B51D0">
        <w:rPr>
          <w:lang w:eastAsia="en-AU"/>
        </w:rPr>
        <w:t>rivate sector</w:t>
      </w:r>
      <w:r>
        <w:rPr>
          <w:lang w:eastAsia="en-AU"/>
        </w:rPr>
        <w:t xml:space="preserve"> entity </w:t>
      </w:r>
      <w:r w:rsidR="009B51D0">
        <w:rPr>
          <w:lang w:eastAsia="en-AU"/>
        </w:rPr>
        <w:t>as an observer</w:t>
      </w:r>
      <w:r w:rsidR="005D6942">
        <w:rPr>
          <w:lang w:eastAsia="en-AU"/>
        </w:rPr>
        <w:t xml:space="preserve"> only</w:t>
      </w:r>
      <w:r w:rsidR="00B67654">
        <w:rPr>
          <w:lang w:eastAsia="en-AU"/>
        </w:rPr>
        <w:t xml:space="preserve"> during the event</w:t>
      </w:r>
      <w:r w:rsidR="009B51D0">
        <w:rPr>
          <w:lang w:eastAsia="en-AU"/>
        </w:rPr>
        <w:t xml:space="preserve">; </w:t>
      </w:r>
      <w:r w:rsidR="00CF1E6C">
        <w:rPr>
          <w:lang w:eastAsia="en-AU"/>
        </w:rPr>
        <w:t>and</w:t>
      </w:r>
      <w:r w:rsidR="009B51D0">
        <w:rPr>
          <w:lang w:eastAsia="en-AU"/>
        </w:rPr>
        <w:t xml:space="preserve"> </w:t>
      </w:r>
    </w:p>
    <w:p w:rsidR="00C722C8" w:rsidRDefault="00ED6B33" w:rsidP="00174B6F">
      <w:pPr>
        <w:pStyle w:val="ListParagraph"/>
        <w:numPr>
          <w:ilvl w:val="1"/>
          <w:numId w:val="12"/>
        </w:numPr>
        <w:autoSpaceDE w:val="0"/>
        <w:autoSpaceDN w:val="0"/>
        <w:adjustRightInd w:val="0"/>
        <w:spacing w:afterLines="50" w:after="120" w:line="260" w:lineRule="exact"/>
        <w:rPr>
          <w:lang w:eastAsia="en-AU"/>
        </w:rPr>
      </w:pPr>
      <w:proofErr w:type="gramStart"/>
      <w:r>
        <w:rPr>
          <w:lang w:eastAsia="en-AU"/>
        </w:rPr>
        <w:t>the</w:t>
      </w:r>
      <w:proofErr w:type="gramEnd"/>
      <w:r>
        <w:rPr>
          <w:lang w:eastAsia="en-AU"/>
        </w:rPr>
        <w:t xml:space="preserve"> </w:t>
      </w:r>
      <w:r w:rsidR="003701E0">
        <w:rPr>
          <w:lang w:eastAsia="en-AU"/>
        </w:rPr>
        <w:t xml:space="preserve">non-public </w:t>
      </w:r>
      <w:r w:rsidR="00ED5F73">
        <w:rPr>
          <w:lang w:eastAsia="en-AU"/>
        </w:rPr>
        <w:t>i</w:t>
      </w:r>
      <w:r>
        <w:rPr>
          <w:lang w:eastAsia="en-AU"/>
        </w:rPr>
        <w:t>nformation</w:t>
      </w:r>
      <w:r w:rsidR="00ED5F73">
        <w:rPr>
          <w:lang w:eastAsia="en-AU"/>
        </w:rPr>
        <w:t>/</w:t>
      </w:r>
      <w:r>
        <w:rPr>
          <w:lang w:eastAsia="en-AU"/>
        </w:rPr>
        <w:t>documents</w:t>
      </w:r>
      <w:r w:rsidR="000E7EDE">
        <w:rPr>
          <w:lang w:eastAsia="en-AU"/>
        </w:rPr>
        <w:t xml:space="preserve"> to which</w:t>
      </w:r>
      <w:r>
        <w:rPr>
          <w:lang w:eastAsia="en-AU"/>
        </w:rPr>
        <w:t xml:space="preserve"> the private sector attendee has access. </w:t>
      </w:r>
    </w:p>
    <w:p w:rsidR="000D59A4" w:rsidRDefault="00C722C8" w:rsidP="00174B6F">
      <w:pPr>
        <w:pStyle w:val="ListParagraph"/>
        <w:numPr>
          <w:ilvl w:val="0"/>
          <w:numId w:val="12"/>
        </w:numPr>
        <w:autoSpaceDE w:val="0"/>
        <w:autoSpaceDN w:val="0"/>
        <w:adjustRightInd w:val="0"/>
        <w:spacing w:afterLines="50" w:after="120" w:line="260" w:lineRule="exact"/>
      </w:pPr>
      <w:r>
        <w:rPr>
          <w:lang w:eastAsia="en-AU"/>
        </w:rPr>
        <w:t xml:space="preserve">Any private sector </w:t>
      </w:r>
      <w:r w:rsidR="000D59A4">
        <w:rPr>
          <w:lang w:eastAsia="en-AU"/>
        </w:rPr>
        <w:t xml:space="preserve">participation </w:t>
      </w:r>
      <w:r>
        <w:rPr>
          <w:lang w:eastAsia="en-AU"/>
        </w:rPr>
        <w:t xml:space="preserve">at a HWG event </w:t>
      </w:r>
      <w:r w:rsidR="000D59A4">
        <w:rPr>
          <w:lang w:eastAsia="en-AU"/>
        </w:rPr>
        <w:t xml:space="preserve">will be consistent with APEC’s </w:t>
      </w:r>
      <w:r w:rsidR="000D59A4">
        <w:rPr>
          <w:i/>
          <w:lang w:eastAsia="en-AU"/>
        </w:rPr>
        <w:t xml:space="preserve">Terms of Participation of Approved Guests </w:t>
      </w:r>
      <w:r w:rsidR="000D59A4">
        <w:rPr>
          <w:lang w:eastAsia="en-AU"/>
        </w:rPr>
        <w:t xml:space="preserve">in the SOM Guidelines (reproduced at </w:t>
      </w:r>
      <w:r w:rsidR="003E73C2">
        <w:rPr>
          <w:u w:val="single"/>
          <w:lang w:eastAsia="en-AU"/>
        </w:rPr>
        <w:t>Annex</w:t>
      </w:r>
      <w:r w:rsidR="000D59A4" w:rsidRPr="00174B6F">
        <w:rPr>
          <w:u w:val="single"/>
          <w:lang w:eastAsia="en-AU"/>
        </w:rPr>
        <w:t xml:space="preserve"> B</w:t>
      </w:r>
      <w:r w:rsidR="000D59A4">
        <w:rPr>
          <w:lang w:eastAsia="en-AU"/>
        </w:rPr>
        <w:t xml:space="preserve">). All private sector attendees must </w:t>
      </w:r>
      <w:r>
        <w:rPr>
          <w:lang w:eastAsia="en-AU"/>
        </w:rPr>
        <w:t>clearly identify themselves</w:t>
      </w:r>
      <w:r w:rsidR="000D59A4">
        <w:rPr>
          <w:lang w:eastAsia="en-AU"/>
        </w:rPr>
        <w:t>,</w:t>
      </w:r>
      <w:r>
        <w:rPr>
          <w:lang w:eastAsia="en-AU"/>
        </w:rPr>
        <w:t xml:space="preserve"> and which private sector entity they represent</w:t>
      </w:r>
      <w:r w:rsidR="000D59A4">
        <w:rPr>
          <w:lang w:eastAsia="en-AU"/>
        </w:rPr>
        <w:t>,</w:t>
      </w:r>
      <w:r>
        <w:rPr>
          <w:lang w:eastAsia="en-AU"/>
        </w:rPr>
        <w:t xml:space="preserve"> before they address the HWG. </w:t>
      </w:r>
    </w:p>
    <w:p w:rsidR="00CF1E6C" w:rsidRDefault="000D59A4" w:rsidP="00F46B5C">
      <w:pPr>
        <w:pStyle w:val="ListParagraph"/>
        <w:numPr>
          <w:ilvl w:val="1"/>
          <w:numId w:val="12"/>
        </w:numPr>
        <w:autoSpaceDE w:val="0"/>
        <w:autoSpaceDN w:val="0"/>
        <w:adjustRightInd w:val="0"/>
        <w:spacing w:afterLines="50" w:after="120" w:line="260" w:lineRule="exact"/>
        <w:rPr>
          <w:lang w:eastAsia="en-AU"/>
        </w:rPr>
      </w:pPr>
      <w:r>
        <w:rPr>
          <w:lang w:eastAsia="en-AU"/>
        </w:rPr>
        <w:lastRenderedPageBreak/>
        <w:t>A</w:t>
      </w:r>
      <w:r w:rsidR="00F20BF1">
        <w:rPr>
          <w:lang w:eastAsia="en-AU"/>
        </w:rPr>
        <w:t xml:space="preserve">PEC’s </w:t>
      </w:r>
      <w:r w:rsidR="00F20BF1" w:rsidRPr="002A74F4">
        <w:rPr>
          <w:lang w:eastAsia="en-AU"/>
        </w:rPr>
        <w:t>logo and acronym</w:t>
      </w:r>
      <w:r w:rsidR="00F20BF1">
        <w:rPr>
          <w:lang w:eastAsia="en-AU"/>
        </w:rPr>
        <w:t xml:space="preserve"> represents APEC, the premier vehicle for regional economic cooperation. Any use of the logo and acronym </w:t>
      </w:r>
      <w:r w:rsidR="009E158B">
        <w:rPr>
          <w:lang w:eastAsia="en-AU"/>
        </w:rPr>
        <w:t xml:space="preserve">by the private sector </w:t>
      </w:r>
      <w:r w:rsidR="00F20BF1">
        <w:rPr>
          <w:lang w:eastAsia="en-AU"/>
        </w:rPr>
        <w:t xml:space="preserve">shall adhere to the </w:t>
      </w:r>
      <w:r w:rsidR="00F20BF1" w:rsidRPr="003701E0">
        <w:rPr>
          <w:i/>
          <w:lang w:eastAsia="en-AU"/>
        </w:rPr>
        <w:t>APEC Logo Guidelines</w:t>
      </w:r>
      <w:r w:rsidR="00F20BF1">
        <w:rPr>
          <w:lang w:eastAsia="en-AU"/>
        </w:rPr>
        <w:t xml:space="preserve"> (2013).</w:t>
      </w:r>
    </w:p>
    <w:p w:rsidR="00313263" w:rsidRDefault="00313263" w:rsidP="00313263">
      <w:pPr>
        <w:pStyle w:val="ListParagraph"/>
        <w:autoSpaceDE w:val="0"/>
        <w:autoSpaceDN w:val="0"/>
        <w:adjustRightInd w:val="0"/>
        <w:spacing w:afterLines="50" w:after="120" w:line="260" w:lineRule="exact"/>
        <w:ind w:left="1440"/>
        <w:rPr>
          <w:lang w:eastAsia="en-AU"/>
        </w:rPr>
      </w:pPr>
    </w:p>
    <w:p w:rsidR="00CF1E6C" w:rsidRPr="006465B8" w:rsidRDefault="0059100B" w:rsidP="005F1D29">
      <w:pPr>
        <w:pStyle w:val="ListParagraph"/>
        <w:numPr>
          <w:ilvl w:val="0"/>
          <w:numId w:val="14"/>
        </w:numPr>
        <w:autoSpaceDE w:val="0"/>
        <w:autoSpaceDN w:val="0"/>
        <w:adjustRightInd w:val="0"/>
        <w:spacing w:before="240" w:after="120" w:line="260" w:lineRule="exact"/>
        <w:rPr>
          <w:b/>
        </w:rPr>
      </w:pPr>
      <w:r w:rsidRPr="006465B8">
        <w:rPr>
          <w:b/>
        </w:rPr>
        <w:t xml:space="preserve">NON-COMPLIANCE </w:t>
      </w:r>
    </w:p>
    <w:p w:rsidR="00CF1E6C" w:rsidRDefault="00CE5A6C" w:rsidP="00CF1E6C">
      <w:pPr>
        <w:autoSpaceDE w:val="0"/>
        <w:autoSpaceDN w:val="0"/>
        <w:adjustRightInd w:val="0"/>
      </w:pPr>
      <w:r>
        <w:t xml:space="preserve">20. </w:t>
      </w:r>
      <w:r w:rsidR="002F3774" w:rsidRPr="009B637E">
        <w:t>If</w:t>
      </w:r>
      <w:r w:rsidR="006A325F" w:rsidRPr="009B637E">
        <w:t xml:space="preserve"> a member economy suspect</w:t>
      </w:r>
      <w:r w:rsidR="002F3774" w:rsidRPr="009B637E">
        <w:t>s non-compliance with the</w:t>
      </w:r>
      <w:r w:rsidR="006A325F" w:rsidRPr="00174B6F">
        <w:t xml:space="preserve"> Gui</w:t>
      </w:r>
      <w:r w:rsidR="002F3774" w:rsidRPr="00174B6F">
        <w:t>delines by a private sector entity, then they must bring their concerns</w:t>
      </w:r>
      <w:r w:rsidR="006A325F" w:rsidRPr="00174B6F">
        <w:t xml:space="preserve"> to the attention of the </w:t>
      </w:r>
      <w:r w:rsidR="00327F2F">
        <w:t xml:space="preserve">HWG </w:t>
      </w:r>
      <w:r w:rsidR="006A325F" w:rsidRPr="009B637E">
        <w:t>Chair</w:t>
      </w:r>
      <w:r w:rsidR="00327F2F">
        <w:t>. Upon receiving such a notification</w:t>
      </w:r>
      <w:r w:rsidR="00313263">
        <w:t>,</w:t>
      </w:r>
      <w:r w:rsidR="00327F2F">
        <w:t xml:space="preserve"> t</w:t>
      </w:r>
      <w:r w:rsidR="00110041" w:rsidRPr="00174B6F">
        <w:t xml:space="preserve">he </w:t>
      </w:r>
      <w:r w:rsidR="00327F2F">
        <w:t xml:space="preserve">HWG </w:t>
      </w:r>
      <w:r w:rsidR="00110041" w:rsidRPr="009B637E">
        <w:t xml:space="preserve">Chair may request the submission of information, materials and other evidence </w:t>
      </w:r>
      <w:r w:rsidR="00327F2F">
        <w:t>from the private sector entity</w:t>
      </w:r>
      <w:r w:rsidR="00313263">
        <w:t xml:space="preserve"> </w:t>
      </w:r>
      <w:r w:rsidR="006465B8">
        <w:t>and/or the head of delegation</w:t>
      </w:r>
      <w:r w:rsidR="007E79D6">
        <w:t xml:space="preserve">, or any member economy, </w:t>
      </w:r>
      <w:r w:rsidR="00110041" w:rsidRPr="009B637E">
        <w:t xml:space="preserve">before </w:t>
      </w:r>
      <w:r w:rsidR="009E158B" w:rsidRPr="009B637E">
        <w:t xml:space="preserve">consulting with </w:t>
      </w:r>
      <w:r w:rsidR="007E79D6">
        <w:t xml:space="preserve">the HWG to decide </w:t>
      </w:r>
      <w:r w:rsidR="00110041" w:rsidRPr="00174B6F">
        <w:t>on</w:t>
      </w:r>
      <w:r w:rsidR="007E79D6">
        <w:t xml:space="preserve"> any</w:t>
      </w:r>
      <w:r w:rsidR="00110041" w:rsidRPr="00174B6F">
        <w:t xml:space="preserve"> appropriate </w:t>
      </w:r>
      <w:r w:rsidR="00327F2F">
        <w:t xml:space="preserve">action to be taken.  </w:t>
      </w:r>
    </w:p>
    <w:p w:rsidR="00CF0594" w:rsidRPr="006465B8" w:rsidRDefault="00327F2F" w:rsidP="005F1D29">
      <w:pPr>
        <w:pStyle w:val="ListParagraph"/>
        <w:numPr>
          <w:ilvl w:val="0"/>
          <w:numId w:val="14"/>
        </w:numPr>
        <w:autoSpaceDE w:val="0"/>
        <w:autoSpaceDN w:val="0"/>
        <w:adjustRightInd w:val="0"/>
        <w:spacing w:before="240" w:after="120"/>
        <w:rPr>
          <w:b/>
        </w:rPr>
      </w:pPr>
      <w:r w:rsidRPr="006465B8">
        <w:rPr>
          <w:b/>
        </w:rPr>
        <w:t xml:space="preserve">OVERSIGHT AND </w:t>
      </w:r>
      <w:r w:rsidR="00ED5F73" w:rsidRPr="006465B8">
        <w:rPr>
          <w:b/>
        </w:rPr>
        <w:t>REVIEW</w:t>
      </w:r>
      <w:r w:rsidR="00CF0594" w:rsidRPr="006465B8">
        <w:rPr>
          <w:b/>
        </w:rPr>
        <w:t xml:space="preserve"> </w:t>
      </w:r>
    </w:p>
    <w:p w:rsidR="00327F2F" w:rsidRDefault="00CE5A6C" w:rsidP="00CF0594">
      <w:pPr>
        <w:autoSpaceDE w:val="0"/>
        <w:autoSpaceDN w:val="0"/>
        <w:adjustRightInd w:val="0"/>
      </w:pPr>
      <w:r>
        <w:t xml:space="preserve">21. </w:t>
      </w:r>
      <w:r w:rsidR="00327F2F">
        <w:t xml:space="preserve">The APEC Secretariat will include the Guidelines on the agenda of every HWG </w:t>
      </w:r>
      <w:r w:rsidR="00206847">
        <w:t xml:space="preserve">event </w:t>
      </w:r>
      <w:r w:rsidR="00327F2F">
        <w:t xml:space="preserve">and will speak to any issue with implementation. Member economies will be able to raise any issues with the Guidelines during this discussion. The HWG may amend the Guidelines, by consensus, at any time. </w:t>
      </w:r>
    </w:p>
    <w:p w:rsidR="00327F2F" w:rsidRDefault="00327F2F" w:rsidP="00CF0594">
      <w:pPr>
        <w:autoSpaceDE w:val="0"/>
        <w:autoSpaceDN w:val="0"/>
        <w:adjustRightInd w:val="0"/>
      </w:pPr>
    </w:p>
    <w:p w:rsidR="00F521B9" w:rsidRDefault="005F1D29" w:rsidP="00CF0594">
      <w:pPr>
        <w:autoSpaceDE w:val="0"/>
        <w:autoSpaceDN w:val="0"/>
        <w:adjustRightInd w:val="0"/>
      </w:pPr>
      <w:r>
        <w:t xml:space="preserve">22. </w:t>
      </w:r>
      <w:r w:rsidR="00CF0594">
        <w:t>The</w:t>
      </w:r>
      <w:r w:rsidR="000D59A4">
        <w:t xml:space="preserve"> HWG will review </w:t>
      </w:r>
      <w:r w:rsidR="00CF0594" w:rsidRPr="002A74F4">
        <w:t>the</w:t>
      </w:r>
      <w:r w:rsidR="000D59A4">
        <w:t>se</w:t>
      </w:r>
      <w:r w:rsidR="00CF0594" w:rsidRPr="002A74F4">
        <w:t xml:space="preserve"> </w:t>
      </w:r>
      <w:r w:rsidR="00327F2F">
        <w:t>Guidelines no later than SOM3, 2018</w:t>
      </w:r>
      <w:r w:rsidR="00572A26">
        <w:t xml:space="preserve">, or earlier if agreed. </w:t>
      </w:r>
    </w:p>
    <w:p w:rsidR="00831AC3" w:rsidRDefault="00831AC3" w:rsidP="00834C59">
      <w:pPr>
        <w:autoSpaceDE w:val="0"/>
        <w:autoSpaceDN w:val="0"/>
        <w:adjustRightInd w:val="0"/>
      </w:pPr>
    </w:p>
    <w:p w:rsidR="00831AC3" w:rsidRDefault="00831AC3" w:rsidP="00834C59">
      <w:pPr>
        <w:autoSpaceDE w:val="0"/>
        <w:autoSpaceDN w:val="0"/>
        <w:adjustRightInd w:val="0"/>
      </w:pPr>
    </w:p>
    <w:sectPr w:rsidR="00831AC3">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5E" w:rsidRDefault="00C25D5E" w:rsidP="00FC3B75">
      <w:r>
        <w:separator/>
      </w:r>
    </w:p>
  </w:endnote>
  <w:endnote w:type="continuationSeparator" w:id="0">
    <w:p w:rsidR="00C25D5E" w:rsidRDefault="00C25D5E" w:rsidP="00FC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BFBFBF" w:themeColor="background1" w:themeShade="BF"/>
      </w:rPr>
      <w:id w:val="617726857"/>
      <w:docPartObj>
        <w:docPartGallery w:val="Page Numbers (Bottom of Page)"/>
        <w:docPartUnique/>
      </w:docPartObj>
    </w:sdtPr>
    <w:sdtEndPr>
      <w:rPr>
        <w:noProof/>
      </w:rPr>
    </w:sdtEndPr>
    <w:sdtContent>
      <w:p w:rsidR="00045997" w:rsidRPr="009E74E2" w:rsidRDefault="00045997">
        <w:pPr>
          <w:pStyle w:val="Footer"/>
          <w:jc w:val="right"/>
          <w:rPr>
            <w:color w:val="BFBFBF" w:themeColor="background1" w:themeShade="BF"/>
          </w:rPr>
        </w:pPr>
        <w:r w:rsidRPr="009E74E2">
          <w:rPr>
            <w:color w:val="BFBFBF" w:themeColor="background1" w:themeShade="BF"/>
          </w:rPr>
          <w:fldChar w:fldCharType="begin"/>
        </w:r>
        <w:r w:rsidRPr="009E74E2">
          <w:rPr>
            <w:color w:val="BFBFBF" w:themeColor="background1" w:themeShade="BF"/>
          </w:rPr>
          <w:instrText xml:space="preserve"> PAGE   \* MERGEFORMAT </w:instrText>
        </w:r>
        <w:r w:rsidRPr="009E74E2">
          <w:rPr>
            <w:color w:val="BFBFBF" w:themeColor="background1" w:themeShade="BF"/>
          </w:rPr>
          <w:fldChar w:fldCharType="separate"/>
        </w:r>
        <w:r w:rsidR="00F86338">
          <w:rPr>
            <w:noProof/>
            <w:color w:val="BFBFBF" w:themeColor="background1" w:themeShade="BF"/>
          </w:rPr>
          <w:t>5</w:t>
        </w:r>
        <w:r w:rsidRPr="009E74E2">
          <w:rPr>
            <w:noProof/>
            <w:color w:val="BFBFBF" w:themeColor="background1" w:themeShade="BF"/>
          </w:rPr>
          <w:fldChar w:fldCharType="end"/>
        </w:r>
      </w:p>
    </w:sdtContent>
  </w:sdt>
  <w:p w:rsidR="00045997" w:rsidRPr="009E74E2" w:rsidRDefault="00045997" w:rsidP="00CF1E6C">
    <w:pPr>
      <w:pStyle w:val="Footer"/>
      <w:rPr>
        <w:color w:val="BFBFBF" w:themeColor="background1" w:themeShade="BF"/>
        <w:sz w:val="20"/>
        <w:szCs w:val="20"/>
      </w:rPr>
    </w:pPr>
    <w:r w:rsidRPr="009E74E2">
      <w:rPr>
        <w:color w:val="BFBFBF" w:themeColor="background1" w:themeShade="BF"/>
        <w:sz w:val="20"/>
        <w:szCs w:val="20"/>
      </w:rPr>
      <w:t>Guidelines for engagement between the Health Working Group and the private sector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5E" w:rsidRDefault="00C25D5E" w:rsidP="00FC3B75">
      <w:r>
        <w:separator/>
      </w:r>
    </w:p>
  </w:footnote>
  <w:footnote w:type="continuationSeparator" w:id="0">
    <w:p w:rsidR="00C25D5E" w:rsidRDefault="00C25D5E" w:rsidP="00FC3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97" w:rsidRPr="009E74E2" w:rsidRDefault="00045997" w:rsidP="00FC3B75">
    <w:pPr>
      <w:jc w:val="center"/>
      <w:rPr>
        <w:color w:val="BFBFBF" w:themeColor="background1" w:themeShade="BF"/>
      </w:rPr>
    </w:pPr>
    <w:r w:rsidRPr="009E74E2">
      <w:rPr>
        <w:color w:val="BFBFBF" w:themeColor="background1" w:themeShade="BF"/>
      </w:rPr>
      <w:t xml:space="preserve">Asia Pacific Economic Cooperation forum – Health Working Group </w:t>
    </w:r>
  </w:p>
  <w:p w:rsidR="00045997" w:rsidRPr="00FC3B75" w:rsidRDefault="00045997" w:rsidP="00EE7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ECA"/>
    <w:multiLevelType w:val="hybridMultilevel"/>
    <w:tmpl w:val="2EA61138"/>
    <w:lvl w:ilvl="0" w:tplc="CE78699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5E35D4"/>
    <w:multiLevelType w:val="hybridMultilevel"/>
    <w:tmpl w:val="63CA9D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EA5E46"/>
    <w:multiLevelType w:val="hybridMultilevel"/>
    <w:tmpl w:val="D77897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B27E70"/>
    <w:multiLevelType w:val="hybridMultilevel"/>
    <w:tmpl w:val="D2FED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073599"/>
    <w:multiLevelType w:val="hybridMultilevel"/>
    <w:tmpl w:val="E36AF9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69702F"/>
    <w:multiLevelType w:val="hybridMultilevel"/>
    <w:tmpl w:val="E6B2DF38"/>
    <w:lvl w:ilvl="0" w:tplc="F26E286A">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E967D1"/>
    <w:multiLevelType w:val="hybridMultilevel"/>
    <w:tmpl w:val="E6CCC0C2"/>
    <w:lvl w:ilvl="0" w:tplc="7F6E00EC">
      <w:start w:val="1"/>
      <w:numFmt w:val="lowerRoman"/>
      <w:lvlText w:val="(%1)"/>
      <w:lvlJc w:val="righ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3F6329"/>
    <w:multiLevelType w:val="hybridMultilevel"/>
    <w:tmpl w:val="C01ED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04040C1"/>
    <w:multiLevelType w:val="hybridMultilevel"/>
    <w:tmpl w:val="F522BDF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nsid w:val="3186107C"/>
    <w:multiLevelType w:val="hybridMultilevel"/>
    <w:tmpl w:val="D2C67D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3EE7699"/>
    <w:multiLevelType w:val="hybridMultilevel"/>
    <w:tmpl w:val="4BA21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796D73"/>
    <w:multiLevelType w:val="hybridMultilevel"/>
    <w:tmpl w:val="457035E6"/>
    <w:lvl w:ilvl="0" w:tplc="C1DA4D2E">
      <w:start w:val="1"/>
      <w:numFmt w:val="upperRoman"/>
      <w:lvlText w:val="%1."/>
      <w:lvlJc w:val="righ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9F92A4B"/>
    <w:multiLevelType w:val="hybridMultilevel"/>
    <w:tmpl w:val="596E6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8784585"/>
    <w:multiLevelType w:val="hybridMultilevel"/>
    <w:tmpl w:val="2E8C2AEA"/>
    <w:lvl w:ilvl="0" w:tplc="B2387C82">
      <w:start w:val="1"/>
      <w:numFmt w:val="upperRoman"/>
      <w:lvlText w:val="%1."/>
      <w:lvlJc w:val="righ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1303905"/>
    <w:multiLevelType w:val="hybridMultilevel"/>
    <w:tmpl w:val="EC5C4E1E"/>
    <w:lvl w:ilvl="0" w:tplc="535ECAA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4474156"/>
    <w:multiLevelType w:val="hybridMultilevel"/>
    <w:tmpl w:val="974E2C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4"/>
  </w:num>
  <w:num w:numId="5">
    <w:abstractNumId w:val="7"/>
  </w:num>
  <w:num w:numId="6">
    <w:abstractNumId w:val="9"/>
  </w:num>
  <w:num w:numId="7">
    <w:abstractNumId w:val="12"/>
  </w:num>
  <w:num w:numId="8">
    <w:abstractNumId w:val="6"/>
  </w:num>
  <w:num w:numId="9">
    <w:abstractNumId w:val="10"/>
  </w:num>
  <w:num w:numId="10">
    <w:abstractNumId w:val="3"/>
  </w:num>
  <w:num w:numId="11">
    <w:abstractNumId w:val="8"/>
  </w:num>
  <w:num w:numId="12">
    <w:abstractNumId w:val="2"/>
  </w:num>
  <w:num w:numId="13">
    <w:abstractNumId w:val="15"/>
  </w:num>
  <w:num w:numId="14">
    <w:abstractNumId w:val="11"/>
  </w:num>
  <w:num w:numId="15">
    <w:abstractNumId w:val="5"/>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Short">
    <w15:presenceInfo w15:providerId="Windows Live" w15:userId="6d676f697385c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D9"/>
    <w:rsid w:val="0000129D"/>
    <w:rsid w:val="00003743"/>
    <w:rsid w:val="00006DE2"/>
    <w:rsid w:val="00024F9C"/>
    <w:rsid w:val="000251E0"/>
    <w:rsid w:val="00033A45"/>
    <w:rsid w:val="00045997"/>
    <w:rsid w:val="0004714E"/>
    <w:rsid w:val="00056626"/>
    <w:rsid w:val="00061588"/>
    <w:rsid w:val="00067456"/>
    <w:rsid w:val="000841DA"/>
    <w:rsid w:val="000B12BC"/>
    <w:rsid w:val="000C0E3E"/>
    <w:rsid w:val="000D59A4"/>
    <w:rsid w:val="000E7EDE"/>
    <w:rsid w:val="00110041"/>
    <w:rsid w:val="00116CCE"/>
    <w:rsid w:val="00125D1B"/>
    <w:rsid w:val="001310D3"/>
    <w:rsid w:val="001325F8"/>
    <w:rsid w:val="00142BB9"/>
    <w:rsid w:val="00145444"/>
    <w:rsid w:val="001461AB"/>
    <w:rsid w:val="00156157"/>
    <w:rsid w:val="00157264"/>
    <w:rsid w:val="0017402B"/>
    <w:rsid w:val="00174B6F"/>
    <w:rsid w:val="00182A8F"/>
    <w:rsid w:val="00192CB8"/>
    <w:rsid w:val="001B3443"/>
    <w:rsid w:val="001E618C"/>
    <w:rsid w:val="001F2CDD"/>
    <w:rsid w:val="002044FA"/>
    <w:rsid w:val="00206847"/>
    <w:rsid w:val="00211919"/>
    <w:rsid w:val="00216AB2"/>
    <w:rsid w:val="002418FE"/>
    <w:rsid w:val="00247F5F"/>
    <w:rsid w:val="00260BAF"/>
    <w:rsid w:val="002A74F4"/>
    <w:rsid w:val="002B2D57"/>
    <w:rsid w:val="002C23F8"/>
    <w:rsid w:val="002E22CB"/>
    <w:rsid w:val="002F3774"/>
    <w:rsid w:val="0030786C"/>
    <w:rsid w:val="00312D5A"/>
    <w:rsid w:val="00313263"/>
    <w:rsid w:val="00327F2F"/>
    <w:rsid w:val="00336FDF"/>
    <w:rsid w:val="0034049B"/>
    <w:rsid w:val="00360A89"/>
    <w:rsid w:val="003624C6"/>
    <w:rsid w:val="003701E0"/>
    <w:rsid w:val="00371611"/>
    <w:rsid w:val="003735EC"/>
    <w:rsid w:val="00382DA0"/>
    <w:rsid w:val="003849D4"/>
    <w:rsid w:val="003C2A9F"/>
    <w:rsid w:val="003D17F9"/>
    <w:rsid w:val="003D3C55"/>
    <w:rsid w:val="003D3C85"/>
    <w:rsid w:val="003D5645"/>
    <w:rsid w:val="003E0E74"/>
    <w:rsid w:val="003E232A"/>
    <w:rsid w:val="003E68C6"/>
    <w:rsid w:val="003E73C2"/>
    <w:rsid w:val="003F2F4C"/>
    <w:rsid w:val="00415D47"/>
    <w:rsid w:val="00421C7E"/>
    <w:rsid w:val="004241A8"/>
    <w:rsid w:val="004306D8"/>
    <w:rsid w:val="00435F2C"/>
    <w:rsid w:val="00455C41"/>
    <w:rsid w:val="00462EB7"/>
    <w:rsid w:val="00463848"/>
    <w:rsid w:val="00473795"/>
    <w:rsid w:val="00475BAE"/>
    <w:rsid w:val="004867E2"/>
    <w:rsid w:val="004A5AD2"/>
    <w:rsid w:val="004D70D7"/>
    <w:rsid w:val="004D7E1E"/>
    <w:rsid w:val="005404CA"/>
    <w:rsid w:val="00550739"/>
    <w:rsid w:val="00572A26"/>
    <w:rsid w:val="005748E4"/>
    <w:rsid w:val="0059100B"/>
    <w:rsid w:val="005A24AC"/>
    <w:rsid w:val="005A46C1"/>
    <w:rsid w:val="005A581E"/>
    <w:rsid w:val="005D6942"/>
    <w:rsid w:val="005F1D29"/>
    <w:rsid w:val="00617A05"/>
    <w:rsid w:val="006216B1"/>
    <w:rsid w:val="006465B8"/>
    <w:rsid w:val="006642A9"/>
    <w:rsid w:val="00664D63"/>
    <w:rsid w:val="00677C4E"/>
    <w:rsid w:val="00684BB2"/>
    <w:rsid w:val="00693547"/>
    <w:rsid w:val="00693D28"/>
    <w:rsid w:val="006A325F"/>
    <w:rsid w:val="006B6B02"/>
    <w:rsid w:val="006D64E2"/>
    <w:rsid w:val="006E1B4F"/>
    <w:rsid w:val="006E762D"/>
    <w:rsid w:val="006F1E6A"/>
    <w:rsid w:val="00714EB5"/>
    <w:rsid w:val="00724490"/>
    <w:rsid w:val="0072688B"/>
    <w:rsid w:val="00740BF9"/>
    <w:rsid w:val="00750BF6"/>
    <w:rsid w:val="00754FF1"/>
    <w:rsid w:val="00757D81"/>
    <w:rsid w:val="007641D7"/>
    <w:rsid w:val="0076555F"/>
    <w:rsid w:val="00770CB4"/>
    <w:rsid w:val="007822EA"/>
    <w:rsid w:val="0079262C"/>
    <w:rsid w:val="007A18E3"/>
    <w:rsid w:val="007B62CB"/>
    <w:rsid w:val="007B68CC"/>
    <w:rsid w:val="007C7335"/>
    <w:rsid w:val="007C75A7"/>
    <w:rsid w:val="007E79D6"/>
    <w:rsid w:val="007F3329"/>
    <w:rsid w:val="00810198"/>
    <w:rsid w:val="00810696"/>
    <w:rsid w:val="00816184"/>
    <w:rsid w:val="00824EE3"/>
    <w:rsid w:val="008264EB"/>
    <w:rsid w:val="00826D6D"/>
    <w:rsid w:val="00831AC3"/>
    <w:rsid w:val="00834C59"/>
    <w:rsid w:val="00836E27"/>
    <w:rsid w:val="00854B50"/>
    <w:rsid w:val="00860C53"/>
    <w:rsid w:val="00867CC6"/>
    <w:rsid w:val="008700CE"/>
    <w:rsid w:val="00884ECE"/>
    <w:rsid w:val="008A1B1C"/>
    <w:rsid w:val="008A58EB"/>
    <w:rsid w:val="008B047F"/>
    <w:rsid w:val="008B4B57"/>
    <w:rsid w:val="008E4D24"/>
    <w:rsid w:val="00914CBC"/>
    <w:rsid w:val="00915BEB"/>
    <w:rsid w:val="00931454"/>
    <w:rsid w:val="009A44C4"/>
    <w:rsid w:val="009B51D0"/>
    <w:rsid w:val="009B637E"/>
    <w:rsid w:val="009D028F"/>
    <w:rsid w:val="009D4345"/>
    <w:rsid w:val="009D4D84"/>
    <w:rsid w:val="009E158B"/>
    <w:rsid w:val="009E3813"/>
    <w:rsid w:val="009E74E2"/>
    <w:rsid w:val="009F387E"/>
    <w:rsid w:val="00A02E52"/>
    <w:rsid w:val="00A17689"/>
    <w:rsid w:val="00A30290"/>
    <w:rsid w:val="00A34263"/>
    <w:rsid w:val="00A34715"/>
    <w:rsid w:val="00A420EA"/>
    <w:rsid w:val="00A4512D"/>
    <w:rsid w:val="00A46476"/>
    <w:rsid w:val="00A60D0D"/>
    <w:rsid w:val="00A67627"/>
    <w:rsid w:val="00A705AF"/>
    <w:rsid w:val="00A971D1"/>
    <w:rsid w:val="00AB2BA7"/>
    <w:rsid w:val="00AC006E"/>
    <w:rsid w:val="00AD41E1"/>
    <w:rsid w:val="00AE4426"/>
    <w:rsid w:val="00AF51C5"/>
    <w:rsid w:val="00B04E2D"/>
    <w:rsid w:val="00B17CB1"/>
    <w:rsid w:val="00B22012"/>
    <w:rsid w:val="00B22062"/>
    <w:rsid w:val="00B36833"/>
    <w:rsid w:val="00B42851"/>
    <w:rsid w:val="00B47619"/>
    <w:rsid w:val="00B5412F"/>
    <w:rsid w:val="00B67654"/>
    <w:rsid w:val="00BA52D3"/>
    <w:rsid w:val="00BA5FE3"/>
    <w:rsid w:val="00BA7D68"/>
    <w:rsid w:val="00BB50AA"/>
    <w:rsid w:val="00BC6199"/>
    <w:rsid w:val="00BD14D7"/>
    <w:rsid w:val="00BD16CF"/>
    <w:rsid w:val="00BD6928"/>
    <w:rsid w:val="00BF422C"/>
    <w:rsid w:val="00C25D5E"/>
    <w:rsid w:val="00C46F60"/>
    <w:rsid w:val="00C722C8"/>
    <w:rsid w:val="00C7455E"/>
    <w:rsid w:val="00C95149"/>
    <w:rsid w:val="00C97675"/>
    <w:rsid w:val="00CA3E8D"/>
    <w:rsid w:val="00CB5B1A"/>
    <w:rsid w:val="00CC1C17"/>
    <w:rsid w:val="00CC69BA"/>
    <w:rsid w:val="00CE5A6C"/>
    <w:rsid w:val="00CF0594"/>
    <w:rsid w:val="00CF1E6C"/>
    <w:rsid w:val="00D02EC6"/>
    <w:rsid w:val="00D05498"/>
    <w:rsid w:val="00D32015"/>
    <w:rsid w:val="00D339E4"/>
    <w:rsid w:val="00D40B0A"/>
    <w:rsid w:val="00D54391"/>
    <w:rsid w:val="00D66A10"/>
    <w:rsid w:val="00D74F12"/>
    <w:rsid w:val="00DA7992"/>
    <w:rsid w:val="00DB247E"/>
    <w:rsid w:val="00DB48B6"/>
    <w:rsid w:val="00DC171F"/>
    <w:rsid w:val="00DC790B"/>
    <w:rsid w:val="00DD1382"/>
    <w:rsid w:val="00DE2875"/>
    <w:rsid w:val="00DE7DF8"/>
    <w:rsid w:val="00E02F08"/>
    <w:rsid w:val="00E23BF3"/>
    <w:rsid w:val="00E33E60"/>
    <w:rsid w:val="00E3615D"/>
    <w:rsid w:val="00E36CDC"/>
    <w:rsid w:val="00E409AE"/>
    <w:rsid w:val="00E4589A"/>
    <w:rsid w:val="00E51B92"/>
    <w:rsid w:val="00E61664"/>
    <w:rsid w:val="00E61D95"/>
    <w:rsid w:val="00E72AE6"/>
    <w:rsid w:val="00E73182"/>
    <w:rsid w:val="00E9774A"/>
    <w:rsid w:val="00EA1182"/>
    <w:rsid w:val="00EA30B1"/>
    <w:rsid w:val="00EA3AFB"/>
    <w:rsid w:val="00EA46F8"/>
    <w:rsid w:val="00EA690D"/>
    <w:rsid w:val="00EB5E6F"/>
    <w:rsid w:val="00EC6A63"/>
    <w:rsid w:val="00ED5F73"/>
    <w:rsid w:val="00ED6B33"/>
    <w:rsid w:val="00EE5BD9"/>
    <w:rsid w:val="00EE6CCF"/>
    <w:rsid w:val="00EE7F60"/>
    <w:rsid w:val="00EF01FF"/>
    <w:rsid w:val="00F1591C"/>
    <w:rsid w:val="00F20BF1"/>
    <w:rsid w:val="00F26DDD"/>
    <w:rsid w:val="00F35FCC"/>
    <w:rsid w:val="00F46B5C"/>
    <w:rsid w:val="00F4774B"/>
    <w:rsid w:val="00F521B9"/>
    <w:rsid w:val="00F630B3"/>
    <w:rsid w:val="00F70489"/>
    <w:rsid w:val="00F75ECB"/>
    <w:rsid w:val="00F80B89"/>
    <w:rsid w:val="00F82249"/>
    <w:rsid w:val="00F86338"/>
    <w:rsid w:val="00FA3673"/>
    <w:rsid w:val="00FB3022"/>
    <w:rsid w:val="00FB7696"/>
    <w:rsid w:val="00FC2C68"/>
    <w:rsid w:val="00FC3B75"/>
    <w:rsid w:val="00FE00F4"/>
    <w:rsid w:val="00FE3A27"/>
    <w:rsid w:val="00FE4CBE"/>
    <w:rsid w:val="00FE7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uiPriority w:val="22"/>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CommentReference">
    <w:name w:val="annotation reference"/>
    <w:basedOn w:val="DefaultParagraphFont"/>
    <w:rsid w:val="00AF51C5"/>
    <w:rPr>
      <w:sz w:val="16"/>
      <w:szCs w:val="16"/>
    </w:rPr>
  </w:style>
  <w:style w:type="paragraph" w:styleId="CommentText">
    <w:name w:val="annotation text"/>
    <w:basedOn w:val="Normal"/>
    <w:link w:val="CommentTextChar"/>
    <w:rsid w:val="00AF51C5"/>
    <w:rPr>
      <w:sz w:val="20"/>
      <w:szCs w:val="20"/>
    </w:rPr>
  </w:style>
  <w:style w:type="character" w:customStyle="1" w:styleId="CommentTextChar">
    <w:name w:val="Comment Text Char"/>
    <w:basedOn w:val="DefaultParagraphFont"/>
    <w:link w:val="CommentText"/>
    <w:rsid w:val="00AF51C5"/>
    <w:rPr>
      <w:lang w:eastAsia="en-US"/>
    </w:rPr>
  </w:style>
  <w:style w:type="paragraph" w:styleId="CommentSubject">
    <w:name w:val="annotation subject"/>
    <w:basedOn w:val="CommentText"/>
    <w:next w:val="CommentText"/>
    <w:link w:val="CommentSubjectChar"/>
    <w:rsid w:val="00AF51C5"/>
    <w:rPr>
      <w:b/>
      <w:bCs/>
    </w:rPr>
  </w:style>
  <w:style w:type="character" w:customStyle="1" w:styleId="CommentSubjectChar">
    <w:name w:val="Comment Subject Char"/>
    <w:basedOn w:val="CommentTextChar"/>
    <w:link w:val="CommentSubject"/>
    <w:rsid w:val="00AF51C5"/>
    <w:rPr>
      <w:b/>
      <w:bCs/>
      <w:lang w:eastAsia="en-US"/>
    </w:rPr>
  </w:style>
  <w:style w:type="paragraph" w:styleId="BalloonText">
    <w:name w:val="Balloon Text"/>
    <w:basedOn w:val="Normal"/>
    <w:link w:val="BalloonTextChar"/>
    <w:rsid w:val="00AF51C5"/>
    <w:rPr>
      <w:rFonts w:ascii="Tahoma" w:hAnsi="Tahoma" w:cs="Tahoma"/>
      <w:sz w:val="16"/>
      <w:szCs w:val="16"/>
    </w:rPr>
  </w:style>
  <w:style w:type="character" w:customStyle="1" w:styleId="BalloonTextChar">
    <w:name w:val="Balloon Text Char"/>
    <w:basedOn w:val="DefaultParagraphFont"/>
    <w:link w:val="BalloonText"/>
    <w:rsid w:val="00AF51C5"/>
    <w:rPr>
      <w:rFonts w:ascii="Tahoma" w:hAnsi="Tahoma" w:cs="Tahoma"/>
      <w:sz w:val="16"/>
      <w:szCs w:val="16"/>
      <w:lang w:eastAsia="en-US"/>
    </w:rPr>
  </w:style>
  <w:style w:type="character" w:customStyle="1" w:styleId="apple-converted-space">
    <w:name w:val="apple-converted-space"/>
    <w:basedOn w:val="DefaultParagraphFont"/>
    <w:rsid w:val="000251E0"/>
  </w:style>
  <w:style w:type="character" w:styleId="Hyperlink">
    <w:name w:val="Hyperlink"/>
    <w:basedOn w:val="DefaultParagraphFont"/>
    <w:rsid w:val="00371611"/>
    <w:rPr>
      <w:color w:val="0000FF" w:themeColor="hyperlink"/>
      <w:u w:val="single"/>
    </w:rPr>
  </w:style>
  <w:style w:type="paragraph" w:styleId="Header">
    <w:name w:val="header"/>
    <w:basedOn w:val="Normal"/>
    <w:link w:val="HeaderChar"/>
    <w:rsid w:val="00FC3B75"/>
    <w:pPr>
      <w:tabs>
        <w:tab w:val="center" w:pos="4513"/>
        <w:tab w:val="right" w:pos="9026"/>
      </w:tabs>
    </w:pPr>
  </w:style>
  <w:style w:type="character" w:customStyle="1" w:styleId="HeaderChar">
    <w:name w:val="Header Char"/>
    <w:basedOn w:val="DefaultParagraphFont"/>
    <w:link w:val="Header"/>
    <w:rsid w:val="00FC3B75"/>
    <w:rPr>
      <w:sz w:val="24"/>
      <w:szCs w:val="24"/>
      <w:lang w:eastAsia="en-US"/>
    </w:rPr>
  </w:style>
  <w:style w:type="paragraph" w:styleId="Footer">
    <w:name w:val="footer"/>
    <w:basedOn w:val="Normal"/>
    <w:link w:val="FooterChar"/>
    <w:uiPriority w:val="99"/>
    <w:rsid w:val="00FC3B75"/>
    <w:pPr>
      <w:tabs>
        <w:tab w:val="center" w:pos="4513"/>
        <w:tab w:val="right" w:pos="9026"/>
      </w:tabs>
    </w:pPr>
  </w:style>
  <w:style w:type="character" w:customStyle="1" w:styleId="FooterChar">
    <w:name w:val="Footer Char"/>
    <w:basedOn w:val="DefaultParagraphFont"/>
    <w:link w:val="Footer"/>
    <w:uiPriority w:val="99"/>
    <w:rsid w:val="00FC3B75"/>
    <w:rPr>
      <w:sz w:val="24"/>
      <w:szCs w:val="24"/>
      <w:lang w:eastAsia="en-US"/>
    </w:rPr>
  </w:style>
  <w:style w:type="paragraph" w:styleId="FootnoteText">
    <w:name w:val="footnote text"/>
    <w:basedOn w:val="Normal"/>
    <w:link w:val="FootnoteTextChar"/>
    <w:rsid w:val="006F1E6A"/>
    <w:rPr>
      <w:sz w:val="20"/>
      <w:szCs w:val="20"/>
    </w:rPr>
  </w:style>
  <w:style w:type="character" w:customStyle="1" w:styleId="FootnoteTextChar">
    <w:name w:val="Footnote Text Char"/>
    <w:basedOn w:val="DefaultParagraphFont"/>
    <w:link w:val="FootnoteText"/>
    <w:rsid w:val="006F1E6A"/>
    <w:rPr>
      <w:lang w:eastAsia="en-US"/>
    </w:rPr>
  </w:style>
  <w:style w:type="character" w:styleId="FootnoteReference">
    <w:name w:val="footnote reference"/>
    <w:basedOn w:val="DefaultParagraphFont"/>
    <w:rsid w:val="006F1E6A"/>
    <w:rPr>
      <w:vertAlign w:val="superscript"/>
    </w:rPr>
  </w:style>
  <w:style w:type="paragraph" w:styleId="Revision">
    <w:name w:val="Revision"/>
    <w:hidden/>
    <w:uiPriority w:val="99"/>
    <w:semiHidden/>
    <w:rsid w:val="00B3683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uiPriority w:val="22"/>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CommentReference">
    <w:name w:val="annotation reference"/>
    <w:basedOn w:val="DefaultParagraphFont"/>
    <w:rsid w:val="00AF51C5"/>
    <w:rPr>
      <w:sz w:val="16"/>
      <w:szCs w:val="16"/>
    </w:rPr>
  </w:style>
  <w:style w:type="paragraph" w:styleId="CommentText">
    <w:name w:val="annotation text"/>
    <w:basedOn w:val="Normal"/>
    <w:link w:val="CommentTextChar"/>
    <w:rsid w:val="00AF51C5"/>
    <w:rPr>
      <w:sz w:val="20"/>
      <w:szCs w:val="20"/>
    </w:rPr>
  </w:style>
  <w:style w:type="character" w:customStyle="1" w:styleId="CommentTextChar">
    <w:name w:val="Comment Text Char"/>
    <w:basedOn w:val="DefaultParagraphFont"/>
    <w:link w:val="CommentText"/>
    <w:rsid w:val="00AF51C5"/>
    <w:rPr>
      <w:lang w:eastAsia="en-US"/>
    </w:rPr>
  </w:style>
  <w:style w:type="paragraph" w:styleId="CommentSubject">
    <w:name w:val="annotation subject"/>
    <w:basedOn w:val="CommentText"/>
    <w:next w:val="CommentText"/>
    <w:link w:val="CommentSubjectChar"/>
    <w:rsid w:val="00AF51C5"/>
    <w:rPr>
      <w:b/>
      <w:bCs/>
    </w:rPr>
  </w:style>
  <w:style w:type="character" w:customStyle="1" w:styleId="CommentSubjectChar">
    <w:name w:val="Comment Subject Char"/>
    <w:basedOn w:val="CommentTextChar"/>
    <w:link w:val="CommentSubject"/>
    <w:rsid w:val="00AF51C5"/>
    <w:rPr>
      <w:b/>
      <w:bCs/>
      <w:lang w:eastAsia="en-US"/>
    </w:rPr>
  </w:style>
  <w:style w:type="paragraph" w:styleId="BalloonText">
    <w:name w:val="Balloon Text"/>
    <w:basedOn w:val="Normal"/>
    <w:link w:val="BalloonTextChar"/>
    <w:rsid w:val="00AF51C5"/>
    <w:rPr>
      <w:rFonts w:ascii="Tahoma" w:hAnsi="Tahoma" w:cs="Tahoma"/>
      <w:sz w:val="16"/>
      <w:szCs w:val="16"/>
    </w:rPr>
  </w:style>
  <w:style w:type="character" w:customStyle="1" w:styleId="BalloonTextChar">
    <w:name w:val="Balloon Text Char"/>
    <w:basedOn w:val="DefaultParagraphFont"/>
    <w:link w:val="BalloonText"/>
    <w:rsid w:val="00AF51C5"/>
    <w:rPr>
      <w:rFonts w:ascii="Tahoma" w:hAnsi="Tahoma" w:cs="Tahoma"/>
      <w:sz w:val="16"/>
      <w:szCs w:val="16"/>
      <w:lang w:eastAsia="en-US"/>
    </w:rPr>
  </w:style>
  <w:style w:type="character" w:customStyle="1" w:styleId="apple-converted-space">
    <w:name w:val="apple-converted-space"/>
    <w:basedOn w:val="DefaultParagraphFont"/>
    <w:rsid w:val="000251E0"/>
  </w:style>
  <w:style w:type="character" w:styleId="Hyperlink">
    <w:name w:val="Hyperlink"/>
    <w:basedOn w:val="DefaultParagraphFont"/>
    <w:rsid w:val="00371611"/>
    <w:rPr>
      <w:color w:val="0000FF" w:themeColor="hyperlink"/>
      <w:u w:val="single"/>
    </w:rPr>
  </w:style>
  <w:style w:type="paragraph" w:styleId="Header">
    <w:name w:val="header"/>
    <w:basedOn w:val="Normal"/>
    <w:link w:val="HeaderChar"/>
    <w:rsid w:val="00FC3B75"/>
    <w:pPr>
      <w:tabs>
        <w:tab w:val="center" w:pos="4513"/>
        <w:tab w:val="right" w:pos="9026"/>
      </w:tabs>
    </w:pPr>
  </w:style>
  <w:style w:type="character" w:customStyle="1" w:styleId="HeaderChar">
    <w:name w:val="Header Char"/>
    <w:basedOn w:val="DefaultParagraphFont"/>
    <w:link w:val="Header"/>
    <w:rsid w:val="00FC3B75"/>
    <w:rPr>
      <w:sz w:val="24"/>
      <w:szCs w:val="24"/>
      <w:lang w:eastAsia="en-US"/>
    </w:rPr>
  </w:style>
  <w:style w:type="paragraph" w:styleId="Footer">
    <w:name w:val="footer"/>
    <w:basedOn w:val="Normal"/>
    <w:link w:val="FooterChar"/>
    <w:uiPriority w:val="99"/>
    <w:rsid w:val="00FC3B75"/>
    <w:pPr>
      <w:tabs>
        <w:tab w:val="center" w:pos="4513"/>
        <w:tab w:val="right" w:pos="9026"/>
      </w:tabs>
    </w:pPr>
  </w:style>
  <w:style w:type="character" w:customStyle="1" w:styleId="FooterChar">
    <w:name w:val="Footer Char"/>
    <w:basedOn w:val="DefaultParagraphFont"/>
    <w:link w:val="Footer"/>
    <w:uiPriority w:val="99"/>
    <w:rsid w:val="00FC3B75"/>
    <w:rPr>
      <w:sz w:val="24"/>
      <w:szCs w:val="24"/>
      <w:lang w:eastAsia="en-US"/>
    </w:rPr>
  </w:style>
  <w:style w:type="paragraph" w:styleId="FootnoteText">
    <w:name w:val="footnote text"/>
    <w:basedOn w:val="Normal"/>
    <w:link w:val="FootnoteTextChar"/>
    <w:rsid w:val="006F1E6A"/>
    <w:rPr>
      <w:sz w:val="20"/>
      <w:szCs w:val="20"/>
    </w:rPr>
  </w:style>
  <w:style w:type="character" w:customStyle="1" w:styleId="FootnoteTextChar">
    <w:name w:val="Footnote Text Char"/>
    <w:basedOn w:val="DefaultParagraphFont"/>
    <w:link w:val="FootnoteText"/>
    <w:rsid w:val="006F1E6A"/>
    <w:rPr>
      <w:lang w:eastAsia="en-US"/>
    </w:rPr>
  </w:style>
  <w:style w:type="character" w:styleId="FootnoteReference">
    <w:name w:val="footnote reference"/>
    <w:basedOn w:val="DefaultParagraphFont"/>
    <w:rsid w:val="006F1E6A"/>
    <w:rPr>
      <w:vertAlign w:val="superscript"/>
    </w:rPr>
  </w:style>
  <w:style w:type="paragraph" w:styleId="Revision">
    <w:name w:val="Revision"/>
    <w:hidden/>
    <w:uiPriority w:val="99"/>
    <w:semiHidden/>
    <w:rsid w:val="00B368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98852-2823-4796-9537-E4EB2FFB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Morgan</dc:creator>
  <cp:lastModifiedBy>Australia</cp:lastModifiedBy>
  <cp:revision>4</cp:revision>
  <cp:lastPrinted>2015-12-17T04:14:00Z</cp:lastPrinted>
  <dcterms:created xsi:type="dcterms:W3CDTF">2016-06-21T02:13:00Z</dcterms:created>
  <dcterms:modified xsi:type="dcterms:W3CDTF">2016-07-05T00:44:00Z</dcterms:modified>
</cp:coreProperties>
</file>