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6BEC4" w14:textId="77777777" w:rsidR="00E153E0" w:rsidRPr="00376A6E" w:rsidRDefault="00E153E0" w:rsidP="00E153E0">
      <w:pPr>
        <w:pStyle w:val="ListParagraph"/>
        <w:adjustRightInd w:val="0"/>
        <w:snapToGrid w:val="0"/>
        <w:ind w:left="0"/>
        <w:jc w:val="right"/>
        <w:rPr>
          <w:rFonts w:asciiTheme="majorHAnsi" w:hAnsiTheme="majorHAnsi" w:cstheme="majorHAnsi"/>
          <w:noProof/>
          <w:lang w:eastAsia="zh-CN"/>
        </w:rPr>
      </w:pPr>
      <w:r w:rsidRPr="00376A6E">
        <w:rPr>
          <w:rFonts w:asciiTheme="majorHAnsi" w:hAnsiTheme="majorHAnsi" w:cstheme="majorHAnsi"/>
          <w:noProof/>
          <w:lang w:eastAsia="zh-CN"/>
        </w:rPr>
        <w:drawing>
          <wp:anchor distT="0" distB="0" distL="114300" distR="114300" simplePos="0" relativeHeight="251659264" behindDoc="0" locked="0" layoutInCell="0" hidden="0" allowOverlap="1" wp14:anchorId="2675E241" wp14:editId="1375A518">
            <wp:simplePos x="0" y="0"/>
            <wp:positionH relativeFrom="margin">
              <wp:align>left</wp:align>
            </wp:positionH>
            <wp:positionV relativeFrom="paragraph">
              <wp:posOffset>6985</wp:posOffset>
            </wp:positionV>
            <wp:extent cx="1175385" cy="902970"/>
            <wp:effectExtent l="0" t="0" r="5715"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175385" cy="902970"/>
                    </a:xfrm>
                    <a:prstGeom prst="rect">
                      <a:avLst/>
                    </a:prstGeom>
                    <a:ln/>
                  </pic:spPr>
                </pic:pic>
              </a:graphicData>
            </a:graphic>
            <wp14:sizeRelH relativeFrom="margin">
              <wp14:pctWidth>0</wp14:pctWidth>
            </wp14:sizeRelH>
            <wp14:sizeRelV relativeFrom="margin">
              <wp14:pctHeight>0</wp14:pctHeight>
            </wp14:sizeRelV>
          </wp:anchor>
        </w:drawing>
      </w:r>
      <w:r w:rsidRPr="00376A6E">
        <w:rPr>
          <w:rFonts w:asciiTheme="majorHAnsi" w:hAnsiTheme="majorHAnsi" w:cstheme="majorHAnsi"/>
          <w:noProof/>
        </w:rPr>
        <w:drawing>
          <wp:inline distT="0" distB="0" distL="0" distR="0" wp14:anchorId="234B3627" wp14:editId="176944FF">
            <wp:extent cx="1220004" cy="946298"/>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5250" cy="981393"/>
                    </a:xfrm>
                    <a:prstGeom prst="rect">
                      <a:avLst/>
                    </a:prstGeom>
                    <a:noFill/>
                    <a:ln>
                      <a:noFill/>
                    </a:ln>
                  </pic:spPr>
                </pic:pic>
              </a:graphicData>
            </a:graphic>
          </wp:inline>
        </w:drawing>
      </w:r>
    </w:p>
    <w:p w14:paraId="36516448" w14:textId="77777777" w:rsidR="00E153E0" w:rsidRPr="00376A6E" w:rsidRDefault="00E153E0" w:rsidP="00E153E0">
      <w:pPr>
        <w:pStyle w:val="ListParagraph"/>
        <w:adjustRightInd w:val="0"/>
        <w:snapToGrid w:val="0"/>
        <w:ind w:left="0"/>
        <w:rPr>
          <w:rFonts w:asciiTheme="majorHAnsi" w:hAnsiTheme="majorHAnsi" w:cstheme="majorHAnsi"/>
          <w:noProof/>
          <w:lang w:eastAsia="zh-CN"/>
        </w:rPr>
      </w:pPr>
    </w:p>
    <w:p w14:paraId="6B80FA64" w14:textId="77777777" w:rsidR="00E153E0" w:rsidRPr="00376A6E" w:rsidRDefault="00E153E0" w:rsidP="00E153E0">
      <w:pPr>
        <w:pStyle w:val="ListParagraph"/>
        <w:adjustRightInd w:val="0"/>
        <w:snapToGrid w:val="0"/>
        <w:ind w:left="0"/>
        <w:rPr>
          <w:rFonts w:asciiTheme="majorHAnsi" w:hAnsiTheme="majorHAnsi" w:cstheme="majorHAnsi"/>
          <w:noProof/>
          <w:lang w:eastAsia="zh-CN"/>
        </w:rPr>
      </w:pPr>
    </w:p>
    <w:p w14:paraId="4E12BF2B" w14:textId="77777777" w:rsidR="00E153E0" w:rsidRPr="00376A6E" w:rsidRDefault="00E153E0" w:rsidP="00E153E0">
      <w:pPr>
        <w:pStyle w:val="ListParagraph"/>
        <w:adjustRightInd w:val="0"/>
        <w:snapToGrid w:val="0"/>
        <w:ind w:left="0"/>
        <w:rPr>
          <w:rFonts w:asciiTheme="majorHAnsi" w:hAnsiTheme="majorHAnsi" w:cstheme="majorHAnsi"/>
          <w:noProof/>
          <w:lang w:eastAsia="zh-CN"/>
        </w:rPr>
      </w:pPr>
    </w:p>
    <w:p w14:paraId="403CC3BD" w14:textId="77777777" w:rsidR="00E153E0" w:rsidRPr="00376A6E" w:rsidRDefault="00E153E0" w:rsidP="00E153E0">
      <w:pPr>
        <w:pStyle w:val="ListParagraph"/>
        <w:adjustRightInd w:val="0"/>
        <w:snapToGrid w:val="0"/>
        <w:ind w:left="0"/>
        <w:rPr>
          <w:rFonts w:asciiTheme="majorHAnsi" w:hAnsiTheme="majorHAnsi" w:cstheme="majorHAnsi"/>
          <w:noProof/>
          <w:lang w:eastAsia="zh-CN"/>
        </w:rPr>
      </w:pPr>
    </w:p>
    <w:p w14:paraId="6C2D77EB" w14:textId="275E5547" w:rsidR="00336AE8" w:rsidRPr="00376A6E" w:rsidRDefault="00336AE8" w:rsidP="00E153E0">
      <w:pPr>
        <w:pStyle w:val="ListParagraph"/>
        <w:adjustRightInd w:val="0"/>
        <w:snapToGrid w:val="0"/>
        <w:ind w:left="0"/>
        <w:jc w:val="center"/>
        <w:rPr>
          <w:rFonts w:asciiTheme="majorHAnsi" w:hAnsiTheme="majorHAnsi" w:cstheme="majorHAnsi"/>
          <w:b/>
          <w:sz w:val="28"/>
          <w:szCs w:val="24"/>
          <w:lang w:val="en-US"/>
        </w:rPr>
      </w:pPr>
    </w:p>
    <w:p w14:paraId="68FA55A3" w14:textId="66B44E0A" w:rsidR="00336AE8" w:rsidRPr="00376A6E" w:rsidRDefault="00336AE8" w:rsidP="00E153E0">
      <w:pPr>
        <w:pStyle w:val="ListParagraph"/>
        <w:adjustRightInd w:val="0"/>
        <w:snapToGrid w:val="0"/>
        <w:ind w:left="0"/>
        <w:jc w:val="center"/>
        <w:rPr>
          <w:rFonts w:asciiTheme="majorHAnsi" w:hAnsiTheme="majorHAnsi" w:cstheme="majorHAnsi"/>
          <w:b/>
          <w:sz w:val="28"/>
          <w:szCs w:val="24"/>
          <w:lang w:val="en-US"/>
        </w:rPr>
      </w:pPr>
    </w:p>
    <w:p w14:paraId="2E22D131" w14:textId="08C00C70" w:rsidR="00336AE8" w:rsidRPr="00376A6E" w:rsidRDefault="00336AE8" w:rsidP="00E153E0">
      <w:pPr>
        <w:pStyle w:val="ListParagraph"/>
        <w:adjustRightInd w:val="0"/>
        <w:snapToGrid w:val="0"/>
        <w:ind w:left="0"/>
        <w:jc w:val="center"/>
        <w:rPr>
          <w:rFonts w:asciiTheme="majorHAnsi" w:hAnsiTheme="majorHAnsi" w:cstheme="majorHAnsi"/>
          <w:b/>
          <w:sz w:val="28"/>
          <w:szCs w:val="24"/>
          <w:lang w:val="en-US"/>
        </w:rPr>
      </w:pPr>
      <w:bookmarkStart w:id="0" w:name="_GoBack"/>
      <w:bookmarkEnd w:id="0"/>
    </w:p>
    <w:p w14:paraId="1868F7B2" w14:textId="77777777" w:rsidR="00336AE8" w:rsidRPr="00376A6E" w:rsidRDefault="00336AE8" w:rsidP="00336AE8">
      <w:pPr>
        <w:spacing w:line="300" w:lineRule="auto"/>
        <w:jc w:val="center"/>
        <w:rPr>
          <w:rFonts w:asciiTheme="majorHAnsi" w:eastAsia="Times New Roman" w:hAnsiTheme="majorHAnsi" w:cstheme="majorHAnsi"/>
          <w:b/>
          <w:color w:val="333333"/>
          <w:sz w:val="36"/>
          <w:szCs w:val="36"/>
          <w:lang w:val="en-US"/>
        </w:rPr>
      </w:pPr>
      <w:r w:rsidRPr="00376A6E">
        <w:rPr>
          <w:rFonts w:asciiTheme="majorHAnsi" w:eastAsia="Times New Roman" w:hAnsiTheme="majorHAnsi" w:cstheme="majorHAnsi"/>
          <w:b/>
          <w:color w:val="333333"/>
          <w:sz w:val="36"/>
          <w:szCs w:val="36"/>
          <w:lang w:val="en-US"/>
        </w:rPr>
        <w:t>APEC High Level Policy Dialogue on Agricultural Biotechnology (HLPDAB)</w:t>
      </w:r>
    </w:p>
    <w:p w14:paraId="0DF3234F" w14:textId="77777777" w:rsidR="00336AE8" w:rsidRPr="00376A6E" w:rsidRDefault="00336AE8" w:rsidP="00336AE8">
      <w:pPr>
        <w:spacing w:line="300" w:lineRule="auto"/>
        <w:jc w:val="center"/>
        <w:rPr>
          <w:rFonts w:asciiTheme="majorHAnsi" w:eastAsia="Times New Roman" w:hAnsiTheme="majorHAnsi" w:cstheme="majorHAnsi"/>
          <w:b/>
          <w:color w:val="333333"/>
          <w:sz w:val="36"/>
          <w:szCs w:val="36"/>
          <w:lang w:val="en-US"/>
        </w:rPr>
      </w:pPr>
      <w:r w:rsidRPr="00376A6E">
        <w:rPr>
          <w:rFonts w:asciiTheme="majorHAnsi" w:eastAsia="Times New Roman" w:hAnsiTheme="majorHAnsi" w:cstheme="majorHAnsi"/>
          <w:b/>
          <w:color w:val="333333"/>
          <w:sz w:val="36"/>
          <w:szCs w:val="36"/>
          <w:lang w:val="en-US"/>
        </w:rPr>
        <w:t>Work Plan 2021</w:t>
      </w:r>
    </w:p>
    <w:p w14:paraId="2F94C391" w14:textId="77777777" w:rsidR="00E153E0" w:rsidRPr="00376A6E" w:rsidRDefault="00E153E0" w:rsidP="00E153E0">
      <w:pPr>
        <w:pStyle w:val="ListParagraph"/>
        <w:adjustRightInd w:val="0"/>
        <w:snapToGrid w:val="0"/>
        <w:ind w:left="0"/>
        <w:jc w:val="center"/>
        <w:rPr>
          <w:rFonts w:asciiTheme="majorHAnsi" w:hAnsiTheme="majorHAnsi" w:cstheme="majorHAnsi"/>
          <w:b/>
          <w:sz w:val="36"/>
          <w:szCs w:val="36"/>
          <w:lang w:val="en-US"/>
        </w:rPr>
      </w:pPr>
    </w:p>
    <w:p w14:paraId="45C8747D" w14:textId="439E57A7" w:rsidR="00E153E0" w:rsidRPr="00376A6E" w:rsidRDefault="00E153E0" w:rsidP="00E153E0">
      <w:pPr>
        <w:pStyle w:val="ListParagraph"/>
        <w:adjustRightInd w:val="0"/>
        <w:snapToGrid w:val="0"/>
        <w:ind w:left="0"/>
        <w:jc w:val="center"/>
        <w:rPr>
          <w:rFonts w:asciiTheme="majorHAnsi" w:hAnsiTheme="majorHAnsi" w:cstheme="majorHAnsi"/>
          <w:sz w:val="36"/>
          <w:szCs w:val="36"/>
          <w:lang w:val="en-US"/>
        </w:rPr>
      </w:pPr>
    </w:p>
    <w:p w14:paraId="2C958639" w14:textId="7F4B0967" w:rsidR="00336AE8" w:rsidRPr="00376A6E" w:rsidRDefault="00336AE8" w:rsidP="00E153E0">
      <w:pPr>
        <w:pStyle w:val="ListParagraph"/>
        <w:adjustRightInd w:val="0"/>
        <w:snapToGrid w:val="0"/>
        <w:ind w:left="0"/>
        <w:jc w:val="center"/>
        <w:rPr>
          <w:rFonts w:asciiTheme="majorHAnsi" w:hAnsiTheme="majorHAnsi" w:cstheme="majorHAnsi"/>
          <w:sz w:val="36"/>
          <w:szCs w:val="36"/>
          <w:lang w:val="en-US"/>
        </w:rPr>
      </w:pPr>
    </w:p>
    <w:p w14:paraId="7CB4A64E" w14:textId="395D0223" w:rsidR="00336AE8" w:rsidRPr="00376A6E" w:rsidRDefault="00336AE8" w:rsidP="00E153E0">
      <w:pPr>
        <w:pStyle w:val="ListParagraph"/>
        <w:adjustRightInd w:val="0"/>
        <w:snapToGrid w:val="0"/>
        <w:ind w:left="0"/>
        <w:jc w:val="center"/>
        <w:rPr>
          <w:rFonts w:asciiTheme="majorHAnsi" w:hAnsiTheme="majorHAnsi" w:cstheme="majorHAnsi"/>
          <w:sz w:val="36"/>
          <w:szCs w:val="36"/>
          <w:lang w:val="en-US"/>
        </w:rPr>
      </w:pPr>
    </w:p>
    <w:p w14:paraId="4027BFAC" w14:textId="77777777" w:rsidR="00336AE8" w:rsidRPr="00376A6E" w:rsidRDefault="00336AE8" w:rsidP="00E153E0">
      <w:pPr>
        <w:pStyle w:val="ListParagraph"/>
        <w:adjustRightInd w:val="0"/>
        <w:snapToGrid w:val="0"/>
        <w:ind w:left="0"/>
        <w:jc w:val="center"/>
        <w:rPr>
          <w:rFonts w:asciiTheme="majorHAnsi" w:hAnsiTheme="majorHAnsi" w:cstheme="majorHAnsi"/>
          <w:sz w:val="36"/>
          <w:szCs w:val="36"/>
          <w:lang w:val="en-US"/>
        </w:rPr>
      </w:pPr>
    </w:p>
    <w:p w14:paraId="3629A82B" w14:textId="77777777" w:rsidR="00E153E0" w:rsidRPr="00376A6E" w:rsidRDefault="00E153E0" w:rsidP="00E153E0">
      <w:pPr>
        <w:pStyle w:val="ListParagraph"/>
        <w:adjustRightInd w:val="0"/>
        <w:snapToGrid w:val="0"/>
        <w:ind w:left="0"/>
        <w:jc w:val="center"/>
        <w:rPr>
          <w:rFonts w:asciiTheme="majorHAnsi" w:hAnsiTheme="majorHAnsi" w:cstheme="majorHAnsi"/>
          <w:sz w:val="36"/>
          <w:szCs w:val="36"/>
          <w:lang w:val="en-US"/>
        </w:rPr>
      </w:pPr>
      <w:r w:rsidRPr="00376A6E">
        <w:rPr>
          <w:rFonts w:asciiTheme="majorHAnsi" w:hAnsiTheme="majorHAnsi" w:cstheme="majorHAnsi"/>
          <w:sz w:val="36"/>
          <w:szCs w:val="36"/>
          <w:lang w:val="en-US"/>
        </w:rPr>
        <w:t>Purpose: consideration and comment</w:t>
      </w:r>
    </w:p>
    <w:p w14:paraId="77253B68" w14:textId="24788245" w:rsidR="00E153E0" w:rsidRPr="00376A6E" w:rsidRDefault="00E153E0" w:rsidP="00E153E0">
      <w:pPr>
        <w:pStyle w:val="ListParagraph"/>
        <w:adjustRightInd w:val="0"/>
        <w:snapToGrid w:val="0"/>
        <w:ind w:left="0"/>
        <w:jc w:val="center"/>
        <w:rPr>
          <w:rFonts w:asciiTheme="majorHAnsi" w:hAnsiTheme="majorHAnsi" w:cstheme="majorHAnsi"/>
          <w:sz w:val="36"/>
          <w:szCs w:val="36"/>
          <w:lang w:val="en-US"/>
        </w:rPr>
      </w:pPr>
      <w:r w:rsidRPr="00376A6E">
        <w:rPr>
          <w:rFonts w:asciiTheme="majorHAnsi" w:hAnsiTheme="majorHAnsi" w:cstheme="majorHAnsi"/>
          <w:sz w:val="36"/>
          <w:szCs w:val="36"/>
          <w:lang w:val="en-US"/>
        </w:rPr>
        <w:t>Submitted by: HLPDAB Chair</w:t>
      </w:r>
    </w:p>
    <w:p w14:paraId="3E2A4DAF" w14:textId="77F30A63" w:rsidR="00336AE8" w:rsidRPr="00376A6E" w:rsidRDefault="00336AE8" w:rsidP="00E153E0">
      <w:pPr>
        <w:pStyle w:val="ListParagraph"/>
        <w:adjustRightInd w:val="0"/>
        <w:snapToGrid w:val="0"/>
        <w:ind w:left="0"/>
        <w:jc w:val="center"/>
        <w:rPr>
          <w:rFonts w:asciiTheme="majorHAnsi" w:hAnsiTheme="majorHAnsi" w:cstheme="majorHAnsi"/>
          <w:sz w:val="36"/>
          <w:szCs w:val="36"/>
          <w:lang w:val="en-US"/>
        </w:rPr>
      </w:pPr>
    </w:p>
    <w:p w14:paraId="41E273AC" w14:textId="277C6321" w:rsidR="00336AE8" w:rsidRPr="00376A6E" w:rsidRDefault="00336AE8" w:rsidP="00E153E0">
      <w:pPr>
        <w:pStyle w:val="ListParagraph"/>
        <w:adjustRightInd w:val="0"/>
        <w:snapToGrid w:val="0"/>
        <w:ind w:left="0"/>
        <w:jc w:val="center"/>
        <w:rPr>
          <w:rFonts w:asciiTheme="majorHAnsi" w:hAnsiTheme="majorHAnsi" w:cstheme="majorHAnsi"/>
          <w:sz w:val="36"/>
          <w:szCs w:val="36"/>
          <w:lang w:val="en-US"/>
        </w:rPr>
      </w:pPr>
    </w:p>
    <w:p w14:paraId="3E73EE16" w14:textId="008186B5" w:rsidR="00336AE8" w:rsidRPr="00376A6E" w:rsidRDefault="00336AE8" w:rsidP="00E153E0">
      <w:pPr>
        <w:pStyle w:val="ListParagraph"/>
        <w:adjustRightInd w:val="0"/>
        <w:snapToGrid w:val="0"/>
        <w:ind w:left="0"/>
        <w:jc w:val="center"/>
        <w:rPr>
          <w:rFonts w:asciiTheme="majorHAnsi" w:hAnsiTheme="majorHAnsi" w:cstheme="majorHAnsi"/>
          <w:sz w:val="36"/>
          <w:szCs w:val="36"/>
          <w:lang w:val="en-US"/>
        </w:rPr>
      </w:pPr>
    </w:p>
    <w:p w14:paraId="04197086" w14:textId="5EFE82F2" w:rsidR="00336AE8" w:rsidRPr="00376A6E" w:rsidRDefault="00336AE8" w:rsidP="00E153E0">
      <w:pPr>
        <w:pStyle w:val="ListParagraph"/>
        <w:adjustRightInd w:val="0"/>
        <w:snapToGrid w:val="0"/>
        <w:ind w:left="0"/>
        <w:jc w:val="center"/>
        <w:rPr>
          <w:rFonts w:asciiTheme="majorHAnsi" w:hAnsiTheme="majorHAnsi" w:cstheme="majorHAnsi"/>
          <w:sz w:val="36"/>
          <w:szCs w:val="36"/>
          <w:lang w:val="en-US"/>
        </w:rPr>
      </w:pPr>
    </w:p>
    <w:p w14:paraId="64F26113" w14:textId="77777777" w:rsidR="00336AE8" w:rsidRPr="00376A6E" w:rsidRDefault="00336AE8" w:rsidP="00E153E0">
      <w:pPr>
        <w:pStyle w:val="ListParagraph"/>
        <w:adjustRightInd w:val="0"/>
        <w:snapToGrid w:val="0"/>
        <w:ind w:left="0"/>
        <w:jc w:val="center"/>
        <w:rPr>
          <w:rFonts w:asciiTheme="majorHAnsi" w:hAnsiTheme="majorHAnsi" w:cstheme="majorHAnsi"/>
          <w:sz w:val="36"/>
          <w:szCs w:val="36"/>
          <w:lang w:val="en-US"/>
        </w:rPr>
      </w:pPr>
    </w:p>
    <w:p w14:paraId="54A5CC74" w14:textId="4C7E8F0E" w:rsidR="00E153E0" w:rsidRPr="00376A6E" w:rsidRDefault="00E153E0" w:rsidP="00E55A05">
      <w:pPr>
        <w:jc w:val="center"/>
        <w:rPr>
          <w:rFonts w:asciiTheme="majorHAnsi" w:eastAsiaTheme="majorEastAsia" w:hAnsiTheme="majorHAnsi" w:cstheme="majorHAnsi"/>
          <w:spacing w:val="-10"/>
          <w:kern w:val="28"/>
          <w:sz w:val="32"/>
          <w:szCs w:val="32"/>
        </w:rPr>
      </w:pPr>
      <w:r w:rsidRPr="00376A6E">
        <w:rPr>
          <w:rFonts w:asciiTheme="majorHAnsi" w:hAnsiTheme="majorHAnsi" w:cstheme="majorHAnsi"/>
          <w:sz w:val="32"/>
          <w:szCs w:val="32"/>
        </w:rPr>
        <w:br w:type="page"/>
      </w:r>
      <w:r w:rsidRPr="00376A6E">
        <w:rPr>
          <w:rFonts w:asciiTheme="majorHAnsi" w:hAnsiTheme="majorHAnsi" w:cstheme="majorHAnsi"/>
          <w:sz w:val="32"/>
          <w:szCs w:val="32"/>
        </w:rPr>
        <w:lastRenderedPageBreak/>
        <w:t>APEC High Level Policy Dialogue on Agricultural Biotechnology (HLPBAD)</w:t>
      </w:r>
    </w:p>
    <w:p w14:paraId="77A15DAC" w14:textId="77777777" w:rsidR="00E153E0" w:rsidRPr="00376A6E" w:rsidRDefault="00E153E0" w:rsidP="00E153E0">
      <w:pPr>
        <w:pStyle w:val="Title"/>
        <w:jc w:val="center"/>
        <w:rPr>
          <w:rFonts w:cstheme="majorHAnsi"/>
          <w:sz w:val="32"/>
          <w:szCs w:val="32"/>
        </w:rPr>
      </w:pPr>
      <w:r w:rsidRPr="00376A6E">
        <w:rPr>
          <w:rFonts w:cstheme="majorHAnsi"/>
          <w:sz w:val="32"/>
          <w:szCs w:val="32"/>
        </w:rPr>
        <w:t>Workplan for 2021</w:t>
      </w:r>
    </w:p>
    <w:p w14:paraId="04938008" w14:textId="77777777" w:rsidR="00E153E0" w:rsidRPr="00376A6E" w:rsidRDefault="00E153E0" w:rsidP="00E153E0">
      <w:pPr>
        <w:spacing w:after="0" w:line="360" w:lineRule="auto"/>
        <w:rPr>
          <w:rFonts w:asciiTheme="majorHAnsi" w:hAnsiTheme="majorHAnsi" w:cstheme="majorHAnsi"/>
        </w:rPr>
      </w:pPr>
    </w:p>
    <w:p w14:paraId="7B9E9AA7" w14:textId="3425E690" w:rsidR="00E153E0" w:rsidRPr="00376A6E" w:rsidRDefault="00F21B96" w:rsidP="00376A6E">
      <w:pPr>
        <w:pStyle w:val="Heading2"/>
        <w:spacing w:before="0" w:line="360" w:lineRule="auto"/>
        <w:rPr>
          <w:rFonts w:cstheme="majorHAnsi"/>
        </w:rPr>
      </w:pPr>
      <w:r w:rsidRPr="00376A6E">
        <w:rPr>
          <w:rFonts w:cstheme="majorHAnsi"/>
        </w:rPr>
        <w:t xml:space="preserve">1. </w:t>
      </w:r>
      <w:r w:rsidR="00E153E0" w:rsidRPr="00376A6E">
        <w:rPr>
          <w:rFonts w:cstheme="majorHAnsi"/>
        </w:rPr>
        <w:t>Introduction</w:t>
      </w:r>
    </w:p>
    <w:p w14:paraId="1465BDCF" w14:textId="03C13C40" w:rsidR="0010007E" w:rsidRDefault="0010007E" w:rsidP="00376A6E">
      <w:pPr>
        <w:spacing w:line="360" w:lineRule="auto"/>
        <w:jc w:val="both"/>
        <w:rPr>
          <w:rFonts w:asciiTheme="majorHAnsi" w:hAnsiTheme="majorHAnsi" w:cstheme="majorHAnsi"/>
          <w:sz w:val="24"/>
          <w:szCs w:val="24"/>
        </w:rPr>
      </w:pPr>
      <w:r w:rsidRPr="00376A6E">
        <w:rPr>
          <w:rFonts w:asciiTheme="majorHAnsi" w:hAnsiTheme="majorHAnsi" w:cstheme="majorHAnsi"/>
          <w:sz w:val="24"/>
          <w:szCs w:val="24"/>
        </w:rPr>
        <w:t>In 202</w:t>
      </w:r>
      <w:r w:rsidR="00336AE8" w:rsidRPr="00376A6E">
        <w:rPr>
          <w:rFonts w:asciiTheme="majorHAnsi" w:hAnsiTheme="majorHAnsi" w:cstheme="majorHAnsi"/>
          <w:sz w:val="24"/>
          <w:szCs w:val="24"/>
        </w:rPr>
        <w:t>1</w:t>
      </w:r>
      <w:r w:rsidRPr="00376A6E">
        <w:rPr>
          <w:rFonts w:asciiTheme="majorHAnsi" w:hAnsiTheme="majorHAnsi" w:cstheme="majorHAnsi"/>
          <w:sz w:val="24"/>
          <w:szCs w:val="24"/>
        </w:rPr>
        <w:t xml:space="preserve">, the High Level Policy Dialogue on Agricultural Biotechnology (HLPDAB) will conduct a sequence of activities that aim to respond to APEC Leaders’ Declarations, Ministerial and High-Level statements, decisions of Senior Officials and, where appropriate, APEC Business Advisory Council (ABAC) recommendations. The HLPDAB will continue to implement the </w:t>
      </w:r>
      <w:proofErr w:type="spellStart"/>
      <w:r w:rsidRPr="00376A6E">
        <w:rPr>
          <w:rFonts w:asciiTheme="majorHAnsi" w:hAnsiTheme="majorHAnsi" w:cstheme="majorHAnsi"/>
          <w:sz w:val="24"/>
          <w:szCs w:val="24"/>
        </w:rPr>
        <w:t>Nigata</w:t>
      </w:r>
      <w:proofErr w:type="spellEnd"/>
      <w:r w:rsidRPr="00376A6E">
        <w:rPr>
          <w:rFonts w:asciiTheme="majorHAnsi" w:hAnsiTheme="majorHAnsi" w:cstheme="majorHAnsi"/>
          <w:sz w:val="24"/>
          <w:szCs w:val="24"/>
        </w:rPr>
        <w:t xml:space="preserve"> Declaration on APEC Food Security (2010), the Kazan Declaration on APEC Food Security (2012), the Beijing Declaration on APEC Food Security (2014), the Piura Declaration on APEC Food Security (2016), the Can </w:t>
      </w:r>
      <w:proofErr w:type="spellStart"/>
      <w:r w:rsidRPr="00376A6E">
        <w:rPr>
          <w:rFonts w:asciiTheme="majorHAnsi" w:hAnsiTheme="majorHAnsi" w:cstheme="majorHAnsi"/>
          <w:sz w:val="24"/>
          <w:szCs w:val="24"/>
        </w:rPr>
        <w:t>Tho</w:t>
      </w:r>
      <w:proofErr w:type="spellEnd"/>
      <w:r w:rsidRPr="00376A6E">
        <w:rPr>
          <w:rFonts w:asciiTheme="majorHAnsi" w:hAnsiTheme="majorHAnsi" w:cstheme="majorHAnsi"/>
          <w:sz w:val="24"/>
          <w:szCs w:val="24"/>
        </w:rPr>
        <w:t xml:space="preserve"> Statement on Enhancing Food Security and Sustainable Agriculture in Response to Climate Change (2017), and Papua New Guinea Dialogue Summary (2018), Puerta </w:t>
      </w:r>
      <w:proofErr w:type="spellStart"/>
      <w:r w:rsidRPr="00376A6E">
        <w:rPr>
          <w:rFonts w:asciiTheme="majorHAnsi" w:hAnsiTheme="majorHAnsi" w:cstheme="majorHAnsi"/>
          <w:sz w:val="24"/>
          <w:szCs w:val="24"/>
        </w:rPr>
        <w:t>Varas</w:t>
      </w:r>
      <w:proofErr w:type="spellEnd"/>
      <w:r w:rsidRPr="00376A6E">
        <w:rPr>
          <w:rFonts w:asciiTheme="majorHAnsi" w:hAnsiTheme="majorHAnsi" w:cstheme="majorHAnsi"/>
          <w:sz w:val="24"/>
          <w:szCs w:val="24"/>
        </w:rPr>
        <w:t xml:space="preserve"> Declaration </w:t>
      </w:r>
      <w:r w:rsidRPr="00376A6E">
        <w:rPr>
          <w:rFonts w:asciiTheme="majorHAnsi" w:hAnsiTheme="majorHAnsi" w:cstheme="majorHAnsi"/>
          <w:color w:val="0A0A0A"/>
          <w:sz w:val="24"/>
          <w:szCs w:val="24"/>
          <w:shd w:val="clear" w:color="auto" w:fill="FFFFFF"/>
        </w:rPr>
        <w:t>Towards Integrated Smart and Sustainable Food System (2019).</w:t>
      </w:r>
    </w:p>
    <w:p w14:paraId="2731057E" w14:textId="77777777" w:rsidR="00376A6E" w:rsidRPr="00376A6E" w:rsidRDefault="00376A6E" w:rsidP="00376A6E">
      <w:pPr>
        <w:spacing w:line="360" w:lineRule="auto"/>
        <w:jc w:val="both"/>
        <w:rPr>
          <w:rFonts w:asciiTheme="majorHAnsi" w:hAnsiTheme="majorHAnsi" w:cstheme="majorHAnsi"/>
          <w:sz w:val="24"/>
          <w:szCs w:val="24"/>
        </w:rPr>
      </w:pPr>
    </w:p>
    <w:p w14:paraId="1E2F7B01" w14:textId="77777777" w:rsidR="0010007E" w:rsidRPr="00376A6E" w:rsidRDefault="0010007E" w:rsidP="00807C08">
      <w:pPr>
        <w:autoSpaceDE w:val="0"/>
        <w:autoSpaceDN w:val="0"/>
        <w:adjustRightInd w:val="0"/>
        <w:spacing w:after="0" w:line="360" w:lineRule="auto"/>
        <w:rPr>
          <w:rFonts w:asciiTheme="majorHAnsi" w:hAnsiTheme="majorHAnsi" w:cstheme="majorHAnsi"/>
          <w:sz w:val="24"/>
          <w:szCs w:val="24"/>
        </w:rPr>
      </w:pPr>
      <w:r w:rsidRPr="00376A6E">
        <w:rPr>
          <w:rFonts w:asciiTheme="majorHAnsi" w:hAnsiTheme="majorHAnsi" w:cstheme="majorHAnsi"/>
          <w:sz w:val="24"/>
          <w:szCs w:val="24"/>
          <w:lang w:val="en-US" w:bidi="he-IL"/>
        </w:rPr>
        <w:t>The proposed activities to be taken sit within the framework of the HLPDAB Strategic Plan (2019-2021), which focuses on three priority areas:</w:t>
      </w:r>
    </w:p>
    <w:p w14:paraId="229759E5" w14:textId="313750BE" w:rsidR="008F1FBA" w:rsidRPr="00376A6E" w:rsidRDefault="008F1FBA" w:rsidP="008F1FBA">
      <w:pPr>
        <w:pStyle w:val="ListParagraph"/>
        <w:numPr>
          <w:ilvl w:val="0"/>
          <w:numId w:val="10"/>
        </w:numPr>
        <w:autoSpaceDE w:val="0"/>
        <w:autoSpaceDN w:val="0"/>
        <w:adjustRightInd w:val="0"/>
        <w:spacing w:after="0" w:line="360" w:lineRule="auto"/>
        <w:rPr>
          <w:rFonts w:asciiTheme="majorHAnsi" w:hAnsiTheme="majorHAnsi" w:cstheme="majorHAnsi"/>
          <w:sz w:val="28"/>
          <w:szCs w:val="28"/>
        </w:rPr>
      </w:pPr>
      <w:r w:rsidRPr="00376A6E">
        <w:rPr>
          <w:rFonts w:asciiTheme="majorHAnsi" w:hAnsiTheme="majorHAnsi" w:cstheme="majorHAnsi"/>
          <w:sz w:val="24"/>
          <w:szCs w:val="24"/>
          <w:lang w:val="en-US"/>
        </w:rPr>
        <w:t>Establish main mechanisms to ensure continued information exchange on economies’ experience with agricultural biotechnology and other innovative agricultural technologies</w:t>
      </w:r>
      <w:r w:rsidR="002662CB">
        <w:rPr>
          <w:rFonts w:asciiTheme="majorHAnsi" w:hAnsiTheme="majorHAnsi" w:cstheme="majorHAnsi"/>
          <w:sz w:val="24"/>
          <w:szCs w:val="24"/>
          <w:lang w:val="en-US"/>
        </w:rPr>
        <w:t>.</w:t>
      </w:r>
      <w:r w:rsidRPr="00376A6E" w:rsidDel="008F1FBA">
        <w:rPr>
          <w:rFonts w:asciiTheme="majorHAnsi" w:hAnsiTheme="majorHAnsi" w:cstheme="majorHAnsi"/>
          <w:sz w:val="28"/>
          <w:szCs w:val="28"/>
        </w:rPr>
        <w:t xml:space="preserve"> </w:t>
      </w:r>
    </w:p>
    <w:p w14:paraId="668E3E27" w14:textId="32215680" w:rsidR="00946146" w:rsidRPr="00376A6E" w:rsidRDefault="008F1FBA" w:rsidP="00946146">
      <w:pPr>
        <w:pStyle w:val="ListParagraph"/>
        <w:numPr>
          <w:ilvl w:val="0"/>
          <w:numId w:val="10"/>
        </w:numPr>
        <w:autoSpaceDE w:val="0"/>
        <w:autoSpaceDN w:val="0"/>
        <w:adjustRightInd w:val="0"/>
        <w:spacing w:after="0" w:line="360" w:lineRule="auto"/>
        <w:rPr>
          <w:rFonts w:asciiTheme="majorHAnsi" w:hAnsiTheme="majorHAnsi" w:cstheme="majorHAnsi"/>
          <w:sz w:val="28"/>
          <w:szCs w:val="28"/>
        </w:rPr>
      </w:pPr>
      <w:r w:rsidRPr="00376A6E">
        <w:rPr>
          <w:rFonts w:asciiTheme="majorHAnsi" w:hAnsiTheme="majorHAnsi" w:cstheme="majorHAnsi"/>
          <w:sz w:val="24"/>
          <w:szCs w:val="24"/>
          <w:lang w:val="en-US"/>
        </w:rPr>
        <w:t>Promote transparent, science-based and functioning regulatory systems to support the development, application and trade of innovative agricultural technologies and biotechnologies for the benefit of APEC member economies</w:t>
      </w:r>
      <w:r w:rsidR="002662CB">
        <w:rPr>
          <w:rFonts w:asciiTheme="majorHAnsi" w:hAnsiTheme="majorHAnsi" w:cstheme="majorHAnsi"/>
          <w:sz w:val="24"/>
          <w:szCs w:val="24"/>
          <w:lang w:val="en-US"/>
        </w:rPr>
        <w:t>.</w:t>
      </w:r>
    </w:p>
    <w:p w14:paraId="67B8FBA9" w14:textId="608ADAC3" w:rsidR="00946146" w:rsidRPr="00376A6E" w:rsidRDefault="008F1FBA" w:rsidP="008F1FBA">
      <w:pPr>
        <w:pStyle w:val="ListParagraph"/>
        <w:numPr>
          <w:ilvl w:val="0"/>
          <w:numId w:val="10"/>
        </w:numPr>
        <w:autoSpaceDE w:val="0"/>
        <w:autoSpaceDN w:val="0"/>
        <w:adjustRightInd w:val="0"/>
        <w:spacing w:after="0" w:line="360" w:lineRule="auto"/>
        <w:rPr>
          <w:rFonts w:asciiTheme="majorHAnsi" w:hAnsiTheme="majorHAnsi" w:cstheme="majorHAnsi"/>
          <w:sz w:val="28"/>
          <w:szCs w:val="28"/>
        </w:rPr>
      </w:pPr>
      <w:r w:rsidRPr="00376A6E">
        <w:rPr>
          <w:rFonts w:asciiTheme="majorHAnsi" w:hAnsiTheme="majorHAnsi" w:cstheme="majorHAnsi"/>
          <w:sz w:val="24"/>
          <w:szCs w:val="24"/>
          <w:lang w:val="en-US"/>
        </w:rPr>
        <w:t>Facilitate the management of regulatory differences by endeavoring to develop solutions to global challenges with respect to innovative agricultural technologies—including trade-related issues—and improve the ability of APEC economies to communicate effectively about these issues</w:t>
      </w:r>
    </w:p>
    <w:p w14:paraId="6CA393A2" w14:textId="5A63AA4E" w:rsidR="00946146" w:rsidRPr="00376A6E" w:rsidRDefault="00946146" w:rsidP="00946146">
      <w:pPr>
        <w:autoSpaceDE w:val="0"/>
        <w:autoSpaceDN w:val="0"/>
        <w:adjustRightInd w:val="0"/>
        <w:spacing w:after="0" w:line="360" w:lineRule="auto"/>
        <w:rPr>
          <w:rFonts w:asciiTheme="majorHAnsi" w:hAnsiTheme="majorHAnsi" w:cstheme="majorHAnsi"/>
          <w:sz w:val="24"/>
          <w:szCs w:val="24"/>
        </w:rPr>
      </w:pPr>
    </w:p>
    <w:p w14:paraId="1130923A" w14:textId="0C7742B2" w:rsidR="008F1FBA" w:rsidRPr="00376A6E" w:rsidRDefault="008F1FBA" w:rsidP="008F1FBA">
      <w:pPr>
        <w:pStyle w:val="Heading2"/>
        <w:spacing w:before="0" w:line="360" w:lineRule="auto"/>
        <w:rPr>
          <w:rFonts w:cstheme="majorHAnsi"/>
        </w:rPr>
      </w:pPr>
      <w:r w:rsidRPr="00376A6E">
        <w:rPr>
          <w:rFonts w:cstheme="majorHAnsi"/>
        </w:rPr>
        <w:t>2. Key takeaways from the 19</w:t>
      </w:r>
      <w:r w:rsidRPr="00376A6E">
        <w:rPr>
          <w:rFonts w:cstheme="majorHAnsi"/>
          <w:vertAlign w:val="superscript"/>
        </w:rPr>
        <w:t>th</w:t>
      </w:r>
      <w:r w:rsidRPr="00376A6E">
        <w:rPr>
          <w:rFonts w:cstheme="majorHAnsi"/>
        </w:rPr>
        <w:t xml:space="preserve"> HLPDA</w:t>
      </w:r>
      <w:r w:rsidR="00651A92">
        <w:rPr>
          <w:rFonts w:cstheme="majorHAnsi"/>
        </w:rPr>
        <w:t>B</w:t>
      </w:r>
      <w:r w:rsidRPr="00376A6E">
        <w:rPr>
          <w:rFonts w:cstheme="majorHAnsi"/>
        </w:rPr>
        <w:t xml:space="preserve"> Meeting, 8 October 2020</w:t>
      </w:r>
    </w:p>
    <w:p w14:paraId="6DA30DFA" w14:textId="77777777" w:rsidR="008F1FBA" w:rsidRPr="009A7EB4" w:rsidRDefault="008F1FBA" w:rsidP="008F1FBA">
      <w:pPr>
        <w:pStyle w:val="ListParagraph"/>
        <w:numPr>
          <w:ilvl w:val="0"/>
          <w:numId w:val="12"/>
        </w:numPr>
        <w:autoSpaceDE w:val="0"/>
        <w:autoSpaceDN w:val="0"/>
        <w:adjustRightInd w:val="0"/>
        <w:spacing w:after="0" w:line="360" w:lineRule="auto"/>
        <w:rPr>
          <w:rFonts w:asciiTheme="majorHAnsi" w:hAnsiTheme="majorHAnsi" w:cstheme="majorHAnsi"/>
          <w:sz w:val="28"/>
          <w:szCs w:val="28"/>
        </w:rPr>
      </w:pPr>
      <w:r w:rsidRPr="009A7EB4">
        <w:rPr>
          <w:rFonts w:asciiTheme="majorHAnsi" w:hAnsiTheme="majorHAnsi" w:cstheme="majorHAnsi"/>
          <w:sz w:val="24"/>
          <w:szCs w:val="24"/>
        </w:rPr>
        <w:t xml:space="preserve">Products of innovative and emerging agricultural biotechnologies will play a vital role in supporting sustainable agriculture production by addressing environmental, pest and disease pressures, and food security challenges facing APEC Economies. </w:t>
      </w:r>
    </w:p>
    <w:p w14:paraId="2E328A04" w14:textId="77777777" w:rsidR="008F1FBA" w:rsidRPr="009A7EB4" w:rsidRDefault="008F1FBA" w:rsidP="008F1FBA">
      <w:pPr>
        <w:pStyle w:val="ListParagraph"/>
        <w:numPr>
          <w:ilvl w:val="0"/>
          <w:numId w:val="12"/>
        </w:numPr>
        <w:autoSpaceDE w:val="0"/>
        <w:autoSpaceDN w:val="0"/>
        <w:adjustRightInd w:val="0"/>
        <w:spacing w:after="0" w:line="360" w:lineRule="auto"/>
        <w:rPr>
          <w:rFonts w:asciiTheme="majorHAnsi" w:hAnsiTheme="majorHAnsi" w:cstheme="majorHAnsi"/>
          <w:sz w:val="28"/>
          <w:szCs w:val="28"/>
        </w:rPr>
      </w:pPr>
      <w:r w:rsidRPr="009A7EB4">
        <w:rPr>
          <w:rFonts w:asciiTheme="majorHAnsi" w:hAnsiTheme="majorHAnsi" w:cstheme="majorHAnsi"/>
          <w:sz w:val="24"/>
          <w:szCs w:val="24"/>
        </w:rPr>
        <w:t xml:space="preserve">To fully realize the innovative and emerging agricultural biotechnology initiatives, APEC Economies should support agricultural biotechnology initiatives focused on capacity building, regulatory cooperation, science communication to strengthen public confidence, promote food security, enhance environmental sustainability, and spur economic growth through innovation and trade. </w:t>
      </w:r>
    </w:p>
    <w:p w14:paraId="7374301A" w14:textId="07933A77" w:rsidR="008F1FBA" w:rsidRPr="009A7EB4" w:rsidRDefault="008F1FBA" w:rsidP="008F1FBA">
      <w:pPr>
        <w:pStyle w:val="ListParagraph"/>
        <w:numPr>
          <w:ilvl w:val="0"/>
          <w:numId w:val="12"/>
        </w:numPr>
        <w:autoSpaceDE w:val="0"/>
        <w:autoSpaceDN w:val="0"/>
        <w:adjustRightInd w:val="0"/>
        <w:spacing w:after="0" w:line="360" w:lineRule="auto"/>
        <w:rPr>
          <w:rFonts w:asciiTheme="majorHAnsi" w:hAnsiTheme="majorHAnsi" w:cstheme="majorHAnsi"/>
          <w:sz w:val="28"/>
          <w:szCs w:val="28"/>
        </w:rPr>
      </w:pPr>
      <w:r w:rsidRPr="009A7EB4">
        <w:rPr>
          <w:rFonts w:asciiTheme="majorHAnsi" w:hAnsiTheme="majorHAnsi" w:cstheme="majorHAnsi"/>
          <w:sz w:val="24"/>
          <w:szCs w:val="24"/>
        </w:rPr>
        <w:t>Economies are encouraged to develop and maintain transparent, predictable, science-based</w:t>
      </w:r>
      <w:r w:rsidR="002662CB">
        <w:rPr>
          <w:rFonts w:asciiTheme="majorHAnsi" w:hAnsiTheme="majorHAnsi" w:cstheme="majorHAnsi"/>
          <w:sz w:val="24"/>
          <w:szCs w:val="24"/>
        </w:rPr>
        <w:t>,</w:t>
      </w:r>
      <w:r w:rsidRPr="009A7EB4">
        <w:rPr>
          <w:rFonts w:asciiTheme="majorHAnsi" w:hAnsiTheme="majorHAnsi" w:cstheme="majorHAnsi"/>
          <w:sz w:val="24"/>
          <w:szCs w:val="24"/>
        </w:rPr>
        <w:t xml:space="preserve"> and risk-proportionate regulations that facilitate trade and promote trust in the safety of products derived from innovative and emerging agricultural biotechnologies. </w:t>
      </w:r>
    </w:p>
    <w:p w14:paraId="610351A0" w14:textId="44A47047" w:rsidR="00946146" w:rsidRPr="009A7EB4" w:rsidRDefault="008F1FBA" w:rsidP="008F1FBA">
      <w:pPr>
        <w:pStyle w:val="ListParagraph"/>
        <w:numPr>
          <w:ilvl w:val="0"/>
          <w:numId w:val="12"/>
        </w:numPr>
        <w:autoSpaceDE w:val="0"/>
        <w:autoSpaceDN w:val="0"/>
        <w:adjustRightInd w:val="0"/>
        <w:spacing w:after="0" w:line="360" w:lineRule="auto"/>
        <w:rPr>
          <w:rFonts w:asciiTheme="majorHAnsi" w:hAnsiTheme="majorHAnsi" w:cstheme="majorHAnsi"/>
          <w:sz w:val="28"/>
          <w:szCs w:val="28"/>
        </w:rPr>
      </w:pPr>
      <w:r w:rsidRPr="009A7EB4">
        <w:rPr>
          <w:rFonts w:asciiTheme="majorHAnsi" w:hAnsiTheme="majorHAnsi" w:cstheme="majorHAnsi"/>
          <w:sz w:val="24"/>
          <w:szCs w:val="24"/>
        </w:rPr>
        <w:t>Economies are encouraged to enhance cooperation to facilitate the management of regulatory differences related to precision and innovative biotechnology products, including through sharing information and exploring opportunities for regulatory harmonization or mutual recognition where possible.</w:t>
      </w:r>
    </w:p>
    <w:p w14:paraId="3F7D9FFB" w14:textId="77777777" w:rsidR="00E153E0" w:rsidRPr="00376A6E" w:rsidRDefault="00E153E0" w:rsidP="00E153E0">
      <w:pPr>
        <w:pStyle w:val="ListParagraph"/>
        <w:spacing w:after="0" w:line="360" w:lineRule="auto"/>
        <w:ind w:left="360"/>
        <w:rPr>
          <w:rFonts w:asciiTheme="majorHAnsi" w:hAnsiTheme="majorHAnsi" w:cstheme="majorHAnsi"/>
        </w:rPr>
      </w:pPr>
    </w:p>
    <w:p w14:paraId="294AF13D" w14:textId="7351D50C" w:rsidR="00946146" w:rsidRPr="00376A6E" w:rsidRDefault="00F21B96" w:rsidP="00946146">
      <w:pPr>
        <w:pStyle w:val="Heading2"/>
        <w:spacing w:before="0" w:line="360" w:lineRule="auto"/>
        <w:rPr>
          <w:rFonts w:cstheme="majorHAnsi"/>
        </w:rPr>
      </w:pPr>
      <w:r w:rsidRPr="00376A6E">
        <w:rPr>
          <w:rFonts w:cstheme="majorHAnsi"/>
        </w:rPr>
        <w:t xml:space="preserve">2. </w:t>
      </w:r>
      <w:r w:rsidR="0010007E" w:rsidRPr="00376A6E">
        <w:rPr>
          <w:rFonts w:cstheme="majorHAnsi"/>
        </w:rPr>
        <w:t>HLPDAB Activities</w:t>
      </w:r>
    </w:p>
    <w:p w14:paraId="63C15F46" w14:textId="52B69EC7" w:rsidR="00946146" w:rsidRPr="00D020BC" w:rsidRDefault="00F21B96" w:rsidP="00946146">
      <w:pPr>
        <w:rPr>
          <w:rFonts w:asciiTheme="majorHAnsi" w:hAnsiTheme="majorHAnsi" w:cstheme="majorHAnsi"/>
          <w:b/>
          <w:bCs/>
        </w:rPr>
      </w:pPr>
      <w:r w:rsidRPr="00D020BC">
        <w:rPr>
          <w:rFonts w:asciiTheme="majorHAnsi" w:hAnsiTheme="majorHAnsi" w:cstheme="majorHAnsi"/>
          <w:b/>
          <w:bCs/>
        </w:rPr>
        <w:t xml:space="preserve">2.1 </w:t>
      </w:r>
      <w:r w:rsidR="00946146" w:rsidRPr="00D020BC">
        <w:rPr>
          <w:rFonts w:asciiTheme="majorHAnsi" w:hAnsiTheme="majorHAnsi" w:cstheme="majorHAnsi"/>
          <w:b/>
          <w:bCs/>
        </w:rPr>
        <w:t>Annual HLPDAB Meeting</w:t>
      </w:r>
    </w:p>
    <w:p w14:paraId="3EDF8CB0" w14:textId="0776DCEB" w:rsidR="00946146" w:rsidRPr="00376A6E" w:rsidRDefault="00946146" w:rsidP="00A36556">
      <w:pPr>
        <w:spacing w:line="360" w:lineRule="auto"/>
        <w:jc w:val="both"/>
        <w:rPr>
          <w:rFonts w:asciiTheme="majorHAnsi" w:hAnsiTheme="majorHAnsi" w:cstheme="majorHAnsi"/>
          <w:sz w:val="24"/>
          <w:szCs w:val="24"/>
        </w:rPr>
      </w:pPr>
      <w:bookmarkStart w:id="1" w:name="_Hlk73527491"/>
      <w:r w:rsidRPr="00376A6E">
        <w:rPr>
          <w:rFonts w:asciiTheme="majorHAnsi" w:hAnsiTheme="majorHAnsi" w:cstheme="majorHAnsi"/>
          <w:sz w:val="24"/>
          <w:szCs w:val="24"/>
        </w:rPr>
        <w:t xml:space="preserve">HLPDAB will hold a Virtual Annual Plenary Meeting </w:t>
      </w:r>
      <w:r w:rsidR="005E7786" w:rsidRPr="00376A6E">
        <w:rPr>
          <w:rFonts w:asciiTheme="majorHAnsi" w:hAnsiTheme="majorHAnsi" w:cstheme="majorHAnsi"/>
          <w:sz w:val="24"/>
          <w:szCs w:val="24"/>
        </w:rPr>
        <w:t>on 3</w:t>
      </w:r>
      <w:r w:rsidRPr="00376A6E">
        <w:rPr>
          <w:rFonts w:asciiTheme="majorHAnsi" w:hAnsiTheme="majorHAnsi" w:cstheme="majorHAnsi"/>
          <w:sz w:val="24"/>
          <w:szCs w:val="24"/>
        </w:rPr>
        <w:t xml:space="preserve"> August 2021 to continue addressing its mandate to exchange information and promote capacity building, to promote transparent, science-based, and functioning regulatory systems, to encourage investment and strengthen public confidence regarding biotechnology with the ultimate objective of promoting food security in line with</w:t>
      </w:r>
      <w:r w:rsidRPr="00376A6E">
        <w:rPr>
          <w:rFonts w:asciiTheme="majorHAnsi" w:hAnsiTheme="majorHAnsi" w:cstheme="majorHAnsi"/>
          <w:sz w:val="24"/>
          <w:szCs w:val="24"/>
          <w:lang w:val="en-US" w:bidi="he-IL"/>
        </w:rPr>
        <w:t xml:space="preserve"> HLPDAB Strategic Plan (2019-2021). </w:t>
      </w:r>
      <w:r w:rsidR="005E7786" w:rsidRPr="00376A6E">
        <w:rPr>
          <w:rFonts w:asciiTheme="majorHAnsi" w:hAnsiTheme="majorHAnsi" w:cstheme="majorHAnsi"/>
          <w:sz w:val="24"/>
          <w:szCs w:val="24"/>
          <w:lang w:val="en-US" w:bidi="he-IL"/>
        </w:rPr>
        <w:t>This will be run as a three-hour session.</w:t>
      </w:r>
    </w:p>
    <w:p w14:paraId="6117DCBC" w14:textId="7C77E653" w:rsidR="00E153E0" w:rsidRPr="00376A6E" w:rsidRDefault="00946146" w:rsidP="00A36556">
      <w:pPr>
        <w:spacing w:line="360" w:lineRule="auto"/>
        <w:jc w:val="both"/>
        <w:rPr>
          <w:rFonts w:asciiTheme="majorHAnsi" w:hAnsiTheme="majorHAnsi" w:cstheme="majorHAnsi"/>
          <w:sz w:val="24"/>
          <w:szCs w:val="24"/>
        </w:rPr>
      </w:pPr>
      <w:r w:rsidRPr="00376A6E">
        <w:rPr>
          <w:rFonts w:asciiTheme="majorHAnsi" w:hAnsiTheme="majorHAnsi" w:cstheme="majorHAnsi"/>
          <w:sz w:val="24"/>
          <w:szCs w:val="24"/>
        </w:rPr>
        <w:t xml:space="preserve">The annual meeting will continue building relationships among APEC members while exchanging information regarding the responsible use, </w:t>
      </w:r>
      <w:r w:rsidR="008F1FBA" w:rsidRPr="00376A6E">
        <w:rPr>
          <w:rFonts w:asciiTheme="majorHAnsi" w:hAnsiTheme="majorHAnsi" w:cstheme="majorHAnsi"/>
          <w:sz w:val="24"/>
          <w:szCs w:val="24"/>
        </w:rPr>
        <w:t>development,</w:t>
      </w:r>
      <w:r w:rsidRPr="00376A6E">
        <w:rPr>
          <w:rFonts w:asciiTheme="majorHAnsi" w:hAnsiTheme="majorHAnsi" w:cstheme="majorHAnsi"/>
          <w:sz w:val="24"/>
          <w:szCs w:val="24"/>
        </w:rPr>
        <w:t xml:space="preserve"> and adoption of innovative agricultural biotechnologies, with some emphasis on use of genomic tools to meet agricultural challenges and environmental sustainability. </w:t>
      </w:r>
    </w:p>
    <w:bookmarkEnd w:id="1"/>
    <w:p w14:paraId="4F82DBC4" w14:textId="77777777" w:rsidR="00315019" w:rsidRPr="00376A6E" w:rsidRDefault="00315019" w:rsidP="00A36556">
      <w:pPr>
        <w:spacing w:line="360" w:lineRule="auto"/>
        <w:jc w:val="both"/>
        <w:rPr>
          <w:rFonts w:asciiTheme="majorHAnsi" w:hAnsiTheme="majorHAnsi" w:cstheme="majorHAnsi"/>
          <w:sz w:val="24"/>
          <w:szCs w:val="24"/>
        </w:rPr>
      </w:pPr>
    </w:p>
    <w:p w14:paraId="3667FC01" w14:textId="5DDD5FC2" w:rsidR="001D30C6" w:rsidRPr="00376A6E" w:rsidRDefault="00F21B96" w:rsidP="00C672D3">
      <w:pPr>
        <w:rPr>
          <w:rFonts w:asciiTheme="majorHAnsi" w:hAnsiTheme="majorHAnsi" w:cstheme="majorHAnsi"/>
          <w:b/>
          <w:bCs/>
          <w:sz w:val="24"/>
          <w:szCs w:val="24"/>
        </w:rPr>
      </w:pPr>
      <w:r w:rsidRPr="00376A6E">
        <w:rPr>
          <w:rFonts w:asciiTheme="majorHAnsi" w:hAnsiTheme="majorHAnsi" w:cstheme="majorHAnsi"/>
          <w:b/>
          <w:bCs/>
          <w:sz w:val="24"/>
          <w:szCs w:val="24"/>
        </w:rPr>
        <w:t xml:space="preserve">2.2 </w:t>
      </w:r>
      <w:r w:rsidR="00792BDC" w:rsidRPr="00376A6E">
        <w:rPr>
          <w:rFonts w:asciiTheme="majorHAnsi" w:hAnsiTheme="majorHAnsi" w:cstheme="majorHAnsi"/>
          <w:b/>
          <w:bCs/>
          <w:sz w:val="24"/>
          <w:szCs w:val="24"/>
        </w:rPr>
        <w:t>HLPDAB</w:t>
      </w:r>
      <w:r w:rsidR="00E153E0" w:rsidRPr="00376A6E">
        <w:rPr>
          <w:rFonts w:asciiTheme="majorHAnsi" w:hAnsiTheme="majorHAnsi" w:cstheme="majorHAnsi"/>
          <w:b/>
          <w:bCs/>
          <w:sz w:val="24"/>
          <w:szCs w:val="24"/>
        </w:rPr>
        <w:t xml:space="preserve"> 2021 </w:t>
      </w:r>
      <w:r w:rsidR="00C672D3" w:rsidRPr="00376A6E">
        <w:rPr>
          <w:rFonts w:asciiTheme="majorHAnsi" w:hAnsiTheme="majorHAnsi" w:cstheme="majorHAnsi"/>
          <w:b/>
          <w:bCs/>
          <w:sz w:val="24"/>
          <w:szCs w:val="24"/>
        </w:rPr>
        <w:t>Workshops</w:t>
      </w:r>
      <w:r w:rsidR="001D30C6" w:rsidRPr="00376A6E">
        <w:rPr>
          <w:rFonts w:asciiTheme="majorHAnsi" w:hAnsiTheme="majorHAnsi" w:cstheme="majorHAnsi"/>
          <w:b/>
          <w:bCs/>
          <w:sz w:val="24"/>
          <w:szCs w:val="24"/>
        </w:rPr>
        <w:br/>
      </w:r>
    </w:p>
    <w:tbl>
      <w:tblPr>
        <w:tblStyle w:val="TableGrid"/>
        <w:tblW w:w="0" w:type="auto"/>
        <w:tblLook w:val="04A0" w:firstRow="1" w:lastRow="0" w:firstColumn="1" w:lastColumn="0" w:noHBand="0" w:noVBand="1"/>
      </w:tblPr>
      <w:tblGrid>
        <w:gridCol w:w="5395"/>
        <w:gridCol w:w="3621"/>
      </w:tblGrid>
      <w:tr w:rsidR="005E7786" w:rsidRPr="00376A6E" w14:paraId="0AF466DB" w14:textId="77777777" w:rsidTr="00E40601">
        <w:tc>
          <w:tcPr>
            <w:tcW w:w="5395" w:type="dxa"/>
          </w:tcPr>
          <w:p w14:paraId="4E39ADB8" w14:textId="15572D56" w:rsidR="005E7786" w:rsidRPr="00376A6E" w:rsidRDefault="005E7786" w:rsidP="00E153E0">
            <w:pPr>
              <w:rPr>
                <w:rFonts w:asciiTheme="majorHAnsi" w:hAnsiTheme="majorHAnsi" w:cstheme="majorHAnsi"/>
                <w:b/>
                <w:bCs/>
                <w:sz w:val="24"/>
                <w:szCs w:val="24"/>
              </w:rPr>
            </w:pPr>
            <w:r w:rsidRPr="00376A6E">
              <w:rPr>
                <w:rFonts w:asciiTheme="majorHAnsi" w:hAnsiTheme="majorHAnsi" w:cstheme="majorHAnsi"/>
                <w:b/>
                <w:bCs/>
                <w:sz w:val="24"/>
                <w:szCs w:val="24"/>
              </w:rPr>
              <w:t>Workshop</w:t>
            </w:r>
          </w:p>
        </w:tc>
        <w:tc>
          <w:tcPr>
            <w:tcW w:w="3621" w:type="dxa"/>
          </w:tcPr>
          <w:p w14:paraId="15CA3F8B" w14:textId="6F5E63B9" w:rsidR="005E7786" w:rsidRPr="00376A6E" w:rsidRDefault="005E7786" w:rsidP="00E153E0">
            <w:pPr>
              <w:rPr>
                <w:rFonts w:asciiTheme="majorHAnsi" w:hAnsiTheme="majorHAnsi" w:cstheme="majorHAnsi"/>
                <w:b/>
                <w:bCs/>
                <w:sz w:val="24"/>
                <w:szCs w:val="24"/>
              </w:rPr>
            </w:pPr>
            <w:r w:rsidRPr="00376A6E">
              <w:rPr>
                <w:rFonts w:asciiTheme="majorHAnsi" w:hAnsiTheme="majorHAnsi" w:cstheme="majorHAnsi"/>
                <w:b/>
                <w:bCs/>
                <w:sz w:val="24"/>
                <w:szCs w:val="24"/>
              </w:rPr>
              <w:t>Date</w:t>
            </w:r>
          </w:p>
        </w:tc>
      </w:tr>
      <w:tr w:rsidR="005E7786" w:rsidRPr="00376A6E" w14:paraId="225B9F50" w14:textId="77777777" w:rsidTr="00E40601">
        <w:tc>
          <w:tcPr>
            <w:tcW w:w="5395" w:type="dxa"/>
          </w:tcPr>
          <w:p w14:paraId="5D1A8B3E" w14:textId="57D28A27" w:rsidR="005E7786" w:rsidRPr="00376A6E" w:rsidRDefault="005E7786" w:rsidP="005E7786">
            <w:pPr>
              <w:rPr>
                <w:rFonts w:asciiTheme="majorHAnsi" w:eastAsia="PMingLiU" w:hAnsiTheme="majorHAnsi" w:cstheme="majorHAnsi"/>
                <w:i/>
                <w:sz w:val="24"/>
                <w:szCs w:val="24"/>
                <w:lang w:eastAsia="zh-TW"/>
              </w:rPr>
            </w:pPr>
            <w:r w:rsidRPr="00376A6E">
              <w:rPr>
                <w:rFonts w:asciiTheme="majorHAnsi" w:eastAsia="PMingLiU" w:hAnsiTheme="majorHAnsi" w:cstheme="majorHAnsi"/>
                <w:b/>
                <w:i/>
                <w:sz w:val="24"/>
                <w:szCs w:val="24"/>
                <w:lang w:eastAsia="zh-TW"/>
              </w:rPr>
              <w:t xml:space="preserve">United States - HLPDAB 03 2021S: </w:t>
            </w:r>
            <w:r w:rsidRPr="00376A6E">
              <w:rPr>
                <w:rFonts w:asciiTheme="majorHAnsi" w:eastAsia="PMingLiU" w:hAnsiTheme="majorHAnsi" w:cstheme="majorHAnsi"/>
                <w:i/>
                <w:sz w:val="24"/>
                <w:szCs w:val="24"/>
                <w:lang w:eastAsia="zh-TW"/>
              </w:rPr>
              <w:t xml:space="preserve">Building Regulatory Capacities for Biotechnology (Genetic Engineering) </w:t>
            </w:r>
          </w:p>
        </w:tc>
        <w:tc>
          <w:tcPr>
            <w:tcW w:w="3621" w:type="dxa"/>
          </w:tcPr>
          <w:p w14:paraId="042412EB" w14:textId="77777777" w:rsidR="005E7786" w:rsidRPr="00376A6E" w:rsidRDefault="005E7786" w:rsidP="005E7786">
            <w:pPr>
              <w:rPr>
                <w:rFonts w:asciiTheme="majorHAnsi" w:eastAsia="PMingLiU" w:hAnsiTheme="majorHAnsi" w:cstheme="majorHAnsi"/>
                <w:sz w:val="24"/>
                <w:szCs w:val="24"/>
                <w:lang w:eastAsia="zh-TW"/>
              </w:rPr>
            </w:pPr>
            <w:r w:rsidRPr="00376A6E">
              <w:rPr>
                <w:rFonts w:asciiTheme="majorHAnsi" w:eastAsia="PMingLiU" w:hAnsiTheme="majorHAnsi" w:cstheme="majorHAnsi"/>
                <w:sz w:val="24"/>
                <w:szCs w:val="24"/>
                <w:lang w:eastAsia="zh-TW"/>
              </w:rPr>
              <w:t xml:space="preserve">27-28 April </w:t>
            </w:r>
          </w:p>
          <w:p w14:paraId="5E5C9F64" w14:textId="77777777" w:rsidR="005E7786" w:rsidRPr="00376A6E" w:rsidRDefault="005E7786" w:rsidP="005E7786">
            <w:pPr>
              <w:rPr>
                <w:rFonts w:asciiTheme="majorHAnsi" w:hAnsiTheme="majorHAnsi" w:cstheme="majorHAnsi"/>
                <w:sz w:val="24"/>
                <w:szCs w:val="24"/>
              </w:rPr>
            </w:pPr>
          </w:p>
        </w:tc>
      </w:tr>
      <w:tr w:rsidR="005E7786" w:rsidRPr="00376A6E" w14:paraId="62838211" w14:textId="77777777" w:rsidTr="00E40601">
        <w:tc>
          <w:tcPr>
            <w:tcW w:w="5395" w:type="dxa"/>
          </w:tcPr>
          <w:p w14:paraId="2FFB8DB1" w14:textId="70CB1C7A" w:rsidR="005E7786" w:rsidRPr="00376A6E" w:rsidRDefault="005E7786" w:rsidP="005E7786">
            <w:pPr>
              <w:rPr>
                <w:rFonts w:asciiTheme="majorHAnsi" w:eastAsia="PMingLiU" w:hAnsiTheme="majorHAnsi" w:cstheme="majorHAnsi"/>
                <w:b/>
                <w:i/>
                <w:sz w:val="24"/>
                <w:szCs w:val="24"/>
                <w:lang w:eastAsia="zh-TW"/>
              </w:rPr>
            </w:pPr>
            <w:bookmarkStart w:id="2" w:name="_Hlk73353817"/>
            <w:r w:rsidRPr="00376A6E">
              <w:rPr>
                <w:rFonts w:asciiTheme="majorHAnsi" w:eastAsia="PMingLiU" w:hAnsiTheme="majorHAnsi" w:cstheme="majorHAnsi"/>
                <w:b/>
                <w:i/>
                <w:sz w:val="24"/>
                <w:szCs w:val="24"/>
                <w:lang w:eastAsia="zh-TW"/>
              </w:rPr>
              <w:t xml:space="preserve">United States - HLPDAB 02 2021S: </w:t>
            </w:r>
            <w:r w:rsidRPr="00376A6E">
              <w:rPr>
                <w:rFonts w:asciiTheme="majorHAnsi" w:eastAsia="PMingLiU" w:hAnsiTheme="majorHAnsi" w:cstheme="majorHAnsi"/>
                <w:i/>
                <w:sz w:val="24"/>
                <w:szCs w:val="24"/>
                <w:lang w:eastAsia="zh-TW"/>
              </w:rPr>
              <w:t>Building Regulatory Capacities for Biotechnology (Genome Editing)</w:t>
            </w:r>
            <w:r w:rsidRPr="00376A6E">
              <w:rPr>
                <w:rFonts w:asciiTheme="majorHAnsi" w:eastAsia="PMingLiU" w:hAnsiTheme="majorHAnsi" w:cstheme="majorHAnsi"/>
                <w:b/>
                <w:i/>
                <w:sz w:val="24"/>
                <w:szCs w:val="24"/>
                <w:lang w:eastAsia="zh-TW"/>
              </w:rPr>
              <w:t xml:space="preserve"> </w:t>
            </w:r>
            <w:bookmarkEnd w:id="2"/>
          </w:p>
        </w:tc>
        <w:tc>
          <w:tcPr>
            <w:tcW w:w="3621" w:type="dxa"/>
          </w:tcPr>
          <w:p w14:paraId="607779AB" w14:textId="77D056F7" w:rsidR="005E7786" w:rsidRPr="00376A6E" w:rsidRDefault="00526132" w:rsidP="005E7786">
            <w:pPr>
              <w:rPr>
                <w:rFonts w:asciiTheme="majorHAnsi" w:hAnsiTheme="majorHAnsi" w:cstheme="majorHAnsi"/>
                <w:sz w:val="24"/>
                <w:szCs w:val="24"/>
              </w:rPr>
            </w:pPr>
            <w:bookmarkStart w:id="3" w:name="_Hlk73353850"/>
            <w:r w:rsidRPr="00376A6E">
              <w:rPr>
                <w:rFonts w:asciiTheme="majorHAnsi" w:eastAsia="PMingLiU" w:hAnsiTheme="majorHAnsi" w:cstheme="majorHAnsi"/>
                <w:sz w:val="24"/>
                <w:szCs w:val="24"/>
                <w:lang w:eastAsia="zh-TW"/>
              </w:rPr>
              <w:t xml:space="preserve">29 </w:t>
            </w:r>
            <w:r w:rsidR="006B370B" w:rsidRPr="00376A6E">
              <w:rPr>
                <w:rFonts w:asciiTheme="majorHAnsi" w:eastAsia="PMingLiU" w:hAnsiTheme="majorHAnsi" w:cstheme="majorHAnsi"/>
                <w:sz w:val="24"/>
                <w:szCs w:val="24"/>
                <w:lang w:eastAsia="zh-TW"/>
              </w:rPr>
              <w:t>-</w:t>
            </w:r>
            <w:r w:rsidRPr="00376A6E">
              <w:rPr>
                <w:rFonts w:asciiTheme="majorHAnsi" w:eastAsia="PMingLiU" w:hAnsiTheme="majorHAnsi" w:cstheme="majorHAnsi"/>
                <w:sz w:val="24"/>
                <w:szCs w:val="24"/>
                <w:lang w:eastAsia="zh-TW"/>
              </w:rPr>
              <w:t xml:space="preserve">30 </w:t>
            </w:r>
            <w:r w:rsidR="007D47A4" w:rsidRPr="00376A6E">
              <w:rPr>
                <w:rFonts w:asciiTheme="majorHAnsi" w:eastAsia="PMingLiU" w:hAnsiTheme="majorHAnsi" w:cstheme="majorHAnsi"/>
                <w:sz w:val="24"/>
                <w:szCs w:val="24"/>
                <w:lang w:eastAsia="zh-TW"/>
              </w:rPr>
              <w:t>June</w:t>
            </w:r>
            <w:r w:rsidRPr="00376A6E">
              <w:rPr>
                <w:rFonts w:asciiTheme="majorHAnsi" w:eastAsia="PMingLiU" w:hAnsiTheme="majorHAnsi" w:cstheme="majorHAnsi"/>
                <w:sz w:val="24"/>
                <w:szCs w:val="24"/>
                <w:lang w:eastAsia="zh-TW"/>
              </w:rPr>
              <w:t xml:space="preserve">, 8:00 AM – 11:00 </w:t>
            </w:r>
            <w:r w:rsidR="00651A92">
              <w:rPr>
                <w:rFonts w:asciiTheme="majorHAnsi" w:eastAsia="PMingLiU" w:hAnsiTheme="majorHAnsi" w:cstheme="majorHAnsi"/>
                <w:sz w:val="24"/>
                <w:szCs w:val="24"/>
                <w:lang w:eastAsia="zh-TW"/>
              </w:rPr>
              <w:t>A</w:t>
            </w:r>
            <w:r w:rsidRPr="00376A6E">
              <w:rPr>
                <w:rFonts w:asciiTheme="majorHAnsi" w:eastAsia="PMingLiU" w:hAnsiTheme="majorHAnsi" w:cstheme="majorHAnsi"/>
                <w:sz w:val="24"/>
                <w:szCs w:val="24"/>
                <w:lang w:eastAsia="zh-TW"/>
              </w:rPr>
              <w:t>M MYT</w:t>
            </w:r>
            <w:r w:rsidR="006B370B" w:rsidRPr="00376A6E">
              <w:rPr>
                <w:rFonts w:asciiTheme="majorHAnsi" w:eastAsia="PMingLiU" w:hAnsiTheme="majorHAnsi" w:cstheme="majorHAnsi"/>
                <w:sz w:val="24"/>
                <w:szCs w:val="24"/>
                <w:lang w:eastAsia="zh-TW"/>
              </w:rPr>
              <w:t xml:space="preserve">; </w:t>
            </w:r>
            <w:r w:rsidRPr="00376A6E">
              <w:rPr>
                <w:rFonts w:asciiTheme="majorHAnsi" w:eastAsia="PMingLiU" w:hAnsiTheme="majorHAnsi" w:cstheme="majorHAnsi"/>
                <w:sz w:val="24"/>
                <w:szCs w:val="24"/>
                <w:lang w:eastAsia="zh-TW"/>
              </w:rPr>
              <w:t xml:space="preserve">28 </w:t>
            </w:r>
            <w:r w:rsidR="006B370B" w:rsidRPr="00376A6E">
              <w:rPr>
                <w:rFonts w:asciiTheme="majorHAnsi" w:eastAsia="PMingLiU" w:hAnsiTheme="majorHAnsi" w:cstheme="majorHAnsi"/>
                <w:sz w:val="24"/>
                <w:szCs w:val="24"/>
                <w:lang w:eastAsia="zh-TW"/>
              </w:rPr>
              <w:t>-</w:t>
            </w:r>
            <w:r w:rsidRPr="00376A6E">
              <w:rPr>
                <w:rFonts w:asciiTheme="majorHAnsi" w:eastAsia="PMingLiU" w:hAnsiTheme="majorHAnsi" w:cstheme="majorHAnsi"/>
                <w:sz w:val="24"/>
                <w:szCs w:val="24"/>
                <w:lang w:eastAsia="zh-TW"/>
              </w:rPr>
              <w:t>29</w:t>
            </w:r>
            <w:r w:rsidR="007D47A4" w:rsidRPr="00376A6E">
              <w:rPr>
                <w:rFonts w:asciiTheme="majorHAnsi" w:eastAsia="PMingLiU" w:hAnsiTheme="majorHAnsi" w:cstheme="majorHAnsi"/>
                <w:sz w:val="24"/>
                <w:szCs w:val="24"/>
                <w:lang w:eastAsia="zh-TW"/>
              </w:rPr>
              <w:t xml:space="preserve"> June</w:t>
            </w:r>
            <w:r w:rsidRPr="00376A6E">
              <w:rPr>
                <w:rFonts w:asciiTheme="majorHAnsi" w:eastAsia="PMingLiU" w:hAnsiTheme="majorHAnsi" w:cstheme="majorHAnsi"/>
                <w:sz w:val="24"/>
                <w:szCs w:val="24"/>
                <w:lang w:eastAsia="zh-TW"/>
              </w:rPr>
              <w:t xml:space="preserve">, 8:00 PM – 11:00 </w:t>
            </w:r>
            <w:r w:rsidR="00651A92">
              <w:rPr>
                <w:rFonts w:asciiTheme="majorHAnsi" w:eastAsia="PMingLiU" w:hAnsiTheme="majorHAnsi" w:cstheme="majorHAnsi"/>
                <w:sz w:val="24"/>
                <w:szCs w:val="24"/>
                <w:lang w:eastAsia="zh-TW"/>
              </w:rPr>
              <w:t>P</w:t>
            </w:r>
            <w:r w:rsidRPr="00376A6E">
              <w:rPr>
                <w:rFonts w:asciiTheme="majorHAnsi" w:eastAsia="PMingLiU" w:hAnsiTheme="majorHAnsi" w:cstheme="majorHAnsi"/>
                <w:sz w:val="24"/>
                <w:szCs w:val="24"/>
                <w:lang w:eastAsia="zh-TW"/>
              </w:rPr>
              <w:t>M EDT</w:t>
            </w:r>
            <w:r w:rsidRPr="00376A6E" w:rsidDel="00526132">
              <w:rPr>
                <w:rFonts w:asciiTheme="majorHAnsi" w:hAnsiTheme="majorHAnsi" w:cstheme="majorHAnsi"/>
                <w:color w:val="000000" w:themeColor="text1"/>
                <w:sz w:val="24"/>
                <w:szCs w:val="24"/>
              </w:rPr>
              <w:t xml:space="preserve"> </w:t>
            </w:r>
            <w:bookmarkEnd w:id="3"/>
          </w:p>
        </w:tc>
      </w:tr>
      <w:tr w:rsidR="005E7786" w:rsidRPr="00376A6E" w14:paraId="37347A1C" w14:textId="77777777" w:rsidTr="00E40601">
        <w:tc>
          <w:tcPr>
            <w:tcW w:w="5395" w:type="dxa"/>
          </w:tcPr>
          <w:p w14:paraId="6A21A40F" w14:textId="5C253564" w:rsidR="005E7786" w:rsidRPr="00376A6E" w:rsidRDefault="005E7786" w:rsidP="005E7786">
            <w:pPr>
              <w:rPr>
                <w:rFonts w:asciiTheme="majorHAnsi" w:hAnsiTheme="majorHAnsi" w:cstheme="majorHAnsi"/>
                <w:i/>
                <w:sz w:val="24"/>
                <w:szCs w:val="24"/>
              </w:rPr>
            </w:pPr>
            <w:r w:rsidRPr="00376A6E">
              <w:rPr>
                <w:rFonts w:asciiTheme="majorHAnsi" w:hAnsiTheme="majorHAnsi" w:cstheme="majorHAnsi"/>
                <w:b/>
                <w:i/>
                <w:sz w:val="24"/>
                <w:szCs w:val="24"/>
              </w:rPr>
              <w:t>United States</w:t>
            </w:r>
            <w:r w:rsidRPr="00376A6E">
              <w:rPr>
                <w:rFonts w:asciiTheme="majorHAnsi" w:hAnsiTheme="majorHAnsi" w:cstheme="majorHAnsi"/>
                <w:sz w:val="24"/>
                <w:szCs w:val="24"/>
              </w:rPr>
              <w:t xml:space="preserve"> - </w:t>
            </w:r>
            <w:r w:rsidRPr="00376A6E">
              <w:rPr>
                <w:rFonts w:asciiTheme="majorHAnsi" w:hAnsiTheme="majorHAnsi" w:cstheme="majorHAnsi"/>
                <w:b/>
                <w:i/>
                <w:sz w:val="24"/>
                <w:szCs w:val="24"/>
              </w:rPr>
              <w:t>HLPDAB 01 2021S:</w:t>
            </w:r>
            <w:r w:rsidRPr="00376A6E">
              <w:rPr>
                <w:rFonts w:asciiTheme="majorHAnsi" w:hAnsiTheme="majorHAnsi" w:cstheme="majorHAnsi"/>
                <w:sz w:val="24"/>
                <w:szCs w:val="24"/>
              </w:rPr>
              <w:t xml:space="preserve"> </w:t>
            </w:r>
            <w:r w:rsidRPr="00376A6E">
              <w:rPr>
                <w:rFonts w:asciiTheme="majorHAnsi" w:hAnsiTheme="majorHAnsi" w:cstheme="majorHAnsi"/>
                <w:i/>
                <w:sz w:val="24"/>
                <w:szCs w:val="24"/>
              </w:rPr>
              <w:t xml:space="preserve">Building Effective Communication Strategies on Agricultural Biotechnology Webinar Series </w:t>
            </w:r>
          </w:p>
        </w:tc>
        <w:tc>
          <w:tcPr>
            <w:tcW w:w="3621" w:type="dxa"/>
          </w:tcPr>
          <w:p w14:paraId="755FA42B" w14:textId="0E99DE0C" w:rsidR="005E7786" w:rsidRPr="00376A6E" w:rsidRDefault="005E7786" w:rsidP="005E7786">
            <w:pPr>
              <w:rPr>
                <w:rFonts w:asciiTheme="majorHAnsi" w:hAnsiTheme="majorHAnsi" w:cstheme="majorHAnsi"/>
                <w:b/>
                <w:bCs/>
                <w:color w:val="000000" w:themeColor="text1"/>
                <w:sz w:val="24"/>
                <w:szCs w:val="24"/>
              </w:rPr>
            </w:pPr>
            <w:r w:rsidRPr="00376A6E">
              <w:rPr>
                <w:rFonts w:asciiTheme="majorHAnsi" w:hAnsiTheme="majorHAnsi" w:cstheme="majorHAnsi"/>
                <w:b/>
                <w:bCs/>
                <w:color w:val="000000" w:themeColor="text1"/>
                <w:sz w:val="24"/>
                <w:szCs w:val="24"/>
              </w:rPr>
              <w:t xml:space="preserve">Webinar I: </w:t>
            </w:r>
            <w:r w:rsidRPr="00376A6E">
              <w:rPr>
                <w:rFonts w:asciiTheme="majorHAnsi" w:hAnsiTheme="majorHAnsi" w:cstheme="majorHAnsi"/>
                <w:color w:val="000000" w:themeColor="text1"/>
                <w:sz w:val="24"/>
                <w:szCs w:val="24"/>
              </w:rPr>
              <w:t>9</w:t>
            </w:r>
            <w:r w:rsidR="007D47A4" w:rsidRPr="00376A6E">
              <w:rPr>
                <w:rFonts w:asciiTheme="majorHAnsi" w:hAnsiTheme="majorHAnsi" w:cstheme="majorHAnsi"/>
                <w:color w:val="000000" w:themeColor="text1"/>
                <w:sz w:val="24"/>
                <w:szCs w:val="24"/>
              </w:rPr>
              <w:t xml:space="preserve"> </w:t>
            </w:r>
            <w:r w:rsidR="006B370B" w:rsidRPr="00376A6E">
              <w:rPr>
                <w:rFonts w:asciiTheme="majorHAnsi" w:hAnsiTheme="majorHAnsi" w:cstheme="majorHAnsi"/>
                <w:color w:val="000000" w:themeColor="text1"/>
                <w:sz w:val="24"/>
                <w:szCs w:val="24"/>
              </w:rPr>
              <w:t>-</w:t>
            </w:r>
            <w:r w:rsidRPr="00376A6E">
              <w:rPr>
                <w:rFonts w:asciiTheme="majorHAnsi" w:hAnsiTheme="majorHAnsi" w:cstheme="majorHAnsi"/>
                <w:color w:val="000000" w:themeColor="text1"/>
                <w:sz w:val="24"/>
                <w:szCs w:val="24"/>
              </w:rPr>
              <w:t xml:space="preserve">10 June </w:t>
            </w:r>
            <w:r w:rsidR="007D47A4" w:rsidRPr="00376A6E">
              <w:rPr>
                <w:rFonts w:asciiTheme="majorHAnsi" w:hAnsiTheme="majorHAnsi" w:cstheme="majorHAnsi"/>
                <w:color w:val="000000" w:themeColor="text1"/>
                <w:sz w:val="24"/>
                <w:szCs w:val="24"/>
              </w:rPr>
              <w:t>8:00AM-11:00</w:t>
            </w:r>
            <w:r w:rsidR="006B370B" w:rsidRPr="00376A6E">
              <w:rPr>
                <w:rFonts w:asciiTheme="majorHAnsi" w:hAnsiTheme="majorHAnsi" w:cstheme="majorHAnsi"/>
                <w:color w:val="000000" w:themeColor="text1"/>
                <w:sz w:val="24"/>
                <w:szCs w:val="24"/>
              </w:rPr>
              <w:t xml:space="preserve"> </w:t>
            </w:r>
            <w:r w:rsidR="007D47A4" w:rsidRPr="00376A6E">
              <w:rPr>
                <w:rFonts w:asciiTheme="majorHAnsi" w:hAnsiTheme="majorHAnsi" w:cstheme="majorHAnsi"/>
                <w:color w:val="000000" w:themeColor="text1"/>
                <w:sz w:val="24"/>
                <w:szCs w:val="24"/>
              </w:rPr>
              <w:t>AM MYT</w:t>
            </w:r>
            <w:r w:rsidR="006B370B" w:rsidRPr="00376A6E">
              <w:rPr>
                <w:rFonts w:asciiTheme="majorHAnsi" w:hAnsiTheme="majorHAnsi" w:cstheme="majorHAnsi"/>
                <w:color w:val="000000" w:themeColor="text1"/>
                <w:sz w:val="24"/>
                <w:szCs w:val="24"/>
              </w:rPr>
              <w:t>;</w:t>
            </w:r>
            <w:r w:rsidR="007D47A4" w:rsidRPr="00376A6E">
              <w:rPr>
                <w:rFonts w:asciiTheme="majorHAnsi" w:hAnsiTheme="majorHAnsi" w:cstheme="majorHAnsi"/>
                <w:color w:val="000000" w:themeColor="text1"/>
                <w:sz w:val="24"/>
                <w:szCs w:val="24"/>
              </w:rPr>
              <w:t xml:space="preserve"> 8 </w:t>
            </w:r>
            <w:r w:rsidR="006B370B" w:rsidRPr="00376A6E">
              <w:rPr>
                <w:rFonts w:asciiTheme="majorHAnsi" w:hAnsiTheme="majorHAnsi" w:cstheme="majorHAnsi"/>
                <w:color w:val="000000" w:themeColor="text1"/>
                <w:sz w:val="24"/>
                <w:szCs w:val="24"/>
              </w:rPr>
              <w:t xml:space="preserve">- </w:t>
            </w:r>
            <w:r w:rsidR="007D47A4" w:rsidRPr="00376A6E">
              <w:rPr>
                <w:rFonts w:asciiTheme="majorHAnsi" w:hAnsiTheme="majorHAnsi" w:cstheme="majorHAnsi"/>
                <w:color w:val="000000" w:themeColor="text1"/>
                <w:sz w:val="24"/>
                <w:szCs w:val="24"/>
              </w:rPr>
              <w:t>9 June 8:</w:t>
            </w:r>
            <w:r w:rsidR="006B370B" w:rsidRPr="00376A6E">
              <w:rPr>
                <w:rFonts w:asciiTheme="majorHAnsi" w:hAnsiTheme="majorHAnsi" w:cstheme="majorHAnsi"/>
                <w:color w:val="000000" w:themeColor="text1"/>
                <w:sz w:val="24"/>
                <w:szCs w:val="24"/>
              </w:rPr>
              <w:t xml:space="preserve">00 </w:t>
            </w:r>
            <w:r w:rsidR="007D47A4" w:rsidRPr="00376A6E">
              <w:rPr>
                <w:rFonts w:asciiTheme="majorHAnsi" w:hAnsiTheme="majorHAnsi" w:cstheme="majorHAnsi"/>
                <w:color w:val="000000" w:themeColor="text1"/>
                <w:sz w:val="24"/>
                <w:szCs w:val="24"/>
              </w:rPr>
              <w:t>PM-11:00PM EDT</w:t>
            </w:r>
          </w:p>
          <w:p w14:paraId="279FC425" w14:textId="6A24533B" w:rsidR="005E7786" w:rsidRPr="00376A6E" w:rsidRDefault="005E7786" w:rsidP="005E7786">
            <w:pPr>
              <w:rPr>
                <w:rFonts w:asciiTheme="majorHAnsi" w:hAnsiTheme="majorHAnsi" w:cstheme="majorHAnsi"/>
                <w:b/>
                <w:bCs/>
                <w:color w:val="000000" w:themeColor="text1"/>
                <w:sz w:val="24"/>
                <w:szCs w:val="24"/>
              </w:rPr>
            </w:pPr>
            <w:r w:rsidRPr="00376A6E">
              <w:rPr>
                <w:rFonts w:asciiTheme="majorHAnsi" w:hAnsiTheme="majorHAnsi" w:cstheme="majorHAnsi"/>
                <w:b/>
                <w:bCs/>
                <w:color w:val="000000" w:themeColor="text1"/>
                <w:sz w:val="24"/>
                <w:szCs w:val="24"/>
              </w:rPr>
              <w:t xml:space="preserve">Webinar II: </w:t>
            </w:r>
            <w:r w:rsidRPr="00376A6E">
              <w:rPr>
                <w:rFonts w:asciiTheme="majorHAnsi" w:hAnsiTheme="majorHAnsi" w:cstheme="majorHAnsi"/>
                <w:color w:val="000000" w:themeColor="text1"/>
                <w:sz w:val="24"/>
                <w:szCs w:val="24"/>
              </w:rPr>
              <w:t>23</w:t>
            </w:r>
            <w:r w:rsidR="007D47A4" w:rsidRPr="00376A6E">
              <w:rPr>
                <w:rFonts w:asciiTheme="majorHAnsi" w:hAnsiTheme="majorHAnsi" w:cstheme="majorHAnsi"/>
                <w:color w:val="000000" w:themeColor="text1"/>
                <w:sz w:val="24"/>
                <w:szCs w:val="24"/>
              </w:rPr>
              <w:t xml:space="preserve"> </w:t>
            </w:r>
            <w:r w:rsidR="006B370B" w:rsidRPr="00376A6E">
              <w:rPr>
                <w:rFonts w:asciiTheme="majorHAnsi" w:hAnsiTheme="majorHAnsi" w:cstheme="majorHAnsi"/>
                <w:color w:val="000000" w:themeColor="text1"/>
                <w:sz w:val="24"/>
                <w:szCs w:val="24"/>
              </w:rPr>
              <w:t xml:space="preserve">- </w:t>
            </w:r>
            <w:r w:rsidRPr="00376A6E">
              <w:rPr>
                <w:rFonts w:asciiTheme="majorHAnsi" w:hAnsiTheme="majorHAnsi" w:cstheme="majorHAnsi"/>
                <w:color w:val="000000" w:themeColor="text1"/>
                <w:sz w:val="24"/>
                <w:szCs w:val="24"/>
              </w:rPr>
              <w:t>24 June</w:t>
            </w:r>
            <w:r w:rsidR="007D47A4" w:rsidRPr="00376A6E">
              <w:rPr>
                <w:rFonts w:asciiTheme="majorHAnsi" w:hAnsiTheme="majorHAnsi" w:cstheme="majorHAnsi"/>
                <w:color w:val="000000" w:themeColor="text1"/>
                <w:sz w:val="24"/>
                <w:szCs w:val="24"/>
              </w:rPr>
              <w:t xml:space="preserve"> 8:00AM-11:00AM MYT</w:t>
            </w:r>
            <w:r w:rsidR="006B370B" w:rsidRPr="00376A6E">
              <w:rPr>
                <w:rFonts w:asciiTheme="majorHAnsi" w:hAnsiTheme="majorHAnsi" w:cstheme="majorHAnsi"/>
                <w:color w:val="000000" w:themeColor="text1"/>
                <w:sz w:val="24"/>
                <w:szCs w:val="24"/>
              </w:rPr>
              <w:t>;</w:t>
            </w:r>
            <w:r w:rsidR="007D47A4" w:rsidRPr="00376A6E">
              <w:rPr>
                <w:rFonts w:asciiTheme="majorHAnsi" w:hAnsiTheme="majorHAnsi" w:cstheme="majorHAnsi"/>
                <w:color w:val="000000" w:themeColor="text1"/>
                <w:sz w:val="24"/>
                <w:szCs w:val="24"/>
              </w:rPr>
              <w:t xml:space="preserve"> 22 </w:t>
            </w:r>
            <w:r w:rsidR="006B370B" w:rsidRPr="00376A6E">
              <w:rPr>
                <w:rFonts w:asciiTheme="majorHAnsi" w:hAnsiTheme="majorHAnsi" w:cstheme="majorHAnsi"/>
                <w:color w:val="000000" w:themeColor="text1"/>
                <w:sz w:val="24"/>
                <w:szCs w:val="24"/>
              </w:rPr>
              <w:t xml:space="preserve">- </w:t>
            </w:r>
            <w:r w:rsidR="007D47A4" w:rsidRPr="00376A6E">
              <w:rPr>
                <w:rFonts w:asciiTheme="majorHAnsi" w:hAnsiTheme="majorHAnsi" w:cstheme="majorHAnsi"/>
                <w:color w:val="000000" w:themeColor="text1"/>
                <w:sz w:val="24"/>
                <w:szCs w:val="24"/>
              </w:rPr>
              <w:t>23 June 8:00-11:00</w:t>
            </w:r>
            <w:r w:rsidR="006B370B" w:rsidRPr="00376A6E">
              <w:rPr>
                <w:rFonts w:asciiTheme="majorHAnsi" w:hAnsiTheme="majorHAnsi" w:cstheme="majorHAnsi"/>
                <w:color w:val="000000" w:themeColor="text1"/>
                <w:sz w:val="24"/>
                <w:szCs w:val="24"/>
              </w:rPr>
              <w:t xml:space="preserve"> </w:t>
            </w:r>
            <w:r w:rsidR="007D47A4" w:rsidRPr="00376A6E">
              <w:rPr>
                <w:rFonts w:asciiTheme="majorHAnsi" w:hAnsiTheme="majorHAnsi" w:cstheme="majorHAnsi"/>
                <w:color w:val="000000" w:themeColor="text1"/>
                <w:sz w:val="24"/>
                <w:szCs w:val="24"/>
              </w:rPr>
              <w:t>PM EDT</w:t>
            </w:r>
          </w:p>
        </w:tc>
      </w:tr>
      <w:tr w:rsidR="005E7786" w:rsidRPr="00376A6E" w14:paraId="5C4A25BB" w14:textId="77777777" w:rsidTr="00E40601">
        <w:tc>
          <w:tcPr>
            <w:tcW w:w="5395" w:type="dxa"/>
          </w:tcPr>
          <w:p w14:paraId="453379A7" w14:textId="77777777" w:rsidR="001C00F8" w:rsidRPr="00376A6E" w:rsidRDefault="001C00F8" w:rsidP="001C00F8">
            <w:pPr>
              <w:rPr>
                <w:rFonts w:asciiTheme="majorHAnsi" w:eastAsia="PMingLiU" w:hAnsiTheme="majorHAnsi" w:cstheme="majorHAnsi"/>
                <w:i/>
                <w:sz w:val="24"/>
                <w:szCs w:val="24"/>
                <w:lang w:eastAsia="zh-TW"/>
              </w:rPr>
            </w:pPr>
            <w:r w:rsidRPr="00376A6E">
              <w:rPr>
                <w:rFonts w:asciiTheme="majorHAnsi" w:eastAsia="PMingLiU" w:hAnsiTheme="majorHAnsi" w:cstheme="majorHAnsi"/>
                <w:b/>
                <w:i/>
                <w:sz w:val="24"/>
                <w:szCs w:val="24"/>
                <w:lang w:eastAsia="zh-TW"/>
              </w:rPr>
              <w:t>United States – HLPDAB 04 2021S:</w:t>
            </w:r>
            <w:r w:rsidRPr="00376A6E">
              <w:rPr>
                <w:rFonts w:asciiTheme="majorHAnsi" w:eastAsia="PMingLiU" w:hAnsiTheme="majorHAnsi" w:cstheme="majorHAnsi"/>
                <w:i/>
                <w:sz w:val="24"/>
                <w:szCs w:val="24"/>
                <w:lang w:eastAsia="zh-TW"/>
              </w:rPr>
              <w:t xml:space="preserve"> Harnessing 25 years of agricultural biotech experiences: Policy approaches to promote the adoption, commercialization, and trade of innovative agricultural technologies</w:t>
            </w:r>
          </w:p>
          <w:p w14:paraId="733D66A0" w14:textId="77777777" w:rsidR="005E7786" w:rsidRPr="00376A6E" w:rsidRDefault="005E7786" w:rsidP="005E7786">
            <w:pPr>
              <w:rPr>
                <w:rFonts w:asciiTheme="majorHAnsi" w:hAnsiTheme="majorHAnsi" w:cstheme="majorHAnsi"/>
                <w:sz w:val="24"/>
                <w:szCs w:val="24"/>
              </w:rPr>
            </w:pPr>
          </w:p>
        </w:tc>
        <w:tc>
          <w:tcPr>
            <w:tcW w:w="3621" w:type="dxa"/>
          </w:tcPr>
          <w:p w14:paraId="7E34D75C" w14:textId="29FFD1C9" w:rsidR="001C00F8" w:rsidRPr="00376A6E" w:rsidRDefault="00526132" w:rsidP="001C00F8">
            <w:pPr>
              <w:rPr>
                <w:rFonts w:asciiTheme="majorHAnsi" w:eastAsia="PMingLiU" w:hAnsiTheme="majorHAnsi" w:cstheme="majorHAnsi"/>
                <w:sz w:val="24"/>
                <w:szCs w:val="24"/>
                <w:lang w:eastAsia="zh-TW"/>
              </w:rPr>
            </w:pPr>
            <w:r w:rsidRPr="00376A6E">
              <w:rPr>
                <w:rFonts w:asciiTheme="majorHAnsi" w:eastAsia="PMingLiU" w:hAnsiTheme="majorHAnsi" w:cstheme="majorHAnsi"/>
                <w:b/>
                <w:sz w:val="24"/>
                <w:szCs w:val="24"/>
                <w:lang w:eastAsia="zh-TW"/>
              </w:rPr>
              <w:t xml:space="preserve">July </w:t>
            </w:r>
          </w:p>
          <w:p w14:paraId="6BDC703C" w14:textId="77777777" w:rsidR="00526132" w:rsidRPr="00376A6E" w:rsidRDefault="001C00F8" w:rsidP="001C00F8">
            <w:pPr>
              <w:rPr>
                <w:rFonts w:asciiTheme="majorHAnsi" w:eastAsia="PMingLiU" w:hAnsiTheme="majorHAnsi" w:cstheme="majorHAnsi"/>
                <w:sz w:val="24"/>
                <w:szCs w:val="24"/>
                <w:lang w:eastAsia="zh-TW"/>
              </w:rPr>
            </w:pPr>
            <w:r w:rsidRPr="00376A6E">
              <w:rPr>
                <w:rFonts w:asciiTheme="majorHAnsi" w:eastAsia="PMingLiU" w:hAnsiTheme="majorHAnsi" w:cstheme="majorHAnsi"/>
                <w:sz w:val="24"/>
                <w:szCs w:val="24"/>
                <w:lang w:eastAsia="zh-TW"/>
              </w:rPr>
              <w:t xml:space="preserve">3 days </w:t>
            </w:r>
          </w:p>
          <w:p w14:paraId="060A30CD" w14:textId="561FDA9E" w:rsidR="005E7786" w:rsidRPr="00376A6E" w:rsidRDefault="001C00F8" w:rsidP="001C00F8">
            <w:pPr>
              <w:rPr>
                <w:rFonts w:asciiTheme="majorHAnsi" w:hAnsiTheme="majorHAnsi" w:cstheme="majorHAnsi"/>
                <w:sz w:val="24"/>
                <w:szCs w:val="24"/>
              </w:rPr>
            </w:pPr>
            <w:r w:rsidRPr="00376A6E">
              <w:rPr>
                <w:rFonts w:asciiTheme="majorHAnsi" w:eastAsia="PMingLiU" w:hAnsiTheme="majorHAnsi" w:cstheme="majorHAnsi"/>
                <w:sz w:val="24"/>
                <w:szCs w:val="24"/>
                <w:lang w:eastAsia="zh-TW"/>
              </w:rPr>
              <w:t>(</w:t>
            </w:r>
            <w:r w:rsidR="00526132" w:rsidRPr="00376A6E">
              <w:rPr>
                <w:rFonts w:asciiTheme="majorHAnsi" w:eastAsia="PMingLiU" w:hAnsiTheme="majorHAnsi" w:cstheme="majorHAnsi"/>
                <w:sz w:val="24"/>
                <w:szCs w:val="24"/>
                <w:lang w:eastAsia="zh-TW"/>
              </w:rPr>
              <w:t>TBD</w:t>
            </w:r>
            <w:r w:rsidRPr="00376A6E">
              <w:rPr>
                <w:rFonts w:asciiTheme="majorHAnsi" w:eastAsia="PMingLiU" w:hAnsiTheme="majorHAnsi" w:cstheme="majorHAnsi"/>
                <w:sz w:val="24"/>
                <w:szCs w:val="24"/>
                <w:lang w:eastAsia="zh-TW"/>
              </w:rPr>
              <w:t>)</w:t>
            </w:r>
          </w:p>
          <w:p w14:paraId="1596FBE4" w14:textId="77A813BD" w:rsidR="001C00F8" w:rsidRPr="00376A6E" w:rsidRDefault="001C00F8" w:rsidP="001C00F8">
            <w:pPr>
              <w:ind w:firstLine="720"/>
              <w:rPr>
                <w:rFonts w:asciiTheme="majorHAnsi" w:hAnsiTheme="majorHAnsi" w:cstheme="majorHAnsi"/>
                <w:sz w:val="24"/>
                <w:szCs w:val="24"/>
              </w:rPr>
            </w:pPr>
          </w:p>
        </w:tc>
      </w:tr>
    </w:tbl>
    <w:p w14:paraId="26B785A4" w14:textId="6A35C9B0" w:rsidR="005E7786" w:rsidRPr="00376A6E" w:rsidRDefault="005E7786" w:rsidP="005E7786">
      <w:pPr>
        <w:rPr>
          <w:rFonts w:asciiTheme="majorHAnsi" w:hAnsiTheme="majorHAnsi" w:cstheme="majorHAnsi"/>
        </w:rPr>
      </w:pPr>
    </w:p>
    <w:p w14:paraId="2C875CD3" w14:textId="7239CA7E" w:rsidR="00315019" w:rsidRDefault="00315019" w:rsidP="005E7786">
      <w:pPr>
        <w:rPr>
          <w:rFonts w:asciiTheme="majorHAnsi" w:hAnsiTheme="majorHAnsi" w:cstheme="majorHAnsi"/>
        </w:rPr>
      </w:pPr>
    </w:p>
    <w:p w14:paraId="2E1A4A0C" w14:textId="41977504" w:rsidR="00D020BC" w:rsidRDefault="00D020BC" w:rsidP="005E7786">
      <w:pPr>
        <w:rPr>
          <w:rFonts w:asciiTheme="majorHAnsi" w:hAnsiTheme="majorHAnsi" w:cstheme="majorHAnsi"/>
        </w:rPr>
      </w:pPr>
    </w:p>
    <w:p w14:paraId="6A70FF4E" w14:textId="0BFF3FE9" w:rsidR="00D020BC" w:rsidRDefault="00D020BC" w:rsidP="005E7786">
      <w:pPr>
        <w:rPr>
          <w:rFonts w:asciiTheme="majorHAnsi" w:hAnsiTheme="majorHAnsi" w:cstheme="majorHAnsi"/>
        </w:rPr>
      </w:pPr>
    </w:p>
    <w:p w14:paraId="5A4388B0" w14:textId="6BDFA6DF" w:rsidR="00D020BC" w:rsidRDefault="00D020BC" w:rsidP="005E7786">
      <w:pPr>
        <w:rPr>
          <w:rFonts w:asciiTheme="majorHAnsi" w:hAnsiTheme="majorHAnsi" w:cstheme="majorHAnsi"/>
        </w:rPr>
      </w:pPr>
    </w:p>
    <w:p w14:paraId="7E11982B" w14:textId="04079DD7" w:rsidR="00D020BC" w:rsidRDefault="00D020BC" w:rsidP="005E7786">
      <w:pPr>
        <w:rPr>
          <w:rFonts w:asciiTheme="majorHAnsi" w:hAnsiTheme="majorHAnsi" w:cstheme="majorHAnsi"/>
        </w:rPr>
      </w:pPr>
    </w:p>
    <w:p w14:paraId="333EEA18" w14:textId="0FA75BE9" w:rsidR="00D020BC" w:rsidRDefault="00D020BC" w:rsidP="005E7786">
      <w:pPr>
        <w:rPr>
          <w:rFonts w:asciiTheme="majorHAnsi" w:hAnsiTheme="majorHAnsi" w:cstheme="majorHAnsi"/>
        </w:rPr>
      </w:pPr>
    </w:p>
    <w:p w14:paraId="227DAE2C" w14:textId="4A8F8E1F" w:rsidR="00D020BC" w:rsidRDefault="00D020BC" w:rsidP="005E7786">
      <w:pPr>
        <w:rPr>
          <w:rFonts w:asciiTheme="majorHAnsi" w:hAnsiTheme="majorHAnsi" w:cstheme="majorHAnsi"/>
        </w:rPr>
      </w:pPr>
    </w:p>
    <w:p w14:paraId="004C27B0" w14:textId="049B380C" w:rsidR="00D020BC" w:rsidRDefault="00D020BC" w:rsidP="005E7786">
      <w:pPr>
        <w:rPr>
          <w:rFonts w:asciiTheme="majorHAnsi" w:hAnsiTheme="majorHAnsi" w:cstheme="majorHAnsi"/>
        </w:rPr>
      </w:pPr>
    </w:p>
    <w:p w14:paraId="51C1E52C" w14:textId="36369F47" w:rsidR="00D020BC" w:rsidRDefault="00D020BC" w:rsidP="005E7786">
      <w:pPr>
        <w:rPr>
          <w:rFonts w:asciiTheme="majorHAnsi" w:hAnsiTheme="majorHAnsi" w:cstheme="majorHAnsi"/>
        </w:rPr>
      </w:pPr>
    </w:p>
    <w:p w14:paraId="68893B89" w14:textId="77777777" w:rsidR="002662CB" w:rsidRDefault="002662CB" w:rsidP="005E7786">
      <w:pPr>
        <w:rPr>
          <w:rFonts w:asciiTheme="majorHAnsi" w:hAnsiTheme="majorHAnsi" w:cstheme="majorHAnsi"/>
        </w:rPr>
      </w:pPr>
    </w:p>
    <w:p w14:paraId="0926FFAA" w14:textId="77777777" w:rsidR="00D020BC" w:rsidRPr="00376A6E" w:rsidRDefault="00D020BC" w:rsidP="005E7786">
      <w:pPr>
        <w:rPr>
          <w:rFonts w:asciiTheme="majorHAnsi" w:hAnsiTheme="majorHAnsi" w:cstheme="majorHAnsi"/>
        </w:rPr>
      </w:pPr>
    </w:p>
    <w:p w14:paraId="1B22A047" w14:textId="611A21A0" w:rsidR="00315019" w:rsidRDefault="00315019" w:rsidP="005E7786">
      <w:pPr>
        <w:rPr>
          <w:rFonts w:asciiTheme="majorHAnsi" w:hAnsiTheme="majorHAnsi" w:cstheme="majorHAnsi"/>
        </w:rPr>
      </w:pPr>
    </w:p>
    <w:p w14:paraId="4288F47B" w14:textId="1B17E81B" w:rsidR="00E40601" w:rsidRDefault="00E40601" w:rsidP="005E7786">
      <w:pPr>
        <w:rPr>
          <w:rFonts w:asciiTheme="majorHAnsi" w:hAnsiTheme="majorHAnsi" w:cstheme="majorHAnsi"/>
        </w:rPr>
      </w:pPr>
    </w:p>
    <w:p w14:paraId="7F3009FA" w14:textId="77777777" w:rsidR="00E40601" w:rsidRPr="00376A6E" w:rsidRDefault="00E40601" w:rsidP="005E7786">
      <w:pPr>
        <w:rPr>
          <w:rFonts w:asciiTheme="majorHAnsi" w:hAnsiTheme="majorHAnsi" w:cstheme="majorHAnsi"/>
        </w:rPr>
      </w:pPr>
    </w:p>
    <w:p w14:paraId="2B51FB22" w14:textId="77777777" w:rsidR="00315019" w:rsidRPr="00376A6E" w:rsidRDefault="00315019" w:rsidP="005E7786">
      <w:pPr>
        <w:rPr>
          <w:rFonts w:asciiTheme="majorHAnsi" w:hAnsiTheme="majorHAnsi" w:cstheme="majorHAnsi"/>
        </w:rPr>
      </w:pPr>
    </w:p>
    <w:p w14:paraId="0BA300EF" w14:textId="4DDF6AC5" w:rsidR="00F21B96" w:rsidRPr="002662CB" w:rsidRDefault="00F21B96" w:rsidP="00F21B96">
      <w:pPr>
        <w:pStyle w:val="Heading2"/>
        <w:rPr>
          <w:rFonts w:cstheme="majorHAnsi"/>
          <w:sz w:val="24"/>
          <w:szCs w:val="24"/>
          <w:lang w:val="en-US" w:bidi="he-IL"/>
        </w:rPr>
      </w:pPr>
      <w:r w:rsidRPr="002662CB">
        <w:rPr>
          <w:rFonts w:cstheme="majorHAnsi"/>
          <w:sz w:val="24"/>
          <w:szCs w:val="24"/>
          <w:lang w:val="en-US" w:bidi="he-IL"/>
        </w:rPr>
        <w:t>3. Expected Outcomes/Deliverables for 202</w:t>
      </w:r>
      <w:r w:rsidR="00E87DB3">
        <w:rPr>
          <w:rFonts w:cstheme="majorHAnsi"/>
          <w:sz w:val="24"/>
          <w:szCs w:val="24"/>
          <w:lang w:val="en-US" w:bidi="he-IL"/>
        </w:rPr>
        <w:t>1</w:t>
      </w:r>
    </w:p>
    <w:p w14:paraId="07677C83" w14:textId="77777777" w:rsidR="00F21B96" w:rsidRPr="00376A6E" w:rsidRDefault="00F21B96" w:rsidP="00F21B96">
      <w:pPr>
        <w:autoSpaceDE w:val="0"/>
        <w:autoSpaceDN w:val="0"/>
        <w:adjustRightInd w:val="0"/>
        <w:spacing w:after="0" w:line="360" w:lineRule="auto"/>
        <w:rPr>
          <w:rFonts w:asciiTheme="majorHAnsi" w:hAnsiTheme="majorHAnsi" w:cstheme="majorHAnsi"/>
          <w:b/>
          <w:bCs/>
          <w:sz w:val="24"/>
          <w:szCs w:val="24"/>
          <w:lang w:val="en-US" w:bidi="he-IL"/>
        </w:rPr>
      </w:pPr>
    </w:p>
    <w:tbl>
      <w:tblPr>
        <w:tblStyle w:val="TableGrid"/>
        <w:tblW w:w="0" w:type="auto"/>
        <w:tblLook w:val="04A0" w:firstRow="1" w:lastRow="0" w:firstColumn="1" w:lastColumn="0" w:noHBand="0" w:noVBand="1"/>
      </w:tblPr>
      <w:tblGrid>
        <w:gridCol w:w="535"/>
        <w:gridCol w:w="6390"/>
        <w:gridCol w:w="2091"/>
      </w:tblGrid>
      <w:tr w:rsidR="00F21B96" w:rsidRPr="00376A6E" w14:paraId="08DACE30" w14:textId="77777777" w:rsidTr="00AD2E13">
        <w:tc>
          <w:tcPr>
            <w:tcW w:w="535" w:type="dxa"/>
          </w:tcPr>
          <w:p w14:paraId="28205D19" w14:textId="77777777" w:rsidR="00F21B96" w:rsidRPr="00376A6E" w:rsidRDefault="00F21B96" w:rsidP="00AD2E13">
            <w:pPr>
              <w:autoSpaceDE w:val="0"/>
              <w:autoSpaceDN w:val="0"/>
              <w:adjustRightInd w:val="0"/>
              <w:spacing w:line="276" w:lineRule="auto"/>
              <w:rPr>
                <w:rFonts w:asciiTheme="majorHAnsi" w:hAnsiTheme="majorHAnsi" w:cstheme="majorHAnsi"/>
                <w:b/>
                <w:bCs/>
                <w:sz w:val="24"/>
                <w:szCs w:val="24"/>
              </w:rPr>
            </w:pPr>
            <w:r w:rsidRPr="00376A6E">
              <w:rPr>
                <w:rFonts w:asciiTheme="majorHAnsi" w:hAnsiTheme="majorHAnsi" w:cstheme="majorHAnsi"/>
                <w:b/>
                <w:bCs/>
                <w:sz w:val="24"/>
                <w:szCs w:val="24"/>
              </w:rPr>
              <w:t>No</w:t>
            </w:r>
          </w:p>
        </w:tc>
        <w:tc>
          <w:tcPr>
            <w:tcW w:w="6390" w:type="dxa"/>
          </w:tcPr>
          <w:p w14:paraId="7CA041B3" w14:textId="77777777" w:rsidR="00F21B96" w:rsidRPr="00376A6E" w:rsidRDefault="00F21B96" w:rsidP="00AD2E13">
            <w:pPr>
              <w:autoSpaceDE w:val="0"/>
              <w:autoSpaceDN w:val="0"/>
              <w:adjustRightInd w:val="0"/>
              <w:spacing w:line="276" w:lineRule="auto"/>
              <w:rPr>
                <w:rFonts w:asciiTheme="majorHAnsi" w:hAnsiTheme="majorHAnsi" w:cstheme="majorHAnsi"/>
                <w:b/>
                <w:bCs/>
                <w:sz w:val="24"/>
                <w:szCs w:val="24"/>
              </w:rPr>
            </w:pPr>
            <w:r w:rsidRPr="00376A6E">
              <w:rPr>
                <w:rFonts w:asciiTheme="majorHAnsi" w:hAnsiTheme="majorHAnsi" w:cstheme="majorHAnsi"/>
                <w:b/>
                <w:bCs/>
                <w:sz w:val="24"/>
                <w:szCs w:val="24"/>
              </w:rPr>
              <w:t>Expected outcomes</w:t>
            </w:r>
          </w:p>
        </w:tc>
        <w:tc>
          <w:tcPr>
            <w:tcW w:w="2091" w:type="dxa"/>
          </w:tcPr>
          <w:p w14:paraId="2B056405" w14:textId="77777777" w:rsidR="00F21B96" w:rsidRPr="00376A6E" w:rsidRDefault="00F21B96" w:rsidP="00AD2E13">
            <w:pPr>
              <w:autoSpaceDE w:val="0"/>
              <w:autoSpaceDN w:val="0"/>
              <w:adjustRightInd w:val="0"/>
              <w:spacing w:line="276" w:lineRule="auto"/>
              <w:jc w:val="center"/>
              <w:rPr>
                <w:rFonts w:asciiTheme="majorHAnsi" w:hAnsiTheme="majorHAnsi" w:cstheme="majorHAnsi"/>
                <w:b/>
                <w:bCs/>
                <w:sz w:val="24"/>
                <w:szCs w:val="24"/>
              </w:rPr>
            </w:pPr>
            <w:r w:rsidRPr="00376A6E">
              <w:rPr>
                <w:rFonts w:asciiTheme="majorHAnsi" w:hAnsiTheme="majorHAnsi" w:cstheme="majorHAnsi"/>
                <w:b/>
                <w:bCs/>
                <w:sz w:val="24"/>
                <w:szCs w:val="24"/>
              </w:rPr>
              <w:t>Deadline</w:t>
            </w:r>
          </w:p>
        </w:tc>
      </w:tr>
      <w:tr w:rsidR="00F21B96" w:rsidRPr="00376A6E" w14:paraId="59CD95E0" w14:textId="77777777" w:rsidTr="00AD2E13">
        <w:tc>
          <w:tcPr>
            <w:tcW w:w="535" w:type="dxa"/>
          </w:tcPr>
          <w:p w14:paraId="4D24CE05" w14:textId="77777777" w:rsidR="00F21B96" w:rsidRPr="00376A6E" w:rsidRDefault="00F21B96" w:rsidP="00AD2E13">
            <w:pPr>
              <w:autoSpaceDE w:val="0"/>
              <w:autoSpaceDN w:val="0"/>
              <w:adjustRightInd w:val="0"/>
              <w:spacing w:line="276" w:lineRule="auto"/>
              <w:jc w:val="center"/>
              <w:rPr>
                <w:rFonts w:asciiTheme="majorHAnsi" w:hAnsiTheme="majorHAnsi" w:cstheme="majorHAnsi"/>
                <w:sz w:val="24"/>
                <w:szCs w:val="24"/>
              </w:rPr>
            </w:pPr>
            <w:r w:rsidRPr="00376A6E">
              <w:rPr>
                <w:rFonts w:asciiTheme="majorHAnsi" w:hAnsiTheme="majorHAnsi" w:cstheme="majorHAnsi"/>
                <w:sz w:val="24"/>
                <w:szCs w:val="24"/>
              </w:rPr>
              <w:t>1</w:t>
            </w:r>
          </w:p>
        </w:tc>
        <w:tc>
          <w:tcPr>
            <w:tcW w:w="6390" w:type="dxa"/>
          </w:tcPr>
          <w:p w14:paraId="180073B4" w14:textId="77777777" w:rsidR="00F21B96" w:rsidRPr="00376A6E" w:rsidRDefault="00F21B96" w:rsidP="00AD2E13">
            <w:pPr>
              <w:autoSpaceDE w:val="0"/>
              <w:autoSpaceDN w:val="0"/>
              <w:adjustRightInd w:val="0"/>
              <w:spacing w:line="276" w:lineRule="auto"/>
              <w:rPr>
                <w:rFonts w:asciiTheme="majorHAnsi" w:hAnsiTheme="majorHAnsi" w:cstheme="majorHAnsi"/>
                <w:sz w:val="24"/>
                <w:szCs w:val="24"/>
              </w:rPr>
            </w:pPr>
            <w:r w:rsidRPr="00376A6E">
              <w:rPr>
                <w:rFonts w:asciiTheme="majorHAnsi" w:hAnsiTheme="majorHAnsi" w:cstheme="majorHAnsi"/>
                <w:sz w:val="24"/>
                <w:szCs w:val="24"/>
                <w:lang w:val="en-US" w:bidi="he-IL"/>
              </w:rPr>
              <w:t>Continue promotion of transparent and science-based regulations to promote agricultural biotechnology and   innovation in the context of global trade</w:t>
            </w:r>
          </w:p>
        </w:tc>
        <w:tc>
          <w:tcPr>
            <w:tcW w:w="2091" w:type="dxa"/>
          </w:tcPr>
          <w:p w14:paraId="64638AB8" w14:textId="77777777" w:rsidR="00F21B96" w:rsidRPr="00376A6E" w:rsidRDefault="00F21B96" w:rsidP="00AD2E13">
            <w:pPr>
              <w:autoSpaceDE w:val="0"/>
              <w:autoSpaceDN w:val="0"/>
              <w:adjustRightInd w:val="0"/>
              <w:spacing w:line="276" w:lineRule="auto"/>
              <w:jc w:val="center"/>
              <w:rPr>
                <w:rFonts w:asciiTheme="majorHAnsi" w:hAnsiTheme="majorHAnsi" w:cstheme="majorHAnsi"/>
                <w:sz w:val="24"/>
                <w:szCs w:val="24"/>
              </w:rPr>
            </w:pPr>
            <w:r w:rsidRPr="00376A6E">
              <w:rPr>
                <w:rFonts w:asciiTheme="majorHAnsi" w:hAnsiTheme="majorHAnsi" w:cstheme="majorHAnsi"/>
                <w:sz w:val="24"/>
                <w:szCs w:val="24"/>
              </w:rPr>
              <w:t>Ongoing</w:t>
            </w:r>
          </w:p>
        </w:tc>
      </w:tr>
      <w:tr w:rsidR="00F21B96" w:rsidRPr="00376A6E" w14:paraId="373EF7FE" w14:textId="77777777" w:rsidTr="00AD2E13">
        <w:tc>
          <w:tcPr>
            <w:tcW w:w="535" w:type="dxa"/>
          </w:tcPr>
          <w:p w14:paraId="3EFB94D5" w14:textId="77777777" w:rsidR="00F21B96" w:rsidRPr="00376A6E" w:rsidRDefault="00F21B96" w:rsidP="00AD2E13">
            <w:pPr>
              <w:autoSpaceDE w:val="0"/>
              <w:autoSpaceDN w:val="0"/>
              <w:adjustRightInd w:val="0"/>
              <w:spacing w:line="276" w:lineRule="auto"/>
              <w:jc w:val="center"/>
              <w:rPr>
                <w:rFonts w:asciiTheme="majorHAnsi" w:hAnsiTheme="majorHAnsi" w:cstheme="majorHAnsi"/>
                <w:sz w:val="24"/>
                <w:szCs w:val="24"/>
              </w:rPr>
            </w:pPr>
            <w:r w:rsidRPr="00376A6E">
              <w:rPr>
                <w:rFonts w:asciiTheme="majorHAnsi" w:hAnsiTheme="majorHAnsi" w:cstheme="majorHAnsi"/>
                <w:sz w:val="24"/>
                <w:szCs w:val="24"/>
              </w:rPr>
              <w:t>2</w:t>
            </w:r>
          </w:p>
        </w:tc>
        <w:tc>
          <w:tcPr>
            <w:tcW w:w="6390" w:type="dxa"/>
          </w:tcPr>
          <w:p w14:paraId="54897CC7" w14:textId="77777777" w:rsidR="00F21B96" w:rsidRPr="00376A6E" w:rsidRDefault="00F21B96" w:rsidP="00AD2E13">
            <w:pPr>
              <w:autoSpaceDE w:val="0"/>
              <w:autoSpaceDN w:val="0"/>
              <w:adjustRightInd w:val="0"/>
              <w:spacing w:line="276" w:lineRule="auto"/>
              <w:rPr>
                <w:rFonts w:asciiTheme="majorHAnsi" w:hAnsiTheme="majorHAnsi" w:cstheme="majorHAnsi"/>
                <w:sz w:val="24"/>
                <w:szCs w:val="24"/>
              </w:rPr>
            </w:pPr>
            <w:r w:rsidRPr="00376A6E">
              <w:rPr>
                <w:rFonts w:asciiTheme="majorHAnsi" w:hAnsiTheme="majorHAnsi" w:cstheme="majorHAnsi"/>
                <w:sz w:val="24"/>
                <w:szCs w:val="24"/>
                <w:lang w:val="en-US" w:bidi="he-IL"/>
              </w:rPr>
              <w:t>Continue to enhance understanding and share information on development of innovative and biotechnological methods and products to help address food security and meet environmental challenges</w:t>
            </w:r>
          </w:p>
        </w:tc>
        <w:tc>
          <w:tcPr>
            <w:tcW w:w="2091" w:type="dxa"/>
          </w:tcPr>
          <w:p w14:paraId="3984D07C" w14:textId="77777777" w:rsidR="00F21B96" w:rsidRPr="00376A6E" w:rsidRDefault="00F21B96" w:rsidP="00AD2E13">
            <w:pPr>
              <w:autoSpaceDE w:val="0"/>
              <w:autoSpaceDN w:val="0"/>
              <w:adjustRightInd w:val="0"/>
              <w:spacing w:line="276" w:lineRule="auto"/>
              <w:jc w:val="center"/>
              <w:rPr>
                <w:rFonts w:asciiTheme="majorHAnsi" w:hAnsiTheme="majorHAnsi" w:cstheme="majorHAnsi"/>
                <w:sz w:val="24"/>
                <w:szCs w:val="24"/>
              </w:rPr>
            </w:pPr>
            <w:r w:rsidRPr="00376A6E">
              <w:rPr>
                <w:rFonts w:asciiTheme="majorHAnsi" w:hAnsiTheme="majorHAnsi" w:cstheme="majorHAnsi"/>
                <w:sz w:val="24"/>
                <w:szCs w:val="24"/>
              </w:rPr>
              <w:t>Ongoing</w:t>
            </w:r>
          </w:p>
        </w:tc>
      </w:tr>
      <w:tr w:rsidR="00F21B96" w:rsidRPr="00376A6E" w14:paraId="226695C4" w14:textId="77777777" w:rsidTr="00AD2E13">
        <w:tc>
          <w:tcPr>
            <w:tcW w:w="535" w:type="dxa"/>
          </w:tcPr>
          <w:p w14:paraId="05BCA80A" w14:textId="77777777" w:rsidR="00F21B96" w:rsidRPr="00376A6E" w:rsidRDefault="00F21B96" w:rsidP="00AD2E13">
            <w:pPr>
              <w:autoSpaceDE w:val="0"/>
              <w:autoSpaceDN w:val="0"/>
              <w:adjustRightInd w:val="0"/>
              <w:spacing w:line="276" w:lineRule="auto"/>
              <w:jc w:val="center"/>
              <w:rPr>
                <w:rFonts w:asciiTheme="majorHAnsi" w:hAnsiTheme="majorHAnsi" w:cstheme="majorHAnsi"/>
                <w:sz w:val="24"/>
                <w:szCs w:val="24"/>
              </w:rPr>
            </w:pPr>
            <w:r w:rsidRPr="00376A6E">
              <w:rPr>
                <w:rFonts w:asciiTheme="majorHAnsi" w:hAnsiTheme="majorHAnsi" w:cstheme="majorHAnsi"/>
                <w:sz w:val="24"/>
                <w:szCs w:val="24"/>
              </w:rPr>
              <w:t>3</w:t>
            </w:r>
          </w:p>
        </w:tc>
        <w:tc>
          <w:tcPr>
            <w:tcW w:w="6390" w:type="dxa"/>
          </w:tcPr>
          <w:p w14:paraId="3187362A" w14:textId="77777777" w:rsidR="00F21B96" w:rsidRPr="00376A6E" w:rsidRDefault="00F21B96" w:rsidP="00AD2E13">
            <w:pPr>
              <w:autoSpaceDE w:val="0"/>
              <w:autoSpaceDN w:val="0"/>
              <w:adjustRightInd w:val="0"/>
              <w:spacing w:line="276" w:lineRule="auto"/>
              <w:rPr>
                <w:rFonts w:asciiTheme="majorHAnsi" w:hAnsiTheme="majorHAnsi" w:cstheme="majorHAnsi"/>
                <w:sz w:val="24"/>
                <w:szCs w:val="24"/>
                <w:lang w:val="en-US"/>
              </w:rPr>
            </w:pPr>
            <w:r w:rsidRPr="00376A6E">
              <w:rPr>
                <w:rFonts w:asciiTheme="majorHAnsi" w:hAnsiTheme="majorHAnsi" w:cstheme="majorHAnsi"/>
                <w:sz w:val="24"/>
                <w:szCs w:val="24"/>
                <w:lang w:val="en-US"/>
              </w:rPr>
              <w:t>Continue to promote understanding, best practices and confidence in APEC economy regulatory</w:t>
            </w:r>
          </w:p>
          <w:p w14:paraId="2B35BB61" w14:textId="77777777" w:rsidR="00F21B96" w:rsidRPr="00376A6E" w:rsidRDefault="00F21B96" w:rsidP="00AD2E13">
            <w:pPr>
              <w:autoSpaceDE w:val="0"/>
              <w:autoSpaceDN w:val="0"/>
              <w:adjustRightInd w:val="0"/>
              <w:spacing w:line="276" w:lineRule="auto"/>
              <w:rPr>
                <w:rFonts w:asciiTheme="majorHAnsi" w:hAnsiTheme="majorHAnsi" w:cstheme="majorHAnsi"/>
                <w:sz w:val="24"/>
                <w:szCs w:val="24"/>
              </w:rPr>
            </w:pPr>
            <w:r w:rsidRPr="00376A6E">
              <w:rPr>
                <w:rFonts w:asciiTheme="majorHAnsi" w:hAnsiTheme="majorHAnsi" w:cstheme="majorHAnsi"/>
                <w:sz w:val="24"/>
                <w:szCs w:val="24"/>
                <w:lang w:val="en-US"/>
              </w:rPr>
              <w:t xml:space="preserve">systems </w:t>
            </w:r>
          </w:p>
        </w:tc>
        <w:tc>
          <w:tcPr>
            <w:tcW w:w="2091" w:type="dxa"/>
          </w:tcPr>
          <w:p w14:paraId="47625513" w14:textId="77777777" w:rsidR="00F21B96" w:rsidRPr="00376A6E" w:rsidRDefault="00F21B96" w:rsidP="00AD2E13">
            <w:pPr>
              <w:autoSpaceDE w:val="0"/>
              <w:autoSpaceDN w:val="0"/>
              <w:adjustRightInd w:val="0"/>
              <w:spacing w:line="276" w:lineRule="auto"/>
              <w:jc w:val="center"/>
              <w:rPr>
                <w:rFonts w:asciiTheme="majorHAnsi" w:hAnsiTheme="majorHAnsi" w:cstheme="majorHAnsi"/>
                <w:sz w:val="24"/>
                <w:szCs w:val="24"/>
              </w:rPr>
            </w:pPr>
            <w:r w:rsidRPr="00376A6E">
              <w:rPr>
                <w:rFonts w:asciiTheme="majorHAnsi" w:hAnsiTheme="majorHAnsi" w:cstheme="majorHAnsi"/>
                <w:sz w:val="24"/>
                <w:szCs w:val="24"/>
              </w:rPr>
              <w:t>Ongoing</w:t>
            </w:r>
          </w:p>
        </w:tc>
      </w:tr>
      <w:tr w:rsidR="00F21B96" w:rsidRPr="00376A6E" w14:paraId="553B15C7" w14:textId="77777777" w:rsidTr="00AD2E13">
        <w:tc>
          <w:tcPr>
            <w:tcW w:w="535" w:type="dxa"/>
          </w:tcPr>
          <w:p w14:paraId="548C4E34" w14:textId="77777777" w:rsidR="00F21B96" w:rsidRPr="00376A6E" w:rsidRDefault="00F21B96" w:rsidP="00AD2E13">
            <w:pPr>
              <w:autoSpaceDE w:val="0"/>
              <w:autoSpaceDN w:val="0"/>
              <w:adjustRightInd w:val="0"/>
              <w:spacing w:line="276" w:lineRule="auto"/>
              <w:jc w:val="center"/>
              <w:rPr>
                <w:rFonts w:asciiTheme="majorHAnsi" w:hAnsiTheme="majorHAnsi" w:cstheme="majorHAnsi"/>
                <w:sz w:val="24"/>
                <w:szCs w:val="24"/>
              </w:rPr>
            </w:pPr>
            <w:r w:rsidRPr="00376A6E">
              <w:rPr>
                <w:rFonts w:asciiTheme="majorHAnsi" w:hAnsiTheme="majorHAnsi" w:cstheme="majorHAnsi"/>
                <w:sz w:val="24"/>
                <w:szCs w:val="24"/>
              </w:rPr>
              <w:t>4</w:t>
            </w:r>
          </w:p>
        </w:tc>
        <w:tc>
          <w:tcPr>
            <w:tcW w:w="6390" w:type="dxa"/>
          </w:tcPr>
          <w:p w14:paraId="25A0FE1A" w14:textId="77777777" w:rsidR="00F21B96" w:rsidRPr="00376A6E" w:rsidRDefault="00F21B96" w:rsidP="00AD2E13">
            <w:pPr>
              <w:autoSpaceDE w:val="0"/>
              <w:autoSpaceDN w:val="0"/>
              <w:adjustRightInd w:val="0"/>
              <w:spacing w:line="276" w:lineRule="auto"/>
              <w:rPr>
                <w:rFonts w:asciiTheme="majorHAnsi" w:hAnsiTheme="majorHAnsi" w:cstheme="majorHAnsi"/>
                <w:sz w:val="24"/>
                <w:szCs w:val="24"/>
              </w:rPr>
            </w:pPr>
            <w:r w:rsidRPr="00376A6E">
              <w:rPr>
                <w:rFonts w:asciiTheme="majorHAnsi" w:hAnsiTheme="majorHAnsi" w:cstheme="majorHAnsi"/>
                <w:sz w:val="24"/>
                <w:szCs w:val="24"/>
              </w:rPr>
              <w:t>Continue to develop self-funded capacity building proposals and proposals for APEC-funded projects</w:t>
            </w:r>
          </w:p>
        </w:tc>
        <w:tc>
          <w:tcPr>
            <w:tcW w:w="2091" w:type="dxa"/>
          </w:tcPr>
          <w:p w14:paraId="2C4103CA" w14:textId="77777777" w:rsidR="00F21B96" w:rsidRPr="00376A6E" w:rsidRDefault="00F21B96" w:rsidP="00AD2E13">
            <w:pPr>
              <w:autoSpaceDE w:val="0"/>
              <w:autoSpaceDN w:val="0"/>
              <w:adjustRightInd w:val="0"/>
              <w:spacing w:line="276" w:lineRule="auto"/>
              <w:jc w:val="center"/>
              <w:rPr>
                <w:rFonts w:asciiTheme="majorHAnsi" w:hAnsiTheme="majorHAnsi" w:cstheme="majorHAnsi"/>
                <w:sz w:val="24"/>
                <w:szCs w:val="24"/>
              </w:rPr>
            </w:pPr>
            <w:r w:rsidRPr="00376A6E">
              <w:rPr>
                <w:rFonts w:asciiTheme="majorHAnsi" w:hAnsiTheme="majorHAnsi" w:cstheme="majorHAnsi"/>
                <w:sz w:val="24"/>
                <w:szCs w:val="24"/>
              </w:rPr>
              <w:t>Ongoing</w:t>
            </w:r>
          </w:p>
        </w:tc>
      </w:tr>
      <w:tr w:rsidR="00F21B96" w:rsidRPr="00376A6E" w14:paraId="0E103B76" w14:textId="77777777" w:rsidTr="00AD2E13">
        <w:tc>
          <w:tcPr>
            <w:tcW w:w="535" w:type="dxa"/>
          </w:tcPr>
          <w:p w14:paraId="56BF5260" w14:textId="77777777" w:rsidR="00F21B96" w:rsidRPr="00376A6E" w:rsidRDefault="00F21B96" w:rsidP="00AD2E13">
            <w:pPr>
              <w:autoSpaceDE w:val="0"/>
              <w:autoSpaceDN w:val="0"/>
              <w:adjustRightInd w:val="0"/>
              <w:spacing w:line="276" w:lineRule="auto"/>
              <w:jc w:val="center"/>
              <w:rPr>
                <w:rFonts w:asciiTheme="majorHAnsi" w:hAnsiTheme="majorHAnsi" w:cstheme="majorHAnsi"/>
                <w:sz w:val="24"/>
                <w:szCs w:val="24"/>
              </w:rPr>
            </w:pPr>
            <w:r w:rsidRPr="00376A6E">
              <w:rPr>
                <w:rFonts w:asciiTheme="majorHAnsi" w:hAnsiTheme="majorHAnsi" w:cstheme="majorHAnsi"/>
                <w:sz w:val="24"/>
                <w:szCs w:val="24"/>
              </w:rPr>
              <w:t>5</w:t>
            </w:r>
          </w:p>
        </w:tc>
        <w:tc>
          <w:tcPr>
            <w:tcW w:w="6390" w:type="dxa"/>
          </w:tcPr>
          <w:p w14:paraId="04C819F9" w14:textId="77777777" w:rsidR="00F21B96" w:rsidRPr="00376A6E" w:rsidRDefault="00F21B96" w:rsidP="00AD2E13">
            <w:pPr>
              <w:autoSpaceDE w:val="0"/>
              <w:autoSpaceDN w:val="0"/>
              <w:adjustRightInd w:val="0"/>
              <w:spacing w:line="276" w:lineRule="auto"/>
              <w:rPr>
                <w:rFonts w:asciiTheme="majorHAnsi" w:hAnsiTheme="majorHAnsi" w:cstheme="majorHAnsi"/>
                <w:sz w:val="24"/>
                <w:szCs w:val="24"/>
                <w:lang w:val="en-US" w:bidi="he-IL"/>
              </w:rPr>
            </w:pPr>
            <w:r w:rsidRPr="00376A6E">
              <w:rPr>
                <w:rFonts w:asciiTheme="majorHAnsi" w:hAnsiTheme="majorHAnsi" w:cstheme="majorHAnsi"/>
                <w:sz w:val="24"/>
                <w:szCs w:val="24"/>
                <w:lang w:val="en-US" w:bidi="he-IL"/>
              </w:rPr>
              <w:t>Facilitate collaboration across APEC sub-fora on food security issues</w:t>
            </w:r>
          </w:p>
        </w:tc>
        <w:tc>
          <w:tcPr>
            <w:tcW w:w="2091" w:type="dxa"/>
          </w:tcPr>
          <w:p w14:paraId="0B992AEB" w14:textId="77777777" w:rsidR="00F21B96" w:rsidRPr="00376A6E" w:rsidRDefault="00F21B96" w:rsidP="00AD2E13">
            <w:pPr>
              <w:autoSpaceDE w:val="0"/>
              <w:autoSpaceDN w:val="0"/>
              <w:adjustRightInd w:val="0"/>
              <w:spacing w:line="276" w:lineRule="auto"/>
              <w:jc w:val="center"/>
              <w:rPr>
                <w:rFonts w:asciiTheme="majorHAnsi" w:hAnsiTheme="majorHAnsi" w:cstheme="majorHAnsi"/>
                <w:sz w:val="24"/>
                <w:szCs w:val="24"/>
              </w:rPr>
            </w:pPr>
            <w:r w:rsidRPr="00376A6E">
              <w:rPr>
                <w:rFonts w:asciiTheme="majorHAnsi" w:hAnsiTheme="majorHAnsi" w:cstheme="majorHAnsi"/>
                <w:sz w:val="24"/>
                <w:szCs w:val="24"/>
              </w:rPr>
              <w:t>Ongoing</w:t>
            </w:r>
          </w:p>
        </w:tc>
      </w:tr>
      <w:tr w:rsidR="00F21B96" w:rsidRPr="00376A6E" w14:paraId="09B847D1" w14:textId="77777777" w:rsidTr="00AD2E13">
        <w:tc>
          <w:tcPr>
            <w:tcW w:w="535" w:type="dxa"/>
          </w:tcPr>
          <w:p w14:paraId="1FC5D94A" w14:textId="77777777" w:rsidR="00F21B96" w:rsidRPr="00376A6E" w:rsidRDefault="00F21B96" w:rsidP="00AD2E13">
            <w:pPr>
              <w:autoSpaceDE w:val="0"/>
              <w:autoSpaceDN w:val="0"/>
              <w:adjustRightInd w:val="0"/>
              <w:spacing w:line="276" w:lineRule="auto"/>
              <w:jc w:val="center"/>
              <w:rPr>
                <w:rFonts w:asciiTheme="majorHAnsi" w:hAnsiTheme="majorHAnsi" w:cstheme="majorHAnsi"/>
                <w:sz w:val="24"/>
                <w:szCs w:val="24"/>
              </w:rPr>
            </w:pPr>
            <w:r w:rsidRPr="00376A6E">
              <w:rPr>
                <w:rFonts w:asciiTheme="majorHAnsi" w:hAnsiTheme="majorHAnsi" w:cstheme="majorHAnsi"/>
                <w:sz w:val="24"/>
                <w:szCs w:val="24"/>
              </w:rPr>
              <w:t>6</w:t>
            </w:r>
          </w:p>
        </w:tc>
        <w:tc>
          <w:tcPr>
            <w:tcW w:w="6390" w:type="dxa"/>
          </w:tcPr>
          <w:p w14:paraId="042DA0F0" w14:textId="77777777" w:rsidR="00F21B96" w:rsidRPr="00376A6E" w:rsidRDefault="00F21B96" w:rsidP="00AD2E13">
            <w:pPr>
              <w:autoSpaceDE w:val="0"/>
              <w:autoSpaceDN w:val="0"/>
              <w:adjustRightInd w:val="0"/>
              <w:spacing w:line="276" w:lineRule="auto"/>
              <w:rPr>
                <w:rFonts w:asciiTheme="majorHAnsi" w:hAnsiTheme="majorHAnsi" w:cstheme="majorHAnsi"/>
                <w:sz w:val="24"/>
                <w:szCs w:val="24"/>
                <w:lang w:val="en-US" w:bidi="he-IL"/>
              </w:rPr>
            </w:pPr>
            <w:r w:rsidRPr="00376A6E">
              <w:rPr>
                <w:rFonts w:asciiTheme="majorHAnsi" w:hAnsiTheme="majorHAnsi" w:cstheme="majorHAnsi"/>
                <w:sz w:val="24"/>
                <w:szCs w:val="24"/>
                <w:lang w:val="en-US" w:bidi="he-IL"/>
              </w:rPr>
              <w:t>Contribute to enhancement of the scientific knowledge of APEC economy regulators and policy makers</w:t>
            </w:r>
          </w:p>
        </w:tc>
        <w:tc>
          <w:tcPr>
            <w:tcW w:w="2091" w:type="dxa"/>
          </w:tcPr>
          <w:p w14:paraId="6583BB60" w14:textId="77777777" w:rsidR="00F21B96" w:rsidRPr="00376A6E" w:rsidRDefault="00F21B96" w:rsidP="00AD2E13">
            <w:pPr>
              <w:autoSpaceDE w:val="0"/>
              <w:autoSpaceDN w:val="0"/>
              <w:adjustRightInd w:val="0"/>
              <w:spacing w:line="276" w:lineRule="auto"/>
              <w:jc w:val="center"/>
              <w:rPr>
                <w:rFonts w:asciiTheme="majorHAnsi" w:hAnsiTheme="majorHAnsi" w:cstheme="majorHAnsi"/>
                <w:sz w:val="24"/>
                <w:szCs w:val="24"/>
              </w:rPr>
            </w:pPr>
            <w:r w:rsidRPr="00376A6E">
              <w:rPr>
                <w:rFonts w:asciiTheme="majorHAnsi" w:hAnsiTheme="majorHAnsi" w:cstheme="majorHAnsi"/>
                <w:sz w:val="24"/>
                <w:szCs w:val="24"/>
              </w:rPr>
              <w:t>Ongoing</w:t>
            </w:r>
          </w:p>
        </w:tc>
      </w:tr>
      <w:tr w:rsidR="00F21B96" w:rsidRPr="00376A6E" w14:paraId="59421B79" w14:textId="77777777" w:rsidTr="00AD2E13">
        <w:tc>
          <w:tcPr>
            <w:tcW w:w="535" w:type="dxa"/>
          </w:tcPr>
          <w:p w14:paraId="7DA7CCA7" w14:textId="77777777" w:rsidR="00F21B96" w:rsidRPr="00376A6E" w:rsidRDefault="00F21B96" w:rsidP="00AD2E13">
            <w:pPr>
              <w:autoSpaceDE w:val="0"/>
              <w:autoSpaceDN w:val="0"/>
              <w:adjustRightInd w:val="0"/>
              <w:spacing w:line="276" w:lineRule="auto"/>
              <w:jc w:val="center"/>
              <w:rPr>
                <w:rFonts w:asciiTheme="majorHAnsi" w:hAnsiTheme="majorHAnsi" w:cstheme="majorHAnsi"/>
                <w:sz w:val="24"/>
                <w:szCs w:val="24"/>
              </w:rPr>
            </w:pPr>
            <w:r w:rsidRPr="00376A6E">
              <w:rPr>
                <w:rFonts w:asciiTheme="majorHAnsi" w:hAnsiTheme="majorHAnsi" w:cstheme="majorHAnsi"/>
                <w:sz w:val="24"/>
                <w:szCs w:val="24"/>
              </w:rPr>
              <w:t>7</w:t>
            </w:r>
          </w:p>
        </w:tc>
        <w:tc>
          <w:tcPr>
            <w:tcW w:w="6390" w:type="dxa"/>
          </w:tcPr>
          <w:p w14:paraId="2963178F" w14:textId="77777777" w:rsidR="00F21B96" w:rsidRPr="00376A6E" w:rsidRDefault="00F21B96" w:rsidP="00AD2E13">
            <w:pPr>
              <w:autoSpaceDE w:val="0"/>
              <w:autoSpaceDN w:val="0"/>
              <w:adjustRightInd w:val="0"/>
              <w:spacing w:line="276" w:lineRule="auto"/>
              <w:rPr>
                <w:rFonts w:asciiTheme="majorHAnsi" w:hAnsiTheme="majorHAnsi" w:cstheme="majorHAnsi"/>
                <w:sz w:val="24"/>
                <w:szCs w:val="24"/>
                <w:lang w:val="en-US" w:bidi="he-IL"/>
              </w:rPr>
            </w:pPr>
            <w:r w:rsidRPr="00376A6E">
              <w:rPr>
                <w:rFonts w:asciiTheme="majorHAnsi" w:hAnsiTheme="majorHAnsi" w:cstheme="majorHAnsi"/>
                <w:sz w:val="24"/>
                <w:szCs w:val="24"/>
                <w:lang w:val="en-US" w:bidi="he-IL"/>
              </w:rPr>
              <w:t>Engage ABAC, private sector, and other relevant non-members to promote the work of HLPDAB, as appropriate</w:t>
            </w:r>
          </w:p>
        </w:tc>
        <w:tc>
          <w:tcPr>
            <w:tcW w:w="2091" w:type="dxa"/>
          </w:tcPr>
          <w:p w14:paraId="598B8A36" w14:textId="77777777" w:rsidR="00F21B96" w:rsidRPr="00376A6E" w:rsidRDefault="00F21B96" w:rsidP="00AD2E13">
            <w:pPr>
              <w:autoSpaceDE w:val="0"/>
              <w:autoSpaceDN w:val="0"/>
              <w:adjustRightInd w:val="0"/>
              <w:spacing w:line="276" w:lineRule="auto"/>
              <w:jc w:val="center"/>
              <w:rPr>
                <w:rFonts w:asciiTheme="majorHAnsi" w:hAnsiTheme="majorHAnsi" w:cstheme="majorHAnsi"/>
                <w:sz w:val="24"/>
                <w:szCs w:val="24"/>
              </w:rPr>
            </w:pPr>
            <w:r w:rsidRPr="00376A6E">
              <w:rPr>
                <w:rFonts w:asciiTheme="majorHAnsi" w:hAnsiTheme="majorHAnsi" w:cstheme="majorHAnsi"/>
                <w:sz w:val="24"/>
                <w:szCs w:val="24"/>
              </w:rPr>
              <w:t>Ongoing</w:t>
            </w:r>
          </w:p>
        </w:tc>
      </w:tr>
      <w:tr w:rsidR="00F21B96" w:rsidRPr="00376A6E" w14:paraId="7B7448B2" w14:textId="77777777" w:rsidTr="00AD2E13">
        <w:tc>
          <w:tcPr>
            <w:tcW w:w="535" w:type="dxa"/>
          </w:tcPr>
          <w:p w14:paraId="5824D356" w14:textId="77777777" w:rsidR="00F21B96" w:rsidRPr="00376A6E" w:rsidRDefault="00F21B96" w:rsidP="00AD2E13">
            <w:pPr>
              <w:autoSpaceDE w:val="0"/>
              <w:autoSpaceDN w:val="0"/>
              <w:adjustRightInd w:val="0"/>
              <w:spacing w:line="276" w:lineRule="auto"/>
              <w:jc w:val="center"/>
              <w:rPr>
                <w:rFonts w:asciiTheme="majorHAnsi" w:hAnsiTheme="majorHAnsi" w:cstheme="majorHAnsi"/>
                <w:sz w:val="24"/>
                <w:szCs w:val="24"/>
              </w:rPr>
            </w:pPr>
            <w:r w:rsidRPr="00376A6E">
              <w:rPr>
                <w:rFonts w:asciiTheme="majorHAnsi" w:hAnsiTheme="majorHAnsi" w:cstheme="majorHAnsi"/>
                <w:sz w:val="24"/>
                <w:szCs w:val="24"/>
              </w:rPr>
              <w:t>8</w:t>
            </w:r>
          </w:p>
        </w:tc>
        <w:tc>
          <w:tcPr>
            <w:tcW w:w="6390" w:type="dxa"/>
          </w:tcPr>
          <w:p w14:paraId="17CC770A" w14:textId="6F444494" w:rsidR="00F21B96" w:rsidRPr="00376A6E" w:rsidRDefault="00F21B96" w:rsidP="00AD2E13">
            <w:pPr>
              <w:autoSpaceDE w:val="0"/>
              <w:autoSpaceDN w:val="0"/>
              <w:adjustRightInd w:val="0"/>
              <w:spacing w:line="276" w:lineRule="auto"/>
              <w:rPr>
                <w:rFonts w:asciiTheme="majorHAnsi" w:hAnsiTheme="majorHAnsi" w:cstheme="majorHAnsi"/>
                <w:sz w:val="24"/>
                <w:szCs w:val="24"/>
                <w:lang w:val="en-US" w:bidi="he-IL"/>
              </w:rPr>
            </w:pPr>
            <w:r w:rsidRPr="00376A6E">
              <w:rPr>
                <w:rFonts w:asciiTheme="majorHAnsi" w:hAnsiTheme="majorHAnsi" w:cstheme="majorHAnsi"/>
                <w:sz w:val="24"/>
                <w:szCs w:val="24"/>
                <w:lang w:val="en-US" w:bidi="he-IL"/>
              </w:rPr>
              <w:t>Preparation of HLPDAB inputs for the APEC Ministerial Meeting on Food Security 202</w:t>
            </w:r>
            <w:r w:rsidR="00E87DB3">
              <w:rPr>
                <w:rFonts w:asciiTheme="majorHAnsi" w:hAnsiTheme="majorHAnsi" w:cstheme="majorHAnsi"/>
                <w:sz w:val="24"/>
                <w:szCs w:val="24"/>
                <w:lang w:val="en-US" w:bidi="he-IL"/>
              </w:rPr>
              <w:t>1</w:t>
            </w:r>
          </w:p>
        </w:tc>
        <w:tc>
          <w:tcPr>
            <w:tcW w:w="2091" w:type="dxa"/>
          </w:tcPr>
          <w:p w14:paraId="19FF8A95" w14:textId="4CE1BF61" w:rsidR="00F21B96" w:rsidRPr="00376A6E" w:rsidRDefault="00E87DB3" w:rsidP="00AD2E13">
            <w:pPr>
              <w:autoSpaceDE w:val="0"/>
              <w:autoSpaceDN w:val="0"/>
              <w:adjustRightInd w:val="0"/>
              <w:spacing w:line="276" w:lineRule="auto"/>
              <w:jc w:val="center"/>
              <w:rPr>
                <w:rFonts w:asciiTheme="majorHAnsi" w:hAnsiTheme="majorHAnsi" w:cstheme="majorHAnsi"/>
                <w:sz w:val="24"/>
                <w:szCs w:val="24"/>
              </w:rPr>
            </w:pPr>
            <w:r>
              <w:rPr>
                <w:rFonts w:asciiTheme="majorHAnsi" w:hAnsiTheme="majorHAnsi" w:cstheme="majorHAnsi"/>
                <w:sz w:val="24"/>
                <w:szCs w:val="24"/>
              </w:rPr>
              <w:t>Aug</w:t>
            </w:r>
            <w:r w:rsidR="00F21B96" w:rsidRPr="00376A6E">
              <w:rPr>
                <w:rFonts w:asciiTheme="majorHAnsi" w:hAnsiTheme="majorHAnsi" w:cstheme="majorHAnsi"/>
                <w:sz w:val="24"/>
                <w:szCs w:val="24"/>
              </w:rPr>
              <w:t xml:space="preserve"> </w:t>
            </w:r>
          </w:p>
        </w:tc>
      </w:tr>
    </w:tbl>
    <w:p w14:paraId="5F7AF8AD" w14:textId="77777777" w:rsidR="00F21B96" w:rsidRPr="00376A6E" w:rsidRDefault="00F21B96" w:rsidP="005E7786">
      <w:pPr>
        <w:rPr>
          <w:rFonts w:asciiTheme="majorHAnsi" w:hAnsiTheme="majorHAnsi" w:cstheme="majorHAnsi"/>
        </w:rPr>
      </w:pPr>
    </w:p>
    <w:p w14:paraId="00147FCC" w14:textId="78D0E85D" w:rsidR="00E153E0" w:rsidRPr="00376A6E" w:rsidRDefault="00F21B96" w:rsidP="00051CF2">
      <w:pPr>
        <w:pStyle w:val="Heading2"/>
        <w:spacing w:before="120" w:after="120" w:line="360" w:lineRule="auto"/>
        <w:rPr>
          <w:rFonts w:cstheme="majorHAnsi"/>
          <w:sz w:val="24"/>
          <w:szCs w:val="24"/>
        </w:rPr>
      </w:pPr>
      <w:r w:rsidRPr="00376A6E">
        <w:rPr>
          <w:rFonts w:cstheme="majorHAnsi"/>
          <w:sz w:val="24"/>
          <w:szCs w:val="24"/>
        </w:rPr>
        <w:t xml:space="preserve">4. </w:t>
      </w:r>
      <w:r w:rsidR="00E153E0" w:rsidRPr="00376A6E">
        <w:rPr>
          <w:rFonts w:cstheme="majorHAnsi"/>
          <w:sz w:val="24"/>
          <w:szCs w:val="24"/>
        </w:rPr>
        <w:t xml:space="preserve">Fora Assessment, </w:t>
      </w:r>
      <w:proofErr w:type="spellStart"/>
      <w:r w:rsidR="00E153E0" w:rsidRPr="00376A6E">
        <w:rPr>
          <w:rFonts w:cstheme="majorHAnsi"/>
          <w:sz w:val="24"/>
          <w:szCs w:val="24"/>
        </w:rPr>
        <w:t>ToR</w:t>
      </w:r>
      <w:proofErr w:type="spellEnd"/>
      <w:r w:rsidR="00E153E0" w:rsidRPr="00376A6E">
        <w:rPr>
          <w:rFonts w:cstheme="majorHAnsi"/>
          <w:sz w:val="24"/>
          <w:szCs w:val="24"/>
        </w:rPr>
        <w:t xml:space="preserve"> and Mandate Review</w:t>
      </w:r>
    </w:p>
    <w:p w14:paraId="73BCBCD6" w14:textId="008786ED" w:rsidR="006D0FBF" w:rsidRPr="00376A6E" w:rsidRDefault="00E153E0" w:rsidP="006B370B">
      <w:pPr>
        <w:spacing w:line="360" w:lineRule="auto"/>
        <w:rPr>
          <w:rFonts w:asciiTheme="majorHAnsi" w:hAnsiTheme="majorHAnsi" w:cstheme="majorHAnsi"/>
        </w:rPr>
      </w:pPr>
      <w:r w:rsidRPr="00376A6E">
        <w:rPr>
          <w:rFonts w:asciiTheme="majorHAnsi" w:hAnsiTheme="majorHAnsi" w:cstheme="majorHAnsi"/>
          <w:sz w:val="24"/>
          <w:szCs w:val="24"/>
        </w:rPr>
        <w:t xml:space="preserve">The </w:t>
      </w:r>
      <w:r w:rsidR="00792BDC" w:rsidRPr="00376A6E">
        <w:rPr>
          <w:rFonts w:asciiTheme="majorHAnsi" w:hAnsiTheme="majorHAnsi" w:cstheme="majorHAnsi"/>
          <w:sz w:val="24"/>
          <w:szCs w:val="24"/>
        </w:rPr>
        <w:t>HLPDAB</w:t>
      </w:r>
      <w:r w:rsidRPr="00376A6E">
        <w:rPr>
          <w:rFonts w:asciiTheme="majorHAnsi" w:hAnsiTheme="majorHAnsi" w:cstheme="majorHAnsi"/>
          <w:sz w:val="24"/>
          <w:szCs w:val="24"/>
        </w:rPr>
        <w:t xml:space="preserve"> has a term of four years starting from 2018. At the expiration of this and any subsequent term, the mandate of </w:t>
      </w:r>
      <w:r w:rsidR="00792BDC" w:rsidRPr="00376A6E">
        <w:rPr>
          <w:rFonts w:asciiTheme="majorHAnsi" w:hAnsiTheme="majorHAnsi" w:cstheme="majorHAnsi"/>
          <w:sz w:val="24"/>
          <w:szCs w:val="24"/>
        </w:rPr>
        <w:t>HLPDAB</w:t>
      </w:r>
      <w:r w:rsidRPr="00376A6E">
        <w:rPr>
          <w:rFonts w:asciiTheme="majorHAnsi" w:hAnsiTheme="majorHAnsi" w:cstheme="majorHAnsi"/>
          <w:sz w:val="24"/>
          <w:szCs w:val="24"/>
        </w:rPr>
        <w:t xml:space="preserve"> and its Terms of Reference shall be reviewed by the </w:t>
      </w:r>
      <w:r w:rsidR="00792BDC" w:rsidRPr="00376A6E">
        <w:rPr>
          <w:rFonts w:asciiTheme="majorHAnsi" w:hAnsiTheme="majorHAnsi" w:cstheme="majorHAnsi"/>
          <w:sz w:val="24"/>
          <w:szCs w:val="24"/>
        </w:rPr>
        <w:t>HLPDAB</w:t>
      </w:r>
      <w:r w:rsidRPr="00376A6E">
        <w:rPr>
          <w:rFonts w:asciiTheme="majorHAnsi" w:hAnsiTheme="majorHAnsi" w:cstheme="majorHAnsi"/>
          <w:sz w:val="24"/>
          <w:szCs w:val="24"/>
        </w:rPr>
        <w:t xml:space="preserve"> and a recommendation on renewal put to Senior Officials for approval. In 2021, the </w:t>
      </w:r>
      <w:r w:rsidR="00792BDC" w:rsidRPr="00376A6E">
        <w:rPr>
          <w:rFonts w:asciiTheme="majorHAnsi" w:hAnsiTheme="majorHAnsi" w:cstheme="majorHAnsi"/>
          <w:sz w:val="24"/>
          <w:szCs w:val="24"/>
        </w:rPr>
        <w:t>HLPDAB</w:t>
      </w:r>
      <w:r w:rsidRPr="00376A6E">
        <w:rPr>
          <w:rFonts w:asciiTheme="majorHAnsi" w:hAnsiTheme="majorHAnsi" w:cstheme="majorHAnsi"/>
          <w:sz w:val="24"/>
          <w:szCs w:val="24"/>
        </w:rPr>
        <w:t xml:space="preserve"> is required to undertake this review</w:t>
      </w:r>
      <w:r w:rsidR="00D65AAD">
        <w:rPr>
          <w:rFonts w:asciiTheme="majorHAnsi" w:hAnsiTheme="majorHAnsi" w:cstheme="majorHAnsi"/>
          <w:sz w:val="24"/>
          <w:szCs w:val="24"/>
        </w:rPr>
        <w:t>.</w:t>
      </w:r>
    </w:p>
    <w:sectPr w:rsidR="006D0FBF" w:rsidRPr="00376A6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2034F" w16cex:dateUtc="2021-05-21T15: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76B81" w14:textId="77777777" w:rsidR="000A71D4" w:rsidRDefault="000A71D4">
      <w:pPr>
        <w:spacing w:after="0" w:line="240" w:lineRule="auto"/>
      </w:pPr>
      <w:r>
        <w:separator/>
      </w:r>
    </w:p>
  </w:endnote>
  <w:endnote w:type="continuationSeparator" w:id="0">
    <w:p w14:paraId="4C944E35" w14:textId="77777777" w:rsidR="000A71D4" w:rsidRDefault="000A7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0139C" w14:textId="77777777" w:rsidR="00B41BBF" w:rsidRDefault="000A71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6EFBE" w14:textId="77777777" w:rsidR="00B41BBF" w:rsidRDefault="000A71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44E6B" w14:textId="77777777" w:rsidR="00B41BBF" w:rsidRDefault="000A7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4DBAF" w14:textId="77777777" w:rsidR="000A71D4" w:rsidRDefault="000A71D4">
      <w:pPr>
        <w:spacing w:after="0" w:line="240" w:lineRule="auto"/>
      </w:pPr>
      <w:r>
        <w:separator/>
      </w:r>
    </w:p>
  </w:footnote>
  <w:footnote w:type="continuationSeparator" w:id="0">
    <w:p w14:paraId="77A6BECE" w14:textId="77777777" w:rsidR="000A71D4" w:rsidRDefault="000A71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8A169" w14:textId="77777777" w:rsidR="00B41BBF" w:rsidRDefault="000A71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14DD5" w14:textId="77777777" w:rsidR="00B41BBF" w:rsidRDefault="000A71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792F8" w14:textId="77777777" w:rsidR="00B41BBF" w:rsidRDefault="000A71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5C4A"/>
    <w:multiLevelType w:val="hybridMultilevel"/>
    <w:tmpl w:val="EAD0D08C"/>
    <w:lvl w:ilvl="0" w:tplc="34C26138">
      <w:start w:val="1"/>
      <w:numFmt w:val="decimal"/>
      <w:lvlText w:val="%1."/>
      <w:lvlJc w:val="left"/>
      <w:pPr>
        <w:ind w:left="720" w:hanging="360"/>
      </w:pPr>
      <w:rPr>
        <w:rFonts w:asciiTheme="minorHAnsi" w:eastAsiaTheme="minorHAnsi" w:hAnsiTheme="minorHAnsi" w:cstheme="minorBidi"/>
        <w:sz w:val="22"/>
        <w:szCs w:val="22"/>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118D09D8"/>
    <w:multiLevelType w:val="hybridMultilevel"/>
    <w:tmpl w:val="86063EA6"/>
    <w:lvl w:ilvl="0" w:tplc="1409000F">
      <w:start w:val="1"/>
      <w:numFmt w:val="decimal"/>
      <w:lvlText w:val="%1."/>
      <w:lvlJc w:val="left"/>
      <w:pPr>
        <w:ind w:left="-78" w:hanging="360"/>
      </w:pPr>
      <w:rPr>
        <w:rFonts w:hint="default"/>
      </w:rPr>
    </w:lvl>
    <w:lvl w:ilvl="1" w:tplc="14090019" w:tentative="1">
      <w:start w:val="1"/>
      <w:numFmt w:val="lowerLetter"/>
      <w:lvlText w:val="%2."/>
      <w:lvlJc w:val="left"/>
      <w:pPr>
        <w:ind w:left="642" w:hanging="360"/>
      </w:pPr>
    </w:lvl>
    <w:lvl w:ilvl="2" w:tplc="1409001B" w:tentative="1">
      <w:start w:val="1"/>
      <w:numFmt w:val="lowerRoman"/>
      <w:lvlText w:val="%3."/>
      <w:lvlJc w:val="right"/>
      <w:pPr>
        <w:ind w:left="1362" w:hanging="180"/>
      </w:pPr>
    </w:lvl>
    <w:lvl w:ilvl="3" w:tplc="1409000F" w:tentative="1">
      <w:start w:val="1"/>
      <w:numFmt w:val="decimal"/>
      <w:lvlText w:val="%4."/>
      <w:lvlJc w:val="left"/>
      <w:pPr>
        <w:ind w:left="2082" w:hanging="360"/>
      </w:pPr>
    </w:lvl>
    <w:lvl w:ilvl="4" w:tplc="14090019" w:tentative="1">
      <w:start w:val="1"/>
      <w:numFmt w:val="lowerLetter"/>
      <w:lvlText w:val="%5."/>
      <w:lvlJc w:val="left"/>
      <w:pPr>
        <w:ind w:left="2802" w:hanging="360"/>
      </w:pPr>
    </w:lvl>
    <w:lvl w:ilvl="5" w:tplc="1409001B" w:tentative="1">
      <w:start w:val="1"/>
      <w:numFmt w:val="lowerRoman"/>
      <w:lvlText w:val="%6."/>
      <w:lvlJc w:val="right"/>
      <w:pPr>
        <w:ind w:left="3522" w:hanging="180"/>
      </w:pPr>
    </w:lvl>
    <w:lvl w:ilvl="6" w:tplc="1409000F" w:tentative="1">
      <w:start w:val="1"/>
      <w:numFmt w:val="decimal"/>
      <w:lvlText w:val="%7."/>
      <w:lvlJc w:val="left"/>
      <w:pPr>
        <w:ind w:left="4242" w:hanging="360"/>
      </w:pPr>
    </w:lvl>
    <w:lvl w:ilvl="7" w:tplc="14090019" w:tentative="1">
      <w:start w:val="1"/>
      <w:numFmt w:val="lowerLetter"/>
      <w:lvlText w:val="%8."/>
      <w:lvlJc w:val="left"/>
      <w:pPr>
        <w:ind w:left="4962" w:hanging="360"/>
      </w:pPr>
    </w:lvl>
    <w:lvl w:ilvl="8" w:tplc="1409001B" w:tentative="1">
      <w:start w:val="1"/>
      <w:numFmt w:val="lowerRoman"/>
      <w:lvlText w:val="%9."/>
      <w:lvlJc w:val="right"/>
      <w:pPr>
        <w:ind w:left="5682" w:hanging="180"/>
      </w:pPr>
    </w:lvl>
  </w:abstractNum>
  <w:abstractNum w:abstractNumId="2" w15:restartNumberingAfterBreak="0">
    <w:nsid w:val="19534D47"/>
    <w:multiLevelType w:val="multilevel"/>
    <w:tmpl w:val="E2487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517AB8"/>
    <w:multiLevelType w:val="hybridMultilevel"/>
    <w:tmpl w:val="75BAFE8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6111C5E"/>
    <w:multiLevelType w:val="hybridMultilevel"/>
    <w:tmpl w:val="8BD62BA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2775783B"/>
    <w:multiLevelType w:val="hybridMultilevel"/>
    <w:tmpl w:val="20A00288"/>
    <w:lvl w:ilvl="0" w:tplc="46D47EE2">
      <w:start w:val="1"/>
      <w:numFmt w:val="bullet"/>
      <w:lvlText w:val="-"/>
      <w:lvlJc w:val="left"/>
      <w:pPr>
        <w:ind w:left="720" w:hanging="360"/>
      </w:pPr>
      <w:rPr>
        <w:rFonts w:ascii="Calibri Light" w:eastAsiaTheme="minorHAnsi" w:hAnsi="Calibri Light" w:cs="Calibri Light"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D3560CD"/>
    <w:multiLevelType w:val="hybridMultilevel"/>
    <w:tmpl w:val="F2CE4E1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537507DF"/>
    <w:multiLevelType w:val="hybridMultilevel"/>
    <w:tmpl w:val="6D2CCF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58324BCC"/>
    <w:multiLevelType w:val="hybridMultilevel"/>
    <w:tmpl w:val="F2CE4E1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614F6890"/>
    <w:multiLevelType w:val="hybridMultilevel"/>
    <w:tmpl w:val="E054ABB2"/>
    <w:lvl w:ilvl="0" w:tplc="6D281CD2">
      <w:start w:val="1"/>
      <w:numFmt w:val="decimal"/>
      <w:lvlText w:val="%1."/>
      <w:lvlJc w:val="left"/>
      <w:pPr>
        <w:ind w:left="644" w:hanging="360"/>
      </w:pPr>
      <w:rPr>
        <w:rFonts w:asciiTheme="minorHAnsi" w:eastAsiaTheme="minorHAnsi" w:hAnsiTheme="minorHAnsi" w:cstheme="minorBidi"/>
        <w:sz w:val="22"/>
        <w:szCs w:val="22"/>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0" w15:restartNumberingAfterBreak="0">
    <w:nsid w:val="7A015423"/>
    <w:multiLevelType w:val="hybridMultilevel"/>
    <w:tmpl w:val="A62C87F4"/>
    <w:lvl w:ilvl="0" w:tplc="FA72946E">
      <w:start w:val="1"/>
      <w:numFmt w:val="bullet"/>
      <w:lvlText w:val=""/>
      <w:lvlJc w:val="left"/>
      <w:pPr>
        <w:ind w:left="303" w:hanging="303"/>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DDF2C7F"/>
    <w:multiLevelType w:val="hybridMultilevel"/>
    <w:tmpl w:val="7F5C5FB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1"/>
  </w:num>
  <w:num w:numId="4">
    <w:abstractNumId w:val="8"/>
  </w:num>
  <w:num w:numId="5">
    <w:abstractNumId w:val="3"/>
  </w:num>
  <w:num w:numId="6">
    <w:abstractNumId w:val="11"/>
  </w:num>
  <w:num w:numId="7">
    <w:abstractNumId w:val="4"/>
  </w:num>
  <w:num w:numId="8">
    <w:abstractNumId w:val="5"/>
  </w:num>
  <w:num w:numId="9">
    <w:abstractNumId w:val="10"/>
  </w:num>
  <w:num w:numId="10">
    <w:abstractNumId w:val="0"/>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E0"/>
    <w:rsid w:val="00012B48"/>
    <w:rsid w:val="00051CF2"/>
    <w:rsid w:val="000A71D4"/>
    <w:rsid w:val="0010007E"/>
    <w:rsid w:val="00183A98"/>
    <w:rsid w:val="001C00F8"/>
    <w:rsid w:val="001D30C6"/>
    <w:rsid w:val="002662CB"/>
    <w:rsid w:val="00315019"/>
    <w:rsid w:val="00336AE8"/>
    <w:rsid w:val="003515B5"/>
    <w:rsid w:val="003538E5"/>
    <w:rsid w:val="00376A6E"/>
    <w:rsid w:val="003930B6"/>
    <w:rsid w:val="00526132"/>
    <w:rsid w:val="005E7786"/>
    <w:rsid w:val="00601FC4"/>
    <w:rsid w:val="00651A92"/>
    <w:rsid w:val="00667468"/>
    <w:rsid w:val="006908BD"/>
    <w:rsid w:val="006B370B"/>
    <w:rsid w:val="006D7C05"/>
    <w:rsid w:val="00732BD1"/>
    <w:rsid w:val="00761745"/>
    <w:rsid w:val="00792BDC"/>
    <w:rsid w:val="007B7FD5"/>
    <w:rsid w:val="007D47A4"/>
    <w:rsid w:val="008079C3"/>
    <w:rsid w:val="00807C08"/>
    <w:rsid w:val="00833EEF"/>
    <w:rsid w:val="00844180"/>
    <w:rsid w:val="008F1FBA"/>
    <w:rsid w:val="00946146"/>
    <w:rsid w:val="009A7EB4"/>
    <w:rsid w:val="00A35766"/>
    <w:rsid w:val="00A36556"/>
    <w:rsid w:val="00A829DC"/>
    <w:rsid w:val="00B67A4E"/>
    <w:rsid w:val="00C672D3"/>
    <w:rsid w:val="00D020BC"/>
    <w:rsid w:val="00D47EA5"/>
    <w:rsid w:val="00D538D5"/>
    <w:rsid w:val="00D65AAD"/>
    <w:rsid w:val="00E153E0"/>
    <w:rsid w:val="00E40601"/>
    <w:rsid w:val="00E5410F"/>
    <w:rsid w:val="00E55A05"/>
    <w:rsid w:val="00E87DB3"/>
    <w:rsid w:val="00F21B96"/>
    <w:rsid w:val="00F27CD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ECF08"/>
  <w15:chartTrackingRefBased/>
  <w15:docId w15:val="{0DD1AFDB-727B-49B6-B897-E55E02CF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53E0"/>
  </w:style>
  <w:style w:type="paragraph" w:styleId="Heading2">
    <w:name w:val="heading 2"/>
    <w:basedOn w:val="Normal"/>
    <w:next w:val="Normal"/>
    <w:link w:val="Heading2Char"/>
    <w:uiPriority w:val="9"/>
    <w:unhideWhenUsed/>
    <w:qFormat/>
    <w:rsid w:val="00E153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53E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153E0"/>
    <w:pPr>
      <w:ind w:left="720"/>
      <w:contextualSpacing/>
    </w:pPr>
  </w:style>
  <w:style w:type="table" w:styleId="TableGrid">
    <w:name w:val="Table Grid"/>
    <w:basedOn w:val="TableNormal"/>
    <w:uiPriority w:val="39"/>
    <w:rsid w:val="00E15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153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53E0"/>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E153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3E0"/>
  </w:style>
  <w:style w:type="paragraph" w:styleId="Footer">
    <w:name w:val="footer"/>
    <w:basedOn w:val="Normal"/>
    <w:link w:val="FooterChar"/>
    <w:uiPriority w:val="99"/>
    <w:unhideWhenUsed/>
    <w:rsid w:val="00E153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3E0"/>
  </w:style>
  <w:style w:type="character" w:styleId="CommentReference">
    <w:name w:val="annotation reference"/>
    <w:basedOn w:val="DefaultParagraphFont"/>
    <w:uiPriority w:val="99"/>
    <w:semiHidden/>
    <w:unhideWhenUsed/>
    <w:rsid w:val="00792BDC"/>
    <w:rPr>
      <w:sz w:val="16"/>
      <w:szCs w:val="16"/>
    </w:rPr>
  </w:style>
  <w:style w:type="paragraph" w:styleId="CommentText">
    <w:name w:val="annotation text"/>
    <w:basedOn w:val="Normal"/>
    <w:link w:val="CommentTextChar"/>
    <w:uiPriority w:val="99"/>
    <w:semiHidden/>
    <w:unhideWhenUsed/>
    <w:rsid w:val="00792BDC"/>
    <w:pPr>
      <w:spacing w:line="240" w:lineRule="auto"/>
    </w:pPr>
    <w:rPr>
      <w:sz w:val="20"/>
      <w:szCs w:val="20"/>
    </w:rPr>
  </w:style>
  <w:style w:type="character" w:customStyle="1" w:styleId="CommentTextChar">
    <w:name w:val="Comment Text Char"/>
    <w:basedOn w:val="DefaultParagraphFont"/>
    <w:link w:val="CommentText"/>
    <w:uiPriority w:val="99"/>
    <w:semiHidden/>
    <w:rsid w:val="00792BDC"/>
    <w:rPr>
      <w:sz w:val="20"/>
      <w:szCs w:val="20"/>
    </w:rPr>
  </w:style>
  <w:style w:type="paragraph" w:styleId="CommentSubject">
    <w:name w:val="annotation subject"/>
    <w:basedOn w:val="CommentText"/>
    <w:next w:val="CommentText"/>
    <w:link w:val="CommentSubjectChar"/>
    <w:uiPriority w:val="99"/>
    <w:semiHidden/>
    <w:unhideWhenUsed/>
    <w:rsid w:val="00792BDC"/>
    <w:rPr>
      <w:b/>
      <w:bCs/>
    </w:rPr>
  </w:style>
  <w:style w:type="character" w:customStyle="1" w:styleId="CommentSubjectChar">
    <w:name w:val="Comment Subject Char"/>
    <w:basedOn w:val="CommentTextChar"/>
    <w:link w:val="CommentSubject"/>
    <w:uiPriority w:val="99"/>
    <w:semiHidden/>
    <w:rsid w:val="00792BDC"/>
    <w:rPr>
      <w:b/>
      <w:bCs/>
      <w:sz w:val="20"/>
      <w:szCs w:val="20"/>
    </w:rPr>
  </w:style>
  <w:style w:type="paragraph" w:styleId="BalloonText">
    <w:name w:val="Balloon Text"/>
    <w:basedOn w:val="Normal"/>
    <w:link w:val="BalloonTextChar"/>
    <w:uiPriority w:val="99"/>
    <w:semiHidden/>
    <w:unhideWhenUsed/>
    <w:rsid w:val="00792B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BDC"/>
    <w:rPr>
      <w:rFonts w:ascii="Segoe UI" w:hAnsi="Segoe UI" w:cs="Segoe UI"/>
      <w:sz w:val="18"/>
      <w:szCs w:val="18"/>
    </w:rPr>
  </w:style>
  <w:style w:type="paragraph" w:styleId="NormalWeb">
    <w:name w:val="Normal (Web)"/>
    <w:basedOn w:val="Normal"/>
    <w:uiPriority w:val="99"/>
    <w:semiHidden/>
    <w:unhideWhenUsed/>
    <w:rsid w:val="00D47EA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45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932</Words>
  <Characters>5313</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1. Introduction</vt:lpstr>
      <vt:lpstr>    2. Key takeaways from the 19th HLPDAB Meeting, 8 October 2020</vt:lpstr>
      <vt:lpstr>    2. HLPDAB Activities</vt:lpstr>
      <vt:lpstr>    3. Expected Outcomes/Deliverables for 2021</vt:lpstr>
      <vt:lpstr>    4. Fora Assessment, ToR and Mandate Review</vt:lpstr>
    </vt:vector>
  </TitlesOfParts>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Kozlowski</dc:creator>
  <cp:keywords/>
  <dc:description/>
  <cp:lastModifiedBy>Clem Arlidge</cp:lastModifiedBy>
  <cp:revision>2</cp:revision>
  <dcterms:created xsi:type="dcterms:W3CDTF">2021-06-16T05:14:00Z</dcterms:created>
  <dcterms:modified xsi:type="dcterms:W3CDTF">2021-06-16T05:14:00Z</dcterms:modified>
</cp:coreProperties>
</file>