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92F3B" w14:textId="5F3AAE30" w:rsidR="00854457" w:rsidRPr="002D6C48" w:rsidRDefault="00572383" w:rsidP="00854457">
      <w:pPr>
        <w:pStyle w:val="Header"/>
        <w:jc w:val="center"/>
        <w:rPr>
          <w:rFonts w:ascii="Arial" w:hAnsi="Arial" w:cs="Arial"/>
          <w:noProof/>
        </w:rPr>
      </w:pPr>
      <w:r>
        <w:rPr>
          <w:noProof/>
        </w:rPr>
        <w:drawing>
          <wp:inline distT="0" distB="0" distL="0" distR="0" wp14:anchorId="2E6FD8BC" wp14:editId="128014DE">
            <wp:extent cx="1828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828800" cy="1066800"/>
                    </a:xfrm>
                    <a:prstGeom prst="rect">
                      <a:avLst/>
                    </a:prstGeom>
                  </pic:spPr>
                </pic:pic>
              </a:graphicData>
            </a:graphic>
          </wp:inline>
        </w:drawing>
      </w:r>
    </w:p>
    <w:p w14:paraId="1435BEF5" w14:textId="77777777" w:rsidR="00854457" w:rsidRPr="002D6C48" w:rsidRDefault="00854457" w:rsidP="00854457">
      <w:pPr>
        <w:pStyle w:val="Header"/>
        <w:adjustRightInd w:val="0"/>
        <w:jc w:val="center"/>
        <w:rPr>
          <w:rFonts w:ascii="Arial" w:hAnsi="Arial" w:cs="Arial"/>
          <w:b/>
          <w:bCs/>
          <w:iCs/>
          <w:sz w:val="36"/>
          <w:szCs w:val="36"/>
          <w:lang w:eastAsia="zh-TW"/>
        </w:rPr>
      </w:pPr>
      <w:r w:rsidRPr="002D6C48">
        <w:rPr>
          <w:rFonts w:ascii="Arial" w:hAnsi="Arial" w:cs="Arial"/>
          <w:noProof/>
        </w:rPr>
        <w:t>___________________________________________________________________________</w:t>
      </w:r>
    </w:p>
    <w:p w14:paraId="6CEB6C48" w14:textId="77777777" w:rsidR="00854457" w:rsidRPr="009E71D5" w:rsidRDefault="00854457" w:rsidP="00854457">
      <w:pPr>
        <w:adjustRightInd w:val="0"/>
        <w:jc w:val="center"/>
        <w:rPr>
          <w:rFonts w:ascii="Arial" w:hAnsi="Arial" w:cs="Arial"/>
          <w:b/>
          <w:bCs/>
          <w:iCs/>
          <w:sz w:val="20"/>
          <w:szCs w:val="20"/>
        </w:rPr>
      </w:pPr>
    </w:p>
    <w:p w14:paraId="1EA5F79A" w14:textId="4AD35CFE" w:rsidR="00854457" w:rsidRPr="006E210E" w:rsidRDefault="006E5468" w:rsidP="00854457">
      <w:pPr>
        <w:adjustRightInd w:val="0"/>
        <w:jc w:val="center"/>
        <w:rPr>
          <w:rFonts w:ascii="Arial" w:hAnsi="Arial" w:cs="Arial"/>
          <w:b/>
          <w:bCs/>
          <w:sz w:val="32"/>
          <w:szCs w:val="32"/>
          <w:lang w:val="fr-FR"/>
        </w:rPr>
      </w:pPr>
      <w:r w:rsidRPr="006E210E">
        <w:rPr>
          <w:rFonts w:ascii="Arial" w:hAnsi="Arial" w:cs="Arial"/>
          <w:b/>
          <w:bCs/>
          <w:iCs/>
          <w:sz w:val="32"/>
          <w:szCs w:val="32"/>
        </w:rPr>
        <w:t xml:space="preserve">Data </w:t>
      </w:r>
      <w:r w:rsidR="00854457" w:rsidRPr="006E210E">
        <w:rPr>
          <w:rFonts w:ascii="Arial" w:hAnsi="Arial" w:cs="Arial"/>
          <w:b/>
          <w:bCs/>
          <w:iCs/>
          <w:sz w:val="32"/>
          <w:szCs w:val="32"/>
        </w:rPr>
        <w:t xml:space="preserve">Privacy Individual Action Plan </w:t>
      </w:r>
      <w:r w:rsidR="00CA3A08" w:rsidRPr="006E210E">
        <w:rPr>
          <w:rFonts w:ascii="Arial" w:hAnsi="Arial" w:cs="Arial"/>
          <w:iCs/>
          <w:sz w:val="32"/>
          <w:szCs w:val="32"/>
        </w:rPr>
        <w:t>(Revised</w:t>
      </w:r>
      <w:r w:rsidRPr="006E210E">
        <w:rPr>
          <w:rFonts w:ascii="Arial" w:hAnsi="Arial" w:cs="Arial"/>
          <w:iCs/>
          <w:sz w:val="32"/>
          <w:szCs w:val="32"/>
        </w:rPr>
        <w:t xml:space="preserve"> 2021</w:t>
      </w:r>
      <w:r w:rsidR="00CA3A08" w:rsidRPr="006E210E">
        <w:rPr>
          <w:rFonts w:ascii="Arial" w:hAnsi="Arial" w:cs="Arial"/>
          <w:iCs/>
          <w:sz w:val="32"/>
          <w:szCs w:val="32"/>
        </w:rPr>
        <w:t>)</w:t>
      </w:r>
    </w:p>
    <w:p w14:paraId="601882B8" w14:textId="6C26C7DE" w:rsidR="006770D4" w:rsidRPr="006E210E" w:rsidRDefault="006770D4" w:rsidP="009770ED">
      <w:pPr>
        <w:adjustRightInd w:val="0"/>
        <w:spacing w:after="120"/>
        <w:jc w:val="center"/>
        <w:rPr>
          <w:rFonts w:ascii="Arial" w:hAnsi="Arial" w:cs="Arial"/>
          <w:b/>
          <w:bCs/>
          <w:sz w:val="32"/>
          <w:szCs w:val="32"/>
        </w:rPr>
      </w:pPr>
      <w:r w:rsidRPr="006E210E">
        <w:rPr>
          <w:rFonts w:ascii="Arial" w:hAnsi="Arial" w:cs="Arial"/>
          <w:b/>
          <w:bCs/>
          <w:sz w:val="32"/>
          <w:szCs w:val="32"/>
        </w:rPr>
        <w:t>United States</w:t>
      </w:r>
      <w:r w:rsidR="00783200">
        <w:rPr>
          <w:rFonts w:ascii="Arial" w:hAnsi="Arial" w:cs="Arial"/>
          <w:b/>
          <w:bCs/>
          <w:sz w:val="32"/>
          <w:szCs w:val="32"/>
        </w:rPr>
        <w:t xml:space="preserve"> (submitted 2021)</w:t>
      </w:r>
    </w:p>
    <w:p w14:paraId="2AEB3530" w14:textId="77777777" w:rsidR="00BF6D2A" w:rsidRDefault="00BF6D2A" w:rsidP="009770ED">
      <w:pPr>
        <w:pStyle w:val="ListParagraph"/>
        <w:spacing w:after="120"/>
        <w:ind w:left="1080"/>
        <w:rPr>
          <w:rFonts w:ascii="Arial" w:eastAsia="Arial" w:hAnsi="Arial" w:cs="Arial"/>
          <w:b/>
          <w:bCs/>
          <w:color w:val="000000" w:themeColor="text1"/>
        </w:rPr>
      </w:pPr>
    </w:p>
    <w:p w14:paraId="79D868D5" w14:textId="32A08C3C" w:rsidR="004968CD" w:rsidRPr="004968CD" w:rsidRDefault="008E1E73" w:rsidP="004968CD">
      <w:pPr>
        <w:pStyle w:val="ListParagraph"/>
        <w:numPr>
          <w:ilvl w:val="0"/>
          <w:numId w:val="19"/>
        </w:numPr>
        <w:spacing w:after="120"/>
        <w:ind w:left="720"/>
        <w:rPr>
          <w:rFonts w:ascii="Arial" w:eastAsia="Arial" w:hAnsi="Arial" w:cs="Arial"/>
          <w:color w:val="000000" w:themeColor="text1"/>
          <w:sz w:val="20"/>
          <w:szCs w:val="20"/>
        </w:rPr>
      </w:pPr>
      <w:r>
        <w:rPr>
          <w:rFonts w:ascii="Arial" w:eastAsia="Arial" w:hAnsi="Arial" w:cs="Arial"/>
          <w:b/>
          <w:bCs/>
          <w:color w:val="000000" w:themeColor="text1"/>
          <w:u w:val="single"/>
        </w:rPr>
        <w:t>Introduction</w:t>
      </w:r>
    </w:p>
    <w:p w14:paraId="2B850112" w14:textId="3F29A2CD" w:rsidR="00B05034" w:rsidRDefault="004968CD" w:rsidP="004968CD">
      <w:pPr>
        <w:rPr>
          <w:rFonts w:ascii="Arial" w:eastAsia="Arial" w:hAnsi="Arial" w:cs="Arial"/>
          <w:color w:val="000000" w:themeColor="text1"/>
          <w:sz w:val="20"/>
          <w:szCs w:val="20"/>
        </w:rPr>
      </w:pPr>
      <w:r w:rsidRPr="004968CD">
        <w:rPr>
          <w:rFonts w:ascii="Arial" w:eastAsia="Arial" w:hAnsi="Arial" w:cs="Arial"/>
          <w:color w:val="000000" w:themeColor="text1"/>
          <w:sz w:val="20"/>
          <w:szCs w:val="20"/>
        </w:rPr>
        <w:t>The United States has multiple federal statutes that protect personal information and data, and these laws primarily regulate certain sectors or categories of data, for example health, financial, and children’s data.  The U.S. Federal Trade Commission also protects consumers’</w:t>
      </w:r>
      <w:r w:rsidR="006474DE">
        <w:rPr>
          <w:rFonts w:ascii="Arial" w:eastAsia="Arial" w:hAnsi="Arial" w:cs="Arial"/>
          <w:color w:val="000000" w:themeColor="text1"/>
          <w:sz w:val="20"/>
          <w:szCs w:val="20"/>
        </w:rPr>
        <w:t xml:space="preserve"> </w:t>
      </w:r>
      <w:r w:rsidRPr="004968CD">
        <w:rPr>
          <w:rFonts w:ascii="Arial" w:eastAsia="Arial" w:hAnsi="Arial" w:cs="Arial"/>
          <w:color w:val="000000" w:themeColor="text1"/>
          <w:sz w:val="20"/>
          <w:szCs w:val="20"/>
        </w:rPr>
        <w:t>personal data under its statutory authority to enforce against unfair and deceptive acts in or affecting commerce.   This report focuses on federal privacy law, but it should be noted that several U.S. States have passed laws relating to consumer protection and data privacy.  For example, California, Colorado, and Virginia have recently enacted comprehensive data protection laws aimed at protecting consumers. In addition, every state has enacted legislation requiring private or governmental entities to notify individuals of security breaches of information involving personally identifiable information. and every state has a consumer protection law that prohibits deceptive practices, and many prohibit unfair or unconscionable practices as well.</w:t>
      </w:r>
    </w:p>
    <w:p w14:paraId="5D868C4F" w14:textId="77777777" w:rsidR="004968CD" w:rsidRDefault="004968CD" w:rsidP="004968CD">
      <w:pPr>
        <w:rPr>
          <w:rFonts w:ascii="Arial" w:eastAsia="Arial" w:hAnsi="Arial" w:cs="Arial"/>
          <w:color w:val="000000" w:themeColor="text1"/>
          <w:sz w:val="20"/>
          <w:szCs w:val="20"/>
        </w:rPr>
      </w:pPr>
    </w:p>
    <w:p w14:paraId="1F726ADF" w14:textId="2B7C6D5B" w:rsidR="41763481" w:rsidRPr="009E71D5" w:rsidRDefault="00B22FB9" w:rsidP="009E71D5">
      <w:pPr>
        <w:pStyle w:val="ListParagraph"/>
        <w:numPr>
          <w:ilvl w:val="0"/>
          <w:numId w:val="19"/>
        </w:numPr>
        <w:spacing w:line="259" w:lineRule="auto"/>
        <w:ind w:left="720"/>
        <w:rPr>
          <w:rFonts w:ascii="Arial" w:hAnsi="Arial" w:cs="Arial"/>
          <w:b/>
          <w:bCs/>
          <w:u w:val="single"/>
        </w:rPr>
      </w:pPr>
      <w:r w:rsidRPr="009E71D5">
        <w:rPr>
          <w:rFonts w:ascii="Arial" w:hAnsi="Arial" w:cs="Arial"/>
          <w:b/>
          <w:bCs/>
          <w:u w:val="single"/>
        </w:rPr>
        <w:t xml:space="preserve">United States Federal </w:t>
      </w:r>
      <w:r w:rsidR="00406277" w:rsidRPr="009E71D5">
        <w:rPr>
          <w:rFonts w:ascii="Arial" w:hAnsi="Arial" w:cs="Arial"/>
          <w:b/>
          <w:bCs/>
          <w:u w:val="single"/>
        </w:rPr>
        <w:t>Privacy Laws (2021)</w:t>
      </w:r>
    </w:p>
    <w:p w14:paraId="202011CD" w14:textId="77777777" w:rsidR="00406277" w:rsidRPr="00B22FB9" w:rsidRDefault="00406277" w:rsidP="41763481">
      <w:pPr>
        <w:rPr>
          <w:rFonts w:ascii="Arial" w:hAnsi="Arial" w:cs="Arial"/>
          <w:b/>
          <w:bCs/>
          <w:u w:val="single"/>
        </w:rPr>
      </w:pPr>
    </w:p>
    <w:tbl>
      <w:tblPr>
        <w:tblW w:w="146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903"/>
        <w:gridCol w:w="3383"/>
        <w:gridCol w:w="3383"/>
        <w:gridCol w:w="3383"/>
        <w:gridCol w:w="1209"/>
      </w:tblGrid>
      <w:tr w:rsidR="00A53951" w:rsidRPr="00CA3A08" w14:paraId="5BCBD1BD" w14:textId="77777777" w:rsidTr="009408B1">
        <w:trPr>
          <w:tblHeader/>
        </w:trPr>
        <w:tc>
          <w:tcPr>
            <w:tcW w:w="427" w:type="dxa"/>
            <w:shd w:val="clear" w:color="auto" w:fill="C0C0C0"/>
          </w:tcPr>
          <w:p w14:paraId="050A573D" w14:textId="77777777" w:rsidR="00CE52FB" w:rsidRPr="00CA3A08" w:rsidRDefault="00CE52FB" w:rsidP="009D7EDA">
            <w:pPr>
              <w:pStyle w:val="Heading1"/>
              <w:jc w:val="center"/>
              <w:rPr>
                <w:rFonts w:ascii="Arial" w:hAnsi="Arial" w:cs="Arial"/>
                <w:sz w:val="20"/>
              </w:rPr>
            </w:pPr>
          </w:p>
        </w:tc>
        <w:tc>
          <w:tcPr>
            <w:tcW w:w="2903" w:type="dxa"/>
            <w:shd w:val="clear" w:color="auto" w:fill="C0C0C0"/>
          </w:tcPr>
          <w:p w14:paraId="78C16884" w14:textId="79A3097C" w:rsidR="00CE52FB" w:rsidRPr="00CA3A08" w:rsidRDefault="00783200" w:rsidP="009D7EDA">
            <w:pPr>
              <w:pStyle w:val="Heading1"/>
              <w:jc w:val="center"/>
              <w:rPr>
                <w:rFonts w:ascii="Arial" w:hAnsi="Arial" w:cs="Arial"/>
                <w:sz w:val="20"/>
              </w:rPr>
            </w:pPr>
            <w:r>
              <w:rPr>
                <w:rFonts w:ascii="Arial" w:hAnsi="Arial" w:cs="Arial"/>
                <w:sz w:val="20"/>
              </w:rPr>
              <w:t xml:space="preserve">APEC Principle </w:t>
            </w:r>
            <w:r w:rsidRPr="00592C78">
              <w:rPr>
                <w:rFonts w:ascii="Arial" w:hAnsi="Arial" w:cs="Arial"/>
                <w:sz w:val="20"/>
              </w:rPr>
              <w:t>/</w:t>
            </w:r>
            <w:r>
              <w:rPr>
                <w:rFonts w:ascii="Arial" w:hAnsi="Arial" w:cs="Arial"/>
                <w:sz w:val="20"/>
              </w:rPr>
              <w:t xml:space="preserve"> </w:t>
            </w:r>
            <w:r w:rsidRPr="00592C78">
              <w:rPr>
                <w:rFonts w:ascii="Arial" w:hAnsi="Arial" w:cs="Arial"/>
                <w:sz w:val="20"/>
              </w:rPr>
              <w:t>Commentary</w:t>
            </w:r>
            <w:r>
              <w:rPr>
                <w:rFonts w:ascii="Arial" w:hAnsi="Arial" w:cs="Arial"/>
                <w:sz w:val="20"/>
              </w:rPr>
              <w:t xml:space="preserve"> / Implementation guidance</w:t>
            </w:r>
          </w:p>
        </w:tc>
        <w:tc>
          <w:tcPr>
            <w:tcW w:w="3383" w:type="dxa"/>
            <w:shd w:val="clear" w:color="auto" w:fill="C0C0C0"/>
          </w:tcPr>
          <w:p w14:paraId="2ED39A59" w14:textId="77777777" w:rsidR="00CE52FB" w:rsidRPr="00CA3A08" w:rsidRDefault="00CE52FB" w:rsidP="009D7EDA">
            <w:pPr>
              <w:jc w:val="center"/>
              <w:rPr>
                <w:rFonts w:ascii="Arial" w:hAnsi="Arial" w:cs="Arial"/>
                <w:b/>
                <w:bCs/>
                <w:sz w:val="20"/>
                <w:szCs w:val="20"/>
              </w:rPr>
            </w:pPr>
            <w:r w:rsidRPr="00CA3A08">
              <w:rPr>
                <w:rFonts w:ascii="Arial" w:hAnsi="Arial" w:cs="Arial"/>
                <w:b/>
                <w:bCs/>
                <w:sz w:val="20"/>
                <w:szCs w:val="20"/>
              </w:rPr>
              <w:t xml:space="preserve">Privacy Protection Scheme (legislation, rules, codes, frameworks, and other) </w:t>
            </w:r>
            <w:r w:rsidRPr="00CA3A08">
              <w:rPr>
                <w:rStyle w:val="FootnoteReference"/>
                <w:rFonts w:ascii="Arial" w:hAnsi="Arial" w:cs="Arial"/>
                <w:b/>
                <w:bCs/>
                <w:sz w:val="20"/>
                <w:szCs w:val="20"/>
              </w:rPr>
              <w:footnoteReference w:id="2"/>
            </w:r>
          </w:p>
        </w:tc>
        <w:tc>
          <w:tcPr>
            <w:tcW w:w="3383" w:type="dxa"/>
            <w:shd w:val="clear" w:color="auto" w:fill="C0C0C0"/>
          </w:tcPr>
          <w:p w14:paraId="06D50EB2" w14:textId="77777777" w:rsidR="00CE52FB" w:rsidRPr="00CA3A08" w:rsidRDefault="00CE52FB" w:rsidP="009D7EDA">
            <w:pPr>
              <w:jc w:val="center"/>
              <w:rPr>
                <w:rFonts w:ascii="Arial" w:hAnsi="Arial" w:cs="Arial"/>
                <w:b/>
                <w:bCs/>
                <w:sz w:val="20"/>
                <w:szCs w:val="20"/>
              </w:rPr>
            </w:pPr>
            <w:r w:rsidRPr="00CA3A08">
              <w:rPr>
                <w:rFonts w:ascii="Arial" w:hAnsi="Arial" w:cs="Arial"/>
                <w:b/>
                <w:bCs/>
                <w:sz w:val="20"/>
                <w:szCs w:val="20"/>
              </w:rPr>
              <w:t>Provision</w:t>
            </w:r>
            <w:r w:rsidRPr="00CA3A08">
              <w:rPr>
                <w:rStyle w:val="FootnoteReference"/>
                <w:rFonts w:ascii="Arial" w:hAnsi="Arial" w:cs="Arial"/>
                <w:b/>
                <w:bCs/>
                <w:sz w:val="20"/>
                <w:szCs w:val="20"/>
              </w:rPr>
              <w:footnoteReference w:id="3"/>
            </w:r>
          </w:p>
        </w:tc>
        <w:tc>
          <w:tcPr>
            <w:tcW w:w="3383" w:type="dxa"/>
            <w:shd w:val="clear" w:color="auto" w:fill="C0C0C0"/>
          </w:tcPr>
          <w:p w14:paraId="36A16548" w14:textId="77777777" w:rsidR="00CE52FB" w:rsidRPr="00CA3A08" w:rsidRDefault="00CE52FB" w:rsidP="009D7EDA">
            <w:pPr>
              <w:jc w:val="center"/>
              <w:rPr>
                <w:rFonts w:ascii="Arial" w:hAnsi="Arial" w:cs="Arial"/>
                <w:b/>
                <w:bCs/>
                <w:sz w:val="20"/>
                <w:szCs w:val="20"/>
              </w:rPr>
            </w:pPr>
            <w:r w:rsidRPr="00CA3A08">
              <w:rPr>
                <w:rFonts w:ascii="Arial" w:hAnsi="Arial" w:cs="Arial"/>
                <w:b/>
                <w:bCs/>
                <w:sz w:val="20"/>
                <w:szCs w:val="20"/>
              </w:rPr>
              <w:t>Sanction</w:t>
            </w:r>
            <w:r w:rsidRPr="00CA3A08">
              <w:rPr>
                <w:rStyle w:val="FootnoteReference"/>
                <w:rFonts w:ascii="Arial" w:hAnsi="Arial" w:cs="Arial"/>
                <w:b/>
                <w:bCs/>
                <w:sz w:val="20"/>
                <w:szCs w:val="20"/>
              </w:rPr>
              <w:footnoteReference w:id="4"/>
            </w:r>
          </w:p>
        </w:tc>
        <w:tc>
          <w:tcPr>
            <w:tcW w:w="1209" w:type="dxa"/>
            <w:shd w:val="clear" w:color="auto" w:fill="C0C0C0"/>
          </w:tcPr>
          <w:p w14:paraId="68B751D9" w14:textId="77777777" w:rsidR="00CE52FB" w:rsidRPr="00CA3A08" w:rsidRDefault="00CE52FB" w:rsidP="009D7EDA">
            <w:pPr>
              <w:jc w:val="center"/>
              <w:rPr>
                <w:rFonts w:ascii="Arial" w:hAnsi="Arial" w:cs="Arial"/>
                <w:b/>
                <w:bCs/>
                <w:sz w:val="20"/>
                <w:szCs w:val="20"/>
              </w:rPr>
            </w:pPr>
            <w:r w:rsidRPr="00CA3A08">
              <w:rPr>
                <w:rFonts w:ascii="Arial" w:hAnsi="Arial" w:cs="Arial"/>
                <w:b/>
                <w:bCs/>
                <w:sz w:val="20"/>
                <w:szCs w:val="20"/>
              </w:rPr>
              <w:t>Results/ Status</w:t>
            </w:r>
            <w:r w:rsidRPr="00CA3A08">
              <w:rPr>
                <w:rStyle w:val="FootnoteReference"/>
                <w:rFonts w:ascii="Arial" w:hAnsi="Arial" w:cs="Arial"/>
                <w:b/>
                <w:bCs/>
                <w:sz w:val="20"/>
                <w:szCs w:val="20"/>
              </w:rPr>
              <w:footnoteReference w:id="5"/>
            </w:r>
          </w:p>
        </w:tc>
      </w:tr>
      <w:tr w:rsidR="00CE52FB" w:rsidRPr="00CA3A08" w14:paraId="6604BDF6" w14:textId="77777777" w:rsidTr="009408B1">
        <w:tc>
          <w:tcPr>
            <w:tcW w:w="427" w:type="dxa"/>
          </w:tcPr>
          <w:p w14:paraId="353A2CAF" w14:textId="77777777" w:rsidR="00CE52FB" w:rsidRPr="00CA3A08" w:rsidRDefault="00CE52FB">
            <w:pPr>
              <w:jc w:val="center"/>
              <w:rPr>
                <w:rFonts w:ascii="Arial" w:hAnsi="Arial" w:cs="Arial"/>
                <w:sz w:val="20"/>
                <w:szCs w:val="20"/>
              </w:rPr>
            </w:pPr>
            <w:r w:rsidRPr="00CA3A08">
              <w:rPr>
                <w:rFonts w:ascii="Arial" w:hAnsi="Arial" w:cs="Arial"/>
                <w:sz w:val="20"/>
                <w:szCs w:val="20"/>
              </w:rPr>
              <w:t>A</w:t>
            </w:r>
          </w:p>
        </w:tc>
        <w:tc>
          <w:tcPr>
            <w:tcW w:w="2903" w:type="dxa"/>
          </w:tcPr>
          <w:p w14:paraId="13D0F411" w14:textId="77777777" w:rsidR="00CE52FB" w:rsidRPr="00CA3A08" w:rsidRDefault="00CE52FB">
            <w:pPr>
              <w:adjustRightInd w:val="0"/>
              <w:ind w:left="72"/>
              <w:jc w:val="both"/>
              <w:rPr>
                <w:rFonts w:ascii="Arial" w:hAnsi="Arial" w:cs="Arial"/>
                <w:sz w:val="20"/>
                <w:szCs w:val="20"/>
              </w:rPr>
            </w:pPr>
            <w:r w:rsidRPr="00CA3A08">
              <w:rPr>
                <w:rFonts w:ascii="Arial" w:hAnsi="Arial" w:cs="Arial"/>
                <w:sz w:val="20"/>
                <w:szCs w:val="20"/>
              </w:rPr>
              <w:t>Is privacy a constitutionally protected right in your economy?</w:t>
            </w:r>
          </w:p>
          <w:p w14:paraId="522FF662" w14:textId="77777777" w:rsidR="00CE52FB" w:rsidRPr="00CA3A08" w:rsidRDefault="00CE52FB">
            <w:pPr>
              <w:adjustRightInd w:val="0"/>
              <w:ind w:left="72"/>
              <w:jc w:val="both"/>
              <w:rPr>
                <w:rFonts w:ascii="Arial" w:hAnsi="Arial" w:cs="Arial"/>
                <w:b/>
                <w:bCs/>
                <w:sz w:val="20"/>
                <w:szCs w:val="20"/>
              </w:rPr>
            </w:pPr>
          </w:p>
        </w:tc>
        <w:tc>
          <w:tcPr>
            <w:tcW w:w="3383" w:type="dxa"/>
          </w:tcPr>
          <w:p w14:paraId="150BEF03" w14:textId="4FA3352F" w:rsidR="00CE52FB" w:rsidRPr="00CA3A08" w:rsidRDefault="00CE52FB">
            <w:pPr>
              <w:spacing w:after="240"/>
              <w:rPr>
                <w:rFonts w:ascii="Arial" w:hAnsi="Arial" w:cs="Arial"/>
                <w:sz w:val="20"/>
                <w:szCs w:val="20"/>
              </w:rPr>
            </w:pPr>
            <w:r w:rsidRPr="00CA3A08">
              <w:rPr>
                <w:rFonts w:ascii="Arial" w:hAnsi="Arial" w:cs="Arial"/>
                <w:sz w:val="20"/>
                <w:szCs w:val="20"/>
              </w:rPr>
              <w:t xml:space="preserve">The United States Constitution </w:t>
            </w:r>
            <w:r w:rsidR="00D144A8">
              <w:rPr>
                <w:rFonts w:ascii="Arial" w:hAnsi="Arial" w:cs="Arial"/>
                <w:sz w:val="20"/>
                <w:szCs w:val="20"/>
              </w:rPr>
              <w:t xml:space="preserve">protects </w:t>
            </w:r>
            <w:r w:rsidRPr="00CA3A08">
              <w:rPr>
                <w:rFonts w:ascii="Arial" w:hAnsi="Arial" w:cs="Arial"/>
                <w:sz w:val="20"/>
                <w:szCs w:val="20"/>
              </w:rPr>
              <w:t xml:space="preserve">against government </w:t>
            </w:r>
            <w:r w:rsidRPr="00CA3A08">
              <w:rPr>
                <w:rFonts w:ascii="Arial" w:hAnsi="Arial" w:cs="Arial"/>
                <w:sz w:val="20"/>
                <w:szCs w:val="20"/>
              </w:rPr>
              <w:lastRenderedPageBreak/>
              <w:t xml:space="preserve">infringement of certain privacy rights of individuals.  </w:t>
            </w:r>
          </w:p>
        </w:tc>
        <w:tc>
          <w:tcPr>
            <w:tcW w:w="3383" w:type="dxa"/>
          </w:tcPr>
          <w:p w14:paraId="05DCFEAA" w14:textId="77777777" w:rsidR="00CE52FB" w:rsidRPr="00CA3A08" w:rsidRDefault="4373F759">
            <w:pPr>
              <w:rPr>
                <w:rFonts w:ascii="Arial" w:hAnsi="Arial" w:cs="Arial"/>
                <w:sz w:val="20"/>
                <w:szCs w:val="20"/>
              </w:rPr>
            </w:pPr>
            <w:r w:rsidRPr="00CA3A08">
              <w:rPr>
                <w:rFonts w:ascii="Arial" w:hAnsi="Arial" w:cs="Arial"/>
                <w:sz w:val="20"/>
                <w:szCs w:val="20"/>
              </w:rPr>
              <w:lastRenderedPageBreak/>
              <w:t>U.S. Constitution, Amendments 4, 14.</w:t>
            </w:r>
          </w:p>
          <w:p w14:paraId="0A22788F" w14:textId="77777777" w:rsidR="00CE52FB" w:rsidRPr="00CA3A08" w:rsidRDefault="00CE52FB">
            <w:pPr>
              <w:rPr>
                <w:rFonts w:ascii="Arial" w:hAnsi="Arial" w:cs="Arial"/>
                <w:sz w:val="20"/>
                <w:szCs w:val="20"/>
              </w:rPr>
            </w:pPr>
          </w:p>
          <w:p w14:paraId="6777AD49" w14:textId="77777777" w:rsidR="00CE52FB" w:rsidRPr="00CA3A08" w:rsidRDefault="00CE52FB">
            <w:pPr>
              <w:rPr>
                <w:rFonts w:ascii="Arial" w:hAnsi="Arial" w:cs="Arial"/>
                <w:sz w:val="20"/>
                <w:szCs w:val="20"/>
              </w:rPr>
            </w:pPr>
          </w:p>
          <w:p w14:paraId="753FB138" w14:textId="77777777" w:rsidR="00CE52FB" w:rsidRPr="00CA3A08" w:rsidRDefault="00CE52FB">
            <w:pPr>
              <w:rPr>
                <w:rFonts w:ascii="Arial" w:hAnsi="Arial" w:cs="Arial"/>
                <w:sz w:val="20"/>
                <w:szCs w:val="20"/>
              </w:rPr>
            </w:pPr>
          </w:p>
          <w:p w14:paraId="277E9A2C" w14:textId="77777777" w:rsidR="00CE52FB" w:rsidRPr="00CA3A08" w:rsidRDefault="00CE52FB">
            <w:pPr>
              <w:rPr>
                <w:rFonts w:ascii="Arial" w:hAnsi="Arial" w:cs="Arial"/>
                <w:sz w:val="20"/>
                <w:szCs w:val="20"/>
              </w:rPr>
            </w:pPr>
          </w:p>
        </w:tc>
        <w:tc>
          <w:tcPr>
            <w:tcW w:w="3383" w:type="dxa"/>
          </w:tcPr>
          <w:p w14:paraId="3EED41F5" w14:textId="77777777" w:rsidR="00CE52FB" w:rsidRPr="00CA3A08" w:rsidRDefault="00CE52FB">
            <w:pPr>
              <w:rPr>
                <w:rFonts w:ascii="Arial" w:hAnsi="Arial" w:cs="Arial"/>
                <w:sz w:val="20"/>
                <w:szCs w:val="20"/>
              </w:rPr>
            </w:pPr>
          </w:p>
        </w:tc>
        <w:tc>
          <w:tcPr>
            <w:tcW w:w="1209" w:type="dxa"/>
          </w:tcPr>
          <w:p w14:paraId="2F0821C8" w14:textId="77777777" w:rsidR="00CE52FB" w:rsidRPr="00CA3A08" w:rsidRDefault="00CE52FB">
            <w:pPr>
              <w:rPr>
                <w:rFonts w:ascii="Arial" w:hAnsi="Arial" w:cs="Arial"/>
                <w:sz w:val="20"/>
                <w:szCs w:val="20"/>
              </w:rPr>
            </w:pPr>
          </w:p>
        </w:tc>
      </w:tr>
      <w:tr w:rsidR="00CE52FB" w:rsidRPr="00CA3A08" w14:paraId="628A1625" w14:textId="77777777" w:rsidTr="009408B1">
        <w:tc>
          <w:tcPr>
            <w:tcW w:w="427" w:type="dxa"/>
          </w:tcPr>
          <w:p w14:paraId="5EF86B12" w14:textId="77777777" w:rsidR="00CE52FB" w:rsidRPr="00CA3A08" w:rsidRDefault="00CE52FB">
            <w:pPr>
              <w:jc w:val="center"/>
              <w:rPr>
                <w:rFonts w:ascii="Arial" w:hAnsi="Arial" w:cs="Arial"/>
                <w:sz w:val="20"/>
                <w:szCs w:val="20"/>
              </w:rPr>
            </w:pPr>
            <w:r w:rsidRPr="00CA3A08">
              <w:rPr>
                <w:rFonts w:ascii="Arial" w:hAnsi="Arial" w:cs="Arial"/>
                <w:sz w:val="20"/>
                <w:szCs w:val="20"/>
              </w:rPr>
              <w:t>B</w:t>
            </w:r>
          </w:p>
        </w:tc>
        <w:tc>
          <w:tcPr>
            <w:tcW w:w="2903" w:type="dxa"/>
          </w:tcPr>
          <w:p w14:paraId="7B30702C" w14:textId="77777777" w:rsidR="00CE52FB" w:rsidRPr="00CA3A08" w:rsidRDefault="00CE52FB">
            <w:pPr>
              <w:adjustRightInd w:val="0"/>
              <w:ind w:left="72"/>
              <w:jc w:val="both"/>
              <w:rPr>
                <w:rFonts w:ascii="Arial" w:hAnsi="Arial" w:cs="Arial"/>
                <w:sz w:val="20"/>
                <w:szCs w:val="20"/>
              </w:rPr>
            </w:pPr>
            <w:r w:rsidRPr="00CA3A08">
              <w:rPr>
                <w:rFonts w:ascii="Arial" w:hAnsi="Arial" w:cs="Arial"/>
                <w:sz w:val="20"/>
                <w:szCs w:val="20"/>
              </w:rPr>
              <w:t xml:space="preserve">If not, what other available legislation deals with privacy or confidentiality of </w:t>
            </w:r>
            <w:r w:rsidRPr="00CA3A08">
              <w:rPr>
                <w:rFonts w:ascii="Arial" w:hAnsi="Arial" w:cs="Arial"/>
                <w:sz w:val="20"/>
                <w:szCs w:val="20"/>
                <w:lang w:eastAsia="zh-TW"/>
              </w:rPr>
              <w:t xml:space="preserve">personal </w:t>
            </w:r>
            <w:r w:rsidRPr="00CA3A08">
              <w:rPr>
                <w:rFonts w:ascii="Arial" w:hAnsi="Arial" w:cs="Arial"/>
                <w:sz w:val="20"/>
                <w:szCs w:val="20"/>
              </w:rPr>
              <w:t>information.</w:t>
            </w:r>
          </w:p>
          <w:p w14:paraId="0C4C31A3" w14:textId="77777777" w:rsidR="00CE52FB" w:rsidRPr="00CA3A08" w:rsidRDefault="00CE52FB">
            <w:pPr>
              <w:adjustRightInd w:val="0"/>
              <w:ind w:left="72"/>
              <w:jc w:val="both"/>
              <w:rPr>
                <w:rFonts w:ascii="Arial" w:hAnsi="Arial" w:cs="Arial"/>
                <w:sz w:val="20"/>
                <w:szCs w:val="20"/>
              </w:rPr>
            </w:pPr>
          </w:p>
        </w:tc>
        <w:tc>
          <w:tcPr>
            <w:tcW w:w="3383" w:type="dxa"/>
          </w:tcPr>
          <w:p w14:paraId="3D4D1DB7" w14:textId="77777777" w:rsidR="0069264A" w:rsidRDefault="00CE52FB">
            <w:pPr>
              <w:pStyle w:val="NormalWeb"/>
              <w:autoSpaceDE/>
              <w:autoSpaceDN/>
              <w:spacing w:before="0" w:after="0"/>
              <w:rPr>
                <w:rFonts w:ascii="Arial" w:hAnsi="Arial" w:cs="Arial"/>
                <w:sz w:val="20"/>
                <w:szCs w:val="20"/>
              </w:rPr>
            </w:pPr>
            <w:r w:rsidRPr="00CA3A08">
              <w:rPr>
                <w:rFonts w:ascii="Arial" w:hAnsi="Arial" w:cs="Arial"/>
                <w:sz w:val="20"/>
                <w:szCs w:val="20"/>
              </w:rPr>
              <w:t xml:space="preserve">In the United States, there are federal and state statutes and regulations that deal with personal information privacy and data security, both generally and on an industry-sectoral basis.  In addition, there are self-regulatory frameworks that reflect the APEC privacy principles. </w:t>
            </w:r>
          </w:p>
          <w:p w14:paraId="6218F22F" w14:textId="5A361284" w:rsidR="00CE52FB" w:rsidRPr="00CA3A08" w:rsidRDefault="00CE52FB">
            <w:pPr>
              <w:pStyle w:val="NormalWeb"/>
              <w:autoSpaceDE/>
              <w:autoSpaceDN/>
              <w:spacing w:before="0" w:after="0"/>
              <w:rPr>
                <w:rFonts w:ascii="Arial" w:hAnsi="Arial" w:cs="Arial"/>
                <w:b/>
                <w:bCs/>
                <w:sz w:val="20"/>
                <w:szCs w:val="20"/>
              </w:rPr>
            </w:pPr>
            <w:r w:rsidRPr="310DF885">
              <w:rPr>
                <w:rFonts w:ascii="Arial" w:hAnsi="Arial" w:cs="Arial"/>
                <w:sz w:val="20"/>
                <w:szCs w:val="20"/>
              </w:rPr>
              <w:t xml:space="preserve">The primary federal statutes, regulations, and an example of a self-regulatory framework governing the private sector’s collection, use handling and disclosure of personal consumer information are identified below.  </w:t>
            </w:r>
          </w:p>
          <w:p w14:paraId="720FE936" w14:textId="77777777" w:rsidR="00CE52FB" w:rsidRPr="00CA3A08" w:rsidRDefault="00CE52FB">
            <w:pPr>
              <w:pStyle w:val="NormalWeb"/>
              <w:autoSpaceDE/>
              <w:autoSpaceDN/>
              <w:spacing w:before="0" w:after="0"/>
              <w:rPr>
                <w:rFonts w:ascii="Arial" w:hAnsi="Arial" w:cs="Arial"/>
                <w:i/>
                <w:iCs/>
                <w:sz w:val="20"/>
                <w:szCs w:val="20"/>
              </w:rPr>
            </w:pPr>
          </w:p>
        </w:tc>
        <w:tc>
          <w:tcPr>
            <w:tcW w:w="3383" w:type="dxa"/>
          </w:tcPr>
          <w:p w14:paraId="6772AB49" w14:textId="77777777" w:rsidR="00CE52FB" w:rsidRPr="00CA3A08" w:rsidRDefault="00CE52FB">
            <w:pPr>
              <w:rPr>
                <w:rFonts w:ascii="Arial" w:hAnsi="Arial" w:cs="Arial"/>
                <w:sz w:val="20"/>
                <w:szCs w:val="20"/>
              </w:rPr>
            </w:pPr>
          </w:p>
        </w:tc>
        <w:tc>
          <w:tcPr>
            <w:tcW w:w="3383" w:type="dxa"/>
          </w:tcPr>
          <w:p w14:paraId="3521F44D" w14:textId="77777777" w:rsidR="00CE52FB" w:rsidRPr="00CA3A08" w:rsidRDefault="00CE52FB">
            <w:pPr>
              <w:rPr>
                <w:rFonts w:ascii="Arial" w:hAnsi="Arial" w:cs="Arial"/>
                <w:sz w:val="20"/>
                <w:szCs w:val="20"/>
              </w:rPr>
            </w:pPr>
          </w:p>
        </w:tc>
        <w:tc>
          <w:tcPr>
            <w:tcW w:w="1209" w:type="dxa"/>
          </w:tcPr>
          <w:p w14:paraId="72A5ED36" w14:textId="77777777" w:rsidR="00CE52FB" w:rsidRPr="00CA3A08" w:rsidRDefault="00CE52FB">
            <w:pPr>
              <w:rPr>
                <w:rFonts w:ascii="Arial" w:hAnsi="Arial" w:cs="Arial"/>
                <w:sz w:val="20"/>
                <w:szCs w:val="20"/>
              </w:rPr>
            </w:pPr>
          </w:p>
        </w:tc>
      </w:tr>
      <w:tr w:rsidR="00783200" w:rsidRPr="00CA3A08" w14:paraId="3F398AAD" w14:textId="77777777" w:rsidTr="009408B1">
        <w:tc>
          <w:tcPr>
            <w:tcW w:w="427" w:type="dxa"/>
            <w:vMerge w:val="restart"/>
          </w:tcPr>
          <w:p w14:paraId="5E789568" w14:textId="77777777" w:rsidR="00783200" w:rsidRPr="00CA3A08" w:rsidRDefault="00783200" w:rsidP="00783200">
            <w:pPr>
              <w:rPr>
                <w:rFonts w:ascii="Arial" w:hAnsi="Arial" w:cs="Arial"/>
                <w:sz w:val="20"/>
                <w:szCs w:val="20"/>
              </w:rPr>
            </w:pPr>
            <w:r w:rsidRPr="00CA3A08">
              <w:rPr>
                <w:rFonts w:ascii="Arial" w:hAnsi="Arial" w:cs="Arial"/>
                <w:sz w:val="20"/>
                <w:szCs w:val="20"/>
              </w:rPr>
              <w:t>1</w:t>
            </w:r>
          </w:p>
          <w:p w14:paraId="53089485" w14:textId="77777777" w:rsidR="00783200" w:rsidRPr="00CA3A08" w:rsidRDefault="00783200" w:rsidP="00783200">
            <w:pPr>
              <w:rPr>
                <w:rFonts w:ascii="Arial" w:hAnsi="Arial" w:cs="Arial"/>
                <w:sz w:val="20"/>
                <w:szCs w:val="20"/>
              </w:rPr>
            </w:pPr>
          </w:p>
          <w:p w14:paraId="0B3685B7" w14:textId="77777777" w:rsidR="00783200" w:rsidRPr="00CA3A08" w:rsidRDefault="00783200" w:rsidP="00783200">
            <w:pPr>
              <w:rPr>
                <w:rFonts w:ascii="Arial" w:hAnsi="Arial" w:cs="Arial"/>
                <w:sz w:val="20"/>
                <w:szCs w:val="20"/>
              </w:rPr>
            </w:pPr>
          </w:p>
          <w:p w14:paraId="45B47753" w14:textId="77777777" w:rsidR="00783200" w:rsidRPr="00CA3A08" w:rsidRDefault="00783200" w:rsidP="00783200">
            <w:pPr>
              <w:rPr>
                <w:rFonts w:ascii="Arial" w:hAnsi="Arial" w:cs="Arial"/>
                <w:sz w:val="20"/>
                <w:szCs w:val="20"/>
              </w:rPr>
            </w:pPr>
          </w:p>
          <w:p w14:paraId="37528DAF" w14:textId="77777777" w:rsidR="00783200" w:rsidRPr="00CA3A08" w:rsidRDefault="00783200" w:rsidP="00783200">
            <w:pPr>
              <w:rPr>
                <w:rFonts w:ascii="Arial" w:hAnsi="Arial" w:cs="Arial"/>
                <w:sz w:val="20"/>
                <w:szCs w:val="20"/>
              </w:rPr>
            </w:pPr>
          </w:p>
          <w:p w14:paraId="751246F1" w14:textId="77777777" w:rsidR="00783200" w:rsidRPr="00CA3A08" w:rsidRDefault="00783200" w:rsidP="00783200">
            <w:pPr>
              <w:rPr>
                <w:rFonts w:ascii="Arial" w:hAnsi="Arial" w:cs="Arial"/>
                <w:sz w:val="20"/>
                <w:szCs w:val="20"/>
              </w:rPr>
            </w:pPr>
          </w:p>
          <w:p w14:paraId="389F4450" w14:textId="77777777" w:rsidR="00783200" w:rsidRPr="00CA3A08" w:rsidRDefault="00783200" w:rsidP="00783200">
            <w:pPr>
              <w:rPr>
                <w:rFonts w:ascii="Arial" w:hAnsi="Arial" w:cs="Arial"/>
                <w:sz w:val="20"/>
                <w:szCs w:val="20"/>
              </w:rPr>
            </w:pPr>
          </w:p>
        </w:tc>
        <w:tc>
          <w:tcPr>
            <w:tcW w:w="2903" w:type="dxa"/>
            <w:vMerge w:val="restart"/>
          </w:tcPr>
          <w:p w14:paraId="13834679" w14:textId="77777777" w:rsidR="00783200" w:rsidRPr="00592C78" w:rsidRDefault="00783200" w:rsidP="00783200">
            <w:pPr>
              <w:adjustRightInd w:val="0"/>
              <w:ind w:left="34"/>
              <w:rPr>
                <w:rFonts w:ascii="Arial" w:hAnsi="Arial" w:cs="Arial"/>
                <w:b/>
                <w:bCs/>
                <w:i/>
                <w:iCs/>
                <w:sz w:val="20"/>
                <w:szCs w:val="20"/>
                <w:lang w:bidi="mni-IN"/>
              </w:rPr>
            </w:pPr>
            <w:r w:rsidRPr="00592C78">
              <w:rPr>
                <w:rFonts w:ascii="Arial" w:hAnsi="Arial" w:cs="Arial"/>
                <w:b/>
                <w:bCs/>
                <w:i/>
                <w:iCs/>
                <w:sz w:val="20"/>
                <w:szCs w:val="20"/>
                <w:lang w:bidi="mni-IN"/>
              </w:rPr>
              <w:t xml:space="preserve">I </w:t>
            </w:r>
            <w:proofErr w:type="gramStart"/>
            <w:r w:rsidRPr="00592C78">
              <w:rPr>
                <w:rFonts w:ascii="Arial" w:hAnsi="Arial" w:cs="Arial"/>
                <w:b/>
                <w:bCs/>
                <w:i/>
                <w:iCs/>
                <w:sz w:val="20"/>
                <w:szCs w:val="20"/>
                <w:lang w:bidi="mni-IN"/>
              </w:rPr>
              <w:t>Preventing</w:t>
            </w:r>
            <w:proofErr w:type="gramEnd"/>
            <w:r w:rsidRPr="00592C78">
              <w:rPr>
                <w:rFonts w:ascii="Arial" w:hAnsi="Arial" w:cs="Arial"/>
                <w:b/>
                <w:bCs/>
                <w:i/>
                <w:iCs/>
                <w:sz w:val="20"/>
                <w:szCs w:val="20"/>
                <w:lang w:bidi="mni-IN"/>
              </w:rPr>
              <w:t xml:space="preserve"> Harm</w:t>
            </w:r>
          </w:p>
          <w:p w14:paraId="2E334E4C" w14:textId="77777777" w:rsidR="00783200" w:rsidRPr="00592C78" w:rsidRDefault="00783200" w:rsidP="00783200">
            <w:pPr>
              <w:adjustRightInd w:val="0"/>
              <w:ind w:left="34"/>
              <w:rPr>
                <w:rFonts w:ascii="Arial" w:hAnsi="Arial" w:cs="Arial"/>
                <w:b/>
                <w:bCs/>
                <w:sz w:val="20"/>
                <w:szCs w:val="20"/>
                <w:lang w:bidi="mni-IN"/>
              </w:rPr>
            </w:pPr>
            <w:r w:rsidRPr="00592C78">
              <w:rPr>
                <w:rFonts w:ascii="Arial" w:hAnsi="Arial" w:cs="Arial"/>
                <w:b/>
                <w:bCs/>
                <w:sz w:val="20"/>
                <w:szCs w:val="20"/>
                <w:lang w:bidi="mni-IN"/>
              </w:rPr>
              <w:t xml:space="preserve">(Ref. Para. </w:t>
            </w:r>
            <w:r>
              <w:rPr>
                <w:rFonts w:ascii="Arial" w:hAnsi="Arial" w:cs="Arial"/>
                <w:b/>
                <w:bCs/>
                <w:sz w:val="20"/>
                <w:szCs w:val="20"/>
                <w:lang w:bidi="mni-IN"/>
              </w:rPr>
              <w:t>20</w:t>
            </w:r>
            <w:r w:rsidRPr="00592C78">
              <w:rPr>
                <w:rFonts w:ascii="Arial" w:hAnsi="Arial" w:cs="Arial"/>
                <w:b/>
                <w:bCs/>
                <w:sz w:val="20"/>
                <w:szCs w:val="20"/>
                <w:lang w:bidi="mni-IN"/>
              </w:rPr>
              <w:t>)</w:t>
            </w:r>
          </w:p>
          <w:p w14:paraId="014F983F" w14:textId="77777777" w:rsidR="00783200" w:rsidRPr="00592C78" w:rsidRDefault="00783200" w:rsidP="00783200">
            <w:pPr>
              <w:adjustRightInd w:val="0"/>
              <w:ind w:left="34"/>
              <w:rPr>
                <w:rFonts w:ascii="Arial" w:hAnsi="Arial" w:cs="Arial"/>
                <w:b/>
                <w:bCs/>
                <w:sz w:val="20"/>
                <w:szCs w:val="20"/>
                <w:lang w:bidi="mni-IN"/>
              </w:rPr>
            </w:pPr>
          </w:p>
          <w:p w14:paraId="65906C2C" w14:textId="77777777" w:rsidR="00783200" w:rsidRPr="00592C78" w:rsidRDefault="00783200" w:rsidP="00783200">
            <w:pPr>
              <w:autoSpaceDE w:val="0"/>
              <w:autoSpaceDN w:val="0"/>
              <w:adjustRightInd w:val="0"/>
              <w:rPr>
                <w:rFonts w:ascii="Arial" w:hAnsi="Arial" w:cs="Arial"/>
                <w:sz w:val="20"/>
                <w:szCs w:val="20"/>
              </w:rPr>
            </w:pPr>
            <w:r w:rsidRPr="00592C78">
              <w:rPr>
                <w:rFonts w:ascii="Arial" w:hAnsi="Arial" w:cs="Arial"/>
                <w:sz w:val="20"/>
                <w:szCs w:val="20"/>
              </w:rPr>
              <w:t xml:space="preserve">Recognizing the interests of the individual to legitimate expectations of privacy, personal information protection should be designed to prevent the misuse of such information. Further, acknowledging the risk that harm may result from such misuse of personal information, specific obligations should take </w:t>
            </w:r>
            <w:r w:rsidRPr="00592C78">
              <w:rPr>
                <w:rFonts w:ascii="Arial" w:hAnsi="Arial" w:cs="Arial"/>
                <w:sz w:val="20"/>
                <w:szCs w:val="20"/>
              </w:rPr>
              <w:lastRenderedPageBreak/>
              <w:t>account of such risk, and remedial measures should be proportionate to the likelihood and severity of the harm threatened by the collection, use and transfer of personal information.</w:t>
            </w:r>
          </w:p>
          <w:p w14:paraId="6B7EE957" w14:textId="77777777" w:rsidR="00783200" w:rsidRPr="00CA3A08" w:rsidRDefault="00783200" w:rsidP="00783200">
            <w:pPr>
              <w:adjustRightInd w:val="0"/>
              <w:ind w:left="72"/>
              <w:jc w:val="both"/>
              <w:rPr>
                <w:rFonts w:ascii="Arial" w:hAnsi="Arial" w:cs="Arial"/>
                <w:sz w:val="20"/>
                <w:szCs w:val="20"/>
              </w:rPr>
            </w:pPr>
          </w:p>
        </w:tc>
        <w:tc>
          <w:tcPr>
            <w:tcW w:w="3383" w:type="dxa"/>
          </w:tcPr>
          <w:p w14:paraId="7ECAAEBB" w14:textId="17BC07A6" w:rsidR="00783200" w:rsidRPr="00CA3A08" w:rsidRDefault="00783200" w:rsidP="00783200">
            <w:pPr>
              <w:rPr>
                <w:rFonts w:ascii="Arial" w:hAnsi="Arial" w:cs="Arial"/>
                <w:sz w:val="20"/>
                <w:szCs w:val="20"/>
              </w:rPr>
            </w:pPr>
            <w:r w:rsidRPr="00CA3A08">
              <w:rPr>
                <w:rFonts w:ascii="Arial" w:hAnsi="Arial" w:cs="Arial"/>
                <w:b/>
                <w:bCs/>
                <w:i/>
                <w:iCs/>
                <w:sz w:val="20"/>
                <w:szCs w:val="20"/>
                <w:u w:val="single"/>
              </w:rPr>
              <w:lastRenderedPageBreak/>
              <w:t>The</w:t>
            </w:r>
            <w:r w:rsidRPr="00CA3A08">
              <w:rPr>
                <w:rFonts w:ascii="Arial" w:hAnsi="Arial" w:cs="Arial"/>
                <w:b/>
                <w:bCs/>
                <w:sz w:val="20"/>
                <w:szCs w:val="20"/>
                <w:u w:val="single"/>
              </w:rPr>
              <w:t xml:space="preserve"> </w:t>
            </w:r>
            <w:r w:rsidRPr="00CA3A08">
              <w:rPr>
                <w:rFonts w:ascii="Arial" w:hAnsi="Arial" w:cs="Arial"/>
                <w:b/>
                <w:bCs/>
                <w:i/>
                <w:iCs/>
                <w:sz w:val="20"/>
                <w:szCs w:val="20"/>
                <w:u w:val="single"/>
              </w:rPr>
              <w:t>Fair Credit Reporting Act (FCRA)</w:t>
            </w:r>
            <w:r w:rsidRPr="00CA3A08">
              <w:rPr>
                <w:rFonts w:ascii="Arial" w:hAnsi="Arial" w:cs="Arial"/>
                <w:b/>
                <w:bCs/>
                <w:i/>
                <w:iCs/>
                <w:sz w:val="20"/>
                <w:szCs w:val="20"/>
              </w:rPr>
              <w:t xml:space="preserve">, </w:t>
            </w:r>
            <w:r w:rsidRPr="008B2F1D">
              <w:rPr>
                <w:rFonts w:ascii="Arial" w:hAnsi="Arial" w:cs="Arial"/>
                <w:sz w:val="20"/>
                <w:szCs w:val="20"/>
              </w:rPr>
              <w:t>1</w:t>
            </w:r>
            <w:r w:rsidRPr="00CA3A08">
              <w:rPr>
                <w:rFonts w:ascii="Arial" w:hAnsi="Arial" w:cs="Arial"/>
                <w:sz w:val="20"/>
                <w:szCs w:val="20"/>
              </w:rPr>
              <w:t xml:space="preserve">5 U.S.C. § 1681 et seq.  </w:t>
            </w:r>
          </w:p>
        </w:tc>
        <w:tc>
          <w:tcPr>
            <w:tcW w:w="3383" w:type="dxa"/>
          </w:tcPr>
          <w:p w14:paraId="37953A28" w14:textId="77777777" w:rsidR="00783200" w:rsidRPr="00CA3A08" w:rsidRDefault="00783200" w:rsidP="00783200">
            <w:pPr>
              <w:spacing w:after="240"/>
              <w:rPr>
                <w:rFonts w:ascii="Arial" w:hAnsi="Arial" w:cs="Arial"/>
                <w:sz w:val="20"/>
                <w:szCs w:val="20"/>
              </w:rPr>
            </w:pPr>
            <w:r w:rsidRPr="00CA3A08">
              <w:rPr>
                <w:rFonts w:ascii="Arial" w:hAnsi="Arial" w:cs="Arial"/>
                <w:sz w:val="20"/>
                <w:szCs w:val="20"/>
                <w:lang w:val="en-CA"/>
              </w:rPr>
              <w:fldChar w:fldCharType="begin"/>
            </w:r>
            <w:r w:rsidRPr="00CA3A08">
              <w:rPr>
                <w:rFonts w:ascii="Arial" w:hAnsi="Arial" w:cs="Arial"/>
                <w:sz w:val="20"/>
                <w:szCs w:val="20"/>
                <w:lang w:val="en-CA"/>
              </w:rPr>
              <w:instrText xml:space="preserve"> SEQ CHAPTER \h \r 1</w:instrText>
            </w:r>
            <w:r w:rsidRPr="00CA3A08">
              <w:rPr>
                <w:rFonts w:ascii="Arial" w:hAnsi="Arial" w:cs="Arial"/>
                <w:sz w:val="20"/>
                <w:szCs w:val="20"/>
                <w:lang w:val="en-CA"/>
              </w:rPr>
              <w:fldChar w:fldCharType="end"/>
            </w:r>
            <w:r w:rsidRPr="00CA3A08">
              <w:rPr>
                <w:rFonts w:ascii="Arial" w:hAnsi="Arial" w:cs="Arial"/>
                <w:sz w:val="20"/>
                <w:szCs w:val="20"/>
              </w:rPr>
              <w:t>The FCRA</w:t>
            </w:r>
            <w:r w:rsidRPr="00CA3A08">
              <w:rPr>
                <w:rFonts w:ascii="Arial" w:hAnsi="Arial" w:cs="Arial"/>
                <w:i/>
                <w:iCs/>
                <w:sz w:val="20"/>
                <w:szCs w:val="20"/>
              </w:rPr>
              <w:t xml:space="preserve"> </w:t>
            </w:r>
            <w:r w:rsidRPr="00CA3A08">
              <w:rPr>
                <w:rFonts w:ascii="Arial" w:hAnsi="Arial" w:cs="Arial"/>
                <w:sz w:val="20"/>
                <w:szCs w:val="20"/>
              </w:rPr>
              <w:t>protects consumer information collected by consumer report</w:t>
            </w:r>
            <w:r w:rsidRPr="00CA3A08">
              <w:rPr>
                <w:rFonts w:ascii="Arial" w:hAnsi="Arial" w:cs="Arial"/>
                <w:sz w:val="20"/>
                <w:szCs w:val="20"/>
              </w:rPr>
              <w:softHyphen/>
              <w:t xml:space="preserve">ing agencies such as credit bureaus, medical information companies and tenant screening services.  By limiting the use of such “consumer report” information to certain “permissible purposes,” by requiring furnishers of customer information to consumer reporting agencies to take steps to ensure the accuracy of that information, by limiting the scope of such information, by requiring consumer reporting agencies to establish </w:t>
            </w:r>
            <w:r w:rsidRPr="00CA3A08">
              <w:rPr>
                <w:rFonts w:ascii="Arial" w:hAnsi="Arial" w:cs="Arial"/>
                <w:sz w:val="20"/>
                <w:szCs w:val="20"/>
              </w:rPr>
              <w:lastRenderedPageBreak/>
              <w:t>reasonable procedures to assure maximum possible accuracy of the in</w:t>
            </w:r>
            <w:r w:rsidRPr="00CA3A08">
              <w:rPr>
                <w:rFonts w:ascii="Arial" w:hAnsi="Arial" w:cs="Arial"/>
                <w:sz w:val="20"/>
                <w:szCs w:val="20"/>
              </w:rPr>
              <w:softHyphen/>
              <w:t xml:space="preserve">formation they report on consumers, and by requiring </w:t>
            </w:r>
            <w:r>
              <w:rPr>
                <w:rFonts w:ascii="Arial" w:hAnsi="Arial" w:cs="Arial"/>
                <w:sz w:val="20"/>
                <w:szCs w:val="20"/>
              </w:rPr>
              <w:t xml:space="preserve">any person who maintains or otherwise possesses </w:t>
            </w:r>
            <w:r w:rsidRPr="00CA3A08">
              <w:rPr>
                <w:rFonts w:ascii="Arial" w:hAnsi="Arial" w:cs="Arial"/>
                <w:sz w:val="20"/>
                <w:szCs w:val="20"/>
              </w:rPr>
              <w:t>consumer report in</w:t>
            </w:r>
            <w:r w:rsidRPr="00CA3A08">
              <w:rPr>
                <w:rFonts w:ascii="Arial" w:hAnsi="Arial" w:cs="Arial"/>
                <w:sz w:val="20"/>
                <w:szCs w:val="20"/>
              </w:rPr>
              <w:softHyphen/>
              <w:t>formation to properly dispose of the information after they have used it, the FCRA seeks to prevent harmful use of consum</w:t>
            </w:r>
            <w:r w:rsidRPr="00CA3A08">
              <w:rPr>
                <w:rFonts w:ascii="Arial" w:hAnsi="Arial" w:cs="Arial"/>
                <w:sz w:val="20"/>
                <w:szCs w:val="20"/>
              </w:rPr>
              <w:softHyphen/>
              <w:t>er report information.  15 U.S.C. §§ 1681, 1681b(a), 1681c(a),</w:t>
            </w:r>
            <w:r>
              <w:rPr>
                <w:rFonts w:ascii="Arial" w:hAnsi="Arial" w:cs="Arial"/>
                <w:sz w:val="20"/>
                <w:szCs w:val="20"/>
              </w:rPr>
              <w:t xml:space="preserve"> 1681c-1, 1681c-2,</w:t>
            </w:r>
            <w:r w:rsidRPr="00CA3A08">
              <w:rPr>
                <w:rFonts w:ascii="Arial" w:hAnsi="Arial" w:cs="Arial"/>
                <w:sz w:val="20"/>
                <w:szCs w:val="20"/>
              </w:rPr>
              <w:t xml:space="preserve"> 1681e(b), </w:t>
            </w:r>
            <w:r>
              <w:rPr>
                <w:rFonts w:ascii="Arial" w:hAnsi="Arial" w:cs="Arial"/>
                <w:sz w:val="20"/>
                <w:szCs w:val="20"/>
              </w:rPr>
              <w:t xml:space="preserve">1681s-2(a), 16 C.F.R. Part 660, 12 C.F.R. Part 1022, Subpart E, </w:t>
            </w:r>
            <w:r w:rsidRPr="00CA3A08">
              <w:rPr>
                <w:rFonts w:ascii="Arial" w:hAnsi="Arial" w:cs="Arial"/>
                <w:sz w:val="20"/>
                <w:szCs w:val="20"/>
              </w:rPr>
              <w:t>1681w, 16 C.F.R. Part 682.</w:t>
            </w:r>
          </w:p>
          <w:p w14:paraId="0F36F655" w14:textId="72E4F036" w:rsidR="00783200" w:rsidRPr="00CA3A08" w:rsidRDefault="00783200" w:rsidP="00783200">
            <w:pPr>
              <w:spacing w:after="240"/>
              <w:rPr>
                <w:rFonts w:ascii="Arial" w:hAnsi="Arial" w:cs="Arial"/>
                <w:sz w:val="20"/>
                <w:szCs w:val="20"/>
              </w:rPr>
            </w:pPr>
            <w:r w:rsidRPr="00CA3A08">
              <w:rPr>
                <w:rFonts w:ascii="Arial" w:hAnsi="Arial" w:cs="Arial"/>
                <w:sz w:val="20"/>
                <w:szCs w:val="20"/>
              </w:rPr>
              <w:t>In addition, the FCRA provides specific protections to limit harm to consumers victimized by identity theft.  For example, such consumers are permitted to require nationwide credit bureaus to insert a “fraud alert” in their files, and to block reporting of information that results from identity theft.  15 U.S.C. §§ 1681c-1, 1681c</w:t>
            </w:r>
            <w:r>
              <w:rPr>
                <w:rFonts w:ascii="Arial" w:hAnsi="Arial" w:cs="Arial"/>
                <w:sz w:val="20"/>
                <w:szCs w:val="20"/>
              </w:rPr>
              <w:t>-2</w:t>
            </w:r>
            <w:r w:rsidRPr="00CA3A08">
              <w:rPr>
                <w:rFonts w:ascii="Arial" w:hAnsi="Arial" w:cs="Arial"/>
                <w:sz w:val="20"/>
                <w:szCs w:val="20"/>
              </w:rPr>
              <w:t xml:space="preserve">.  Moreover, creditors and </w:t>
            </w:r>
            <w:r>
              <w:rPr>
                <w:rFonts w:ascii="Arial" w:hAnsi="Arial" w:cs="Arial"/>
                <w:sz w:val="20"/>
                <w:szCs w:val="20"/>
              </w:rPr>
              <w:t>financial</w:t>
            </w:r>
            <w:r w:rsidRPr="00CA3A08">
              <w:rPr>
                <w:rFonts w:ascii="Arial" w:hAnsi="Arial" w:cs="Arial"/>
                <w:sz w:val="20"/>
                <w:szCs w:val="20"/>
              </w:rPr>
              <w:t xml:space="preserve"> institutions must implement policies and procedures to identify and mitigate against identity theft. 15 U.S.C. § 1681m(e).</w:t>
            </w:r>
            <w:r>
              <w:rPr>
                <w:rFonts w:ascii="Arial" w:hAnsi="Arial" w:cs="Arial"/>
                <w:sz w:val="20"/>
                <w:szCs w:val="20"/>
              </w:rPr>
              <w:t xml:space="preserve">  16 C.F.R. Part 681.</w:t>
            </w:r>
          </w:p>
        </w:tc>
        <w:tc>
          <w:tcPr>
            <w:tcW w:w="3383" w:type="dxa"/>
          </w:tcPr>
          <w:p w14:paraId="4A94C118" w14:textId="5B2A8AB5" w:rsidR="00783200" w:rsidRPr="00CA3A08" w:rsidRDefault="00783200" w:rsidP="00783200">
            <w:pPr>
              <w:rPr>
                <w:rFonts w:ascii="Arial" w:hAnsi="Arial" w:cs="Arial"/>
                <w:sz w:val="20"/>
                <w:szCs w:val="20"/>
              </w:rPr>
            </w:pPr>
            <w:r w:rsidRPr="17CB37D8">
              <w:rPr>
                <w:rFonts w:ascii="Arial" w:hAnsi="Arial" w:cs="Arial"/>
                <w:sz w:val="20"/>
                <w:szCs w:val="20"/>
                <w:lang w:val="en-CA"/>
              </w:rPr>
              <w:lastRenderedPageBreak/>
              <w:fldChar w:fldCharType="begin"/>
            </w:r>
            <w:r w:rsidRPr="17CB37D8">
              <w:rPr>
                <w:rFonts w:ascii="Arial" w:hAnsi="Arial" w:cs="Arial"/>
                <w:sz w:val="20"/>
                <w:szCs w:val="20"/>
                <w:lang w:val="en-CA"/>
              </w:rPr>
              <w:instrText xml:space="preserve"> SEQ CHAPTER \h \r 1</w:instrText>
            </w:r>
            <w:r w:rsidRPr="17CB37D8">
              <w:rPr>
                <w:rFonts w:ascii="Arial" w:hAnsi="Arial" w:cs="Arial"/>
                <w:sz w:val="20"/>
                <w:szCs w:val="20"/>
                <w:lang w:val="en-CA"/>
              </w:rPr>
              <w:fldChar w:fldCharType="end"/>
            </w:r>
            <w:r w:rsidRPr="17CB37D8">
              <w:rPr>
                <w:rFonts w:ascii="Arial" w:hAnsi="Arial" w:cs="Arial"/>
                <w:sz w:val="20"/>
                <w:szCs w:val="20"/>
              </w:rPr>
              <w:t xml:space="preserve">The FCRA provides for civil liability for willful and negligent noncompliance.  The remedies for willful noncompliance are more stringent.  15 U.S.C. §§ 1681n, 1681o.  The FCRA also provides for criminal sanctions for obtaining consumer report information under false pretenses. 15 U.S.C. § 1681q.  The Act is enforced by </w:t>
            </w:r>
            <w:r>
              <w:rPr>
                <w:rFonts w:ascii="Arial" w:hAnsi="Arial" w:cs="Arial"/>
                <w:sz w:val="20"/>
                <w:szCs w:val="20"/>
              </w:rPr>
              <w:t>the Federal Trade Commission (FTC) and Consumer Financial Protection Bureau (CFPB)</w:t>
            </w:r>
            <w:r w:rsidRPr="17CB37D8">
              <w:rPr>
                <w:rFonts w:ascii="Arial" w:hAnsi="Arial" w:cs="Arial"/>
                <w:sz w:val="20"/>
                <w:szCs w:val="20"/>
              </w:rPr>
              <w:t xml:space="preserve"> and state authorities</w:t>
            </w:r>
            <w:r>
              <w:rPr>
                <w:rFonts w:ascii="Arial" w:hAnsi="Arial" w:cs="Arial"/>
                <w:sz w:val="20"/>
                <w:szCs w:val="20"/>
              </w:rPr>
              <w:t>,</w:t>
            </w:r>
            <w:r w:rsidRPr="17CB37D8">
              <w:rPr>
                <w:rFonts w:ascii="Arial" w:hAnsi="Arial" w:cs="Arial"/>
                <w:sz w:val="20"/>
                <w:szCs w:val="20"/>
              </w:rPr>
              <w:t xml:space="preserve"> as well as private litigants. It allows courts to impose </w:t>
            </w:r>
            <w:r w:rsidRPr="17CB37D8">
              <w:rPr>
                <w:rFonts w:ascii="Arial" w:hAnsi="Arial" w:cs="Arial"/>
                <w:sz w:val="20"/>
                <w:szCs w:val="20"/>
              </w:rPr>
              <w:lastRenderedPageBreak/>
              <w:t>penalties of up to $</w:t>
            </w:r>
            <w:r>
              <w:rPr>
                <w:rFonts w:ascii="Arial" w:hAnsi="Arial" w:cs="Arial"/>
                <w:sz w:val="20"/>
                <w:szCs w:val="20"/>
              </w:rPr>
              <w:t>4,111</w:t>
            </w:r>
            <w:r w:rsidRPr="17CB37D8">
              <w:rPr>
                <w:rFonts w:ascii="Arial" w:hAnsi="Arial" w:cs="Arial"/>
                <w:sz w:val="20"/>
                <w:szCs w:val="20"/>
              </w:rPr>
              <w:t xml:space="preserve"> per knowing violation in actions brought by the FTC. 15 U.S.C. § 1681s(a)</w:t>
            </w:r>
            <w:r>
              <w:rPr>
                <w:rFonts w:ascii="Arial" w:hAnsi="Arial" w:cs="Arial"/>
                <w:sz w:val="20"/>
                <w:szCs w:val="20"/>
              </w:rPr>
              <w:t>; 16 C.F.R. § 1.98(m)</w:t>
            </w:r>
            <w:r w:rsidRPr="17CB37D8">
              <w:rPr>
                <w:rFonts w:ascii="Arial" w:hAnsi="Arial" w:cs="Arial"/>
                <w:sz w:val="20"/>
                <w:szCs w:val="20"/>
              </w:rPr>
              <w:t xml:space="preserve">. </w:t>
            </w:r>
          </w:p>
        </w:tc>
        <w:tc>
          <w:tcPr>
            <w:tcW w:w="1209" w:type="dxa"/>
          </w:tcPr>
          <w:p w14:paraId="7F73E87A" w14:textId="6507AAD0"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lastRenderedPageBreak/>
              <w:t>Signed into law on October 26, 1970.</w:t>
            </w:r>
          </w:p>
          <w:p w14:paraId="1CAA82AA" w14:textId="77777777" w:rsidR="00783200" w:rsidRPr="00CA3A08" w:rsidRDefault="00783200" w:rsidP="00783200">
            <w:pPr>
              <w:rPr>
                <w:rFonts w:ascii="Arial" w:hAnsi="Arial" w:cs="Arial"/>
                <w:sz w:val="20"/>
                <w:szCs w:val="20"/>
              </w:rPr>
            </w:pPr>
            <w:r w:rsidRPr="00CA3A08">
              <w:rPr>
                <w:rFonts w:ascii="Arial" w:hAnsi="Arial" w:cs="Arial"/>
                <w:sz w:val="20"/>
                <w:szCs w:val="20"/>
              </w:rPr>
              <w:br/>
            </w:r>
          </w:p>
          <w:p w14:paraId="47C0819F" w14:textId="395747FF" w:rsidR="00783200" w:rsidRPr="00CA3A08" w:rsidRDefault="00783200" w:rsidP="00783200">
            <w:pPr>
              <w:rPr>
                <w:rFonts w:ascii="Arial" w:hAnsi="Arial" w:cs="Arial"/>
                <w:sz w:val="20"/>
                <w:szCs w:val="20"/>
              </w:rPr>
            </w:pPr>
          </w:p>
        </w:tc>
      </w:tr>
      <w:tr w:rsidR="00FE7E50" w:rsidRPr="00CA3A08" w14:paraId="2FC37DD5" w14:textId="77777777" w:rsidTr="009408B1">
        <w:tc>
          <w:tcPr>
            <w:tcW w:w="427" w:type="dxa"/>
            <w:vMerge/>
          </w:tcPr>
          <w:p w14:paraId="1D89E77E" w14:textId="77777777" w:rsidR="00FE7E50" w:rsidRPr="00CA3A08" w:rsidRDefault="00FE7E50" w:rsidP="00FE7E50">
            <w:pPr>
              <w:rPr>
                <w:rFonts w:ascii="Arial" w:hAnsi="Arial" w:cs="Arial"/>
                <w:sz w:val="20"/>
                <w:szCs w:val="20"/>
              </w:rPr>
            </w:pPr>
          </w:p>
        </w:tc>
        <w:tc>
          <w:tcPr>
            <w:tcW w:w="2903" w:type="dxa"/>
            <w:vMerge/>
          </w:tcPr>
          <w:p w14:paraId="4E827BAE" w14:textId="77777777" w:rsidR="00FE7E50" w:rsidRPr="00CA3A08" w:rsidRDefault="00FE7E50" w:rsidP="00FE7E50">
            <w:pPr>
              <w:adjustRightInd w:val="0"/>
              <w:ind w:left="72"/>
              <w:jc w:val="both"/>
              <w:rPr>
                <w:rFonts w:ascii="Arial" w:hAnsi="Arial" w:cs="Arial"/>
                <w:b/>
                <w:bCs/>
                <w:i/>
                <w:iCs/>
                <w:sz w:val="20"/>
                <w:szCs w:val="20"/>
              </w:rPr>
            </w:pPr>
          </w:p>
        </w:tc>
        <w:tc>
          <w:tcPr>
            <w:tcW w:w="3383" w:type="dxa"/>
          </w:tcPr>
          <w:p w14:paraId="32B8DB17" w14:textId="77777777" w:rsidR="00FE7E50" w:rsidRPr="00CA3A08" w:rsidRDefault="00FE7E50" w:rsidP="00FE7E50">
            <w:pPr>
              <w:rPr>
                <w:rFonts w:ascii="Arial" w:hAnsi="Arial" w:cs="Arial"/>
                <w:sz w:val="20"/>
                <w:szCs w:val="20"/>
              </w:rPr>
            </w:pPr>
            <w:r w:rsidRPr="17CB37D8">
              <w:rPr>
                <w:rFonts w:ascii="Arial" w:hAnsi="Arial" w:cs="Arial"/>
                <w:b/>
                <w:bCs/>
                <w:i/>
                <w:iCs/>
                <w:sz w:val="20"/>
                <w:szCs w:val="20"/>
                <w:u w:val="single"/>
              </w:rPr>
              <w:t>The</w:t>
            </w:r>
            <w:r w:rsidRPr="17CB37D8">
              <w:rPr>
                <w:rFonts w:ascii="Arial" w:hAnsi="Arial" w:cs="Arial"/>
                <w:b/>
                <w:bCs/>
                <w:sz w:val="20"/>
                <w:szCs w:val="20"/>
                <w:u w:val="single"/>
              </w:rPr>
              <w:t xml:space="preserve"> </w:t>
            </w:r>
            <w:r w:rsidRPr="17CB37D8">
              <w:rPr>
                <w:rFonts w:ascii="Arial" w:hAnsi="Arial" w:cs="Arial"/>
                <w:b/>
                <w:bCs/>
                <w:i/>
                <w:iCs/>
                <w:sz w:val="20"/>
                <w:szCs w:val="20"/>
                <w:u w:val="single"/>
              </w:rPr>
              <w:t>Gramm-Leach-Bliley Act (GLBA)</w:t>
            </w:r>
            <w:r w:rsidRPr="17CB37D8">
              <w:rPr>
                <w:rFonts w:ascii="Arial" w:hAnsi="Arial" w:cs="Arial"/>
                <w:b/>
                <w:bCs/>
                <w:sz w:val="20"/>
                <w:szCs w:val="20"/>
                <w:u w:val="single"/>
              </w:rPr>
              <w:t>,</w:t>
            </w:r>
            <w:r w:rsidRPr="17CB37D8">
              <w:rPr>
                <w:rFonts w:ascii="Arial" w:hAnsi="Arial" w:cs="Arial"/>
                <w:sz w:val="20"/>
                <w:szCs w:val="20"/>
              </w:rPr>
              <w:t xml:space="preserve"> Subchapter I (Disclosure of Nonpublic Personal Information) 15 U.S.C. § 6801 et seq. and Subchapter II, (Fraudulent Access to Financial Information) 15 U.S.C. § 6821 et seq., and implementing regulations at 16 C.F.R. Parts 313 and 314 (FTC).  We only include the citations to the FTC rule by way of an example.  Citations to the comparable and consistent rules of each of the banking agencies and other regulators that enforce GLBA are not included.  In addition to these rules, the four banking agencies issued additional interagency guidance interpreting the information security rules to require banks to notify customers of information security breaches involving their personal information.  </w:t>
            </w:r>
            <w:r w:rsidRPr="17CB37D8">
              <w:rPr>
                <w:rFonts w:ascii="Arial" w:hAnsi="Arial" w:cs="Arial"/>
                <w:i/>
                <w:iCs/>
                <w:sz w:val="20"/>
                <w:szCs w:val="20"/>
              </w:rPr>
              <w:t xml:space="preserve">See </w:t>
            </w:r>
            <w:r w:rsidRPr="17CB37D8">
              <w:rPr>
                <w:rFonts w:ascii="Arial" w:hAnsi="Arial" w:cs="Arial"/>
                <w:sz w:val="20"/>
                <w:szCs w:val="20"/>
              </w:rPr>
              <w:t>Interagency Guidance on Response Programs for Unauthorized Access to Customer Information and Customer Notice, 70 Fed. Reg. 15736 (March 29, 2005).</w:t>
            </w:r>
          </w:p>
          <w:p w14:paraId="78B9CDA1" w14:textId="77777777" w:rsidR="00FE7E50" w:rsidRPr="00CA3A08" w:rsidRDefault="00FE7E50" w:rsidP="00FE7E50">
            <w:pPr>
              <w:rPr>
                <w:rFonts w:ascii="Arial" w:hAnsi="Arial" w:cs="Arial"/>
                <w:sz w:val="20"/>
                <w:szCs w:val="20"/>
              </w:rPr>
            </w:pPr>
          </w:p>
          <w:p w14:paraId="3E7CA07B" w14:textId="77777777" w:rsidR="00FE7E50" w:rsidRPr="00CA3A08" w:rsidRDefault="00FE7E50" w:rsidP="00FE7E50">
            <w:pPr>
              <w:rPr>
                <w:rFonts w:ascii="Arial" w:hAnsi="Arial" w:cs="Arial"/>
                <w:sz w:val="20"/>
                <w:szCs w:val="20"/>
              </w:rPr>
            </w:pPr>
          </w:p>
        </w:tc>
        <w:tc>
          <w:tcPr>
            <w:tcW w:w="3383" w:type="dxa"/>
          </w:tcPr>
          <w:p w14:paraId="631AB2FF" w14:textId="0CC46DE0" w:rsidR="00FE7E50" w:rsidRDefault="00FE7E50" w:rsidP="00FE7E50">
            <w:pPr>
              <w:rPr>
                <w:rFonts w:ascii="Arial" w:hAnsi="Arial" w:cs="Arial"/>
                <w:sz w:val="20"/>
                <w:szCs w:val="20"/>
              </w:rPr>
            </w:pPr>
            <w:r w:rsidRPr="00CA3A08">
              <w:rPr>
                <w:rFonts w:ascii="Arial" w:hAnsi="Arial" w:cs="Arial"/>
                <w:sz w:val="20"/>
                <w:szCs w:val="20"/>
              </w:rPr>
              <w:t xml:space="preserve">The GLBA requires the FTC, along with the Federal </w:t>
            </w:r>
            <w:r>
              <w:rPr>
                <w:rFonts w:ascii="Arial" w:hAnsi="Arial" w:cs="Arial"/>
                <w:sz w:val="20"/>
                <w:szCs w:val="20"/>
              </w:rPr>
              <w:t>functional regulators</w:t>
            </w:r>
            <w:r w:rsidRPr="00CA3A08">
              <w:rPr>
                <w:rFonts w:ascii="Arial" w:hAnsi="Arial" w:cs="Arial"/>
                <w:sz w:val="20"/>
                <w:szCs w:val="20"/>
              </w:rPr>
              <w:t xml:space="preserve"> and State Insurance Commissioners to issue regulations ensuring that financial institutions protect the privacy of consumers' personal financial information.  Due to the sensitive nature of consumers’ financial information and the potential for significant harm resulting from misuse of such information, the GLBA and its implementing regulations protecting consumers’ financial information reflect the “Preventing Harm” principle.  15 U.S.C. § 6801. </w:t>
            </w:r>
          </w:p>
          <w:p w14:paraId="6782C09C" w14:textId="1E240AB3" w:rsidR="00FE7E50" w:rsidRDefault="00FE7E50" w:rsidP="00FE7E50">
            <w:pPr>
              <w:rPr>
                <w:rFonts w:ascii="Arial" w:hAnsi="Arial" w:cs="Arial"/>
                <w:sz w:val="20"/>
                <w:szCs w:val="20"/>
              </w:rPr>
            </w:pPr>
          </w:p>
          <w:p w14:paraId="67BB2953" w14:textId="1DA5C3CC" w:rsidR="00FE7E50" w:rsidRPr="00E84C40" w:rsidRDefault="00FE7E50" w:rsidP="00FE7E50">
            <w:pPr>
              <w:rPr>
                <w:rFonts w:ascii="Arial" w:hAnsi="Arial" w:cs="Arial"/>
                <w:sz w:val="20"/>
                <w:szCs w:val="20"/>
              </w:rPr>
            </w:pPr>
            <w:r w:rsidRPr="00E84C40">
              <w:rPr>
                <w:rFonts w:ascii="Arial" w:hAnsi="Arial" w:cs="Arial"/>
                <w:sz w:val="20"/>
                <w:szCs w:val="20"/>
              </w:rPr>
              <w:t xml:space="preserve">Additionally, Title X of the Dodd-Frank Act Wall Street Reform and Consumer Protection Act (Dodd-Frank Act) granted rulemaking authority for most provisions of </w:t>
            </w:r>
            <w:r>
              <w:rPr>
                <w:rFonts w:ascii="Arial" w:hAnsi="Arial" w:cs="Arial"/>
                <w:sz w:val="20"/>
                <w:szCs w:val="20"/>
              </w:rPr>
              <w:t xml:space="preserve">Regulation P, </w:t>
            </w:r>
            <w:r w:rsidRPr="00E84C40">
              <w:rPr>
                <w:rFonts w:ascii="Arial" w:hAnsi="Arial" w:cs="Arial"/>
                <w:sz w:val="20"/>
                <w:szCs w:val="20"/>
              </w:rPr>
              <w:t>Subtitle A of Title V of GLBA – which addresses the right of financial institutions to share customer financial information and the corresponding right of consumers to protect the confidentiality of that information - to the Consumer Financial Protection Bureau (CFPB)</w:t>
            </w:r>
            <w:r>
              <w:rPr>
                <w:rFonts w:ascii="Arial" w:hAnsi="Arial" w:cs="Arial"/>
                <w:sz w:val="20"/>
                <w:szCs w:val="20"/>
              </w:rPr>
              <w:t>.</w:t>
            </w:r>
            <w:r>
              <w:rPr>
                <w:rStyle w:val="FootnoteReference"/>
                <w:rFonts w:ascii="Arial" w:hAnsi="Arial" w:cs="Arial"/>
                <w:sz w:val="20"/>
                <w:szCs w:val="20"/>
              </w:rPr>
              <w:footnoteReference w:id="6"/>
            </w:r>
            <w:r>
              <w:rPr>
                <w:rFonts w:ascii="Arial" w:hAnsi="Arial" w:cs="Arial"/>
                <w:sz w:val="20"/>
                <w:szCs w:val="20"/>
              </w:rPr>
              <w:t xml:space="preserve">  </w:t>
            </w:r>
            <w:r w:rsidRPr="00E84C40">
              <w:rPr>
                <w:rFonts w:ascii="Arial" w:hAnsi="Arial" w:cs="Arial"/>
                <w:sz w:val="20"/>
                <w:szCs w:val="20"/>
              </w:rPr>
              <w:t>The Dodd</w:t>
            </w:r>
            <w:r>
              <w:rPr>
                <w:rFonts w:ascii="Arial" w:hAnsi="Arial" w:cs="Arial"/>
                <w:sz w:val="20"/>
                <w:szCs w:val="20"/>
              </w:rPr>
              <w:t>-</w:t>
            </w:r>
            <w:r w:rsidRPr="00E84C40">
              <w:rPr>
                <w:rFonts w:ascii="Arial" w:hAnsi="Arial" w:cs="Arial"/>
                <w:sz w:val="20"/>
                <w:szCs w:val="20"/>
              </w:rPr>
              <w:t xml:space="preserve">Frank Act also granted authority to the CFPB to examine </w:t>
            </w:r>
            <w:r w:rsidRPr="00E84C40">
              <w:rPr>
                <w:rFonts w:ascii="Arial" w:hAnsi="Arial" w:cs="Arial"/>
                <w:sz w:val="20"/>
                <w:szCs w:val="20"/>
              </w:rPr>
              <w:lastRenderedPageBreak/>
              <w:t>and enforce compliance with these statutory provisions and their implementing regulations with respect to entities under CFPB jurisdiction</w:t>
            </w:r>
            <w:r>
              <w:rPr>
                <w:rFonts w:ascii="Arial" w:hAnsi="Arial" w:cs="Arial"/>
                <w:sz w:val="20"/>
                <w:szCs w:val="20"/>
              </w:rPr>
              <w:t>.</w:t>
            </w:r>
          </w:p>
          <w:p w14:paraId="0D809ED6" w14:textId="77777777" w:rsidR="00FE7E50" w:rsidRPr="00CA3A08" w:rsidRDefault="00FE7E50" w:rsidP="00FE7E50">
            <w:pPr>
              <w:rPr>
                <w:rFonts w:ascii="Arial" w:hAnsi="Arial" w:cs="Arial"/>
                <w:sz w:val="20"/>
                <w:szCs w:val="20"/>
                <w:lang w:val="en-CA"/>
              </w:rPr>
            </w:pPr>
          </w:p>
        </w:tc>
        <w:tc>
          <w:tcPr>
            <w:tcW w:w="3383" w:type="dxa"/>
          </w:tcPr>
          <w:p w14:paraId="1BC3545F" w14:textId="77777777" w:rsidR="00FE7E50" w:rsidRDefault="00FE7E50" w:rsidP="00FE7E50">
            <w:pPr>
              <w:rPr>
                <w:rFonts w:ascii="Arial" w:hAnsi="Arial" w:cs="Arial"/>
                <w:sz w:val="20"/>
                <w:szCs w:val="20"/>
              </w:rPr>
            </w:pPr>
            <w:r w:rsidRPr="00CA3A08">
              <w:rPr>
                <w:rFonts w:ascii="Arial" w:hAnsi="Arial" w:cs="Arial"/>
                <w:sz w:val="20"/>
                <w:szCs w:val="20"/>
              </w:rPr>
              <w:lastRenderedPageBreak/>
              <w:t xml:space="preserve">The GLBA is enforced by the respective governmental authorities responsible for oversight of the financial institutions, with residual jurisdiction to the FTC.  In enforcing their respective rules, the agencies may obtain a range of civil remedies, including, in the case of the FTC, the full range of relief available under the FTC Act. 15 U.S.C. § </w:t>
            </w:r>
            <w:r>
              <w:rPr>
                <w:rFonts w:ascii="Arial" w:hAnsi="Arial" w:cs="Arial"/>
                <w:sz w:val="20"/>
                <w:szCs w:val="20"/>
              </w:rPr>
              <w:t>41 et seq.</w:t>
            </w:r>
            <w:r w:rsidRPr="00CA3A08">
              <w:rPr>
                <w:rFonts w:ascii="Arial" w:hAnsi="Arial" w:cs="Arial"/>
                <w:sz w:val="20"/>
                <w:szCs w:val="20"/>
              </w:rPr>
              <w:t>; 15 U.S.C. §§ 6805, 6822</w:t>
            </w:r>
            <w:r>
              <w:rPr>
                <w:rFonts w:ascii="Arial" w:hAnsi="Arial" w:cs="Arial"/>
                <w:sz w:val="20"/>
                <w:szCs w:val="20"/>
              </w:rPr>
              <w:t xml:space="preserve">, which states that </w:t>
            </w:r>
            <w:r w:rsidRPr="00284694">
              <w:rPr>
                <w:rFonts w:ascii="Arial" w:hAnsi="Arial" w:cs="Arial"/>
                <w:sz w:val="20"/>
                <w:szCs w:val="20"/>
              </w:rPr>
              <w:t>“Except as provided in subsection (b), compliance with this subchapter shall be enforced by the Federal Trade Commission in the same manner and with the same power and authority as the Commission has under the Fair Debt Collection Practices Act to enforce compliance with such Act.”</w:t>
            </w:r>
            <w:r>
              <w:rPr>
                <w:rFonts w:ascii="Arial" w:hAnsi="Arial" w:cs="Arial"/>
                <w:sz w:val="20"/>
                <w:szCs w:val="20"/>
              </w:rPr>
              <w:t xml:space="preserve"> </w:t>
            </w:r>
            <w:r w:rsidRPr="00CA3A08">
              <w:rPr>
                <w:rFonts w:ascii="Arial" w:hAnsi="Arial" w:cs="Arial"/>
                <w:sz w:val="20"/>
                <w:szCs w:val="20"/>
              </w:rPr>
              <w:t>In addition, obtaining customer information by false pretenses may carry criminal penalties. 15 U</w:t>
            </w:r>
            <w:r>
              <w:rPr>
                <w:rFonts w:ascii="Arial" w:hAnsi="Arial" w:cs="Arial"/>
                <w:sz w:val="20"/>
                <w:szCs w:val="20"/>
              </w:rPr>
              <w:t>.</w:t>
            </w:r>
            <w:r w:rsidRPr="00CA3A08">
              <w:rPr>
                <w:rFonts w:ascii="Arial" w:hAnsi="Arial" w:cs="Arial"/>
                <w:sz w:val="20"/>
                <w:szCs w:val="20"/>
              </w:rPr>
              <w:t xml:space="preserve">S.C. § </w:t>
            </w:r>
            <w:r>
              <w:rPr>
                <w:rFonts w:ascii="Arial" w:hAnsi="Arial" w:cs="Arial"/>
                <w:sz w:val="20"/>
                <w:szCs w:val="20"/>
              </w:rPr>
              <w:t xml:space="preserve">6821(b), </w:t>
            </w:r>
            <w:r w:rsidRPr="00CA3A08">
              <w:rPr>
                <w:rFonts w:ascii="Arial" w:hAnsi="Arial" w:cs="Arial"/>
                <w:sz w:val="20"/>
                <w:szCs w:val="20"/>
              </w:rPr>
              <w:t>6823.  The federal banking agencies may use any remedy available under Section 8 of the Federal Deposit Insurance Act, 12 U.S.C. § 1818, including cease and desist orders, restitution, and civil money penalties.</w:t>
            </w:r>
          </w:p>
          <w:p w14:paraId="25B32A96" w14:textId="77777777" w:rsidR="00FE7E50" w:rsidRDefault="00FE7E50" w:rsidP="00FE7E50">
            <w:pPr>
              <w:rPr>
                <w:rFonts w:ascii="Arial" w:hAnsi="Arial" w:cs="Arial"/>
                <w:sz w:val="20"/>
                <w:szCs w:val="20"/>
              </w:rPr>
            </w:pPr>
          </w:p>
          <w:p w14:paraId="1A5A2EF8" w14:textId="74946537" w:rsidR="00FE7E50" w:rsidRPr="00CA3A08" w:rsidRDefault="00FE7E50" w:rsidP="00FE7E50">
            <w:pPr>
              <w:rPr>
                <w:rFonts w:ascii="Arial" w:hAnsi="Arial" w:cs="Arial"/>
                <w:sz w:val="20"/>
                <w:szCs w:val="20"/>
              </w:rPr>
            </w:pPr>
          </w:p>
        </w:tc>
        <w:tc>
          <w:tcPr>
            <w:tcW w:w="1209" w:type="dxa"/>
          </w:tcPr>
          <w:p w14:paraId="659BD45B" w14:textId="65B9D3AF" w:rsidR="00FE7E50" w:rsidRPr="00CA3A08" w:rsidRDefault="00FE7E50" w:rsidP="00FE7E50">
            <w:pPr>
              <w:rPr>
                <w:rFonts w:ascii="Arial" w:eastAsia="Arial" w:hAnsi="Arial" w:cs="Arial"/>
                <w:sz w:val="20"/>
                <w:szCs w:val="20"/>
              </w:rPr>
            </w:pPr>
            <w:r w:rsidRPr="310DF885">
              <w:rPr>
                <w:rFonts w:ascii="Arial" w:eastAsia="Arial" w:hAnsi="Arial" w:cs="Arial"/>
                <w:sz w:val="20"/>
                <w:szCs w:val="20"/>
              </w:rPr>
              <w:t>Signed into law on November 12, 1999.</w:t>
            </w:r>
          </w:p>
          <w:p w14:paraId="262E9FEB" w14:textId="77777777" w:rsidR="00FE7E50" w:rsidRPr="00CA3A08" w:rsidRDefault="00FE7E50" w:rsidP="00FE7E50">
            <w:pPr>
              <w:rPr>
                <w:rFonts w:ascii="Arial" w:hAnsi="Arial" w:cs="Arial"/>
                <w:sz w:val="20"/>
                <w:szCs w:val="20"/>
              </w:rPr>
            </w:pPr>
          </w:p>
          <w:p w14:paraId="7911825F" w14:textId="4A3324EE" w:rsidR="00FE7E50" w:rsidRPr="00CA3A08" w:rsidRDefault="00FE7E50" w:rsidP="00FE7E50">
            <w:pPr>
              <w:rPr>
                <w:rFonts w:ascii="Arial" w:hAnsi="Arial" w:cs="Arial"/>
                <w:sz w:val="20"/>
                <w:szCs w:val="20"/>
              </w:rPr>
            </w:pPr>
          </w:p>
        </w:tc>
      </w:tr>
      <w:tr w:rsidR="00F905A4" w:rsidRPr="00CA3A08" w14:paraId="73E1AFC8" w14:textId="77777777" w:rsidTr="009408B1">
        <w:tc>
          <w:tcPr>
            <w:tcW w:w="427" w:type="dxa"/>
            <w:vMerge/>
          </w:tcPr>
          <w:p w14:paraId="79BF3003" w14:textId="77777777" w:rsidR="00F905A4" w:rsidRPr="00CA3A08" w:rsidRDefault="00F905A4" w:rsidP="00F905A4">
            <w:pPr>
              <w:rPr>
                <w:rFonts w:ascii="Arial" w:hAnsi="Arial" w:cs="Arial"/>
                <w:sz w:val="20"/>
                <w:szCs w:val="20"/>
              </w:rPr>
            </w:pPr>
          </w:p>
        </w:tc>
        <w:tc>
          <w:tcPr>
            <w:tcW w:w="2903" w:type="dxa"/>
            <w:vMerge/>
          </w:tcPr>
          <w:p w14:paraId="36A1E8EA" w14:textId="77777777" w:rsidR="00F905A4" w:rsidRPr="00CA3A08" w:rsidRDefault="00F905A4" w:rsidP="00F905A4">
            <w:pPr>
              <w:adjustRightInd w:val="0"/>
              <w:ind w:left="72"/>
              <w:jc w:val="both"/>
              <w:rPr>
                <w:rFonts w:ascii="Arial" w:hAnsi="Arial" w:cs="Arial"/>
                <w:b/>
                <w:bCs/>
                <w:i/>
                <w:iCs/>
                <w:sz w:val="20"/>
                <w:szCs w:val="20"/>
              </w:rPr>
            </w:pPr>
          </w:p>
        </w:tc>
        <w:tc>
          <w:tcPr>
            <w:tcW w:w="3383" w:type="dxa"/>
          </w:tcPr>
          <w:p w14:paraId="4C033C4A" w14:textId="77777777" w:rsidR="00F905A4" w:rsidRPr="00CA3A08" w:rsidRDefault="00F905A4" w:rsidP="00F905A4">
            <w:pPr>
              <w:rPr>
                <w:rFonts w:ascii="Arial" w:hAnsi="Arial" w:cs="Arial"/>
                <w:b/>
                <w:bCs/>
                <w:i/>
                <w:iCs/>
                <w:sz w:val="20"/>
                <w:szCs w:val="20"/>
                <w:u w:val="single"/>
              </w:rPr>
            </w:pPr>
            <w:r w:rsidRPr="00CA3A08">
              <w:rPr>
                <w:rFonts w:ascii="Arial" w:hAnsi="Arial" w:cs="Arial"/>
                <w:b/>
                <w:bCs/>
                <w:i/>
                <w:iCs/>
                <w:sz w:val="20"/>
                <w:szCs w:val="20"/>
                <w:u w:val="single"/>
              </w:rPr>
              <w:t xml:space="preserve">The Children’s Online Privacy </w:t>
            </w:r>
          </w:p>
          <w:p w14:paraId="1A5A274E" w14:textId="332CC950" w:rsidR="00F905A4" w:rsidRPr="00CA3A08" w:rsidRDefault="00F905A4" w:rsidP="00F905A4">
            <w:pPr>
              <w:rPr>
                <w:rFonts w:ascii="Arial" w:hAnsi="Arial" w:cs="Arial"/>
                <w:sz w:val="20"/>
                <w:szCs w:val="20"/>
              </w:rPr>
            </w:pPr>
            <w:r w:rsidRPr="00CA3A08">
              <w:rPr>
                <w:rFonts w:ascii="Arial" w:hAnsi="Arial" w:cs="Arial"/>
                <w:b/>
                <w:bCs/>
                <w:i/>
                <w:iCs/>
                <w:sz w:val="20"/>
                <w:szCs w:val="20"/>
                <w:u w:val="single"/>
              </w:rPr>
              <w:t>Protection Act (COPPA)</w:t>
            </w:r>
            <w:r w:rsidRPr="00CA3A08">
              <w:rPr>
                <w:rFonts w:ascii="Arial" w:hAnsi="Arial" w:cs="Arial"/>
                <w:sz w:val="20"/>
                <w:szCs w:val="20"/>
              </w:rPr>
              <w:t>,  15 U.S.C. § 6501 et seq., and implementing regulation at 16 C.F.R. Part 312.</w:t>
            </w:r>
          </w:p>
        </w:tc>
        <w:tc>
          <w:tcPr>
            <w:tcW w:w="3383" w:type="dxa"/>
          </w:tcPr>
          <w:p w14:paraId="6B8F84BF" w14:textId="14A2B798" w:rsidR="00F905A4" w:rsidRPr="00CA3A08" w:rsidRDefault="00F905A4" w:rsidP="00F905A4">
            <w:pPr>
              <w:spacing w:after="240"/>
              <w:rPr>
                <w:rFonts w:ascii="Arial" w:hAnsi="Arial" w:cs="Arial"/>
                <w:sz w:val="20"/>
                <w:szCs w:val="20"/>
              </w:rPr>
            </w:pPr>
            <w:r w:rsidRPr="00CA3A08">
              <w:rPr>
                <w:rFonts w:ascii="Arial" w:hAnsi="Arial" w:cs="Arial"/>
                <w:sz w:val="20"/>
                <w:szCs w:val="20"/>
              </w:rPr>
              <w:t xml:space="preserve">COPPA applies to operators of </w:t>
            </w:r>
            <w:r w:rsidR="00A1698D">
              <w:rPr>
                <w:rFonts w:ascii="Arial" w:hAnsi="Arial" w:cs="Arial"/>
                <w:sz w:val="20"/>
                <w:szCs w:val="20"/>
              </w:rPr>
              <w:t>websites</w:t>
            </w:r>
            <w:r w:rsidRPr="00CA3A08">
              <w:rPr>
                <w:rFonts w:ascii="Arial" w:hAnsi="Arial" w:cs="Arial"/>
                <w:sz w:val="20"/>
                <w:szCs w:val="20"/>
              </w:rPr>
              <w:t xml:space="preserve"> directed to children under 13 years old or operators that have actual knowledge that they have collected personal information from such children.  This Act protects children’s privacy by giving parents the tools to control what information operators can collect from children online and how they can use and disclose the information.  By protecting the privacy of children, the Act reflects the “Preventing Harm” principle. </w:t>
            </w:r>
          </w:p>
        </w:tc>
        <w:tc>
          <w:tcPr>
            <w:tcW w:w="3383" w:type="dxa"/>
          </w:tcPr>
          <w:p w14:paraId="7BE491F0" w14:textId="5A38708E" w:rsidR="00F905A4" w:rsidRPr="00CA3A08" w:rsidRDefault="00F905A4" w:rsidP="00F905A4">
            <w:pPr>
              <w:spacing w:after="240"/>
              <w:rPr>
                <w:rFonts w:ascii="Arial" w:hAnsi="Arial" w:cs="Arial"/>
                <w:sz w:val="20"/>
                <w:szCs w:val="20"/>
              </w:rPr>
            </w:pPr>
            <w:r w:rsidRPr="00CA3A08">
              <w:rPr>
                <w:rFonts w:ascii="Arial" w:hAnsi="Arial" w:cs="Arial"/>
                <w:sz w:val="20"/>
                <w:szCs w:val="20"/>
              </w:rPr>
              <w:t>COPPA deems violations to be unfair or deceptive business practices and its mandates are enforceable by the Federal Trade Commission, other federal regulators against entities within their specific jurisdictions, and State authorities.  Violations carry civil monetary penalties.  COPPA includes self-regulatory compliance and monitoring options.</w:t>
            </w:r>
          </w:p>
        </w:tc>
        <w:tc>
          <w:tcPr>
            <w:tcW w:w="1209" w:type="dxa"/>
          </w:tcPr>
          <w:p w14:paraId="4242E043" w14:textId="58D6989E" w:rsidR="00F905A4" w:rsidRPr="00CA3A08" w:rsidRDefault="00F905A4" w:rsidP="00F905A4">
            <w:pPr>
              <w:rPr>
                <w:rFonts w:ascii="Arial" w:eastAsia="Arial" w:hAnsi="Arial" w:cs="Arial"/>
                <w:sz w:val="20"/>
                <w:szCs w:val="20"/>
              </w:rPr>
            </w:pPr>
            <w:r w:rsidRPr="310DF885">
              <w:rPr>
                <w:rFonts w:ascii="Arial" w:eastAsia="Arial" w:hAnsi="Arial" w:cs="Arial"/>
                <w:sz w:val="20"/>
                <w:szCs w:val="20"/>
              </w:rPr>
              <w:t>Signed into law October 21, 1998.</w:t>
            </w:r>
          </w:p>
          <w:p w14:paraId="1AA23AAA" w14:textId="77777777" w:rsidR="00F905A4" w:rsidRPr="00CA3A08" w:rsidRDefault="00F905A4" w:rsidP="00F905A4">
            <w:pPr>
              <w:rPr>
                <w:rFonts w:ascii="Arial" w:hAnsi="Arial" w:cs="Arial"/>
                <w:sz w:val="20"/>
                <w:szCs w:val="20"/>
              </w:rPr>
            </w:pPr>
            <w:r w:rsidRPr="00CA3A08">
              <w:rPr>
                <w:rFonts w:ascii="Arial" w:hAnsi="Arial" w:cs="Arial"/>
                <w:sz w:val="20"/>
                <w:szCs w:val="20"/>
              </w:rPr>
              <w:br/>
            </w:r>
          </w:p>
          <w:p w14:paraId="0ABF9C73" w14:textId="0047EC79" w:rsidR="00F905A4" w:rsidRPr="00CA3A08" w:rsidRDefault="00F905A4" w:rsidP="00F905A4">
            <w:pPr>
              <w:rPr>
                <w:rFonts w:ascii="Arial" w:hAnsi="Arial" w:cs="Arial"/>
                <w:sz w:val="20"/>
                <w:szCs w:val="20"/>
              </w:rPr>
            </w:pPr>
          </w:p>
        </w:tc>
      </w:tr>
      <w:tr w:rsidR="00B06269" w:rsidRPr="00CA3A08" w14:paraId="5AA20DAB" w14:textId="77777777" w:rsidTr="009408B1">
        <w:tc>
          <w:tcPr>
            <w:tcW w:w="427" w:type="dxa"/>
            <w:vMerge/>
          </w:tcPr>
          <w:p w14:paraId="34217ADA" w14:textId="77777777" w:rsidR="00B06269" w:rsidRPr="00CA3A08" w:rsidRDefault="00B06269" w:rsidP="00B06269">
            <w:pPr>
              <w:rPr>
                <w:rFonts w:ascii="Arial" w:hAnsi="Arial" w:cs="Arial"/>
                <w:sz w:val="20"/>
                <w:szCs w:val="20"/>
              </w:rPr>
            </w:pPr>
          </w:p>
        </w:tc>
        <w:tc>
          <w:tcPr>
            <w:tcW w:w="2903" w:type="dxa"/>
            <w:vMerge/>
          </w:tcPr>
          <w:p w14:paraId="0372C5F4" w14:textId="77777777" w:rsidR="00B06269" w:rsidRPr="00CA3A08" w:rsidRDefault="00B06269" w:rsidP="00B06269">
            <w:pPr>
              <w:adjustRightInd w:val="0"/>
              <w:ind w:left="72"/>
              <w:jc w:val="both"/>
              <w:rPr>
                <w:rFonts w:ascii="Arial" w:hAnsi="Arial" w:cs="Arial"/>
                <w:b/>
                <w:bCs/>
                <w:i/>
                <w:iCs/>
                <w:sz w:val="20"/>
                <w:szCs w:val="20"/>
              </w:rPr>
            </w:pPr>
          </w:p>
        </w:tc>
        <w:tc>
          <w:tcPr>
            <w:tcW w:w="3383" w:type="dxa"/>
          </w:tcPr>
          <w:p w14:paraId="6520E36D" w14:textId="271A7040" w:rsidR="00B06269" w:rsidRPr="00CA3A08" w:rsidRDefault="00B06269" w:rsidP="00B06269">
            <w:pPr>
              <w:rPr>
                <w:rFonts w:ascii="Arial" w:hAnsi="Arial" w:cs="Arial"/>
                <w:sz w:val="20"/>
                <w:szCs w:val="20"/>
              </w:rPr>
            </w:pPr>
            <w:r w:rsidRPr="00CA3A08">
              <w:rPr>
                <w:rFonts w:ascii="Arial" w:hAnsi="Arial" w:cs="Arial"/>
                <w:b/>
                <w:bCs/>
                <w:i/>
                <w:iCs/>
                <w:sz w:val="20"/>
                <w:szCs w:val="20"/>
                <w:u w:val="single"/>
              </w:rPr>
              <w:t>The Federal Trade Commission Act (FTC ACT)</w:t>
            </w:r>
            <w:r w:rsidRPr="00CA3A08">
              <w:rPr>
                <w:rFonts w:ascii="Arial" w:hAnsi="Arial" w:cs="Arial"/>
                <w:sz w:val="20"/>
                <w:szCs w:val="20"/>
              </w:rPr>
              <w:t>, 15 U.S.C. § 41 et. seq.</w:t>
            </w:r>
          </w:p>
        </w:tc>
        <w:tc>
          <w:tcPr>
            <w:tcW w:w="3383" w:type="dxa"/>
          </w:tcPr>
          <w:p w14:paraId="5D3082CD" w14:textId="77777777" w:rsidR="00B06269" w:rsidRDefault="00B06269" w:rsidP="00B06269">
            <w:pPr>
              <w:spacing w:after="240"/>
              <w:rPr>
                <w:rFonts w:ascii="Arial" w:hAnsi="Arial" w:cs="Arial"/>
                <w:sz w:val="20"/>
                <w:szCs w:val="20"/>
              </w:rPr>
            </w:pPr>
            <w:r w:rsidRPr="00CA3A08">
              <w:rPr>
                <w:rFonts w:ascii="Arial" w:hAnsi="Arial" w:cs="Arial"/>
                <w:sz w:val="20"/>
                <w:szCs w:val="20"/>
              </w:rPr>
              <w:t xml:space="preserve">Section 5 of the FTC Act conveys broad authority to the FTC to combat “unfair </w:t>
            </w:r>
            <w:r>
              <w:rPr>
                <w:rFonts w:ascii="Arial" w:hAnsi="Arial" w:cs="Arial"/>
                <w:sz w:val="20"/>
                <w:szCs w:val="20"/>
              </w:rPr>
              <w:t xml:space="preserve">or </w:t>
            </w:r>
            <w:r w:rsidRPr="00CA3A08">
              <w:rPr>
                <w:rFonts w:ascii="Arial" w:hAnsi="Arial" w:cs="Arial"/>
                <w:sz w:val="20"/>
                <w:szCs w:val="20"/>
              </w:rPr>
              <w:t xml:space="preserve">deceptive” business practices.  The FTC uses this broad authority to protect consumer privacy interests where deceptive </w:t>
            </w:r>
            <w:r>
              <w:rPr>
                <w:rFonts w:ascii="Arial" w:hAnsi="Arial" w:cs="Arial"/>
                <w:sz w:val="20"/>
                <w:szCs w:val="20"/>
              </w:rPr>
              <w:t xml:space="preserve">or </w:t>
            </w:r>
            <w:r w:rsidRPr="00CA3A08">
              <w:rPr>
                <w:rFonts w:ascii="Arial" w:hAnsi="Arial" w:cs="Arial"/>
                <w:sz w:val="20"/>
                <w:szCs w:val="20"/>
              </w:rPr>
              <w:t>unfair business practices result in harmful privacy violations. 15 U.S.C. § 45.</w:t>
            </w:r>
          </w:p>
          <w:p w14:paraId="2CBD6B31" w14:textId="41D5C4F9" w:rsidR="00263752" w:rsidRPr="00087234" w:rsidRDefault="00394CB9" w:rsidP="00263752">
            <w:pPr>
              <w:pStyle w:val="CommentText"/>
              <w:rPr>
                <w:rFonts w:ascii="Arial" w:hAnsi="Arial" w:cs="Arial"/>
              </w:rPr>
            </w:pPr>
            <w:r w:rsidRPr="00087234">
              <w:rPr>
                <w:rFonts w:ascii="Arial" w:hAnsi="Arial" w:cs="Arial"/>
              </w:rPr>
              <w:t>Section 5 also</w:t>
            </w:r>
            <w:r w:rsidR="00263752" w:rsidRPr="00087234">
              <w:rPr>
                <w:rFonts w:ascii="Arial" w:hAnsi="Arial" w:cs="Arial"/>
              </w:rPr>
              <w:t xml:space="preserve"> grants the FTC the authority to as a</w:t>
            </w:r>
            <w:r w:rsidR="00842CE5">
              <w:rPr>
                <w:rFonts w:ascii="Arial" w:hAnsi="Arial" w:cs="Arial"/>
              </w:rPr>
              <w:t xml:space="preserve"> </w:t>
            </w:r>
            <w:r w:rsidR="00263752" w:rsidRPr="00087234">
              <w:rPr>
                <w:rFonts w:ascii="Arial" w:hAnsi="Arial" w:cs="Arial"/>
              </w:rPr>
              <w:t xml:space="preserve">backstop enforcer for the United States with regard to companies’ </w:t>
            </w:r>
            <w:r w:rsidR="00087234" w:rsidRPr="00087234">
              <w:rPr>
                <w:rFonts w:ascii="Arial" w:hAnsi="Arial" w:cs="Arial"/>
              </w:rPr>
              <w:t xml:space="preserve">representations of their </w:t>
            </w:r>
            <w:r w:rsidR="00087234" w:rsidRPr="00087234">
              <w:rPr>
                <w:rFonts w:ascii="Arial" w:hAnsi="Arial" w:cs="Arial"/>
              </w:rPr>
              <w:lastRenderedPageBreak/>
              <w:t>APEC Cross-Border Privacy Rules (CBPR) System certification, as well as their</w:t>
            </w:r>
            <w:r w:rsidR="00263752" w:rsidRPr="00087234">
              <w:rPr>
                <w:rFonts w:ascii="Arial" w:hAnsi="Arial" w:cs="Arial"/>
              </w:rPr>
              <w:t xml:space="preserve"> underlying business practices pursuant to the CBPR </w:t>
            </w:r>
            <w:r w:rsidR="00860B32">
              <w:rPr>
                <w:rFonts w:ascii="Arial" w:hAnsi="Arial" w:cs="Arial"/>
              </w:rPr>
              <w:t>S</w:t>
            </w:r>
            <w:r w:rsidR="00263752" w:rsidRPr="00087234">
              <w:rPr>
                <w:rFonts w:ascii="Arial" w:hAnsi="Arial" w:cs="Arial"/>
              </w:rPr>
              <w:t>ystem</w:t>
            </w:r>
            <w:r w:rsidR="00860B32">
              <w:rPr>
                <w:rFonts w:ascii="Arial" w:hAnsi="Arial" w:cs="Arial"/>
              </w:rPr>
              <w:t xml:space="preserve"> program requirements</w:t>
            </w:r>
            <w:r w:rsidR="00263752" w:rsidRPr="00087234">
              <w:rPr>
                <w:rFonts w:ascii="Arial" w:hAnsi="Arial" w:cs="Arial"/>
              </w:rPr>
              <w:t>.</w:t>
            </w:r>
          </w:p>
          <w:p w14:paraId="39C1B8DF" w14:textId="79C6088B" w:rsidR="00394CB9" w:rsidRPr="00CA3A08" w:rsidRDefault="00394CB9" w:rsidP="00B06269">
            <w:pPr>
              <w:spacing w:after="240"/>
              <w:rPr>
                <w:rFonts w:ascii="Arial" w:hAnsi="Arial" w:cs="Arial"/>
                <w:sz w:val="20"/>
                <w:szCs w:val="20"/>
              </w:rPr>
            </w:pPr>
          </w:p>
        </w:tc>
        <w:tc>
          <w:tcPr>
            <w:tcW w:w="3383" w:type="dxa"/>
          </w:tcPr>
          <w:p w14:paraId="57DE088B" w14:textId="0BC67F0A" w:rsidR="00B06269" w:rsidRPr="00CA3A08" w:rsidRDefault="00B06269" w:rsidP="00B06269">
            <w:pPr>
              <w:spacing w:after="240"/>
              <w:rPr>
                <w:rFonts w:ascii="Arial" w:hAnsi="Arial" w:cs="Arial"/>
                <w:sz w:val="20"/>
                <w:szCs w:val="20"/>
              </w:rPr>
            </w:pPr>
            <w:r w:rsidRPr="00CA3A08">
              <w:rPr>
                <w:rFonts w:ascii="Arial" w:hAnsi="Arial" w:cs="Arial"/>
                <w:sz w:val="20"/>
                <w:szCs w:val="20"/>
              </w:rPr>
              <w:lastRenderedPageBreak/>
              <w:t>For violations of Section 5 of the FTC Act, the FTC may obtain injunctive relief</w:t>
            </w:r>
            <w:r>
              <w:rPr>
                <w:rFonts w:ascii="Arial" w:hAnsi="Arial" w:cs="Arial"/>
                <w:sz w:val="20"/>
                <w:szCs w:val="20"/>
              </w:rPr>
              <w:t xml:space="preserve"> under 15 U.S.C. § 53(b) or proceed with an administrative complaint which may lead to the issuance of a </w:t>
            </w:r>
            <w:proofErr w:type="gramStart"/>
            <w:r>
              <w:rPr>
                <w:rFonts w:ascii="Arial" w:hAnsi="Arial" w:cs="Arial"/>
                <w:sz w:val="20"/>
                <w:szCs w:val="20"/>
              </w:rPr>
              <w:t>cease and desist</w:t>
            </w:r>
            <w:proofErr w:type="gramEnd"/>
            <w:r>
              <w:rPr>
                <w:rFonts w:ascii="Arial" w:hAnsi="Arial" w:cs="Arial"/>
                <w:sz w:val="20"/>
                <w:szCs w:val="20"/>
              </w:rPr>
              <w:t xml:space="preserve"> order.</w:t>
            </w:r>
            <w:r w:rsidRPr="00CA3A08">
              <w:rPr>
                <w:rFonts w:ascii="Arial" w:hAnsi="Arial" w:cs="Arial"/>
                <w:sz w:val="20"/>
                <w:szCs w:val="20"/>
              </w:rPr>
              <w:t xml:space="preserve"> </w:t>
            </w:r>
            <w:r>
              <w:rPr>
                <w:rFonts w:ascii="Arial" w:hAnsi="Arial" w:cs="Arial"/>
                <w:sz w:val="20"/>
                <w:szCs w:val="20"/>
              </w:rPr>
              <w:t xml:space="preserve"> For violations of rules respecting unfair or deceptive practices or violations of </w:t>
            </w:r>
            <w:proofErr w:type="gramStart"/>
            <w:r>
              <w:rPr>
                <w:rFonts w:ascii="Arial" w:hAnsi="Arial" w:cs="Arial"/>
                <w:sz w:val="20"/>
                <w:szCs w:val="20"/>
              </w:rPr>
              <w:t>cease and desist</w:t>
            </w:r>
            <w:proofErr w:type="gramEnd"/>
            <w:r>
              <w:rPr>
                <w:rFonts w:ascii="Arial" w:hAnsi="Arial" w:cs="Arial"/>
                <w:sz w:val="20"/>
                <w:szCs w:val="20"/>
              </w:rPr>
              <w:t xml:space="preserve"> orders issued pursuant to Section 5, the FTC may obtain </w:t>
            </w:r>
            <w:r w:rsidRPr="00C024FD">
              <w:rPr>
                <w:rFonts w:ascii="Arial" w:hAnsi="Arial" w:cs="Arial"/>
                <w:sz w:val="20"/>
                <w:szCs w:val="20"/>
              </w:rPr>
              <w:t xml:space="preserve">rescission or reformation of contracts, the refund of money or return of property, the payment of </w:t>
            </w:r>
            <w:r w:rsidRPr="00C024FD">
              <w:rPr>
                <w:rFonts w:ascii="Arial" w:hAnsi="Arial" w:cs="Arial"/>
                <w:sz w:val="20"/>
                <w:szCs w:val="20"/>
              </w:rPr>
              <w:lastRenderedPageBreak/>
              <w:t>damages, and public notification respecting the rule violation or the unfair or deceptive act or practice</w:t>
            </w:r>
            <w:r w:rsidRPr="00CA3A08">
              <w:rPr>
                <w:rFonts w:ascii="Arial" w:hAnsi="Arial" w:cs="Arial"/>
                <w:sz w:val="20"/>
                <w:szCs w:val="20"/>
              </w:rPr>
              <w:t xml:space="preserve"> </w:t>
            </w:r>
            <w:r>
              <w:rPr>
                <w:rFonts w:ascii="Arial" w:hAnsi="Arial" w:cs="Arial"/>
                <w:sz w:val="20"/>
                <w:szCs w:val="20"/>
              </w:rPr>
              <w:t>pursuant to</w:t>
            </w:r>
            <w:r w:rsidRPr="00CA3A08">
              <w:rPr>
                <w:rFonts w:ascii="Arial" w:hAnsi="Arial" w:cs="Arial"/>
                <w:sz w:val="20"/>
                <w:szCs w:val="20"/>
              </w:rPr>
              <w:t xml:space="preserve"> 15 U.S.C. § </w:t>
            </w:r>
            <w:r>
              <w:rPr>
                <w:rFonts w:ascii="Arial" w:hAnsi="Arial" w:cs="Arial"/>
                <w:sz w:val="20"/>
                <w:szCs w:val="20"/>
              </w:rPr>
              <w:t>57b</w:t>
            </w:r>
            <w:r w:rsidRPr="00CA3A08">
              <w:rPr>
                <w:rFonts w:ascii="Arial" w:hAnsi="Arial" w:cs="Arial"/>
                <w:sz w:val="20"/>
                <w:szCs w:val="20"/>
              </w:rPr>
              <w:t>.  The federal banking agencies also may enforce section 5 with respect to the entities they regulate under section 8 of the Federal Deposit Insurance Act.  12 U.S.C. § 1818.</w:t>
            </w:r>
          </w:p>
        </w:tc>
        <w:tc>
          <w:tcPr>
            <w:tcW w:w="1209" w:type="dxa"/>
          </w:tcPr>
          <w:p w14:paraId="27BB2829" w14:textId="7B73494F" w:rsidR="00B06269" w:rsidRPr="00CA3A08" w:rsidRDefault="00B06269" w:rsidP="00B06269">
            <w:pPr>
              <w:rPr>
                <w:rFonts w:ascii="Arial" w:eastAsia="Arial" w:hAnsi="Arial" w:cs="Arial"/>
                <w:sz w:val="20"/>
                <w:szCs w:val="20"/>
              </w:rPr>
            </w:pPr>
            <w:r w:rsidRPr="310DF885">
              <w:rPr>
                <w:rFonts w:ascii="Arial" w:eastAsia="Arial" w:hAnsi="Arial" w:cs="Arial"/>
                <w:sz w:val="20"/>
                <w:szCs w:val="20"/>
              </w:rPr>
              <w:lastRenderedPageBreak/>
              <w:t>Signed into law on September 26, 1914.</w:t>
            </w:r>
          </w:p>
          <w:p w14:paraId="5200622B" w14:textId="77777777" w:rsidR="00B06269" w:rsidRPr="00CA3A08" w:rsidRDefault="00B06269" w:rsidP="00B06269">
            <w:pPr>
              <w:rPr>
                <w:rFonts w:ascii="Arial" w:hAnsi="Arial" w:cs="Arial"/>
                <w:sz w:val="20"/>
                <w:szCs w:val="20"/>
              </w:rPr>
            </w:pPr>
            <w:r w:rsidRPr="00CA3A08">
              <w:rPr>
                <w:rFonts w:ascii="Arial" w:hAnsi="Arial" w:cs="Arial"/>
                <w:sz w:val="20"/>
                <w:szCs w:val="20"/>
              </w:rPr>
              <w:br/>
            </w:r>
          </w:p>
          <w:p w14:paraId="7BFAABE9" w14:textId="6B50FA11" w:rsidR="00B06269" w:rsidRPr="00CA3A08" w:rsidRDefault="00B06269" w:rsidP="00B06269">
            <w:pPr>
              <w:rPr>
                <w:rFonts w:ascii="Arial" w:hAnsi="Arial" w:cs="Arial"/>
                <w:sz w:val="20"/>
                <w:szCs w:val="20"/>
              </w:rPr>
            </w:pPr>
          </w:p>
        </w:tc>
      </w:tr>
      <w:tr w:rsidR="00AB535B" w:rsidRPr="00CA3A08" w14:paraId="63C722BE" w14:textId="77777777" w:rsidTr="009408B1">
        <w:tc>
          <w:tcPr>
            <w:tcW w:w="427" w:type="dxa"/>
            <w:vMerge/>
          </w:tcPr>
          <w:p w14:paraId="15F33510" w14:textId="77777777" w:rsidR="00AB535B" w:rsidRPr="00CA3A08" w:rsidRDefault="00AB535B" w:rsidP="005236F7">
            <w:pPr>
              <w:rPr>
                <w:rFonts w:ascii="Arial" w:hAnsi="Arial" w:cs="Arial"/>
                <w:sz w:val="20"/>
                <w:szCs w:val="20"/>
              </w:rPr>
            </w:pPr>
          </w:p>
        </w:tc>
        <w:tc>
          <w:tcPr>
            <w:tcW w:w="2903" w:type="dxa"/>
            <w:vMerge/>
          </w:tcPr>
          <w:p w14:paraId="2E47556B" w14:textId="77777777" w:rsidR="00AB535B" w:rsidRPr="00CA3A08" w:rsidRDefault="00AB535B" w:rsidP="005236F7">
            <w:pPr>
              <w:adjustRightInd w:val="0"/>
              <w:ind w:left="72"/>
              <w:jc w:val="both"/>
              <w:rPr>
                <w:rFonts w:ascii="Arial" w:hAnsi="Arial" w:cs="Arial"/>
                <w:sz w:val="20"/>
                <w:szCs w:val="20"/>
              </w:rPr>
            </w:pPr>
          </w:p>
        </w:tc>
        <w:tc>
          <w:tcPr>
            <w:tcW w:w="3383" w:type="dxa"/>
          </w:tcPr>
          <w:p w14:paraId="01A4C2F7" w14:textId="77777777" w:rsidR="00AB535B" w:rsidRPr="00CA3A08" w:rsidRDefault="00AB535B">
            <w:pPr>
              <w:rPr>
                <w:rFonts w:ascii="Arial" w:hAnsi="Arial" w:cs="Arial"/>
                <w:sz w:val="20"/>
                <w:szCs w:val="20"/>
              </w:rPr>
            </w:pPr>
            <w:r w:rsidRPr="00CA3A08">
              <w:rPr>
                <w:rFonts w:ascii="Arial" w:hAnsi="Arial" w:cs="Arial"/>
                <w:b/>
                <w:bCs/>
                <w:i/>
                <w:iCs/>
                <w:sz w:val="20"/>
                <w:szCs w:val="20"/>
                <w:u w:val="single"/>
              </w:rPr>
              <w:t>The Drivers Privacy Protection Act of 1994 (DPPA)</w:t>
            </w:r>
            <w:r w:rsidRPr="00CA3A08">
              <w:rPr>
                <w:rFonts w:ascii="Arial" w:hAnsi="Arial" w:cs="Arial"/>
                <w:sz w:val="20"/>
                <w:szCs w:val="20"/>
              </w:rPr>
              <w:t>, 18 U.S.C. § 2721 et seq.</w:t>
            </w:r>
          </w:p>
        </w:tc>
        <w:tc>
          <w:tcPr>
            <w:tcW w:w="3383" w:type="dxa"/>
          </w:tcPr>
          <w:p w14:paraId="28D83016" w14:textId="77777777" w:rsidR="00AB535B" w:rsidRPr="00CA3A08" w:rsidRDefault="00AB535B">
            <w:pPr>
              <w:spacing w:after="240"/>
              <w:rPr>
                <w:rFonts w:ascii="Arial" w:hAnsi="Arial" w:cs="Arial"/>
                <w:sz w:val="20"/>
                <w:szCs w:val="20"/>
              </w:rPr>
            </w:pPr>
            <w:r w:rsidRPr="00CA3A08">
              <w:rPr>
                <w:rFonts w:ascii="Arial" w:hAnsi="Arial" w:cs="Arial"/>
                <w:sz w:val="20"/>
                <w:szCs w:val="20"/>
              </w:rPr>
              <w:t>The DPPA protects individuals’ personal information collected by state departments of motor vehicles.  By limiting the disclosure of such personal information to certain “permissible uses”, and by requiring consent of the individual for any re-sale and redisclosure of such information by authorized users, including businesses, for purposes other than the “permissible uses”, the Act reflects the “Preventing Harm” principle. 18 U.S.C. § 2721.</w:t>
            </w:r>
          </w:p>
        </w:tc>
        <w:tc>
          <w:tcPr>
            <w:tcW w:w="3383" w:type="dxa"/>
          </w:tcPr>
          <w:p w14:paraId="08B971DF" w14:textId="77777777" w:rsidR="00AB535B" w:rsidRPr="00CA3A08" w:rsidRDefault="00AB535B">
            <w:pPr>
              <w:spacing w:after="240"/>
              <w:rPr>
                <w:rFonts w:ascii="Arial" w:hAnsi="Arial" w:cs="Arial"/>
                <w:sz w:val="20"/>
                <w:szCs w:val="20"/>
              </w:rPr>
            </w:pPr>
            <w:r w:rsidRPr="00CA3A08">
              <w:rPr>
                <w:rFonts w:ascii="Arial" w:hAnsi="Arial" w:cs="Arial"/>
                <w:sz w:val="20"/>
                <w:szCs w:val="20"/>
              </w:rPr>
              <w:t>DPPA provides for criminal fines and civil penalties. It is enforced by federal authorities as well as private litigants. 18 U.S.C. §§ 2723, 2724.</w:t>
            </w:r>
          </w:p>
        </w:tc>
        <w:tc>
          <w:tcPr>
            <w:tcW w:w="1209" w:type="dxa"/>
          </w:tcPr>
          <w:p w14:paraId="02DA43BB" w14:textId="10D05FA7" w:rsidR="00AB535B" w:rsidRPr="00CA3A08" w:rsidRDefault="008F8692" w:rsidP="41763481">
            <w:pPr>
              <w:rPr>
                <w:rFonts w:ascii="Arial" w:eastAsia="Arial" w:hAnsi="Arial" w:cs="Arial"/>
                <w:sz w:val="20"/>
                <w:szCs w:val="20"/>
              </w:rPr>
            </w:pPr>
            <w:r w:rsidRPr="310DF885">
              <w:rPr>
                <w:rFonts w:ascii="Arial" w:eastAsia="Arial" w:hAnsi="Arial" w:cs="Arial"/>
                <w:sz w:val="20"/>
                <w:szCs w:val="20"/>
              </w:rPr>
              <w:t>Signed into law on September 13, 1994</w:t>
            </w:r>
            <w:r w:rsidR="449E1694" w:rsidRPr="310DF885">
              <w:rPr>
                <w:rFonts w:ascii="Arial" w:eastAsia="Arial" w:hAnsi="Arial" w:cs="Arial"/>
                <w:sz w:val="20"/>
                <w:szCs w:val="20"/>
              </w:rPr>
              <w:t>.</w:t>
            </w:r>
          </w:p>
          <w:p w14:paraId="46933317" w14:textId="12CDA26A" w:rsidR="00AB535B" w:rsidRPr="00CA3A08" w:rsidRDefault="00B608F0">
            <w:pPr>
              <w:rPr>
                <w:rFonts w:ascii="Arial" w:hAnsi="Arial" w:cs="Arial"/>
                <w:sz w:val="20"/>
                <w:szCs w:val="20"/>
              </w:rPr>
            </w:pPr>
            <w:r w:rsidRPr="00CA3A08">
              <w:rPr>
                <w:rFonts w:ascii="Arial" w:hAnsi="Arial" w:cs="Arial"/>
                <w:sz w:val="20"/>
                <w:szCs w:val="20"/>
              </w:rPr>
              <w:br/>
            </w:r>
          </w:p>
          <w:p w14:paraId="4D5227A1" w14:textId="35142F09" w:rsidR="00AB535B" w:rsidRPr="00CA3A08" w:rsidRDefault="00AB535B" w:rsidP="41763481">
            <w:pPr>
              <w:rPr>
                <w:rFonts w:ascii="Arial" w:hAnsi="Arial" w:cs="Arial"/>
                <w:sz w:val="20"/>
                <w:szCs w:val="20"/>
              </w:rPr>
            </w:pPr>
          </w:p>
        </w:tc>
      </w:tr>
      <w:tr w:rsidR="00AB535B" w:rsidRPr="00CA3A08" w14:paraId="7BB8BB99" w14:textId="77777777" w:rsidTr="009408B1">
        <w:tc>
          <w:tcPr>
            <w:tcW w:w="427" w:type="dxa"/>
            <w:vMerge/>
          </w:tcPr>
          <w:p w14:paraId="698CADAF" w14:textId="77777777" w:rsidR="00AB535B" w:rsidRPr="00CA3A08" w:rsidRDefault="00AB535B" w:rsidP="005236F7">
            <w:pPr>
              <w:rPr>
                <w:rFonts w:ascii="Arial" w:hAnsi="Arial" w:cs="Arial"/>
                <w:sz w:val="20"/>
                <w:szCs w:val="20"/>
              </w:rPr>
            </w:pPr>
          </w:p>
        </w:tc>
        <w:tc>
          <w:tcPr>
            <w:tcW w:w="2903" w:type="dxa"/>
            <w:vMerge/>
          </w:tcPr>
          <w:p w14:paraId="54F00A89" w14:textId="77777777" w:rsidR="00AB535B" w:rsidRPr="00CA3A08" w:rsidRDefault="00AB535B" w:rsidP="005236F7">
            <w:pPr>
              <w:adjustRightInd w:val="0"/>
              <w:ind w:left="72"/>
              <w:jc w:val="both"/>
              <w:rPr>
                <w:rFonts w:ascii="Arial" w:hAnsi="Arial" w:cs="Arial"/>
                <w:b/>
                <w:bCs/>
                <w:i/>
                <w:iCs/>
                <w:sz w:val="20"/>
                <w:szCs w:val="20"/>
              </w:rPr>
            </w:pPr>
          </w:p>
        </w:tc>
        <w:tc>
          <w:tcPr>
            <w:tcW w:w="3383" w:type="dxa"/>
          </w:tcPr>
          <w:p w14:paraId="17D0FC32" w14:textId="328B619D" w:rsidR="00AB535B" w:rsidRPr="00CA3A08" w:rsidRDefault="00AB535B">
            <w:pPr>
              <w:rPr>
                <w:rFonts w:ascii="Arial" w:hAnsi="Arial" w:cs="Arial"/>
                <w:sz w:val="20"/>
                <w:szCs w:val="20"/>
              </w:rPr>
            </w:pPr>
            <w:r w:rsidRPr="00CA3A08">
              <w:rPr>
                <w:rFonts w:ascii="Arial" w:hAnsi="Arial" w:cs="Arial"/>
                <w:b/>
                <w:bCs/>
                <w:i/>
                <w:iCs/>
                <w:sz w:val="20"/>
                <w:szCs w:val="20"/>
                <w:u w:val="single"/>
              </w:rPr>
              <w:t>Health Insurance Portability and Accountability Act (HIPAA</w:t>
            </w:r>
            <w:r w:rsidR="002D3B2B">
              <w:rPr>
                <w:rFonts w:ascii="Arial" w:hAnsi="Arial" w:cs="Arial"/>
                <w:b/>
                <w:bCs/>
                <w:i/>
                <w:iCs/>
                <w:sz w:val="20"/>
                <w:szCs w:val="20"/>
                <w:u w:val="single"/>
              </w:rPr>
              <w:t>)</w:t>
            </w:r>
            <w:r w:rsidRPr="00CA3A08">
              <w:rPr>
                <w:rFonts w:ascii="Arial" w:hAnsi="Arial" w:cs="Arial"/>
                <w:b/>
                <w:bCs/>
                <w:i/>
                <w:iCs/>
                <w:sz w:val="20"/>
                <w:szCs w:val="20"/>
                <w:u w:val="single"/>
              </w:rPr>
              <w:t>,</w:t>
            </w:r>
            <w:r w:rsidRPr="00CA3A08">
              <w:rPr>
                <w:rFonts w:ascii="Arial" w:hAnsi="Arial" w:cs="Arial"/>
                <w:sz w:val="20"/>
                <w:szCs w:val="20"/>
              </w:rPr>
              <w:t xml:space="preserve"> Pub. L. 104-191 §§ 262 &amp; 264)</w:t>
            </w:r>
          </w:p>
        </w:tc>
        <w:tc>
          <w:tcPr>
            <w:tcW w:w="3383" w:type="dxa"/>
          </w:tcPr>
          <w:p w14:paraId="4767B626" w14:textId="77777777" w:rsidR="00AB535B" w:rsidRPr="00CA3A08" w:rsidRDefault="00AB535B">
            <w:pPr>
              <w:spacing w:after="240"/>
              <w:rPr>
                <w:rFonts w:ascii="Arial" w:hAnsi="Arial" w:cs="Arial"/>
                <w:sz w:val="20"/>
                <w:szCs w:val="20"/>
              </w:rPr>
            </w:pPr>
            <w:r w:rsidRPr="00CA3A08">
              <w:rPr>
                <w:rFonts w:ascii="Arial" w:hAnsi="Arial" w:cs="Arial"/>
                <w:sz w:val="20"/>
                <w:szCs w:val="20"/>
              </w:rPr>
              <w:t xml:space="preserve">HIPAA applies to “covered entities” that are providers of care, payers of claims, or clearinghouses that support those functions who engage in electronic claims transactions.  HIPAA is implemented by several rules, including a Privacy Rule that permits disclosure of individually identifiable information for </w:t>
            </w:r>
            <w:r w:rsidRPr="00CA3A08">
              <w:rPr>
                <w:rFonts w:ascii="Arial" w:hAnsi="Arial" w:cs="Arial"/>
                <w:sz w:val="20"/>
                <w:szCs w:val="20"/>
              </w:rPr>
              <w:lastRenderedPageBreak/>
              <w:t>treatment, payment, and health care operations, but otherwise prohibits disclosures except as authorized by the Rule.  Such disclosures must be limited to the minimum necessary to achieve the purposes of the disclosure.  The Privacy Rule also requires security safeguards that reflect the “Preventing Harm” principle.</w:t>
            </w:r>
          </w:p>
        </w:tc>
        <w:tc>
          <w:tcPr>
            <w:tcW w:w="3383" w:type="dxa"/>
          </w:tcPr>
          <w:p w14:paraId="70C39B2E" w14:textId="77777777" w:rsidR="00AB535B" w:rsidRPr="00CA3A08" w:rsidRDefault="00AB535B">
            <w:pPr>
              <w:spacing w:after="240"/>
              <w:rPr>
                <w:rFonts w:ascii="Arial" w:hAnsi="Arial" w:cs="Arial"/>
                <w:sz w:val="20"/>
                <w:szCs w:val="20"/>
              </w:rPr>
            </w:pPr>
          </w:p>
        </w:tc>
        <w:tc>
          <w:tcPr>
            <w:tcW w:w="1209" w:type="dxa"/>
          </w:tcPr>
          <w:p w14:paraId="5D608CAF" w14:textId="24F23833" w:rsidR="00AB535B" w:rsidRPr="00CA3A08" w:rsidRDefault="40939EF9" w:rsidP="41763481">
            <w:pPr>
              <w:rPr>
                <w:rFonts w:ascii="Arial" w:eastAsia="Arial" w:hAnsi="Arial" w:cs="Arial"/>
                <w:sz w:val="20"/>
                <w:szCs w:val="20"/>
              </w:rPr>
            </w:pPr>
            <w:r w:rsidRPr="310DF885">
              <w:rPr>
                <w:rFonts w:ascii="Arial" w:eastAsia="Arial" w:hAnsi="Arial" w:cs="Arial"/>
                <w:sz w:val="20"/>
                <w:szCs w:val="20"/>
              </w:rPr>
              <w:t>Signed into law on August 21, 1</w:t>
            </w:r>
            <w:r w:rsidR="322A5B2C" w:rsidRPr="310DF885">
              <w:rPr>
                <w:rFonts w:ascii="Arial" w:eastAsia="Arial" w:hAnsi="Arial" w:cs="Arial"/>
                <w:sz w:val="20"/>
                <w:szCs w:val="20"/>
              </w:rPr>
              <w:t>996</w:t>
            </w:r>
            <w:r w:rsidR="3F4A6931" w:rsidRPr="310DF885">
              <w:rPr>
                <w:rFonts w:ascii="Arial" w:eastAsia="Arial" w:hAnsi="Arial" w:cs="Arial"/>
                <w:sz w:val="20"/>
                <w:szCs w:val="20"/>
              </w:rPr>
              <w:t>.</w:t>
            </w:r>
          </w:p>
          <w:p w14:paraId="5C6AE20B" w14:textId="036AAD0E" w:rsidR="00AB535B" w:rsidRPr="00CA3A08" w:rsidRDefault="00AD544A">
            <w:pPr>
              <w:rPr>
                <w:rFonts w:ascii="Arial" w:hAnsi="Arial" w:cs="Arial"/>
                <w:sz w:val="20"/>
                <w:szCs w:val="20"/>
              </w:rPr>
            </w:pPr>
            <w:r w:rsidRPr="00CA3A08">
              <w:rPr>
                <w:rFonts w:ascii="Arial" w:hAnsi="Arial" w:cs="Arial"/>
                <w:sz w:val="20"/>
                <w:szCs w:val="20"/>
              </w:rPr>
              <w:br/>
            </w:r>
          </w:p>
          <w:p w14:paraId="1B252993" w14:textId="296698EC" w:rsidR="00AB535B" w:rsidRPr="00CA3A08" w:rsidRDefault="00AB535B" w:rsidP="41763481">
            <w:pPr>
              <w:rPr>
                <w:rFonts w:ascii="Arial" w:hAnsi="Arial" w:cs="Arial"/>
                <w:sz w:val="20"/>
                <w:szCs w:val="20"/>
              </w:rPr>
            </w:pPr>
          </w:p>
        </w:tc>
      </w:tr>
      <w:tr w:rsidR="00AB535B" w:rsidRPr="00CA3A08" w14:paraId="76347EC7" w14:textId="77777777" w:rsidTr="005F092B">
        <w:trPr>
          <w:trHeight w:val="548"/>
        </w:trPr>
        <w:tc>
          <w:tcPr>
            <w:tcW w:w="427" w:type="dxa"/>
            <w:vMerge/>
          </w:tcPr>
          <w:p w14:paraId="7901DC8E" w14:textId="77777777" w:rsidR="00AB535B" w:rsidRPr="00CA3A08" w:rsidRDefault="00AB535B">
            <w:pPr>
              <w:rPr>
                <w:rFonts w:ascii="Arial" w:hAnsi="Arial" w:cs="Arial"/>
                <w:sz w:val="20"/>
                <w:szCs w:val="20"/>
              </w:rPr>
            </w:pPr>
          </w:p>
        </w:tc>
        <w:tc>
          <w:tcPr>
            <w:tcW w:w="2903" w:type="dxa"/>
            <w:vMerge/>
          </w:tcPr>
          <w:p w14:paraId="57773D14" w14:textId="77777777" w:rsidR="00AB535B" w:rsidRPr="00CA3A08" w:rsidRDefault="00AB535B" w:rsidP="005236F7">
            <w:pPr>
              <w:adjustRightInd w:val="0"/>
              <w:ind w:left="72"/>
              <w:jc w:val="both"/>
              <w:rPr>
                <w:rFonts w:ascii="Arial" w:hAnsi="Arial" w:cs="Arial"/>
                <w:b/>
                <w:bCs/>
                <w:i/>
                <w:iCs/>
                <w:sz w:val="20"/>
                <w:szCs w:val="20"/>
              </w:rPr>
            </w:pPr>
          </w:p>
        </w:tc>
        <w:tc>
          <w:tcPr>
            <w:tcW w:w="3383" w:type="dxa"/>
          </w:tcPr>
          <w:p w14:paraId="146F0E19" w14:textId="77777777" w:rsidR="00AB535B" w:rsidRPr="00CA3A08" w:rsidRDefault="00AB535B">
            <w:pPr>
              <w:rPr>
                <w:rFonts w:ascii="Arial" w:hAnsi="Arial" w:cs="Arial"/>
                <w:b/>
                <w:bCs/>
                <w:i/>
                <w:iCs/>
                <w:sz w:val="20"/>
                <w:szCs w:val="20"/>
                <w:u w:val="single"/>
              </w:rPr>
            </w:pPr>
            <w:r w:rsidRPr="00CA3A08">
              <w:rPr>
                <w:rFonts w:ascii="Arial" w:hAnsi="Arial" w:cs="Arial"/>
                <w:b/>
                <w:i/>
                <w:sz w:val="20"/>
                <w:szCs w:val="20"/>
                <w:u w:val="single"/>
              </w:rPr>
              <w:t>Communications Act of 1934 (as amended by the Cable Communications Policy Act of 1984 (CCPA) and the Telecommunications Act of 1996),</w:t>
            </w:r>
            <w:r w:rsidRPr="00CA3A08">
              <w:rPr>
                <w:rFonts w:ascii="Arial" w:hAnsi="Arial" w:cs="Arial"/>
                <w:sz w:val="20"/>
                <w:szCs w:val="20"/>
                <w:u w:val="single"/>
              </w:rPr>
              <w:t xml:space="preserve"> </w:t>
            </w:r>
            <w:r w:rsidRPr="00CA3A08">
              <w:rPr>
                <w:rFonts w:ascii="Arial" w:hAnsi="Arial" w:cs="Arial"/>
                <w:sz w:val="20"/>
                <w:szCs w:val="20"/>
              </w:rPr>
              <w:t>47 U.S.C. § 151 et seq.</w:t>
            </w:r>
          </w:p>
        </w:tc>
        <w:tc>
          <w:tcPr>
            <w:tcW w:w="3383" w:type="dxa"/>
          </w:tcPr>
          <w:p w14:paraId="037C82CB" w14:textId="77777777" w:rsidR="00AB535B" w:rsidRPr="00CA3A08" w:rsidRDefault="00AB535B">
            <w:pPr>
              <w:spacing w:after="240"/>
              <w:rPr>
                <w:rFonts w:ascii="Arial" w:hAnsi="Arial" w:cs="Arial"/>
                <w:sz w:val="20"/>
                <w:szCs w:val="20"/>
              </w:rPr>
            </w:pPr>
            <w:r w:rsidRPr="00CA3A08">
              <w:rPr>
                <w:rFonts w:ascii="Arial" w:hAnsi="Arial" w:cs="Arial"/>
                <w:sz w:val="20"/>
                <w:szCs w:val="20"/>
              </w:rPr>
              <w:t>The Communications Act, as enforced by the Federal Communications Commission (FCC), protects the privacy of consumer information collected by telecommunications carriers.  It imposes a duty on every telecommunications carrier to protect the confidentiality of customers’ personal information, 47 U.S.C. § 222(a), and limits the power of such carriers to use or disclose that information, 47 U.S.C. §§ 222(b)-(d), 551.</w:t>
            </w:r>
          </w:p>
        </w:tc>
        <w:tc>
          <w:tcPr>
            <w:tcW w:w="3383" w:type="dxa"/>
          </w:tcPr>
          <w:p w14:paraId="5AB25194" w14:textId="77777777" w:rsidR="00AB535B" w:rsidRPr="00CA3A08" w:rsidRDefault="00AB535B">
            <w:pPr>
              <w:spacing w:after="240"/>
              <w:rPr>
                <w:rFonts w:ascii="Arial" w:hAnsi="Arial" w:cs="Arial"/>
                <w:sz w:val="20"/>
                <w:szCs w:val="20"/>
              </w:rPr>
            </w:pPr>
            <w:r w:rsidRPr="00CA3A08">
              <w:rPr>
                <w:rFonts w:ascii="Arial" w:hAnsi="Arial" w:cs="Arial"/>
                <w:sz w:val="20"/>
                <w:szCs w:val="20"/>
              </w:rPr>
              <w:t xml:space="preserve">Under the Communications Act, a person whose privacy rights were violated by a telecommunications carrier may file a complaint with the FCC, 47 U.S.C. § 208, or seek damages in federal court, 47 U.S.C. §§ 206, 551(f), but may not pursue both remedies, 47 U.S.C. § 207.  The FCC has the power both to issue injunctions against telecommunication carriers for violations of the Communications Act, and to fine them for failure to obey such orders.  47 U.S.C. § 205.  Moreover, any person who willfully and knowingly violates a provision of the Communications Act may be both fined and sentenced to imprisonment, 47 U.S.C. § 501.  Finally, any person who willfully and knowingly violates a regulation made pursuant to the </w:t>
            </w:r>
            <w:r w:rsidRPr="00CA3A08">
              <w:rPr>
                <w:rFonts w:ascii="Arial" w:hAnsi="Arial" w:cs="Arial"/>
                <w:sz w:val="20"/>
                <w:szCs w:val="20"/>
              </w:rPr>
              <w:lastRenderedPageBreak/>
              <w:t>Communications Act may be fined.  47 U.S.C. § 502.</w:t>
            </w:r>
          </w:p>
        </w:tc>
        <w:tc>
          <w:tcPr>
            <w:tcW w:w="1209" w:type="dxa"/>
          </w:tcPr>
          <w:p w14:paraId="6F918FBB" w14:textId="7B62CEA5" w:rsidR="00AB535B" w:rsidRPr="00CA3A08" w:rsidRDefault="42F6D726" w:rsidP="41763481">
            <w:pPr>
              <w:rPr>
                <w:rFonts w:ascii="Arial" w:eastAsia="Arial" w:hAnsi="Arial" w:cs="Arial"/>
                <w:sz w:val="20"/>
                <w:szCs w:val="20"/>
              </w:rPr>
            </w:pPr>
            <w:r w:rsidRPr="00CA3A08">
              <w:rPr>
                <w:rFonts w:ascii="Arial" w:eastAsia="Arial" w:hAnsi="Arial" w:cs="Arial"/>
                <w:sz w:val="20"/>
                <w:szCs w:val="20"/>
              </w:rPr>
              <w:lastRenderedPageBreak/>
              <w:t>Signed into law on June 19, 1934. Amended by the Cable Communications Policy Act of 1984 and the Telecommunications Act of 1996.</w:t>
            </w:r>
          </w:p>
          <w:p w14:paraId="79BD0E69" w14:textId="11EB1545" w:rsidR="00AB535B" w:rsidRPr="00CA3A08" w:rsidRDefault="00AD544A">
            <w:pPr>
              <w:rPr>
                <w:rFonts w:ascii="Arial" w:hAnsi="Arial" w:cs="Arial"/>
                <w:sz w:val="20"/>
                <w:szCs w:val="20"/>
              </w:rPr>
            </w:pPr>
            <w:r w:rsidRPr="00CA3A08">
              <w:rPr>
                <w:rFonts w:ascii="Arial" w:hAnsi="Arial" w:cs="Arial"/>
                <w:sz w:val="20"/>
                <w:szCs w:val="20"/>
              </w:rPr>
              <w:br/>
            </w:r>
          </w:p>
          <w:p w14:paraId="05F07E93" w14:textId="652870F2" w:rsidR="00AB535B" w:rsidRPr="00CA3A08" w:rsidRDefault="00AB535B" w:rsidP="41763481">
            <w:pPr>
              <w:rPr>
                <w:rFonts w:ascii="Arial" w:hAnsi="Arial" w:cs="Arial"/>
                <w:sz w:val="20"/>
                <w:szCs w:val="20"/>
              </w:rPr>
            </w:pPr>
          </w:p>
        </w:tc>
      </w:tr>
      <w:tr w:rsidR="41763481" w:rsidRPr="00CA3A08" w14:paraId="2E29EC8D" w14:textId="77777777" w:rsidTr="005F092B">
        <w:trPr>
          <w:trHeight w:val="4166"/>
        </w:trPr>
        <w:tc>
          <w:tcPr>
            <w:tcW w:w="427" w:type="dxa"/>
            <w:vMerge/>
          </w:tcPr>
          <w:p w14:paraId="5479F069" w14:textId="77777777" w:rsidR="003D6838" w:rsidRPr="00CA3A08" w:rsidRDefault="003D6838">
            <w:pPr>
              <w:rPr>
                <w:rFonts w:ascii="Arial" w:hAnsi="Arial" w:cs="Arial"/>
                <w:sz w:val="20"/>
                <w:szCs w:val="20"/>
              </w:rPr>
            </w:pPr>
          </w:p>
        </w:tc>
        <w:tc>
          <w:tcPr>
            <w:tcW w:w="2903" w:type="dxa"/>
            <w:vMerge/>
          </w:tcPr>
          <w:p w14:paraId="78E1F905" w14:textId="77777777" w:rsidR="003D6838" w:rsidRPr="00CA3A08" w:rsidRDefault="003D6838">
            <w:pPr>
              <w:rPr>
                <w:rFonts w:ascii="Arial" w:hAnsi="Arial" w:cs="Arial"/>
                <w:sz w:val="20"/>
                <w:szCs w:val="20"/>
              </w:rPr>
            </w:pPr>
          </w:p>
        </w:tc>
        <w:tc>
          <w:tcPr>
            <w:tcW w:w="3383" w:type="dxa"/>
          </w:tcPr>
          <w:p w14:paraId="09C3CD5A" w14:textId="671C5F33" w:rsidR="7B6F7A53" w:rsidRPr="00CA3A08" w:rsidRDefault="654CFF3C" w:rsidP="74DAAF0F">
            <w:pPr>
              <w:rPr>
                <w:rFonts w:ascii="Arial" w:eastAsia="Arial" w:hAnsi="Arial" w:cs="Arial"/>
                <w:b/>
                <w:bCs/>
                <w:i/>
                <w:iCs/>
                <w:sz w:val="20"/>
                <w:szCs w:val="20"/>
                <w:u w:val="single"/>
              </w:rPr>
            </w:pPr>
            <w:r w:rsidRPr="00CA3A08">
              <w:rPr>
                <w:rFonts w:ascii="Arial" w:eastAsia="Arial" w:hAnsi="Arial" w:cs="Arial"/>
                <w:b/>
                <w:bCs/>
                <w:i/>
                <w:iCs/>
                <w:sz w:val="20"/>
                <w:szCs w:val="20"/>
                <w:u w:val="single"/>
              </w:rPr>
              <w:t>Restore Online Shoppers’ Confidence Act</w:t>
            </w:r>
            <w:r w:rsidR="18E146F8" w:rsidRPr="00CA3A08">
              <w:rPr>
                <w:rFonts w:ascii="Arial" w:eastAsia="Arial" w:hAnsi="Arial" w:cs="Arial"/>
                <w:b/>
                <w:bCs/>
                <w:i/>
                <w:iCs/>
                <w:sz w:val="20"/>
                <w:szCs w:val="20"/>
                <w:u w:val="single"/>
              </w:rPr>
              <w:t xml:space="preserve"> of 2010</w:t>
            </w:r>
            <w:r w:rsidR="00F01EC7">
              <w:rPr>
                <w:rFonts w:ascii="Arial" w:eastAsia="Arial" w:hAnsi="Arial" w:cs="Arial"/>
                <w:b/>
                <w:bCs/>
                <w:i/>
                <w:iCs/>
                <w:sz w:val="20"/>
                <w:szCs w:val="20"/>
                <w:u w:val="single"/>
              </w:rPr>
              <w:t>,</w:t>
            </w:r>
            <w:r w:rsidR="00F01EC7" w:rsidRPr="008B2F1D">
              <w:rPr>
                <w:rFonts w:ascii="Arial" w:eastAsia="Arial" w:hAnsi="Arial" w:cs="Arial"/>
                <w:b/>
                <w:bCs/>
                <w:sz w:val="20"/>
                <w:szCs w:val="20"/>
                <w:u w:val="single"/>
              </w:rPr>
              <w:t xml:space="preserve"> 15 U.S.C. §</w:t>
            </w:r>
            <w:r w:rsidR="00A729D7" w:rsidRPr="003F0964">
              <w:rPr>
                <w:rFonts w:ascii="Arial" w:eastAsia="Arial" w:hAnsi="Arial" w:cs="Arial"/>
                <w:b/>
                <w:bCs/>
                <w:sz w:val="20"/>
                <w:szCs w:val="20"/>
                <w:u w:val="single"/>
              </w:rPr>
              <w:t>§</w:t>
            </w:r>
            <w:r w:rsidR="00F01EC7" w:rsidRPr="008B2F1D">
              <w:rPr>
                <w:rFonts w:ascii="Arial" w:eastAsia="Arial" w:hAnsi="Arial" w:cs="Arial"/>
                <w:b/>
                <w:bCs/>
                <w:sz w:val="20"/>
                <w:szCs w:val="20"/>
                <w:u w:val="single"/>
              </w:rPr>
              <w:t xml:space="preserve"> 8401 </w:t>
            </w:r>
            <w:r w:rsidR="00863D13">
              <w:rPr>
                <w:rFonts w:ascii="Arial" w:eastAsia="Arial" w:hAnsi="Arial" w:cs="Arial"/>
                <w:b/>
                <w:bCs/>
                <w:sz w:val="20"/>
                <w:szCs w:val="20"/>
                <w:u w:val="single"/>
              </w:rPr>
              <w:t>-</w:t>
            </w:r>
            <w:r w:rsidR="00863D13" w:rsidRPr="003F0964">
              <w:rPr>
                <w:rFonts w:ascii="Arial" w:eastAsia="Arial" w:hAnsi="Arial" w:cs="Arial"/>
                <w:b/>
                <w:bCs/>
                <w:sz w:val="20"/>
                <w:szCs w:val="20"/>
                <w:u w:val="single"/>
              </w:rPr>
              <w:t xml:space="preserve"> 840</w:t>
            </w:r>
            <w:r w:rsidR="00863D13">
              <w:rPr>
                <w:rFonts w:ascii="Arial" w:eastAsia="Arial" w:hAnsi="Arial" w:cs="Arial"/>
                <w:b/>
                <w:bCs/>
                <w:sz w:val="20"/>
                <w:szCs w:val="20"/>
                <w:u w:val="single"/>
              </w:rPr>
              <w:t>5</w:t>
            </w:r>
            <w:r w:rsidR="00F01EC7" w:rsidRPr="008B2F1D">
              <w:rPr>
                <w:rFonts w:ascii="Arial" w:eastAsia="Arial" w:hAnsi="Arial" w:cs="Arial"/>
                <w:b/>
                <w:bCs/>
                <w:sz w:val="20"/>
                <w:szCs w:val="20"/>
                <w:u w:val="single"/>
              </w:rPr>
              <w:t>.</w:t>
            </w:r>
          </w:p>
        </w:tc>
        <w:tc>
          <w:tcPr>
            <w:tcW w:w="3383" w:type="dxa"/>
          </w:tcPr>
          <w:p w14:paraId="43B2148C" w14:textId="1C7E46D0" w:rsidR="41763481" w:rsidRPr="005F092B" w:rsidRDefault="0031422B" w:rsidP="005F092B">
            <w:pPr>
              <w:spacing w:after="160" w:line="259" w:lineRule="auto"/>
              <w:rPr>
                <w:rFonts w:ascii="Arial" w:eastAsia="Arial" w:hAnsi="Arial" w:cs="Arial"/>
                <w:sz w:val="20"/>
                <w:szCs w:val="20"/>
                <w:u w:val="single"/>
              </w:rPr>
            </w:pPr>
            <w:r w:rsidRPr="17CB37D8">
              <w:rPr>
                <w:rFonts w:ascii="Arial" w:eastAsia="Arial" w:hAnsi="Arial" w:cs="Arial"/>
                <w:sz w:val="20"/>
                <w:szCs w:val="20"/>
              </w:rPr>
              <w:t>The Restore Online Shoppers</w:t>
            </w:r>
            <w:r w:rsidR="00905FDB" w:rsidRPr="17CB37D8">
              <w:rPr>
                <w:rFonts w:ascii="Arial" w:eastAsia="Arial" w:hAnsi="Arial" w:cs="Arial"/>
                <w:sz w:val="20"/>
                <w:szCs w:val="20"/>
              </w:rPr>
              <w:t>’ Confidence</w:t>
            </w:r>
            <w:r w:rsidRPr="17CB37D8">
              <w:rPr>
                <w:rFonts w:ascii="Arial" w:eastAsia="Arial" w:hAnsi="Arial" w:cs="Arial"/>
                <w:sz w:val="20"/>
                <w:szCs w:val="20"/>
              </w:rPr>
              <w:t xml:space="preserve"> Act protects consumers from </w:t>
            </w:r>
            <w:r w:rsidR="00EF5884" w:rsidRPr="17CB37D8">
              <w:rPr>
                <w:rFonts w:ascii="Arial" w:eastAsia="Arial" w:hAnsi="Arial" w:cs="Arial"/>
                <w:sz w:val="20"/>
                <w:szCs w:val="20"/>
              </w:rPr>
              <w:t>having their credit cards</w:t>
            </w:r>
            <w:r w:rsidR="005F0FCB" w:rsidRPr="17CB37D8">
              <w:rPr>
                <w:rFonts w:ascii="Arial" w:eastAsia="Arial" w:hAnsi="Arial" w:cs="Arial"/>
                <w:sz w:val="20"/>
                <w:szCs w:val="20"/>
              </w:rPr>
              <w:t xml:space="preserve"> or other financial accounts charged by a post-transaction third party seller</w:t>
            </w:r>
            <w:r w:rsidR="00EF72C1" w:rsidRPr="17CB37D8">
              <w:rPr>
                <w:rFonts w:ascii="Arial" w:eastAsia="Arial" w:hAnsi="Arial" w:cs="Arial"/>
                <w:sz w:val="20"/>
                <w:szCs w:val="20"/>
              </w:rPr>
              <w:t xml:space="preserve"> </w:t>
            </w:r>
            <w:r w:rsidR="002468E8" w:rsidRPr="17CB37D8">
              <w:rPr>
                <w:rFonts w:ascii="Arial" w:eastAsia="Arial" w:hAnsi="Arial" w:cs="Arial"/>
                <w:sz w:val="20"/>
                <w:szCs w:val="20"/>
              </w:rPr>
              <w:t xml:space="preserve">without the informed consent of the </w:t>
            </w:r>
            <w:r w:rsidR="002468E8" w:rsidRPr="00CD7963">
              <w:rPr>
                <w:rFonts w:ascii="Arial" w:eastAsia="Arial" w:hAnsi="Arial" w:cs="Arial"/>
                <w:sz w:val="20"/>
                <w:szCs w:val="20"/>
              </w:rPr>
              <w:t>consumer and</w:t>
            </w:r>
            <w:r w:rsidR="00E01347" w:rsidRPr="00CD7963">
              <w:rPr>
                <w:rFonts w:ascii="Arial" w:eastAsia="Arial" w:hAnsi="Arial" w:cs="Arial"/>
                <w:sz w:val="20"/>
                <w:szCs w:val="20"/>
              </w:rPr>
              <w:t xml:space="preserve"> disclosure to the consumer </w:t>
            </w:r>
            <w:r w:rsidR="00B25AAE" w:rsidRPr="00CD7963">
              <w:rPr>
                <w:rFonts w:ascii="Arial" w:eastAsia="Arial" w:hAnsi="Arial" w:cs="Arial"/>
                <w:sz w:val="20"/>
                <w:szCs w:val="20"/>
              </w:rPr>
              <w:t xml:space="preserve">of </w:t>
            </w:r>
            <w:r w:rsidR="00AD06E2" w:rsidRPr="00CD7963">
              <w:rPr>
                <w:rFonts w:ascii="Arial" w:eastAsia="Arial" w:hAnsi="Arial" w:cs="Arial"/>
                <w:sz w:val="20"/>
                <w:szCs w:val="20"/>
              </w:rPr>
              <w:t>all material terms</w:t>
            </w:r>
            <w:r w:rsidR="00B25AAE" w:rsidRPr="00CD7963">
              <w:rPr>
                <w:rFonts w:ascii="Arial" w:eastAsia="Arial" w:hAnsi="Arial" w:cs="Arial"/>
                <w:sz w:val="20"/>
                <w:szCs w:val="20"/>
              </w:rPr>
              <w:t xml:space="preserve">. </w:t>
            </w:r>
            <w:r w:rsidR="00B45CFA" w:rsidRPr="00CD7963">
              <w:rPr>
                <w:rFonts w:ascii="Arial" w:eastAsia="Arial" w:hAnsi="Arial" w:cs="Arial"/>
                <w:sz w:val="20"/>
                <w:szCs w:val="20"/>
              </w:rPr>
              <w:t xml:space="preserve">15 U.S.C. § 8402.  The Act also protects consumers from </w:t>
            </w:r>
            <w:r w:rsidR="00C47C5A" w:rsidRPr="00CD7963">
              <w:rPr>
                <w:rFonts w:ascii="Arial" w:eastAsia="Arial" w:hAnsi="Arial" w:cs="Arial"/>
                <w:sz w:val="20"/>
                <w:szCs w:val="20"/>
              </w:rPr>
              <w:t xml:space="preserve">charges through a negative </w:t>
            </w:r>
            <w:r w:rsidR="00EC4D8F" w:rsidRPr="00CD7963">
              <w:rPr>
                <w:rFonts w:ascii="Arial" w:eastAsia="Arial" w:hAnsi="Arial" w:cs="Arial"/>
                <w:sz w:val="20"/>
                <w:szCs w:val="20"/>
              </w:rPr>
              <w:t>option</w:t>
            </w:r>
            <w:r w:rsidR="36606637" w:rsidRPr="00CD7963">
              <w:rPr>
                <w:rFonts w:ascii="Arial" w:eastAsia="Arial" w:hAnsi="Arial" w:cs="Arial"/>
                <w:sz w:val="20"/>
                <w:szCs w:val="20"/>
              </w:rPr>
              <w:t>s</w:t>
            </w:r>
            <w:r w:rsidR="00EC4D8F" w:rsidRPr="00CD7963">
              <w:rPr>
                <w:rFonts w:ascii="Arial" w:eastAsia="Arial" w:hAnsi="Arial" w:cs="Arial"/>
                <w:sz w:val="20"/>
                <w:szCs w:val="20"/>
              </w:rPr>
              <w:t xml:space="preserve"> feature unless the consumer is provided with a clear and conspicuous disclosure and</w:t>
            </w:r>
            <w:r w:rsidR="007E3109" w:rsidRPr="00CD7963">
              <w:rPr>
                <w:rFonts w:ascii="Arial" w:eastAsia="Arial" w:hAnsi="Arial" w:cs="Arial"/>
                <w:sz w:val="20"/>
                <w:szCs w:val="20"/>
              </w:rPr>
              <w:t xml:space="preserve"> the consumer’s</w:t>
            </w:r>
            <w:r w:rsidR="00EC4D8F" w:rsidRPr="00CD7963">
              <w:rPr>
                <w:rFonts w:ascii="Arial" w:eastAsia="Arial" w:hAnsi="Arial" w:cs="Arial"/>
                <w:sz w:val="20"/>
                <w:szCs w:val="20"/>
              </w:rPr>
              <w:t xml:space="preserve"> informed consent is obtained.</w:t>
            </w:r>
            <w:r w:rsidR="556C07BB" w:rsidRPr="00CD7963">
              <w:rPr>
                <w:rFonts w:ascii="Arial" w:eastAsia="Arial" w:hAnsi="Arial" w:cs="Arial"/>
                <w:sz w:val="20"/>
                <w:szCs w:val="20"/>
              </w:rPr>
              <w:t xml:space="preserve"> 15 U.S.C. § 8403.</w:t>
            </w:r>
          </w:p>
        </w:tc>
        <w:tc>
          <w:tcPr>
            <w:tcW w:w="3383" w:type="dxa"/>
          </w:tcPr>
          <w:p w14:paraId="457169C7" w14:textId="2D9892CA" w:rsidR="41763481" w:rsidRPr="00CA3A08" w:rsidRDefault="001374A8" w:rsidP="41763481">
            <w:pPr>
              <w:rPr>
                <w:rFonts w:ascii="Arial" w:hAnsi="Arial" w:cs="Arial"/>
                <w:sz w:val="20"/>
                <w:szCs w:val="20"/>
              </w:rPr>
            </w:pPr>
            <w:r w:rsidRPr="17CB37D8">
              <w:rPr>
                <w:rFonts w:ascii="Arial" w:hAnsi="Arial" w:cs="Arial"/>
                <w:sz w:val="20"/>
                <w:szCs w:val="20"/>
              </w:rPr>
              <w:t>Under the Restore Online Shoppers Confidence Act, the F</w:t>
            </w:r>
            <w:r w:rsidR="004F4C17" w:rsidRPr="17CB37D8">
              <w:rPr>
                <w:rFonts w:ascii="Arial" w:hAnsi="Arial" w:cs="Arial"/>
                <w:sz w:val="20"/>
                <w:szCs w:val="20"/>
              </w:rPr>
              <w:t xml:space="preserve">TC can seek penalties under the FTC Act for violations. </w:t>
            </w:r>
            <w:r w:rsidR="00507AED" w:rsidRPr="17CB37D8">
              <w:rPr>
                <w:rFonts w:ascii="Arial" w:hAnsi="Arial" w:cs="Arial"/>
                <w:sz w:val="20"/>
                <w:szCs w:val="20"/>
              </w:rPr>
              <w:t>15 U.S.</w:t>
            </w:r>
            <w:r w:rsidR="2219CC7B" w:rsidRPr="17CB37D8">
              <w:rPr>
                <w:rFonts w:ascii="Arial" w:hAnsi="Arial" w:cs="Arial"/>
                <w:sz w:val="20"/>
                <w:szCs w:val="20"/>
              </w:rPr>
              <w:t>C.</w:t>
            </w:r>
            <w:r w:rsidR="00507AED" w:rsidRPr="17CB37D8">
              <w:rPr>
                <w:rFonts w:ascii="Arial" w:hAnsi="Arial" w:cs="Arial"/>
                <w:sz w:val="20"/>
                <w:szCs w:val="20"/>
              </w:rPr>
              <w:t xml:space="preserve">  § 8404.  </w:t>
            </w:r>
            <w:r w:rsidR="00434AEE" w:rsidRPr="17CB37D8">
              <w:rPr>
                <w:rFonts w:ascii="Arial" w:hAnsi="Arial" w:cs="Arial"/>
                <w:sz w:val="20"/>
                <w:szCs w:val="20"/>
              </w:rPr>
              <w:t xml:space="preserve">The Act also </w:t>
            </w:r>
            <w:r w:rsidR="2C228A8C" w:rsidRPr="17CB37D8">
              <w:rPr>
                <w:rFonts w:ascii="Arial" w:hAnsi="Arial" w:cs="Arial"/>
                <w:sz w:val="20"/>
                <w:szCs w:val="20"/>
              </w:rPr>
              <w:t>authorizes</w:t>
            </w:r>
            <w:r w:rsidR="00434AEE" w:rsidRPr="17CB37D8">
              <w:rPr>
                <w:rFonts w:ascii="Arial" w:hAnsi="Arial" w:cs="Arial"/>
                <w:sz w:val="20"/>
                <w:szCs w:val="20"/>
              </w:rPr>
              <w:t xml:space="preserve"> </w:t>
            </w:r>
            <w:r w:rsidR="008E5F1B" w:rsidRPr="17CB37D8">
              <w:rPr>
                <w:rFonts w:ascii="Arial" w:hAnsi="Arial" w:cs="Arial"/>
                <w:sz w:val="20"/>
                <w:szCs w:val="20"/>
              </w:rPr>
              <w:t>the Attorneys General of states to bring a claim on behalf of their citizens in federal court for injunctive relief.  15 U.S.</w:t>
            </w:r>
            <w:r w:rsidR="33A2A637" w:rsidRPr="17CB37D8">
              <w:rPr>
                <w:rFonts w:ascii="Arial" w:hAnsi="Arial" w:cs="Arial"/>
                <w:sz w:val="20"/>
                <w:szCs w:val="20"/>
              </w:rPr>
              <w:t>C.</w:t>
            </w:r>
            <w:r w:rsidR="008E5F1B" w:rsidRPr="17CB37D8">
              <w:rPr>
                <w:rFonts w:ascii="Arial" w:hAnsi="Arial" w:cs="Arial"/>
                <w:sz w:val="20"/>
                <w:szCs w:val="20"/>
              </w:rPr>
              <w:t xml:space="preserve">  § 8405.  </w:t>
            </w:r>
          </w:p>
        </w:tc>
        <w:tc>
          <w:tcPr>
            <w:tcW w:w="1209" w:type="dxa"/>
          </w:tcPr>
          <w:p w14:paraId="03BAB919" w14:textId="189E9325" w:rsidR="41763481" w:rsidRPr="00CA3A08" w:rsidRDefault="13E5E1E9" w:rsidP="41763481">
            <w:pPr>
              <w:rPr>
                <w:rFonts w:ascii="Arial" w:eastAsia="Arial" w:hAnsi="Arial" w:cs="Arial"/>
                <w:sz w:val="20"/>
                <w:szCs w:val="20"/>
              </w:rPr>
            </w:pPr>
            <w:r w:rsidRPr="00CA3A08">
              <w:rPr>
                <w:rFonts w:ascii="Arial" w:eastAsia="Arial" w:hAnsi="Arial" w:cs="Arial"/>
                <w:sz w:val="20"/>
                <w:szCs w:val="20"/>
              </w:rPr>
              <w:t>Signed into law on December 29, 2010.</w:t>
            </w:r>
          </w:p>
        </w:tc>
      </w:tr>
      <w:tr w:rsidR="00783200" w:rsidRPr="00CA3A08" w14:paraId="5FDC1779" w14:textId="77777777" w:rsidTr="005F092B">
        <w:trPr>
          <w:trHeight w:val="998"/>
        </w:trPr>
        <w:tc>
          <w:tcPr>
            <w:tcW w:w="427" w:type="dxa"/>
            <w:vMerge w:val="restart"/>
          </w:tcPr>
          <w:p w14:paraId="613AE828" w14:textId="77777777" w:rsidR="00783200" w:rsidRPr="00CA3A08" w:rsidRDefault="00783200" w:rsidP="00783200">
            <w:pPr>
              <w:rPr>
                <w:rFonts w:ascii="Arial" w:hAnsi="Arial" w:cs="Arial"/>
                <w:sz w:val="20"/>
                <w:szCs w:val="20"/>
              </w:rPr>
            </w:pPr>
            <w:r w:rsidRPr="00CA3A08">
              <w:rPr>
                <w:rFonts w:ascii="Arial" w:hAnsi="Arial" w:cs="Arial"/>
                <w:sz w:val="20"/>
                <w:szCs w:val="20"/>
              </w:rPr>
              <w:t>2</w:t>
            </w:r>
          </w:p>
          <w:p w14:paraId="2BE93C2C" w14:textId="77777777" w:rsidR="00783200" w:rsidRPr="00CA3A08" w:rsidRDefault="00783200" w:rsidP="00783200">
            <w:pPr>
              <w:rPr>
                <w:rFonts w:ascii="Arial" w:hAnsi="Arial" w:cs="Arial"/>
                <w:sz w:val="20"/>
                <w:szCs w:val="20"/>
              </w:rPr>
            </w:pPr>
          </w:p>
          <w:p w14:paraId="2DB61E35" w14:textId="77777777" w:rsidR="00783200" w:rsidRPr="00CA3A08" w:rsidRDefault="00783200" w:rsidP="00783200">
            <w:pPr>
              <w:rPr>
                <w:rFonts w:ascii="Arial" w:hAnsi="Arial" w:cs="Arial"/>
                <w:sz w:val="20"/>
                <w:szCs w:val="20"/>
              </w:rPr>
            </w:pPr>
          </w:p>
          <w:p w14:paraId="3EB18FE6" w14:textId="77777777" w:rsidR="00783200" w:rsidRPr="00CA3A08" w:rsidRDefault="00783200" w:rsidP="00783200">
            <w:pPr>
              <w:rPr>
                <w:rFonts w:ascii="Arial" w:hAnsi="Arial" w:cs="Arial"/>
                <w:sz w:val="20"/>
                <w:szCs w:val="20"/>
              </w:rPr>
            </w:pPr>
          </w:p>
          <w:p w14:paraId="3CEA50AF" w14:textId="77777777" w:rsidR="00783200" w:rsidRPr="00CA3A08" w:rsidRDefault="00783200" w:rsidP="00783200">
            <w:pPr>
              <w:rPr>
                <w:rFonts w:ascii="Arial" w:hAnsi="Arial" w:cs="Arial"/>
                <w:sz w:val="20"/>
                <w:szCs w:val="20"/>
              </w:rPr>
            </w:pPr>
          </w:p>
          <w:p w14:paraId="525EB4B2" w14:textId="77777777" w:rsidR="00783200" w:rsidRPr="00CA3A08" w:rsidRDefault="00783200" w:rsidP="00783200">
            <w:pPr>
              <w:rPr>
                <w:rFonts w:ascii="Arial" w:hAnsi="Arial" w:cs="Arial"/>
                <w:sz w:val="20"/>
                <w:szCs w:val="20"/>
              </w:rPr>
            </w:pPr>
          </w:p>
        </w:tc>
        <w:tc>
          <w:tcPr>
            <w:tcW w:w="2903" w:type="dxa"/>
            <w:tcBorders>
              <w:bottom w:val="nil"/>
            </w:tcBorders>
          </w:tcPr>
          <w:p w14:paraId="5A1F8B9A" w14:textId="77777777" w:rsidR="00783200" w:rsidRPr="00592C78" w:rsidRDefault="00783200" w:rsidP="00783200">
            <w:pPr>
              <w:adjustRightInd w:val="0"/>
              <w:ind w:left="34"/>
              <w:rPr>
                <w:rFonts w:ascii="Arial" w:hAnsi="Arial" w:cs="Arial"/>
                <w:b/>
                <w:bCs/>
                <w:i/>
                <w:iCs/>
                <w:sz w:val="20"/>
                <w:szCs w:val="20"/>
                <w:lang w:bidi="mni-IN"/>
              </w:rPr>
            </w:pPr>
            <w:r w:rsidRPr="00D56ACB">
              <w:rPr>
                <w:rFonts w:ascii="Arial" w:hAnsi="Arial" w:cs="Arial"/>
                <w:b/>
                <w:bCs/>
                <w:i/>
                <w:iCs/>
                <w:sz w:val="20"/>
                <w:szCs w:val="20"/>
                <w:lang w:bidi="mni-IN"/>
              </w:rPr>
              <w:t>II Notice</w:t>
            </w:r>
          </w:p>
          <w:p w14:paraId="073B81FE" w14:textId="77777777" w:rsidR="00783200" w:rsidRPr="00592C78" w:rsidRDefault="00783200" w:rsidP="00783200">
            <w:pPr>
              <w:adjustRightInd w:val="0"/>
              <w:ind w:left="34"/>
              <w:rPr>
                <w:rFonts w:ascii="Arial" w:hAnsi="Arial" w:cs="Arial"/>
                <w:b/>
                <w:bCs/>
                <w:sz w:val="20"/>
                <w:szCs w:val="20"/>
                <w:lang w:bidi="mni-IN"/>
              </w:rPr>
            </w:pPr>
            <w:r w:rsidRPr="00592C78">
              <w:rPr>
                <w:rFonts w:ascii="Arial" w:hAnsi="Arial" w:cs="Arial"/>
                <w:b/>
                <w:bCs/>
                <w:sz w:val="20"/>
                <w:szCs w:val="20"/>
                <w:lang w:bidi="mni-IN"/>
              </w:rPr>
              <w:t xml:space="preserve">(Ref. Para. </w:t>
            </w:r>
            <w:r>
              <w:rPr>
                <w:rFonts w:ascii="Arial" w:hAnsi="Arial" w:cs="Arial"/>
                <w:b/>
                <w:bCs/>
                <w:sz w:val="20"/>
                <w:szCs w:val="20"/>
                <w:lang w:bidi="mni-IN"/>
              </w:rPr>
              <w:t>21-23</w:t>
            </w:r>
            <w:r w:rsidRPr="00592C78">
              <w:rPr>
                <w:rFonts w:ascii="Arial" w:hAnsi="Arial" w:cs="Arial"/>
                <w:b/>
                <w:bCs/>
                <w:sz w:val="20"/>
                <w:szCs w:val="20"/>
                <w:lang w:bidi="mni-IN"/>
              </w:rPr>
              <w:t>)</w:t>
            </w:r>
          </w:p>
          <w:p w14:paraId="10F6A818" w14:textId="77777777" w:rsidR="00783200" w:rsidRPr="00592C78" w:rsidRDefault="00783200" w:rsidP="00783200">
            <w:pPr>
              <w:adjustRightInd w:val="0"/>
              <w:ind w:left="34"/>
              <w:rPr>
                <w:rFonts w:ascii="Arial" w:hAnsi="Arial" w:cs="Arial"/>
                <w:sz w:val="20"/>
                <w:szCs w:val="20"/>
                <w:lang w:bidi="mni-IN"/>
              </w:rPr>
            </w:pPr>
          </w:p>
          <w:p w14:paraId="619B6ABF" w14:textId="77777777" w:rsidR="00783200" w:rsidRPr="00592C78" w:rsidRDefault="00783200" w:rsidP="00783200">
            <w:pPr>
              <w:autoSpaceDE w:val="0"/>
              <w:autoSpaceDN w:val="0"/>
              <w:adjustRightInd w:val="0"/>
              <w:rPr>
                <w:rFonts w:ascii="Arial" w:hAnsi="Arial" w:cs="Arial"/>
                <w:sz w:val="20"/>
                <w:szCs w:val="20"/>
              </w:rPr>
            </w:pPr>
            <w:r w:rsidRPr="00592C78">
              <w:rPr>
                <w:rFonts w:ascii="Arial" w:hAnsi="Arial" w:cs="Arial"/>
                <w:sz w:val="20"/>
                <w:szCs w:val="20"/>
              </w:rPr>
              <w:t>Personal information controllers should provide clear and easily accessible statements about their practices and policies with respect to personal information that should</w:t>
            </w:r>
          </w:p>
          <w:p w14:paraId="225B0CE9" w14:textId="77777777" w:rsidR="00783200" w:rsidRPr="00592C78" w:rsidRDefault="00783200" w:rsidP="00783200">
            <w:pPr>
              <w:autoSpaceDE w:val="0"/>
              <w:autoSpaceDN w:val="0"/>
              <w:adjustRightInd w:val="0"/>
              <w:rPr>
                <w:rFonts w:ascii="Arial" w:hAnsi="Arial" w:cs="Arial"/>
                <w:sz w:val="20"/>
                <w:szCs w:val="20"/>
              </w:rPr>
            </w:pPr>
            <w:r w:rsidRPr="00592C78">
              <w:rPr>
                <w:rFonts w:ascii="Arial" w:hAnsi="Arial" w:cs="Arial"/>
                <w:sz w:val="20"/>
                <w:szCs w:val="20"/>
              </w:rPr>
              <w:t>include:</w:t>
            </w:r>
          </w:p>
          <w:p w14:paraId="1A0B1339" w14:textId="77777777" w:rsidR="00783200" w:rsidRPr="00592C78" w:rsidRDefault="00783200" w:rsidP="00783200">
            <w:pPr>
              <w:autoSpaceDE w:val="0"/>
              <w:autoSpaceDN w:val="0"/>
              <w:adjustRightInd w:val="0"/>
              <w:rPr>
                <w:rFonts w:ascii="Arial" w:hAnsi="Arial" w:cs="Arial"/>
                <w:sz w:val="20"/>
                <w:szCs w:val="20"/>
              </w:rPr>
            </w:pPr>
          </w:p>
          <w:p w14:paraId="35ED3D9C" w14:textId="77777777" w:rsidR="00783200" w:rsidRPr="00592C78" w:rsidRDefault="00783200" w:rsidP="00783200">
            <w:pPr>
              <w:autoSpaceDE w:val="0"/>
              <w:autoSpaceDN w:val="0"/>
              <w:adjustRightInd w:val="0"/>
              <w:rPr>
                <w:rFonts w:ascii="Arial" w:hAnsi="Arial" w:cs="Arial"/>
                <w:sz w:val="20"/>
                <w:szCs w:val="20"/>
              </w:rPr>
            </w:pPr>
            <w:r w:rsidRPr="00592C78">
              <w:rPr>
                <w:rFonts w:ascii="Arial" w:hAnsi="Arial" w:cs="Arial"/>
                <w:sz w:val="20"/>
                <w:szCs w:val="20"/>
              </w:rPr>
              <w:t>a) the fact that personal information is being collected;</w:t>
            </w:r>
          </w:p>
          <w:p w14:paraId="69616395" w14:textId="77777777" w:rsidR="00783200" w:rsidRPr="00592C78" w:rsidRDefault="00783200" w:rsidP="00783200">
            <w:pPr>
              <w:autoSpaceDE w:val="0"/>
              <w:autoSpaceDN w:val="0"/>
              <w:adjustRightInd w:val="0"/>
              <w:rPr>
                <w:rFonts w:ascii="Arial" w:hAnsi="Arial" w:cs="Arial"/>
                <w:sz w:val="20"/>
                <w:szCs w:val="20"/>
              </w:rPr>
            </w:pPr>
          </w:p>
          <w:p w14:paraId="58364A22" w14:textId="77777777" w:rsidR="00783200" w:rsidRPr="00592C78" w:rsidRDefault="00783200" w:rsidP="00783200">
            <w:pPr>
              <w:autoSpaceDE w:val="0"/>
              <w:autoSpaceDN w:val="0"/>
              <w:adjustRightInd w:val="0"/>
              <w:rPr>
                <w:rFonts w:ascii="Arial" w:hAnsi="Arial" w:cs="Arial"/>
                <w:sz w:val="20"/>
                <w:szCs w:val="20"/>
              </w:rPr>
            </w:pPr>
            <w:r w:rsidRPr="00592C78">
              <w:rPr>
                <w:rFonts w:ascii="Arial" w:hAnsi="Arial" w:cs="Arial"/>
                <w:sz w:val="20"/>
                <w:szCs w:val="20"/>
              </w:rPr>
              <w:t>b) the purposes for which personal information is collected;</w:t>
            </w:r>
          </w:p>
          <w:p w14:paraId="35C6CF9F" w14:textId="77777777" w:rsidR="00783200" w:rsidRPr="00592C78" w:rsidRDefault="00783200" w:rsidP="00783200">
            <w:pPr>
              <w:autoSpaceDE w:val="0"/>
              <w:autoSpaceDN w:val="0"/>
              <w:adjustRightInd w:val="0"/>
              <w:rPr>
                <w:rFonts w:ascii="Arial" w:hAnsi="Arial" w:cs="Arial"/>
                <w:sz w:val="20"/>
                <w:szCs w:val="20"/>
              </w:rPr>
            </w:pPr>
          </w:p>
          <w:p w14:paraId="2717D55D" w14:textId="77777777" w:rsidR="00783200" w:rsidRPr="00592C78" w:rsidRDefault="00783200" w:rsidP="00783200">
            <w:pPr>
              <w:autoSpaceDE w:val="0"/>
              <w:autoSpaceDN w:val="0"/>
              <w:adjustRightInd w:val="0"/>
              <w:rPr>
                <w:rFonts w:ascii="Arial" w:hAnsi="Arial" w:cs="Arial"/>
                <w:sz w:val="20"/>
                <w:szCs w:val="20"/>
              </w:rPr>
            </w:pPr>
            <w:r w:rsidRPr="00592C78">
              <w:rPr>
                <w:rFonts w:ascii="Arial" w:hAnsi="Arial" w:cs="Arial"/>
                <w:sz w:val="20"/>
                <w:szCs w:val="20"/>
              </w:rPr>
              <w:t>c) the types of persons or organizations to whom personal information might be disclosed;</w:t>
            </w:r>
          </w:p>
          <w:p w14:paraId="58611904" w14:textId="77777777" w:rsidR="00783200" w:rsidRPr="00592C78" w:rsidRDefault="00783200" w:rsidP="00783200">
            <w:pPr>
              <w:autoSpaceDE w:val="0"/>
              <w:autoSpaceDN w:val="0"/>
              <w:adjustRightInd w:val="0"/>
              <w:rPr>
                <w:rFonts w:ascii="Arial" w:hAnsi="Arial" w:cs="Arial"/>
                <w:sz w:val="20"/>
                <w:szCs w:val="20"/>
              </w:rPr>
            </w:pPr>
          </w:p>
          <w:p w14:paraId="20098C31" w14:textId="77777777" w:rsidR="00783200" w:rsidRPr="00592C78" w:rsidRDefault="00783200" w:rsidP="00783200">
            <w:pPr>
              <w:autoSpaceDE w:val="0"/>
              <w:autoSpaceDN w:val="0"/>
              <w:adjustRightInd w:val="0"/>
              <w:rPr>
                <w:rFonts w:ascii="Arial" w:hAnsi="Arial" w:cs="Arial"/>
                <w:sz w:val="20"/>
                <w:szCs w:val="20"/>
              </w:rPr>
            </w:pPr>
            <w:r w:rsidRPr="00592C78">
              <w:rPr>
                <w:rFonts w:ascii="Arial" w:hAnsi="Arial" w:cs="Arial"/>
                <w:sz w:val="20"/>
                <w:szCs w:val="20"/>
              </w:rPr>
              <w:t>d) the identity and location of the personal information controller, including information on how to contact them about their practices and handling of personal information;</w:t>
            </w:r>
          </w:p>
          <w:p w14:paraId="2953F032" w14:textId="77777777" w:rsidR="00783200" w:rsidRPr="00592C78" w:rsidRDefault="00783200" w:rsidP="00783200">
            <w:pPr>
              <w:autoSpaceDE w:val="0"/>
              <w:autoSpaceDN w:val="0"/>
              <w:adjustRightInd w:val="0"/>
              <w:rPr>
                <w:rFonts w:ascii="Arial" w:hAnsi="Arial" w:cs="Arial"/>
                <w:sz w:val="20"/>
                <w:szCs w:val="20"/>
              </w:rPr>
            </w:pPr>
          </w:p>
          <w:p w14:paraId="14327114" w14:textId="77777777" w:rsidR="00783200" w:rsidRPr="00592C78" w:rsidRDefault="00783200" w:rsidP="00783200">
            <w:pPr>
              <w:rPr>
                <w:rFonts w:ascii="Arial" w:hAnsi="Arial" w:cs="Arial"/>
                <w:sz w:val="20"/>
                <w:szCs w:val="20"/>
              </w:rPr>
            </w:pPr>
            <w:r w:rsidRPr="00592C78">
              <w:rPr>
                <w:rFonts w:ascii="Arial" w:hAnsi="Arial" w:cs="Arial"/>
                <w:sz w:val="20"/>
                <w:szCs w:val="20"/>
              </w:rPr>
              <w:t>e) the choices and means the personal information controller offers individuals for limiting the use and disclosure of, and for accessing and correcting, their personal information.</w:t>
            </w:r>
          </w:p>
          <w:p w14:paraId="6E28C79B" w14:textId="77777777" w:rsidR="00783200" w:rsidRPr="00592C78" w:rsidRDefault="00783200" w:rsidP="00783200">
            <w:pPr>
              <w:rPr>
                <w:rFonts w:ascii="Arial" w:hAnsi="Arial" w:cs="Arial"/>
                <w:sz w:val="20"/>
                <w:szCs w:val="20"/>
                <w:lang w:eastAsia="zh-TW"/>
              </w:rPr>
            </w:pPr>
          </w:p>
          <w:p w14:paraId="2D7E801E" w14:textId="77777777" w:rsidR="00783200" w:rsidRPr="00592C78" w:rsidRDefault="00783200" w:rsidP="00783200">
            <w:pPr>
              <w:rPr>
                <w:rFonts w:ascii="Arial" w:hAnsi="Arial" w:cs="Arial"/>
                <w:sz w:val="20"/>
                <w:szCs w:val="20"/>
                <w:lang w:eastAsia="zh-TW"/>
              </w:rPr>
            </w:pPr>
            <w:r w:rsidRPr="00592C78">
              <w:rPr>
                <w:rFonts w:ascii="Arial" w:hAnsi="Arial" w:cs="Arial"/>
                <w:sz w:val="20"/>
                <w:szCs w:val="20"/>
                <w:lang w:eastAsia="zh-TW"/>
              </w:rPr>
              <w:t>All reasonably practicable steps shall be taken to ensure that such notice is provided either before or at the time of collection of personal information.  Otherwise, such notice should be provided as soon after as is practicable.</w:t>
            </w:r>
          </w:p>
          <w:p w14:paraId="6905CDA5" w14:textId="77777777" w:rsidR="00783200" w:rsidRPr="00592C78" w:rsidRDefault="00783200" w:rsidP="00783200">
            <w:pPr>
              <w:rPr>
                <w:rFonts w:ascii="Arial" w:hAnsi="Arial" w:cs="Arial"/>
                <w:sz w:val="20"/>
                <w:szCs w:val="20"/>
                <w:lang w:eastAsia="zh-TW"/>
              </w:rPr>
            </w:pPr>
            <w:r w:rsidRPr="00592C78">
              <w:rPr>
                <w:rFonts w:ascii="Arial" w:hAnsi="Arial" w:cs="Arial"/>
                <w:sz w:val="20"/>
                <w:szCs w:val="20"/>
                <w:lang w:eastAsia="zh-TW"/>
              </w:rPr>
              <w:lastRenderedPageBreak/>
              <w:t>It may not be appropriate for personal information controllers to provide notice regarding the collection and use of publicly available information.</w:t>
            </w:r>
          </w:p>
          <w:p w14:paraId="68C1ABDB" w14:textId="4DF5648E" w:rsidR="00783200" w:rsidRPr="00CA3A08" w:rsidRDefault="00783200" w:rsidP="00783200">
            <w:pPr>
              <w:rPr>
                <w:rFonts w:ascii="Arial" w:hAnsi="Arial" w:cs="Arial"/>
                <w:sz w:val="20"/>
                <w:szCs w:val="20"/>
                <w:u w:val="single"/>
              </w:rPr>
            </w:pPr>
          </w:p>
        </w:tc>
        <w:tc>
          <w:tcPr>
            <w:tcW w:w="3383" w:type="dxa"/>
          </w:tcPr>
          <w:p w14:paraId="68EACE5E" w14:textId="0C0C8A13" w:rsidR="00783200" w:rsidRPr="00CA3A08" w:rsidRDefault="00783200" w:rsidP="00783200">
            <w:pPr>
              <w:rPr>
                <w:rFonts w:ascii="Arial" w:hAnsi="Arial" w:cs="Arial"/>
                <w:sz w:val="20"/>
                <w:szCs w:val="20"/>
              </w:rPr>
            </w:pPr>
            <w:r w:rsidRPr="00CA3A08">
              <w:rPr>
                <w:rFonts w:ascii="Arial" w:hAnsi="Arial" w:cs="Arial"/>
                <w:b/>
                <w:bCs/>
                <w:i/>
                <w:iCs/>
                <w:sz w:val="20"/>
                <w:szCs w:val="20"/>
                <w:u w:val="single"/>
              </w:rPr>
              <w:lastRenderedPageBreak/>
              <w:t>The Fair Credit Reporting Act (FCRA),</w:t>
            </w:r>
            <w:r w:rsidRPr="00CA3A08">
              <w:rPr>
                <w:rFonts w:ascii="Arial" w:hAnsi="Arial" w:cs="Arial"/>
                <w:i/>
                <w:iCs/>
                <w:sz w:val="20"/>
                <w:szCs w:val="20"/>
                <w:u w:val="single"/>
              </w:rPr>
              <w:t xml:space="preserve"> </w:t>
            </w:r>
            <w:r w:rsidRPr="00CA3A08">
              <w:rPr>
                <w:rFonts w:ascii="Arial" w:hAnsi="Arial" w:cs="Arial"/>
                <w:sz w:val="20"/>
                <w:szCs w:val="20"/>
              </w:rPr>
              <w:t xml:space="preserve">15 U.S.C. § 1681 et seq. </w:t>
            </w:r>
          </w:p>
        </w:tc>
        <w:tc>
          <w:tcPr>
            <w:tcW w:w="3383" w:type="dxa"/>
          </w:tcPr>
          <w:p w14:paraId="6B9CD869" w14:textId="77777777" w:rsidR="00783200" w:rsidRPr="00CA3A08" w:rsidRDefault="00783200" w:rsidP="00783200">
            <w:pPr>
              <w:spacing w:after="240"/>
              <w:rPr>
                <w:rFonts w:ascii="Arial" w:hAnsi="Arial" w:cs="Arial"/>
                <w:sz w:val="20"/>
                <w:szCs w:val="20"/>
              </w:rPr>
            </w:pPr>
            <w:r w:rsidRPr="17CB37D8">
              <w:rPr>
                <w:rFonts w:ascii="Arial" w:hAnsi="Arial" w:cs="Arial"/>
                <w:sz w:val="20"/>
                <w:szCs w:val="20"/>
                <w:lang w:val="en-CA"/>
              </w:rPr>
              <w:fldChar w:fldCharType="begin"/>
            </w:r>
            <w:r w:rsidRPr="17CB37D8">
              <w:rPr>
                <w:rFonts w:ascii="Arial" w:hAnsi="Arial" w:cs="Arial"/>
                <w:sz w:val="20"/>
                <w:szCs w:val="20"/>
                <w:lang w:val="en-CA"/>
              </w:rPr>
              <w:instrText xml:space="preserve"> SEQ CHAPTER \h \r 1</w:instrText>
            </w:r>
            <w:r w:rsidRPr="17CB37D8">
              <w:rPr>
                <w:rFonts w:ascii="Arial" w:hAnsi="Arial" w:cs="Arial"/>
                <w:sz w:val="20"/>
                <w:szCs w:val="20"/>
                <w:lang w:val="en-CA"/>
              </w:rPr>
              <w:fldChar w:fldCharType="end"/>
            </w:r>
            <w:r w:rsidRPr="17CB37D8">
              <w:rPr>
                <w:rFonts w:ascii="Arial" w:hAnsi="Arial" w:cs="Arial"/>
                <w:sz w:val="20"/>
                <w:szCs w:val="20"/>
                <w:lang w:val="en-CA"/>
              </w:rPr>
              <w:t>Consumer reporting agencies obtain their information from creditors and other third parties and are not generally required to notify consumers beforehand</w:t>
            </w:r>
            <w:r w:rsidRPr="17CB37D8">
              <w:rPr>
                <w:rFonts w:ascii="Arial" w:hAnsi="Arial" w:cs="Arial"/>
                <w:sz w:val="20"/>
                <w:szCs w:val="20"/>
              </w:rPr>
              <w:t xml:space="preserve">. However, the FCRA provides for extensive consumer disclosures upon request by consumers. 15 U.S.C. § 1681g.  </w:t>
            </w:r>
          </w:p>
          <w:p w14:paraId="147D04B0" w14:textId="77777777" w:rsidR="00783200" w:rsidRDefault="00783200" w:rsidP="00783200">
            <w:pPr>
              <w:spacing w:after="240"/>
              <w:rPr>
                <w:rFonts w:ascii="Arial" w:hAnsi="Arial" w:cs="Arial"/>
                <w:sz w:val="20"/>
                <w:szCs w:val="20"/>
              </w:rPr>
            </w:pPr>
            <w:r w:rsidRPr="00CA3A08">
              <w:rPr>
                <w:rFonts w:ascii="Arial" w:hAnsi="Arial" w:cs="Arial"/>
                <w:sz w:val="20"/>
                <w:szCs w:val="20"/>
              </w:rPr>
              <w:t xml:space="preserve">Businesses that use consumer reports for employment purposes must notify the consumer and obtain authorization in advance.  15 U.S.C. § 1681b(b)(2).  </w:t>
            </w:r>
            <w:r>
              <w:rPr>
                <w:rFonts w:ascii="Arial" w:hAnsi="Arial" w:cs="Arial"/>
                <w:sz w:val="20"/>
                <w:szCs w:val="20"/>
              </w:rPr>
              <w:t xml:space="preserve">Financial </w:t>
            </w:r>
            <w:r>
              <w:rPr>
                <w:rFonts w:ascii="Arial" w:hAnsi="Arial" w:cs="Arial"/>
                <w:sz w:val="20"/>
                <w:szCs w:val="20"/>
              </w:rPr>
              <w:lastRenderedPageBreak/>
              <w:t>institutions</w:t>
            </w:r>
            <w:r w:rsidRPr="00CA3A08">
              <w:rPr>
                <w:rFonts w:ascii="Arial" w:hAnsi="Arial" w:cs="Arial"/>
                <w:sz w:val="20"/>
                <w:szCs w:val="20"/>
              </w:rPr>
              <w:t xml:space="preserve"> must provide a written notice advising con</w:t>
            </w:r>
            <w:r w:rsidRPr="00CA3A08">
              <w:rPr>
                <w:rFonts w:ascii="Arial" w:hAnsi="Arial" w:cs="Arial"/>
                <w:sz w:val="20"/>
                <w:szCs w:val="20"/>
              </w:rPr>
              <w:softHyphen/>
              <w:t>sum</w:t>
            </w:r>
            <w:r w:rsidRPr="00CA3A08">
              <w:rPr>
                <w:rFonts w:ascii="Arial" w:hAnsi="Arial" w:cs="Arial"/>
                <w:sz w:val="20"/>
                <w:szCs w:val="20"/>
              </w:rPr>
              <w:softHyphen/>
              <w:t>ers if they plan to report negative information to credit bureaus.  15 U.S.C. § 1681s-2(a)(7).  Risk-based pricing notices are required to consumers who receive credit on materially less favorable terms than a creditor’s other customers. 15 U.S.C. § 1681m(h).  )</w:t>
            </w:r>
            <w:r>
              <w:rPr>
                <w:rFonts w:ascii="Arial" w:hAnsi="Arial" w:cs="Arial"/>
                <w:sz w:val="20"/>
                <w:szCs w:val="20"/>
              </w:rPr>
              <w:t xml:space="preserve">, 16 C.F.R. Part 640, 12 C.F.R. Part 1022, Subpart H. </w:t>
            </w:r>
          </w:p>
          <w:p w14:paraId="1B7BE2E3" w14:textId="1B299833" w:rsidR="00783200" w:rsidRDefault="00783200" w:rsidP="00783200">
            <w:pPr>
              <w:spacing w:after="240"/>
              <w:rPr>
                <w:rFonts w:ascii="Arial" w:hAnsi="Arial" w:cs="Arial"/>
                <w:sz w:val="20"/>
                <w:szCs w:val="20"/>
              </w:rPr>
            </w:pPr>
            <w:r w:rsidRPr="00CA3A08">
              <w:rPr>
                <w:rFonts w:ascii="Arial" w:hAnsi="Arial" w:cs="Arial"/>
                <w:sz w:val="20"/>
                <w:szCs w:val="20"/>
              </w:rPr>
              <w:t xml:space="preserve">All consumer report users must, when they take adverse action based on a consumer report, provide the consumer with a notice that identifies the consumer reporting </w:t>
            </w:r>
            <w:r w:rsidRPr="00552E66">
              <w:rPr>
                <w:rFonts w:ascii="Arial" w:hAnsi="Arial" w:cs="Arial"/>
                <w:sz w:val="20"/>
                <w:szCs w:val="20"/>
              </w:rPr>
              <w:t xml:space="preserve">agency that provided the report, informs the consumer of the </w:t>
            </w:r>
            <w:r w:rsidRPr="00552E66">
              <w:rPr>
                <w:rFonts w:ascii="Helvetica" w:hAnsi="Helvetica"/>
                <w:sz w:val="20"/>
                <w:szCs w:val="20"/>
              </w:rPr>
              <w:t xml:space="preserve">consumer’s right to a free copy of their report from the consumer report agency if the consumer requests it within 60 days, informs the consumer of the consumer’s right to dispute the accuracy or completeness of any information provided by the consumer reporting agency, and provides the consumer’s credit score, if a score was used </w:t>
            </w:r>
            <w:r>
              <w:rPr>
                <w:rFonts w:ascii="Helvetica" w:hAnsi="Helvetica"/>
                <w:color w:val="323232"/>
                <w:sz w:val="20"/>
                <w:szCs w:val="20"/>
              </w:rPr>
              <w:t>in taking the adverse action</w:t>
            </w:r>
            <w:r w:rsidRPr="00CA3A08">
              <w:rPr>
                <w:rFonts w:ascii="Arial" w:hAnsi="Arial" w:cs="Arial"/>
                <w:sz w:val="20"/>
                <w:szCs w:val="20"/>
              </w:rPr>
              <w:t>. 15 U.S.C. §1681m</w:t>
            </w:r>
            <w:r>
              <w:rPr>
                <w:rFonts w:ascii="Arial" w:hAnsi="Arial" w:cs="Arial"/>
                <w:sz w:val="20"/>
                <w:szCs w:val="20"/>
              </w:rPr>
              <w:t>(a)</w:t>
            </w:r>
            <w:r w:rsidRPr="00CA3A08">
              <w:rPr>
                <w:rFonts w:ascii="Arial" w:hAnsi="Arial" w:cs="Arial"/>
                <w:sz w:val="20"/>
                <w:szCs w:val="20"/>
              </w:rPr>
              <w:t xml:space="preserve">.  </w:t>
            </w:r>
          </w:p>
          <w:p w14:paraId="280F6546" w14:textId="416A062E" w:rsidR="00783200" w:rsidRDefault="00783200" w:rsidP="00783200">
            <w:pPr>
              <w:spacing w:after="240"/>
              <w:rPr>
                <w:rFonts w:ascii="Arial" w:hAnsi="Arial" w:cs="Arial"/>
                <w:sz w:val="20"/>
                <w:szCs w:val="20"/>
              </w:rPr>
            </w:pPr>
            <w:r w:rsidRPr="00CA3A08">
              <w:rPr>
                <w:rFonts w:ascii="Arial" w:hAnsi="Arial" w:cs="Arial"/>
                <w:sz w:val="20"/>
                <w:szCs w:val="20"/>
              </w:rPr>
              <w:t xml:space="preserve">Before a company shares certain consumer information with an </w:t>
            </w:r>
            <w:r w:rsidRPr="00CA3A08">
              <w:rPr>
                <w:rFonts w:ascii="Arial" w:hAnsi="Arial" w:cs="Arial"/>
                <w:sz w:val="20"/>
                <w:szCs w:val="20"/>
              </w:rPr>
              <w:lastRenderedPageBreak/>
              <w:t>affiliate, it must notify the consumer about the sharing and give the consumer an opportunity to opt out.  15 U.S.C. § 1681a(d)(2)(A)(iii)</w:t>
            </w:r>
            <w:r>
              <w:rPr>
                <w:rFonts w:ascii="Arial" w:hAnsi="Arial" w:cs="Arial"/>
                <w:sz w:val="20"/>
                <w:szCs w:val="20"/>
              </w:rPr>
              <w:t>.</w:t>
            </w:r>
          </w:p>
          <w:p w14:paraId="6248B12A" w14:textId="6D49174A" w:rsidR="00783200" w:rsidRPr="005F092B" w:rsidRDefault="00783200" w:rsidP="00783200">
            <w:pPr>
              <w:rPr>
                <w:rFonts w:ascii="Arial" w:hAnsi="Arial" w:cs="Arial"/>
                <w:sz w:val="20"/>
                <w:szCs w:val="20"/>
              </w:rPr>
            </w:pPr>
          </w:p>
        </w:tc>
        <w:tc>
          <w:tcPr>
            <w:tcW w:w="3383" w:type="dxa"/>
          </w:tcPr>
          <w:p w14:paraId="19C17A57" w14:textId="77777777" w:rsidR="00783200" w:rsidRPr="00CA3A08" w:rsidRDefault="00783200" w:rsidP="00783200">
            <w:pPr>
              <w:spacing w:after="240"/>
              <w:rPr>
                <w:rFonts w:ascii="Arial" w:hAnsi="Arial" w:cs="Arial"/>
                <w:sz w:val="20"/>
                <w:szCs w:val="20"/>
              </w:rPr>
            </w:pPr>
          </w:p>
        </w:tc>
        <w:tc>
          <w:tcPr>
            <w:tcW w:w="1209" w:type="dxa"/>
          </w:tcPr>
          <w:p w14:paraId="17481101" w14:textId="3A5D766C"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October 26, 1970.</w:t>
            </w:r>
          </w:p>
          <w:p w14:paraId="2E7F2C88" w14:textId="77777777" w:rsidR="00783200" w:rsidRPr="00CA3A08" w:rsidRDefault="00783200" w:rsidP="00783200">
            <w:pPr>
              <w:rPr>
                <w:rFonts w:ascii="Arial" w:hAnsi="Arial" w:cs="Arial"/>
                <w:sz w:val="20"/>
                <w:szCs w:val="20"/>
              </w:rPr>
            </w:pPr>
          </w:p>
        </w:tc>
      </w:tr>
      <w:tr w:rsidR="00D1404C" w:rsidRPr="00CA3A08" w14:paraId="3EED65DB" w14:textId="77777777" w:rsidTr="006D146F">
        <w:trPr>
          <w:trHeight w:val="1538"/>
        </w:trPr>
        <w:tc>
          <w:tcPr>
            <w:tcW w:w="427" w:type="dxa"/>
            <w:vMerge/>
          </w:tcPr>
          <w:p w14:paraId="197D7465" w14:textId="77777777" w:rsidR="00D1404C" w:rsidRPr="00CA3A08" w:rsidRDefault="00D1404C" w:rsidP="00D1404C">
            <w:pPr>
              <w:rPr>
                <w:rFonts w:ascii="Arial" w:hAnsi="Arial" w:cs="Arial"/>
                <w:sz w:val="20"/>
                <w:szCs w:val="20"/>
              </w:rPr>
            </w:pPr>
          </w:p>
        </w:tc>
        <w:tc>
          <w:tcPr>
            <w:tcW w:w="2903" w:type="dxa"/>
            <w:vMerge w:val="restart"/>
            <w:tcBorders>
              <w:top w:val="nil"/>
            </w:tcBorders>
          </w:tcPr>
          <w:p w14:paraId="7CE70EB2" w14:textId="77777777" w:rsidR="00D1404C" w:rsidRPr="00CA3A08" w:rsidRDefault="00D1404C" w:rsidP="00907F75">
            <w:pPr>
              <w:adjustRightInd w:val="0"/>
              <w:ind w:left="72"/>
              <w:rPr>
                <w:rFonts w:ascii="Arial" w:hAnsi="Arial" w:cs="Arial"/>
                <w:b/>
                <w:bCs/>
                <w:i/>
                <w:iCs/>
                <w:sz w:val="20"/>
                <w:szCs w:val="20"/>
              </w:rPr>
            </w:pPr>
          </w:p>
          <w:p w14:paraId="472BB1DC" w14:textId="77777777" w:rsidR="00D1404C" w:rsidRPr="00CA3A08" w:rsidRDefault="00D1404C" w:rsidP="00907F75">
            <w:pPr>
              <w:adjustRightInd w:val="0"/>
              <w:ind w:left="72"/>
              <w:rPr>
                <w:rFonts w:ascii="Arial" w:hAnsi="Arial" w:cs="Arial"/>
                <w:b/>
                <w:bCs/>
                <w:i/>
                <w:iCs/>
                <w:sz w:val="20"/>
                <w:szCs w:val="20"/>
              </w:rPr>
            </w:pPr>
          </w:p>
          <w:p w14:paraId="72530DAD" w14:textId="77777777" w:rsidR="00D1404C" w:rsidRPr="00CA3A08" w:rsidRDefault="00D1404C" w:rsidP="00907F75">
            <w:pPr>
              <w:adjustRightInd w:val="0"/>
              <w:ind w:left="72"/>
              <w:rPr>
                <w:rFonts w:ascii="Arial" w:hAnsi="Arial" w:cs="Arial"/>
                <w:b/>
                <w:bCs/>
                <w:i/>
                <w:iCs/>
                <w:sz w:val="20"/>
                <w:szCs w:val="20"/>
              </w:rPr>
            </w:pPr>
          </w:p>
          <w:p w14:paraId="77408DFF" w14:textId="77777777" w:rsidR="00D1404C" w:rsidRPr="00CA3A08" w:rsidRDefault="00D1404C" w:rsidP="00907F75">
            <w:pPr>
              <w:adjustRightInd w:val="0"/>
              <w:ind w:left="72"/>
              <w:rPr>
                <w:rFonts w:ascii="Arial" w:hAnsi="Arial" w:cs="Arial"/>
                <w:b/>
                <w:bCs/>
                <w:i/>
                <w:iCs/>
                <w:sz w:val="20"/>
                <w:szCs w:val="20"/>
              </w:rPr>
            </w:pPr>
          </w:p>
          <w:p w14:paraId="02945C10" w14:textId="77777777" w:rsidR="00D1404C" w:rsidRPr="00CA3A08" w:rsidRDefault="00D1404C" w:rsidP="00907F75">
            <w:pPr>
              <w:adjustRightInd w:val="0"/>
              <w:ind w:left="72"/>
              <w:rPr>
                <w:rFonts w:ascii="Arial" w:hAnsi="Arial" w:cs="Arial"/>
                <w:b/>
                <w:bCs/>
                <w:i/>
                <w:iCs/>
                <w:sz w:val="20"/>
                <w:szCs w:val="20"/>
              </w:rPr>
            </w:pPr>
          </w:p>
          <w:p w14:paraId="109C7EFF" w14:textId="77777777" w:rsidR="00D1404C" w:rsidRPr="00CA3A08" w:rsidRDefault="00D1404C" w:rsidP="00907F75">
            <w:pPr>
              <w:adjustRightInd w:val="0"/>
              <w:ind w:left="72"/>
              <w:rPr>
                <w:rFonts w:ascii="Arial" w:hAnsi="Arial" w:cs="Arial"/>
                <w:b/>
                <w:bCs/>
                <w:i/>
                <w:iCs/>
                <w:sz w:val="20"/>
                <w:szCs w:val="20"/>
              </w:rPr>
            </w:pPr>
          </w:p>
        </w:tc>
        <w:tc>
          <w:tcPr>
            <w:tcW w:w="3383" w:type="dxa"/>
          </w:tcPr>
          <w:p w14:paraId="5EC0C46B" w14:textId="643DEAEA" w:rsidR="00D1404C" w:rsidRPr="00CA3A08" w:rsidRDefault="00D1404C" w:rsidP="00D1404C">
            <w:pPr>
              <w:rPr>
                <w:rFonts w:ascii="Arial" w:hAnsi="Arial" w:cs="Arial"/>
                <w:sz w:val="20"/>
                <w:szCs w:val="20"/>
              </w:rPr>
            </w:pPr>
            <w:r w:rsidRPr="00CA3A08">
              <w:rPr>
                <w:rFonts w:ascii="Arial" w:hAnsi="Arial" w:cs="Arial"/>
                <w:b/>
                <w:bCs/>
                <w:i/>
                <w:iCs/>
                <w:sz w:val="20"/>
                <w:szCs w:val="20"/>
                <w:u w:val="single"/>
              </w:rPr>
              <w:t>The Gramm-Leach-Bliley Act (GLBA),</w:t>
            </w:r>
            <w:r w:rsidRPr="00CA3A08">
              <w:rPr>
                <w:rFonts w:ascii="Arial" w:hAnsi="Arial" w:cs="Arial"/>
                <w:i/>
                <w:iCs/>
                <w:sz w:val="20"/>
                <w:szCs w:val="20"/>
                <w:u w:val="single"/>
              </w:rPr>
              <w:t xml:space="preserve"> </w:t>
            </w:r>
            <w:r w:rsidRPr="00CA3A08">
              <w:rPr>
                <w:rFonts w:ascii="Arial" w:hAnsi="Arial" w:cs="Arial"/>
                <w:sz w:val="20"/>
                <w:szCs w:val="20"/>
              </w:rPr>
              <w:t>Subchapter I (Disclosure of Nonpublic Personal Information) 15 U.S.C. § 6801 et seq.</w:t>
            </w:r>
          </w:p>
        </w:tc>
        <w:tc>
          <w:tcPr>
            <w:tcW w:w="3383" w:type="dxa"/>
          </w:tcPr>
          <w:p w14:paraId="366A04E6" w14:textId="08DE3866" w:rsidR="00D1404C" w:rsidRDefault="00D1404C" w:rsidP="00D1404C">
            <w:pPr>
              <w:rPr>
                <w:rFonts w:ascii="Arial" w:hAnsi="Arial" w:cs="Arial"/>
                <w:sz w:val="20"/>
                <w:szCs w:val="20"/>
              </w:rPr>
            </w:pPr>
            <w:r w:rsidRPr="17CB37D8">
              <w:rPr>
                <w:rFonts w:ascii="Arial" w:hAnsi="Arial" w:cs="Arial"/>
                <w:sz w:val="20"/>
                <w:szCs w:val="20"/>
              </w:rPr>
              <w:t>The GLBA requires that financial institutions provide consumers with notice of their privacy policies and the opportunity, generally, to opt out of the sharing of their information with third parties for marketing purposes</w:t>
            </w:r>
            <w:r w:rsidR="00CD402D">
              <w:rPr>
                <w:rFonts w:ascii="Arial" w:hAnsi="Arial" w:cs="Arial"/>
                <w:sz w:val="20"/>
                <w:szCs w:val="20"/>
              </w:rPr>
              <w:t xml:space="preserve"> or any form of sharing not covered by one of the exceptions in the GLBA</w:t>
            </w:r>
            <w:r w:rsidRPr="17CB37D8">
              <w:rPr>
                <w:rFonts w:ascii="Arial" w:hAnsi="Arial" w:cs="Arial"/>
                <w:sz w:val="20"/>
                <w:szCs w:val="20"/>
              </w:rPr>
              <w:t>. 15 U.S.C. §</w:t>
            </w:r>
            <w:r>
              <w:rPr>
                <w:rFonts w:ascii="Arial" w:hAnsi="Arial" w:cs="Arial"/>
                <w:sz w:val="20"/>
                <w:szCs w:val="20"/>
              </w:rPr>
              <w:t xml:space="preserve"> 6802,</w:t>
            </w:r>
            <w:r w:rsidRPr="17CB37D8">
              <w:rPr>
                <w:rFonts w:ascii="Arial" w:hAnsi="Arial" w:cs="Arial"/>
                <w:sz w:val="20"/>
                <w:szCs w:val="20"/>
              </w:rPr>
              <w:t xml:space="preserve"> 6803; 16 C.F.R. §§ 313.4-313.</w:t>
            </w:r>
            <w:r>
              <w:rPr>
                <w:rFonts w:ascii="Arial" w:hAnsi="Arial" w:cs="Arial"/>
                <w:sz w:val="20"/>
                <w:szCs w:val="20"/>
              </w:rPr>
              <w:t>10</w:t>
            </w:r>
            <w:r w:rsidRPr="17CB37D8">
              <w:rPr>
                <w:rFonts w:ascii="Arial" w:hAnsi="Arial" w:cs="Arial"/>
                <w:sz w:val="20"/>
                <w:szCs w:val="20"/>
              </w:rPr>
              <w:t>, 313.13.</w:t>
            </w:r>
          </w:p>
          <w:p w14:paraId="50265DF9" w14:textId="6AEFE6C8" w:rsidR="001C0BDC" w:rsidRDefault="001C0BDC" w:rsidP="00D1404C">
            <w:pPr>
              <w:rPr>
                <w:rFonts w:ascii="Arial" w:hAnsi="Arial" w:cs="Arial"/>
                <w:sz w:val="20"/>
                <w:szCs w:val="20"/>
              </w:rPr>
            </w:pPr>
          </w:p>
          <w:p w14:paraId="0130DC28" w14:textId="77777777" w:rsidR="005E13D5" w:rsidRDefault="001C0BDC" w:rsidP="005E13D5">
            <w:pPr>
              <w:rPr>
                <w:rFonts w:ascii="Arial" w:hAnsi="Arial" w:cs="Arial"/>
                <w:sz w:val="20"/>
                <w:szCs w:val="20"/>
              </w:rPr>
            </w:pPr>
            <w:r>
              <w:rPr>
                <w:rFonts w:ascii="Arial" w:hAnsi="Arial" w:cs="Arial"/>
                <w:sz w:val="20"/>
                <w:szCs w:val="20"/>
              </w:rPr>
              <w:t>Additionally, u</w:t>
            </w:r>
            <w:r w:rsidRPr="00CA3A08">
              <w:rPr>
                <w:rFonts w:ascii="Arial" w:hAnsi="Arial" w:cs="Arial"/>
                <w:sz w:val="20"/>
                <w:szCs w:val="20"/>
              </w:rPr>
              <w:t xml:space="preserve">nder the GLBA, financial institutions must disclose in their privacy notices each category of information collected from and about consumers.  </w:t>
            </w:r>
            <w:r>
              <w:rPr>
                <w:rFonts w:ascii="Arial" w:hAnsi="Arial" w:cs="Arial"/>
                <w:sz w:val="20"/>
                <w:szCs w:val="20"/>
              </w:rPr>
              <w:t xml:space="preserve">15 U.S.C. § 6803(a)(1). </w:t>
            </w:r>
            <w:r w:rsidRPr="00CA3A08">
              <w:rPr>
                <w:rFonts w:ascii="Arial" w:hAnsi="Arial" w:cs="Arial"/>
                <w:sz w:val="20"/>
                <w:szCs w:val="20"/>
              </w:rPr>
              <w:t>Financial institutions must follow their stated practices and may only disclose the information they collect as stated in the notice or as permitted by specified exceptions in the rule.  16 C.F.R. §§ 313.13- 313.15</w:t>
            </w:r>
            <w:r>
              <w:rPr>
                <w:rFonts w:ascii="Arial" w:hAnsi="Arial" w:cs="Arial"/>
                <w:sz w:val="20"/>
                <w:szCs w:val="20"/>
              </w:rPr>
              <w:t xml:space="preserve"> and </w:t>
            </w:r>
            <w:r w:rsidRPr="00DF48AA">
              <w:rPr>
                <w:rFonts w:ascii="Arial" w:hAnsi="Arial" w:cs="Arial"/>
                <w:sz w:val="20"/>
                <w:szCs w:val="20"/>
              </w:rPr>
              <w:t>§§ 313.4-313.6</w:t>
            </w:r>
            <w:r w:rsidRPr="00CA3A08">
              <w:rPr>
                <w:rFonts w:ascii="Arial" w:hAnsi="Arial" w:cs="Arial"/>
                <w:sz w:val="20"/>
                <w:szCs w:val="20"/>
              </w:rPr>
              <w:t xml:space="preserve">.  </w:t>
            </w:r>
          </w:p>
          <w:p w14:paraId="5CC78781" w14:textId="77777777" w:rsidR="005E13D5" w:rsidRDefault="005E13D5" w:rsidP="005E13D5">
            <w:pPr>
              <w:rPr>
                <w:rFonts w:ascii="Arial" w:hAnsi="Arial" w:cs="Arial"/>
                <w:sz w:val="20"/>
                <w:szCs w:val="20"/>
              </w:rPr>
            </w:pPr>
          </w:p>
          <w:p w14:paraId="33C3CD50" w14:textId="4A7A9C35" w:rsidR="005E13D5" w:rsidRPr="005E13D5" w:rsidRDefault="001C0BDC" w:rsidP="005E13D5">
            <w:pPr>
              <w:rPr>
                <w:rFonts w:ascii="Arial" w:hAnsi="Arial" w:cs="Arial"/>
                <w:sz w:val="20"/>
                <w:szCs w:val="20"/>
              </w:rPr>
            </w:pPr>
            <w:r>
              <w:rPr>
                <w:rFonts w:ascii="Arial" w:hAnsi="Arial" w:cs="Arial"/>
                <w:sz w:val="20"/>
                <w:szCs w:val="20"/>
              </w:rPr>
              <w:t>Furthermore</w:t>
            </w:r>
            <w:r w:rsidRPr="00CA3A08">
              <w:rPr>
                <w:rFonts w:ascii="Arial" w:hAnsi="Arial" w:cs="Arial"/>
                <w:sz w:val="20"/>
                <w:szCs w:val="20"/>
              </w:rPr>
              <w:t xml:space="preserve">, companies that receive consumers' personal </w:t>
            </w:r>
            <w:r w:rsidRPr="00CA3A08">
              <w:rPr>
                <w:rFonts w:ascii="Arial" w:hAnsi="Arial" w:cs="Arial"/>
                <w:sz w:val="20"/>
                <w:szCs w:val="20"/>
              </w:rPr>
              <w:lastRenderedPageBreak/>
              <w:t xml:space="preserve">information from a financial institution </w:t>
            </w:r>
            <w:r>
              <w:rPr>
                <w:rFonts w:ascii="Arial" w:hAnsi="Arial" w:cs="Arial"/>
                <w:sz w:val="20"/>
                <w:szCs w:val="20"/>
              </w:rPr>
              <w:t>may only reuse or redisclose such information in limited circumstances</w:t>
            </w:r>
            <w:r w:rsidRPr="00CA3A08">
              <w:rPr>
                <w:rFonts w:ascii="Arial" w:hAnsi="Arial" w:cs="Arial"/>
                <w:sz w:val="20"/>
                <w:szCs w:val="20"/>
              </w:rPr>
              <w:t>.  15 U.S.C. § 6802(c); 16 C.F.R. § 313.11.</w:t>
            </w:r>
          </w:p>
        </w:tc>
        <w:tc>
          <w:tcPr>
            <w:tcW w:w="3383" w:type="dxa"/>
          </w:tcPr>
          <w:p w14:paraId="79A8378C" w14:textId="77777777" w:rsidR="00D1404C" w:rsidRPr="00CA3A08" w:rsidRDefault="00D1404C" w:rsidP="00D1404C">
            <w:pPr>
              <w:spacing w:after="240"/>
              <w:rPr>
                <w:rFonts w:ascii="Arial" w:hAnsi="Arial" w:cs="Arial"/>
                <w:sz w:val="20"/>
                <w:szCs w:val="20"/>
              </w:rPr>
            </w:pPr>
          </w:p>
        </w:tc>
        <w:tc>
          <w:tcPr>
            <w:tcW w:w="1209" w:type="dxa"/>
          </w:tcPr>
          <w:p w14:paraId="5A680861" w14:textId="2E94E653" w:rsidR="00D1404C" w:rsidRPr="00CA3A08" w:rsidRDefault="00D1404C" w:rsidP="00D1404C">
            <w:pPr>
              <w:rPr>
                <w:rFonts w:ascii="Arial" w:eastAsia="Arial" w:hAnsi="Arial" w:cs="Arial"/>
                <w:sz w:val="20"/>
                <w:szCs w:val="20"/>
              </w:rPr>
            </w:pPr>
            <w:r w:rsidRPr="310DF885">
              <w:rPr>
                <w:rFonts w:ascii="Arial" w:eastAsia="Arial" w:hAnsi="Arial" w:cs="Arial"/>
                <w:sz w:val="20"/>
                <w:szCs w:val="20"/>
              </w:rPr>
              <w:t>Signed into law on November 12, 1999.</w:t>
            </w:r>
          </w:p>
          <w:p w14:paraId="4567EC9F" w14:textId="77777777" w:rsidR="00D1404C" w:rsidRPr="00CA3A08" w:rsidRDefault="00D1404C" w:rsidP="00D1404C">
            <w:pPr>
              <w:rPr>
                <w:rFonts w:ascii="Arial" w:hAnsi="Arial" w:cs="Arial"/>
                <w:sz w:val="20"/>
                <w:szCs w:val="20"/>
              </w:rPr>
            </w:pPr>
          </w:p>
        </w:tc>
      </w:tr>
      <w:tr w:rsidR="00CC426E" w:rsidRPr="00CA3A08" w14:paraId="14F096E3" w14:textId="77777777" w:rsidTr="009408B1">
        <w:tc>
          <w:tcPr>
            <w:tcW w:w="427" w:type="dxa"/>
            <w:vMerge/>
          </w:tcPr>
          <w:p w14:paraId="34695116" w14:textId="77777777" w:rsidR="00CC426E" w:rsidRPr="00CA3A08" w:rsidRDefault="00CC426E" w:rsidP="005236F7">
            <w:pPr>
              <w:rPr>
                <w:rFonts w:ascii="Arial" w:hAnsi="Arial" w:cs="Arial"/>
                <w:sz w:val="20"/>
                <w:szCs w:val="20"/>
              </w:rPr>
            </w:pPr>
          </w:p>
        </w:tc>
        <w:tc>
          <w:tcPr>
            <w:tcW w:w="2903" w:type="dxa"/>
            <w:vMerge/>
          </w:tcPr>
          <w:p w14:paraId="47587A41" w14:textId="77777777" w:rsidR="00CC426E" w:rsidRPr="00CA3A08" w:rsidRDefault="00CC426E" w:rsidP="005236F7">
            <w:pPr>
              <w:adjustRightInd w:val="0"/>
              <w:ind w:left="72"/>
              <w:jc w:val="both"/>
              <w:rPr>
                <w:rFonts w:ascii="Arial" w:hAnsi="Arial" w:cs="Arial"/>
                <w:b/>
                <w:bCs/>
                <w:i/>
                <w:iCs/>
                <w:sz w:val="20"/>
                <w:szCs w:val="20"/>
              </w:rPr>
            </w:pPr>
          </w:p>
        </w:tc>
        <w:tc>
          <w:tcPr>
            <w:tcW w:w="3383" w:type="dxa"/>
          </w:tcPr>
          <w:p w14:paraId="2856F179" w14:textId="77777777" w:rsidR="00CC426E" w:rsidRPr="00CA3A08" w:rsidRDefault="00CC426E">
            <w:pPr>
              <w:rPr>
                <w:rFonts w:ascii="Arial" w:hAnsi="Arial" w:cs="Arial"/>
                <w:sz w:val="20"/>
                <w:szCs w:val="20"/>
              </w:rPr>
            </w:pPr>
            <w:r w:rsidRPr="00CA3A08">
              <w:rPr>
                <w:rFonts w:ascii="Arial" w:hAnsi="Arial" w:cs="Arial"/>
                <w:b/>
                <w:bCs/>
                <w:i/>
                <w:iCs/>
                <w:sz w:val="20"/>
                <w:szCs w:val="20"/>
                <w:u w:val="single"/>
              </w:rPr>
              <w:t>The Children’s Online Privacy Protection Act (COPPA),</w:t>
            </w:r>
            <w:r w:rsidRPr="00CA3A08">
              <w:rPr>
                <w:rFonts w:ascii="Arial" w:hAnsi="Arial" w:cs="Arial"/>
                <w:i/>
                <w:iCs/>
                <w:sz w:val="20"/>
                <w:szCs w:val="20"/>
                <w:u w:val="single"/>
              </w:rPr>
              <w:t xml:space="preserve">  </w:t>
            </w:r>
            <w:r w:rsidRPr="00CA3A08">
              <w:rPr>
                <w:rFonts w:ascii="Arial" w:hAnsi="Arial" w:cs="Arial"/>
                <w:sz w:val="20"/>
                <w:szCs w:val="20"/>
              </w:rPr>
              <w:t>15 U.S.C. § 6501 et seq; 16 C.F.R. Part 312.</w:t>
            </w:r>
          </w:p>
        </w:tc>
        <w:tc>
          <w:tcPr>
            <w:tcW w:w="3383" w:type="dxa"/>
          </w:tcPr>
          <w:p w14:paraId="2A7A6AFA" w14:textId="5ED8AFF5" w:rsidR="00CC426E" w:rsidRPr="00CA3A08" w:rsidRDefault="00CC426E" w:rsidP="17CB37D8">
            <w:pPr>
              <w:spacing w:after="240"/>
              <w:rPr>
                <w:rFonts w:ascii="Arial" w:hAnsi="Arial" w:cs="Arial"/>
                <w:sz w:val="20"/>
                <w:szCs w:val="20"/>
              </w:rPr>
            </w:pPr>
            <w:r w:rsidRPr="17CB37D8">
              <w:rPr>
                <w:rFonts w:ascii="Arial" w:hAnsi="Arial" w:cs="Arial"/>
                <w:sz w:val="20"/>
                <w:szCs w:val="20"/>
              </w:rPr>
              <w:t xml:space="preserve">The COPPA requires operators to post notice of their information practices on their </w:t>
            </w:r>
            <w:r w:rsidR="00552E66">
              <w:rPr>
                <w:rFonts w:ascii="Arial" w:hAnsi="Arial" w:cs="Arial"/>
                <w:sz w:val="20"/>
                <w:szCs w:val="20"/>
              </w:rPr>
              <w:t>website</w:t>
            </w:r>
            <w:r w:rsidRPr="17CB37D8">
              <w:rPr>
                <w:rFonts w:ascii="Arial" w:hAnsi="Arial" w:cs="Arial"/>
                <w:sz w:val="20"/>
                <w:szCs w:val="20"/>
              </w:rPr>
              <w:t xml:space="preserve"> and directly send such notice to parents when seeking parental consent to collect children’s personal information.  15 U.S.C. § 6502(b)(1); 16 C.F.R. </w:t>
            </w:r>
            <w:r w:rsidR="78F2A655" w:rsidRPr="17CB37D8">
              <w:rPr>
                <w:rFonts w:ascii="Arial" w:hAnsi="Arial" w:cs="Arial"/>
                <w:sz w:val="20"/>
                <w:szCs w:val="20"/>
              </w:rPr>
              <w:t xml:space="preserve">§ </w:t>
            </w:r>
            <w:r w:rsidRPr="17CB37D8">
              <w:rPr>
                <w:rFonts w:ascii="Arial" w:hAnsi="Arial" w:cs="Arial"/>
                <w:sz w:val="20"/>
                <w:szCs w:val="20"/>
              </w:rPr>
              <w:t>312.4.</w:t>
            </w:r>
          </w:p>
        </w:tc>
        <w:tc>
          <w:tcPr>
            <w:tcW w:w="3383" w:type="dxa"/>
          </w:tcPr>
          <w:p w14:paraId="3566BF41" w14:textId="77777777" w:rsidR="00CC426E" w:rsidRPr="00CA3A08" w:rsidRDefault="00CC426E">
            <w:pPr>
              <w:spacing w:after="240"/>
              <w:rPr>
                <w:rFonts w:ascii="Arial" w:hAnsi="Arial" w:cs="Arial"/>
                <w:sz w:val="20"/>
                <w:szCs w:val="20"/>
              </w:rPr>
            </w:pPr>
          </w:p>
        </w:tc>
        <w:tc>
          <w:tcPr>
            <w:tcW w:w="1209" w:type="dxa"/>
          </w:tcPr>
          <w:p w14:paraId="1FC2A915" w14:textId="2154D6DF" w:rsidR="00C6137B" w:rsidRPr="00CA3A08" w:rsidRDefault="00C6137B" w:rsidP="00C6137B">
            <w:pPr>
              <w:rPr>
                <w:rFonts w:ascii="Arial" w:eastAsia="Arial" w:hAnsi="Arial" w:cs="Arial"/>
                <w:sz w:val="20"/>
                <w:szCs w:val="20"/>
              </w:rPr>
            </w:pPr>
            <w:r w:rsidRPr="310DF885">
              <w:rPr>
                <w:rFonts w:ascii="Arial" w:eastAsia="Arial" w:hAnsi="Arial" w:cs="Arial"/>
                <w:sz w:val="20"/>
                <w:szCs w:val="20"/>
              </w:rPr>
              <w:t>Signed into law on October 21, 1998</w:t>
            </w:r>
            <w:r w:rsidR="2ECD8617" w:rsidRPr="310DF885">
              <w:rPr>
                <w:rFonts w:ascii="Arial" w:eastAsia="Arial" w:hAnsi="Arial" w:cs="Arial"/>
                <w:sz w:val="20"/>
                <w:szCs w:val="20"/>
              </w:rPr>
              <w:t>.</w:t>
            </w:r>
          </w:p>
          <w:p w14:paraId="41C3F090" w14:textId="77777777" w:rsidR="00CC426E" w:rsidRPr="00CA3A08" w:rsidRDefault="00CC426E">
            <w:pPr>
              <w:rPr>
                <w:rFonts w:ascii="Arial" w:hAnsi="Arial" w:cs="Arial"/>
                <w:sz w:val="20"/>
                <w:szCs w:val="20"/>
              </w:rPr>
            </w:pPr>
          </w:p>
        </w:tc>
      </w:tr>
      <w:tr w:rsidR="00CC426E" w:rsidRPr="00CA3A08" w14:paraId="340AAA11" w14:textId="77777777" w:rsidTr="009408B1">
        <w:tc>
          <w:tcPr>
            <w:tcW w:w="427" w:type="dxa"/>
            <w:vMerge/>
          </w:tcPr>
          <w:p w14:paraId="6CD93C62" w14:textId="77777777" w:rsidR="00CC426E" w:rsidRPr="00CA3A08" w:rsidRDefault="00CC426E" w:rsidP="005236F7">
            <w:pPr>
              <w:rPr>
                <w:rFonts w:ascii="Arial" w:hAnsi="Arial" w:cs="Arial"/>
                <w:sz w:val="20"/>
                <w:szCs w:val="20"/>
              </w:rPr>
            </w:pPr>
          </w:p>
        </w:tc>
        <w:tc>
          <w:tcPr>
            <w:tcW w:w="2903" w:type="dxa"/>
            <w:vMerge/>
          </w:tcPr>
          <w:p w14:paraId="64EE6519" w14:textId="77777777" w:rsidR="00CC426E" w:rsidRPr="00CA3A08" w:rsidRDefault="00CC426E" w:rsidP="005236F7">
            <w:pPr>
              <w:adjustRightInd w:val="0"/>
              <w:ind w:left="72"/>
              <w:jc w:val="both"/>
              <w:rPr>
                <w:rFonts w:ascii="Arial" w:hAnsi="Arial" w:cs="Arial"/>
                <w:b/>
                <w:bCs/>
                <w:i/>
                <w:iCs/>
                <w:sz w:val="20"/>
                <w:szCs w:val="20"/>
              </w:rPr>
            </w:pPr>
          </w:p>
        </w:tc>
        <w:tc>
          <w:tcPr>
            <w:tcW w:w="3383" w:type="dxa"/>
          </w:tcPr>
          <w:p w14:paraId="28A966B2" w14:textId="77777777" w:rsidR="00CC426E" w:rsidRPr="00CA3A08" w:rsidRDefault="00CC426E">
            <w:pPr>
              <w:rPr>
                <w:rFonts w:ascii="Arial" w:hAnsi="Arial" w:cs="Arial"/>
                <w:sz w:val="20"/>
                <w:szCs w:val="20"/>
              </w:rPr>
            </w:pPr>
            <w:r w:rsidRPr="00CA3A08">
              <w:rPr>
                <w:rFonts w:ascii="Arial" w:hAnsi="Arial" w:cs="Arial"/>
                <w:b/>
                <w:bCs/>
                <w:i/>
                <w:iCs/>
                <w:sz w:val="20"/>
                <w:szCs w:val="20"/>
                <w:u w:val="single"/>
              </w:rPr>
              <w:t>Health Insurance Portability and Accountability Act (HIPAA),</w:t>
            </w:r>
            <w:r w:rsidRPr="00CA3A08">
              <w:rPr>
                <w:rFonts w:ascii="Arial" w:hAnsi="Arial" w:cs="Arial"/>
                <w:i/>
                <w:iCs/>
                <w:sz w:val="20"/>
                <w:szCs w:val="20"/>
                <w:u w:val="single"/>
              </w:rPr>
              <w:t xml:space="preserve"> </w:t>
            </w:r>
            <w:r w:rsidRPr="00CA3A08">
              <w:rPr>
                <w:rFonts w:ascii="Arial" w:hAnsi="Arial" w:cs="Arial"/>
                <w:sz w:val="20"/>
                <w:szCs w:val="20"/>
              </w:rPr>
              <w:t xml:space="preserve">Pub. L. 104-191 §§ 262 &amp; 264) Privacy Rule, 45 C.F.R. Parts 160 &amp; 164 </w:t>
            </w:r>
          </w:p>
        </w:tc>
        <w:tc>
          <w:tcPr>
            <w:tcW w:w="3383" w:type="dxa"/>
          </w:tcPr>
          <w:p w14:paraId="05D582C0" w14:textId="668C0473" w:rsidR="00CC426E" w:rsidRPr="00CA3A08" w:rsidRDefault="00CC426E">
            <w:pPr>
              <w:spacing w:after="240"/>
              <w:rPr>
                <w:rFonts w:ascii="Arial" w:hAnsi="Arial" w:cs="Arial"/>
                <w:sz w:val="20"/>
                <w:szCs w:val="20"/>
              </w:rPr>
            </w:pPr>
            <w:r w:rsidRPr="00CA3A08">
              <w:rPr>
                <w:rFonts w:ascii="Arial" w:hAnsi="Arial" w:cs="Arial"/>
                <w:sz w:val="20"/>
                <w:szCs w:val="20"/>
              </w:rPr>
              <w:t xml:space="preserve">The HIPAA Privacy Rule requires that covered entities  provide individuals with adequate notice in plain language of the uses and disclosures of protected health information that the covered entity may make, the individual’s rights, and the covered entity’s legal duties with </w:t>
            </w:r>
            <w:r w:rsidR="00831B32">
              <w:rPr>
                <w:rFonts w:ascii="Arial" w:hAnsi="Arial" w:cs="Arial"/>
                <w:sz w:val="20"/>
                <w:szCs w:val="20"/>
              </w:rPr>
              <w:t>respect to protected health</w:t>
            </w:r>
            <w:r w:rsidRPr="00CA3A08">
              <w:rPr>
                <w:rFonts w:ascii="Arial" w:hAnsi="Arial" w:cs="Arial"/>
                <w:sz w:val="20"/>
                <w:szCs w:val="20"/>
              </w:rPr>
              <w:t xml:space="preserve"> </w:t>
            </w:r>
            <w:r w:rsidR="00831B32">
              <w:rPr>
                <w:rFonts w:ascii="Arial" w:hAnsi="Arial" w:cs="Arial"/>
                <w:sz w:val="20"/>
                <w:szCs w:val="20"/>
              </w:rPr>
              <w:t xml:space="preserve">information.  45 C.F.R. </w:t>
            </w:r>
            <w:r w:rsidR="00831B32" w:rsidRPr="00CA3A08">
              <w:rPr>
                <w:rFonts w:ascii="Arial" w:hAnsi="Arial" w:cs="Arial"/>
                <w:sz w:val="20"/>
                <w:szCs w:val="20"/>
              </w:rPr>
              <w:t>§</w:t>
            </w:r>
            <w:r w:rsidRPr="00CA3A08">
              <w:rPr>
                <w:rFonts w:ascii="Arial" w:hAnsi="Arial" w:cs="Arial"/>
                <w:sz w:val="20"/>
                <w:szCs w:val="20"/>
              </w:rPr>
              <w:t xml:space="preserve"> </w:t>
            </w:r>
            <w:r w:rsidR="00831B32">
              <w:rPr>
                <w:rFonts w:ascii="Arial" w:hAnsi="Arial" w:cs="Arial"/>
                <w:sz w:val="20"/>
                <w:szCs w:val="20"/>
              </w:rPr>
              <w:t>164.520.</w:t>
            </w:r>
            <w:r w:rsidRPr="00CA3A08">
              <w:rPr>
                <w:rFonts w:ascii="Arial" w:hAnsi="Arial" w:cs="Arial"/>
                <w:sz w:val="20"/>
                <w:szCs w:val="20"/>
              </w:rPr>
              <w:t xml:space="preserve">                                                                                              </w:t>
            </w:r>
          </w:p>
        </w:tc>
        <w:tc>
          <w:tcPr>
            <w:tcW w:w="3383" w:type="dxa"/>
          </w:tcPr>
          <w:p w14:paraId="6B05A92F" w14:textId="77777777" w:rsidR="00CC426E" w:rsidRPr="00CA3A08" w:rsidRDefault="00CC426E">
            <w:pPr>
              <w:spacing w:after="240"/>
              <w:rPr>
                <w:rFonts w:ascii="Arial" w:hAnsi="Arial" w:cs="Arial"/>
                <w:sz w:val="20"/>
                <w:szCs w:val="20"/>
              </w:rPr>
            </w:pPr>
          </w:p>
        </w:tc>
        <w:tc>
          <w:tcPr>
            <w:tcW w:w="1209" w:type="dxa"/>
          </w:tcPr>
          <w:p w14:paraId="056AAD65" w14:textId="4EC3DEE2" w:rsidR="002D3B2B" w:rsidRPr="00CA3A08" w:rsidRDefault="002D3B2B" w:rsidP="002D3B2B">
            <w:pPr>
              <w:rPr>
                <w:rFonts w:ascii="Arial" w:eastAsia="Arial" w:hAnsi="Arial" w:cs="Arial"/>
                <w:sz w:val="20"/>
                <w:szCs w:val="20"/>
              </w:rPr>
            </w:pPr>
            <w:r w:rsidRPr="310DF885">
              <w:rPr>
                <w:rFonts w:ascii="Arial" w:eastAsia="Arial" w:hAnsi="Arial" w:cs="Arial"/>
                <w:sz w:val="20"/>
                <w:szCs w:val="20"/>
              </w:rPr>
              <w:t>Signed into law on August 21, 1996</w:t>
            </w:r>
            <w:r w:rsidR="4EEBB78E" w:rsidRPr="310DF885">
              <w:rPr>
                <w:rFonts w:ascii="Arial" w:eastAsia="Arial" w:hAnsi="Arial" w:cs="Arial"/>
                <w:sz w:val="20"/>
                <w:szCs w:val="20"/>
              </w:rPr>
              <w:t>.</w:t>
            </w:r>
          </w:p>
          <w:p w14:paraId="53385B12" w14:textId="77777777" w:rsidR="00CC426E" w:rsidRPr="00CA3A08" w:rsidRDefault="00CC426E">
            <w:pPr>
              <w:rPr>
                <w:rFonts w:ascii="Arial" w:hAnsi="Arial" w:cs="Arial"/>
                <w:sz w:val="20"/>
                <w:szCs w:val="20"/>
              </w:rPr>
            </w:pPr>
          </w:p>
        </w:tc>
      </w:tr>
      <w:tr w:rsidR="00CC426E" w:rsidRPr="00CA3A08" w14:paraId="06A9504F" w14:textId="77777777" w:rsidTr="009408B1">
        <w:tc>
          <w:tcPr>
            <w:tcW w:w="427" w:type="dxa"/>
            <w:vMerge/>
          </w:tcPr>
          <w:p w14:paraId="182B1091" w14:textId="77777777" w:rsidR="00CC426E" w:rsidRPr="00CA3A08" w:rsidRDefault="00CC426E" w:rsidP="005236F7">
            <w:pPr>
              <w:rPr>
                <w:rFonts w:ascii="Arial" w:hAnsi="Arial" w:cs="Arial"/>
                <w:sz w:val="20"/>
                <w:szCs w:val="20"/>
              </w:rPr>
            </w:pPr>
          </w:p>
        </w:tc>
        <w:tc>
          <w:tcPr>
            <w:tcW w:w="2903" w:type="dxa"/>
            <w:vMerge/>
          </w:tcPr>
          <w:p w14:paraId="47273B9B" w14:textId="77777777" w:rsidR="00CC426E" w:rsidRPr="00CA3A08" w:rsidRDefault="00CC426E" w:rsidP="005236F7">
            <w:pPr>
              <w:adjustRightInd w:val="0"/>
              <w:ind w:left="72"/>
              <w:jc w:val="both"/>
              <w:rPr>
                <w:rFonts w:ascii="Arial" w:hAnsi="Arial" w:cs="Arial"/>
                <w:b/>
                <w:bCs/>
                <w:i/>
                <w:iCs/>
                <w:sz w:val="20"/>
                <w:szCs w:val="20"/>
              </w:rPr>
            </w:pPr>
          </w:p>
        </w:tc>
        <w:tc>
          <w:tcPr>
            <w:tcW w:w="3383" w:type="dxa"/>
          </w:tcPr>
          <w:p w14:paraId="4726743D" w14:textId="77777777" w:rsidR="00CC426E" w:rsidRPr="00CA3A08" w:rsidRDefault="00CC426E">
            <w:pPr>
              <w:spacing w:after="240"/>
              <w:rPr>
                <w:rFonts w:ascii="Arial" w:hAnsi="Arial" w:cs="Arial"/>
                <w:sz w:val="20"/>
                <w:szCs w:val="20"/>
              </w:rPr>
            </w:pPr>
            <w:r w:rsidRPr="00CA3A08">
              <w:rPr>
                <w:rFonts w:ascii="Arial" w:hAnsi="Arial" w:cs="Arial"/>
                <w:b/>
                <w:i/>
                <w:sz w:val="20"/>
                <w:szCs w:val="20"/>
                <w:u w:val="single"/>
              </w:rPr>
              <w:t>Communications Act of 1934 (as amended by the Cable Communications Policy Act of 1984 (CCPA) and the Telecommunications Act of 1996),</w:t>
            </w:r>
            <w:r w:rsidRPr="00CA3A08">
              <w:rPr>
                <w:rFonts w:ascii="Arial" w:hAnsi="Arial" w:cs="Arial"/>
                <w:sz w:val="20"/>
                <w:szCs w:val="20"/>
                <w:u w:val="single"/>
              </w:rPr>
              <w:t xml:space="preserve"> </w:t>
            </w:r>
            <w:r w:rsidRPr="00CA3A08">
              <w:rPr>
                <w:rFonts w:ascii="Arial" w:hAnsi="Arial" w:cs="Arial"/>
                <w:sz w:val="20"/>
                <w:szCs w:val="20"/>
              </w:rPr>
              <w:t>47 U.S.C. § 151 et seq.</w:t>
            </w:r>
          </w:p>
        </w:tc>
        <w:tc>
          <w:tcPr>
            <w:tcW w:w="3383" w:type="dxa"/>
          </w:tcPr>
          <w:p w14:paraId="29461437" w14:textId="77777777" w:rsidR="004D343D" w:rsidRPr="00CA3A08" w:rsidRDefault="00CC426E">
            <w:pPr>
              <w:spacing w:after="240"/>
              <w:rPr>
                <w:rFonts w:ascii="Arial" w:hAnsi="Arial" w:cs="Arial"/>
                <w:sz w:val="20"/>
                <w:szCs w:val="20"/>
              </w:rPr>
            </w:pPr>
            <w:r w:rsidRPr="00CA3A08">
              <w:rPr>
                <w:rFonts w:ascii="Arial" w:hAnsi="Arial" w:cs="Arial"/>
                <w:sz w:val="20"/>
                <w:szCs w:val="20"/>
              </w:rPr>
              <w:t xml:space="preserve">The Communications Act requires that a telecommunication carrier provide notice to its customers of their personal information privacy rights prior to soliciting them for approval in using that information to market services to them unlike </w:t>
            </w:r>
            <w:r w:rsidRPr="00CA3A08">
              <w:rPr>
                <w:rFonts w:ascii="Arial" w:hAnsi="Arial" w:cs="Arial"/>
                <w:sz w:val="20"/>
                <w:szCs w:val="20"/>
              </w:rPr>
              <w:lastRenderedPageBreak/>
              <w:t xml:space="preserve">those they already have.  47 C.F.R. § 64.2007(a), (f).  </w:t>
            </w:r>
          </w:p>
          <w:p w14:paraId="011082F7" w14:textId="77777777" w:rsidR="00BD2F28" w:rsidRDefault="00CC426E">
            <w:pPr>
              <w:spacing w:after="240"/>
              <w:rPr>
                <w:rFonts w:ascii="Arial" w:hAnsi="Arial" w:cs="Arial"/>
                <w:sz w:val="20"/>
                <w:szCs w:val="20"/>
              </w:rPr>
            </w:pPr>
            <w:r w:rsidRPr="00CA3A08">
              <w:rPr>
                <w:rFonts w:ascii="Arial" w:hAnsi="Arial" w:cs="Arial"/>
                <w:sz w:val="20"/>
                <w:szCs w:val="20"/>
              </w:rPr>
              <w:t xml:space="preserve">Moreover, the Act requires that cable operators in particular clearly and conspicuously provide notice of various privacy rights to their customers in writing at the time service begins, and annually thereafter.  Thus, cable operators must provide notice of what personal information may be collected - and for what purpose - and explain how that information may be disclosed to others. </w:t>
            </w:r>
            <w:r w:rsidR="007553C0">
              <w:rPr>
                <w:rFonts w:ascii="Arial" w:hAnsi="Arial" w:cs="Arial"/>
                <w:sz w:val="20"/>
                <w:szCs w:val="20"/>
              </w:rPr>
              <w:t xml:space="preserve">Customers are also to </w:t>
            </w:r>
            <w:r w:rsidRPr="00CA3A08">
              <w:rPr>
                <w:rFonts w:ascii="Arial" w:hAnsi="Arial" w:cs="Arial"/>
                <w:sz w:val="20"/>
                <w:szCs w:val="20"/>
              </w:rPr>
              <w:t xml:space="preserve">be given notice of both the statutory limitations governing the use of that information by the cable operator, and the statutory means by which they can enforce those limits. </w:t>
            </w:r>
            <w:r w:rsidR="00247788">
              <w:rPr>
                <w:rFonts w:ascii="Arial" w:hAnsi="Arial" w:cs="Arial"/>
                <w:sz w:val="20"/>
                <w:szCs w:val="20"/>
              </w:rPr>
              <w:t>The Act also requires that cable customers</w:t>
            </w:r>
            <w:r w:rsidRPr="00CA3A08">
              <w:rPr>
                <w:rFonts w:ascii="Arial" w:hAnsi="Arial" w:cs="Arial"/>
                <w:sz w:val="20"/>
                <w:szCs w:val="20"/>
              </w:rPr>
              <w:t xml:space="preserve"> be provided with notice of how to access the information collected.  47 U.S.C. § 551(a)(1).  </w:t>
            </w:r>
          </w:p>
          <w:p w14:paraId="00824379" w14:textId="4AAA4471" w:rsidR="00CC426E" w:rsidRPr="00CA3A08" w:rsidRDefault="00CC426E">
            <w:pPr>
              <w:spacing w:after="240"/>
              <w:rPr>
                <w:rFonts w:ascii="Arial" w:hAnsi="Arial" w:cs="Arial"/>
                <w:sz w:val="20"/>
                <w:szCs w:val="20"/>
              </w:rPr>
            </w:pPr>
            <w:r w:rsidRPr="00CA3A08">
              <w:rPr>
                <w:rFonts w:ascii="Arial" w:hAnsi="Arial" w:cs="Arial"/>
                <w:sz w:val="20"/>
                <w:szCs w:val="20"/>
              </w:rPr>
              <w:t xml:space="preserve">These notice requirements also apply to open video systems.  47 C.F.R. § 76.1510.    </w:t>
            </w:r>
          </w:p>
        </w:tc>
        <w:tc>
          <w:tcPr>
            <w:tcW w:w="3383" w:type="dxa"/>
          </w:tcPr>
          <w:p w14:paraId="206322FE" w14:textId="77777777" w:rsidR="00CC426E" w:rsidRPr="00CA3A08" w:rsidRDefault="00CC426E">
            <w:pPr>
              <w:spacing w:after="240"/>
              <w:rPr>
                <w:rFonts w:ascii="Arial" w:hAnsi="Arial" w:cs="Arial"/>
                <w:sz w:val="20"/>
                <w:szCs w:val="20"/>
              </w:rPr>
            </w:pPr>
          </w:p>
        </w:tc>
        <w:tc>
          <w:tcPr>
            <w:tcW w:w="1209" w:type="dxa"/>
          </w:tcPr>
          <w:p w14:paraId="402595B0" w14:textId="4B4A74F1" w:rsidR="003F51E1" w:rsidRPr="00CA3A08" w:rsidRDefault="003F51E1" w:rsidP="003F51E1">
            <w:pPr>
              <w:rPr>
                <w:rFonts w:ascii="Arial" w:eastAsia="Arial" w:hAnsi="Arial" w:cs="Arial"/>
                <w:sz w:val="20"/>
                <w:szCs w:val="20"/>
              </w:rPr>
            </w:pPr>
            <w:r w:rsidRPr="00CA3A08">
              <w:rPr>
                <w:rFonts w:ascii="Arial" w:eastAsia="Arial" w:hAnsi="Arial" w:cs="Arial"/>
                <w:sz w:val="20"/>
                <w:szCs w:val="20"/>
              </w:rPr>
              <w:t xml:space="preserve">Signed into law on June 19, 1934. Amended by the Cable </w:t>
            </w:r>
            <w:r w:rsidRPr="00CA3A08">
              <w:rPr>
                <w:rFonts w:ascii="Arial" w:eastAsia="Arial" w:hAnsi="Arial" w:cs="Arial"/>
                <w:sz w:val="20"/>
                <w:szCs w:val="20"/>
              </w:rPr>
              <w:lastRenderedPageBreak/>
              <w:t>Communications Policy Act of 1984 and the Telecommunications Act of 1996.</w:t>
            </w:r>
          </w:p>
          <w:p w14:paraId="1642404C" w14:textId="77777777" w:rsidR="00CC426E" w:rsidRPr="00CA3A08" w:rsidRDefault="00CC426E">
            <w:pPr>
              <w:rPr>
                <w:rFonts w:ascii="Arial" w:hAnsi="Arial" w:cs="Arial"/>
                <w:sz w:val="20"/>
                <w:szCs w:val="20"/>
              </w:rPr>
            </w:pPr>
          </w:p>
        </w:tc>
      </w:tr>
      <w:tr w:rsidR="00056AC5" w:rsidRPr="00CA3A08" w14:paraId="0EE1F8E4" w14:textId="77777777" w:rsidTr="009408B1">
        <w:tc>
          <w:tcPr>
            <w:tcW w:w="427" w:type="dxa"/>
            <w:vMerge/>
          </w:tcPr>
          <w:p w14:paraId="287A945F" w14:textId="77777777" w:rsidR="00056AC5" w:rsidRPr="00CA3A08" w:rsidRDefault="00056AC5" w:rsidP="00056AC5">
            <w:pPr>
              <w:rPr>
                <w:rFonts w:ascii="Arial" w:hAnsi="Arial" w:cs="Arial"/>
                <w:sz w:val="20"/>
                <w:szCs w:val="20"/>
              </w:rPr>
            </w:pPr>
          </w:p>
        </w:tc>
        <w:tc>
          <w:tcPr>
            <w:tcW w:w="2903" w:type="dxa"/>
            <w:vMerge/>
          </w:tcPr>
          <w:p w14:paraId="019ABC0C" w14:textId="77777777" w:rsidR="00056AC5" w:rsidRPr="00CA3A08" w:rsidRDefault="00056AC5" w:rsidP="00056AC5">
            <w:pPr>
              <w:adjustRightInd w:val="0"/>
              <w:ind w:left="72"/>
              <w:jc w:val="both"/>
              <w:rPr>
                <w:rFonts w:ascii="Arial" w:hAnsi="Arial" w:cs="Arial"/>
                <w:b/>
                <w:bCs/>
                <w:i/>
                <w:iCs/>
                <w:sz w:val="20"/>
                <w:szCs w:val="20"/>
              </w:rPr>
            </w:pPr>
          </w:p>
        </w:tc>
        <w:tc>
          <w:tcPr>
            <w:tcW w:w="3383" w:type="dxa"/>
          </w:tcPr>
          <w:p w14:paraId="282CC4AE" w14:textId="63DB2577" w:rsidR="00056AC5" w:rsidRPr="00CA3A08" w:rsidRDefault="00056AC5" w:rsidP="00056AC5">
            <w:pPr>
              <w:spacing w:after="240"/>
              <w:rPr>
                <w:rFonts w:ascii="Arial" w:hAnsi="Arial" w:cs="Arial"/>
                <w:sz w:val="20"/>
                <w:szCs w:val="20"/>
              </w:rPr>
            </w:pPr>
            <w:r w:rsidRPr="00CA3A08">
              <w:rPr>
                <w:rFonts w:ascii="Arial" w:hAnsi="Arial" w:cs="Arial"/>
                <w:b/>
                <w:bCs/>
                <w:i/>
                <w:iCs/>
                <w:sz w:val="20"/>
                <w:szCs w:val="20"/>
                <w:u w:val="single"/>
              </w:rPr>
              <w:t>Controlling the Assault of Non-Solicited Pornography and Marketing Act (CAN-SPAM),</w:t>
            </w:r>
            <w:r w:rsidRPr="00CA3A08">
              <w:rPr>
                <w:rFonts w:ascii="Arial" w:hAnsi="Arial" w:cs="Arial"/>
                <w:i/>
                <w:iCs/>
                <w:sz w:val="20"/>
                <w:szCs w:val="20"/>
                <w:u w:val="single"/>
              </w:rPr>
              <w:t xml:space="preserve"> </w:t>
            </w:r>
            <w:r w:rsidRPr="00CA3A08">
              <w:rPr>
                <w:rFonts w:ascii="Arial" w:hAnsi="Arial" w:cs="Arial"/>
                <w:sz w:val="20"/>
                <w:szCs w:val="20"/>
              </w:rPr>
              <w:t xml:space="preserve">15 U.S.C. §§ 7701-7713, applicable to </w:t>
            </w:r>
            <w:r w:rsidRPr="00CA3A08">
              <w:rPr>
                <w:rFonts w:ascii="Arial" w:hAnsi="Arial" w:cs="Arial"/>
                <w:sz w:val="20"/>
                <w:szCs w:val="20"/>
              </w:rPr>
              <w:lastRenderedPageBreak/>
              <w:t>commercial electronic e-mail messages.</w:t>
            </w:r>
          </w:p>
        </w:tc>
        <w:tc>
          <w:tcPr>
            <w:tcW w:w="3383" w:type="dxa"/>
          </w:tcPr>
          <w:p w14:paraId="58821EC4" w14:textId="53EB509E" w:rsidR="00056AC5" w:rsidRPr="00CA3A08" w:rsidRDefault="00056AC5" w:rsidP="00056AC5">
            <w:pPr>
              <w:spacing w:after="240"/>
              <w:rPr>
                <w:rFonts w:ascii="Arial" w:hAnsi="Arial" w:cs="Arial"/>
                <w:sz w:val="20"/>
                <w:szCs w:val="20"/>
              </w:rPr>
            </w:pPr>
            <w:r w:rsidRPr="00CA3A08">
              <w:rPr>
                <w:rFonts w:ascii="Arial" w:hAnsi="Arial" w:cs="Arial"/>
                <w:sz w:val="20"/>
                <w:szCs w:val="20"/>
              </w:rPr>
              <w:lastRenderedPageBreak/>
              <w:t xml:space="preserve">CAN-SPAM requires unsolicited commercial e-mail messages to be identified as solicitation and to include opt-out instructions and the sender's physical address. It </w:t>
            </w:r>
            <w:r w:rsidRPr="00CA3A08">
              <w:rPr>
                <w:rFonts w:ascii="Arial" w:hAnsi="Arial" w:cs="Arial"/>
                <w:sz w:val="20"/>
                <w:szCs w:val="20"/>
              </w:rPr>
              <w:lastRenderedPageBreak/>
              <w:t>prohibits the use of deceptive subject lines and false headers in such messages. 15 U.S.C.</w:t>
            </w:r>
            <w:r>
              <w:rPr>
                <w:rFonts w:ascii="Arial" w:hAnsi="Arial" w:cs="Arial"/>
                <w:sz w:val="20"/>
                <w:szCs w:val="20"/>
              </w:rPr>
              <w:t xml:space="preserve"> </w:t>
            </w:r>
            <w:r w:rsidRPr="00CA3A08">
              <w:rPr>
                <w:rFonts w:ascii="Arial" w:hAnsi="Arial" w:cs="Arial"/>
                <w:sz w:val="20"/>
                <w:szCs w:val="20"/>
              </w:rPr>
              <w:t>§ 770</w:t>
            </w:r>
            <w:r>
              <w:rPr>
                <w:rFonts w:ascii="Arial" w:hAnsi="Arial" w:cs="Arial"/>
                <w:sz w:val="20"/>
                <w:szCs w:val="20"/>
              </w:rPr>
              <w:t>4.</w:t>
            </w:r>
          </w:p>
        </w:tc>
        <w:tc>
          <w:tcPr>
            <w:tcW w:w="3383" w:type="dxa"/>
          </w:tcPr>
          <w:p w14:paraId="12E320D8" w14:textId="34CEA773" w:rsidR="00056AC5" w:rsidRPr="00CA3A08" w:rsidRDefault="00056AC5" w:rsidP="00056AC5">
            <w:pPr>
              <w:spacing w:after="240"/>
              <w:rPr>
                <w:rFonts w:ascii="Arial" w:hAnsi="Arial" w:cs="Arial"/>
                <w:sz w:val="20"/>
                <w:szCs w:val="20"/>
              </w:rPr>
            </w:pPr>
            <w:r w:rsidRPr="00CA3A08">
              <w:rPr>
                <w:rFonts w:ascii="Arial" w:hAnsi="Arial" w:cs="Arial"/>
                <w:sz w:val="20"/>
                <w:szCs w:val="20"/>
              </w:rPr>
              <w:lastRenderedPageBreak/>
              <w:t xml:space="preserve">Under CAN-SPAM, many federal agencies, including the FTC and the Department of Justice, certain law enforcement authorities, and Internet service providers, may file </w:t>
            </w:r>
            <w:r w:rsidRPr="00CA3A08">
              <w:rPr>
                <w:rFonts w:ascii="Arial" w:hAnsi="Arial" w:cs="Arial"/>
                <w:sz w:val="20"/>
                <w:szCs w:val="20"/>
              </w:rPr>
              <w:lastRenderedPageBreak/>
              <w:t xml:space="preserve">civil suits to halt unlawful spammers. 15 U.S.C. § </w:t>
            </w:r>
            <w:r>
              <w:rPr>
                <w:rFonts w:ascii="Arial" w:hAnsi="Arial" w:cs="Arial"/>
                <w:sz w:val="20"/>
                <w:szCs w:val="20"/>
              </w:rPr>
              <w:t xml:space="preserve">7703, </w:t>
            </w:r>
            <w:r w:rsidRPr="00CA3A08">
              <w:rPr>
                <w:rFonts w:ascii="Arial" w:hAnsi="Arial" w:cs="Arial"/>
                <w:sz w:val="20"/>
                <w:szCs w:val="20"/>
              </w:rPr>
              <w:t>770</w:t>
            </w:r>
            <w:r>
              <w:rPr>
                <w:rFonts w:ascii="Arial" w:hAnsi="Arial" w:cs="Arial"/>
                <w:sz w:val="20"/>
                <w:szCs w:val="20"/>
              </w:rPr>
              <w:t>6.</w:t>
            </w:r>
          </w:p>
        </w:tc>
        <w:tc>
          <w:tcPr>
            <w:tcW w:w="1209" w:type="dxa"/>
          </w:tcPr>
          <w:p w14:paraId="76FAB1C7" w14:textId="02753086" w:rsidR="00056AC5" w:rsidRPr="00CA3A08" w:rsidRDefault="00056AC5" w:rsidP="00056AC5">
            <w:pPr>
              <w:rPr>
                <w:rFonts w:ascii="Arial" w:eastAsia="Arial" w:hAnsi="Arial" w:cs="Arial"/>
                <w:sz w:val="20"/>
                <w:szCs w:val="20"/>
              </w:rPr>
            </w:pPr>
            <w:r w:rsidRPr="310DF885">
              <w:rPr>
                <w:rFonts w:ascii="Arial" w:eastAsia="Arial" w:hAnsi="Arial" w:cs="Arial"/>
                <w:sz w:val="20"/>
                <w:szCs w:val="20"/>
              </w:rPr>
              <w:lastRenderedPageBreak/>
              <w:t>Signed into law on December 16, 2003.</w:t>
            </w:r>
          </w:p>
          <w:p w14:paraId="0A8318AE" w14:textId="77777777" w:rsidR="00056AC5" w:rsidRPr="00CA3A08" w:rsidRDefault="00056AC5" w:rsidP="00056AC5">
            <w:pPr>
              <w:rPr>
                <w:rFonts w:ascii="Arial" w:hAnsi="Arial" w:cs="Arial"/>
                <w:sz w:val="20"/>
                <w:szCs w:val="20"/>
              </w:rPr>
            </w:pPr>
            <w:r w:rsidRPr="00CA3A08">
              <w:rPr>
                <w:rFonts w:ascii="Arial" w:hAnsi="Arial" w:cs="Arial"/>
                <w:sz w:val="20"/>
                <w:szCs w:val="20"/>
              </w:rPr>
              <w:lastRenderedPageBreak/>
              <w:br/>
            </w:r>
          </w:p>
          <w:p w14:paraId="62568893" w14:textId="77777777" w:rsidR="00056AC5" w:rsidRPr="00CA3A08" w:rsidRDefault="00056AC5" w:rsidP="00056AC5">
            <w:pPr>
              <w:rPr>
                <w:rFonts w:ascii="Arial" w:hAnsi="Arial" w:cs="Arial"/>
                <w:sz w:val="20"/>
                <w:szCs w:val="20"/>
              </w:rPr>
            </w:pPr>
          </w:p>
          <w:p w14:paraId="2E6FB791" w14:textId="66557FC4" w:rsidR="00056AC5" w:rsidRPr="00CA3A08" w:rsidRDefault="00056AC5" w:rsidP="00056AC5">
            <w:pPr>
              <w:rPr>
                <w:rFonts w:ascii="Arial" w:hAnsi="Arial" w:cs="Arial"/>
              </w:rPr>
            </w:pPr>
          </w:p>
        </w:tc>
      </w:tr>
      <w:tr w:rsidR="006D377C" w:rsidRPr="00CA3A08" w14:paraId="2ED6A895" w14:textId="77777777" w:rsidTr="009408B1">
        <w:tc>
          <w:tcPr>
            <w:tcW w:w="427" w:type="dxa"/>
            <w:vMerge w:val="restart"/>
          </w:tcPr>
          <w:p w14:paraId="6FA6DC36" w14:textId="77777777" w:rsidR="006D377C" w:rsidRPr="00CA3A08" w:rsidRDefault="006D377C" w:rsidP="00DD7D7F">
            <w:pPr>
              <w:rPr>
                <w:rFonts w:ascii="Arial" w:hAnsi="Arial" w:cs="Arial"/>
                <w:sz w:val="20"/>
                <w:szCs w:val="20"/>
              </w:rPr>
            </w:pPr>
            <w:r w:rsidRPr="00CA3A08">
              <w:rPr>
                <w:rFonts w:ascii="Arial" w:hAnsi="Arial" w:cs="Arial"/>
                <w:sz w:val="20"/>
                <w:szCs w:val="20"/>
              </w:rPr>
              <w:lastRenderedPageBreak/>
              <w:t>3</w:t>
            </w:r>
          </w:p>
          <w:p w14:paraId="6F5AFD99" w14:textId="77777777" w:rsidR="006D377C" w:rsidRPr="00CA3A08" w:rsidRDefault="006D377C" w:rsidP="00DD7D7F">
            <w:pPr>
              <w:rPr>
                <w:rFonts w:ascii="Arial" w:hAnsi="Arial" w:cs="Arial"/>
                <w:sz w:val="20"/>
                <w:szCs w:val="20"/>
              </w:rPr>
            </w:pPr>
          </w:p>
          <w:p w14:paraId="10BFCBB3" w14:textId="77777777" w:rsidR="006D377C" w:rsidRPr="00CA3A08" w:rsidRDefault="006D377C" w:rsidP="00DD7D7F">
            <w:pPr>
              <w:rPr>
                <w:rFonts w:ascii="Arial" w:hAnsi="Arial" w:cs="Arial"/>
                <w:sz w:val="20"/>
                <w:szCs w:val="20"/>
              </w:rPr>
            </w:pPr>
          </w:p>
          <w:p w14:paraId="28F641E9" w14:textId="77777777" w:rsidR="006D377C" w:rsidRPr="00CA3A08" w:rsidRDefault="006D377C" w:rsidP="00DD7D7F">
            <w:pPr>
              <w:rPr>
                <w:rFonts w:ascii="Arial" w:hAnsi="Arial" w:cs="Arial"/>
                <w:sz w:val="20"/>
                <w:szCs w:val="20"/>
              </w:rPr>
            </w:pPr>
          </w:p>
          <w:p w14:paraId="0A4B3DBF" w14:textId="77777777" w:rsidR="006D377C" w:rsidRPr="00CA3A08" w:rsidRDefault="006D377C" w:rsidP="00DD7D7F">
            <w:pPr>
              <w:rPr>
                <w:rFonts w:ascii="Arial" w:hAnsi="Arial" w:cs="Arial"/>
                <w:sz w:val="20"/>
                <w:szCs w:val="20"/>
              </w:rPr>
            </w:pPr>
          </w:p>
        </w:tc>
        <w:tc>
          <w:tcPr>
            <w:tcW w:w="2903" w:type="dxa"/>
            <w:vMerge w:val="restart"/>
          </w:tcPr>
          <w:p w14:paraId="07205C5A" w14:textId="77777777" w:rsidR="00783200" w:rsidRPr="00592C78" w:rsidRDefault="00783200" w:rsidP="00783200">
            <w:pPr>
              <w:adjustRightInd w:val="0"/>
              <w:ind w:left="34"/>
              <w:rPr>
                <w:rFonts w:ascii="Arial" w:hAnsi="Arial" w:cs="Arial"/>
                <w:b/>
                <w:bCs/>
                <w:i/>
                <w:iCs/>
                <w:sz w:val="20"/>
                <w:szCs w:val="20"/>
                <w:lang w:bidi="mni-IN"/>
              </w:rPr>
            </w:pPr>
            <w:r w:rsidRPr="00592C78">
              <w:rPr>
                <w:rFonts w:ascii="Arial" w:hAnsi="Arial" w:cs="Arial"/>
                <w:b/>
                <w:bCs/>
                <w:i/>
                <w:iCs/>
                <w:sz w:val="20"/>
                <w:szCs w:val="20"/>
                <w:lang w:bidi="mni-IN"/>
              </w:rPr>
              <w:t>III Collection Limitation</w:t>
            </w:r>
          </w:p>
          <w:p w14:paraId="7F83AF6D" w14:textId="77777777" w:rsidR="00783200" w:rsidRPr="00592C78" w:rsidRDefault="00783200" w:rsidP="00783200">
            <w:pPr>
              <w:adjustRightInd w:val="0"/>
              <w:ind w:left="34"/>
              <w:rPr>
                <w:rFonts w:ascii="Arial" w:hAnsi="Arial" w:cs="Arial"/>
                <w:b/>
                <w:bCs/>
                <w:sz w:val="20"/>
                <w:szCs w:val="20"/>
                <w:lang w:bidi="mni-IN"/>
              </w:rPr>
            </w:pPr>
            <w:r w:rsidRPr="00592C78">
              <w:rPr>
                <w:rFonts w:ascii="Arial" w:hAnsi="Arial" w:cs="Arial"/>
                <w:b/>
                <w:bCs/>
                <w:sz w:val="20"/>
                <w:szCs w:val="20"/>
                <w:lang w:bidi="mni-IN"/>
              </w:rPr>
              <w:t xml:space="preserve">(Ref. Para. </w:t>
            </w:r>
            <w:r>
              <w:rPr>
                <w:rFonts w:ascii="Arial" w:hAnsi="Arial" w:cs="Arial"/>
                <w:b/>
                <w:bCs/>
                <w:sz w:val="20"/>
                <w:szCs w:val="20"/>
                <w:lang w:bidi="mni-IN"/>
              </w:rPr>
              <w:t>24</w:t>
            </w:r>
            <w:r w:rsidRPr="00592C78">
              <w:rPr>
                <w:rFonts w:ascii="Arial" w:hAnsi="Arial" w:cs="Arial"/>
                <w:b/>
                <w:bCs/>
                <w:sz w:val="20"/>
                <w:szCs w:val="20"/>
                <w:lang w:bidi="mni-IN"/>
              </w:rPr>
              <w:t>)</w:t>
            </w:r>
          </w:p>
          <w:p w14:paraId="79EDD46B" w14:textId="77777777" w:rsidR="00783200" w:rsidRPr="00592C78" w:rsidRDefault="00783200" w:rsidP="00783200">
            <w:pPr>
              <w:adjustRightInd w:val="0"/>
              <w:ind w:left="34"/>
              <w:rPr>
                <w:rFonts w:ascii="Arial" w:hAnsi="Arial" w:cs="Arial"/>
                <w:b/>
                <w:bCs/>
                <w:sz w:val="20"/>
                <w:szCs w:val="20"/>
                <w:lang w:bidi="mni-IN"/>
              </w:rPr>
            </w:pPr>
          </w:p>
          <w:p w14:paraId="33FAF566" w14:textId="77777777" w:rsidR="00783200" w:rsidRPr="00592C78" w:rsidRDefault="00783200" w:rsidP="00783200">
            <w:pPr>
              <w:autoSpaceDE w:val="0"/>
              <w:autoSpaceDN w:val="0"/>
              <w:adjustRightInd w:val="0"/>
              <w:rPr>
                <w:rFonts w:ascii="Arial" w:hAnsi="Arial" w:cs="Arial"/>
                <w:sz w:val="20"/>
                <w:szCs w:val="20"/>
              </w:rPr>
            </w:pPr>
            <w:r w:rsidRPr="00592C78">
              <w:rPr>
                <w:rFonts w:ascii="Arial" w:hAnsi="Arial" w:cs="Arial"/>
                <w:sz w:val="20"/>
                <w:szCs w:val="20"/>
              </w:rPr>
              <w:t>The collection of personal information should be limited to information that is relevant to the purposes of collection and any such information should be obtained by lawful and fair means, and where appropriate, with notice to, or consent of, the individual concerned.</w:t>
            </w:r>
          </w:p>
          <w:p w14:paraId="18799A95" w14:textId="77777777" w:rsidR="006D377C" w:rsidRPr="00CA3A08" w:rsidRDefault="006D377C" w:rsidP="00DD7D7F">
            <w:pPr>
              <w:adjustRightInd w:val="0"/>
              <w:ind w:left="72"/>
              <w:jc w:val="both"/>
              <w:rPr>
                <w:rFonts w:ascii="Arial" w:hAnsi="Arial" w:cs="Arial"/>
                <w:sz w:val="20"/>
                <w:szCs w:val="20"/>
              </w:rPr>
            </w:pPr>
          </w:p>
        </w:tc>
        <w:tc>
          <w:tcPr>
            <w:tcW w:w="3383" w:type="dxa"/>
          </w:tcPr>
          <w:p w14:paraId="0C2C036C" w14:textId="2898744A" w:rsidR="006D377C" w:rsidRPr="00CA3A08" w:rsidRDefault="006D377C" w:rsidP="00DD7D7F">
            <w:pPr>
              <w:rPr>
                <w:rFonts w:ascii="Arial" w:hAnsi="Arial" w:cs="Arial"/>
                <w:sz w:val="20"/>
                <w:szCs w:val="20"/>
              </w:rPr>
            </w:pPr>
            <w:r w:rsidRPr="00CA3A08">
              <w:rPr>
                <w:rFonts w:ascii="Arial" w:hAnsi="Arial" w:cs="Arial"/>
                <w:b/>
                <w:bCs/>
                <w:i/>
                <w:iCs/>
                <w:sz w:val="20"/>
                <w:szCs w:val="20"/>
                <w:u w:val="single"/>
              </w:rPr>
              <w:t>The Gramm-Leach-Bliley Act (GLBA),</w:t>
            </w:r>
            <w:r w:rsidRPr="00CA3A08">
              <w:rPr>
                <w:rFonts w:ascii="Arial" w:hAnsi="Arial" w:cs="Arial"/>
                <w:i/>
                <w:iCs/>
                <w:sz w:val="20"/>
                <w:szCs w:val="20"/>
                <w:u w:val="single"/>
              </w:rPr>
              <w:t xml:space="preserve"> </w:t>
            </w:r>
            <w:r w:rsidRPr="00CA3A08">
              <w:rPr>
                <w:rFonts w:ascii="Arial" w:hAnsi="Arial" w:cs="Arial"/>
                <w:sz w:val="20"/>
                <w:szCs w:val="20"/>
              </w:rPr>
              <w:t>Subchapter I (Disclosure of Nonpublic Personal Information) 15 U.S.C. § 6801 et seq.</w:t>
            </w:r>
          </w:p>
        </w:tc>
        <w:tc>
          <w:tcPr>
            <w:tcW w:w="3383" w:type="dxa"/>
          </w:tcPr>
          <w:p w14:paraId="0DB3EB94" w14:textId="77777777" w:rsidR="006D377C" w:rsidRDefault="006D377C" w:rsidP="008C4CF5">
            <w:pPr>
              <w:spacing w:after="240"/>
              <w:rPr>
                <w:rFonts w:ascii="Arial" w:hAnsi="Arial" w:cs="Arial"/>
                <w:sz w:val="20"/>
                <w:szCs w:val="20"/>
              </w:rPr>
            </w:pPr>
            <w:r w:rsidRPr="17CB37D8">
              <w:rPr>
                <w:rFonts w:ascii="Arial" w:hAnsi="Arial" w:cs="Arial"/>
                <w:sz w:val="20"/>
                <w:szCs w:val="20"/>
              </w:rPr>
              <w:t xml:space="preserve">Under the GLBA, financial institutions must disclose in their privacy notices each category of information collected from and about consumers.  </w:t>
            </w:r>
            <w:r>
              <w:rPr>
                <w:rFonts w:ascii="Arial" w:hAnsi="Arial" w:cs="Arial"/>
                <w:sz w:val="20"/>
                <w:szCs w:val="20"/>
              </w:rPr>
              <w:t xml:space="preserve">15 U.S.C. § 6803(a)(1). </w:t>
            </w:r>
          </w:p>
          <w:p w14:paraId="4A6155D2" w14:textId="77777777" w:rsidR="006D377C" w:rsidRDefault="006D377C" w:rsidP="008C4CF5">
            <w:pPr>
              <w:spacing w:after="240"/>
              <w:rPr>
                <w:rFonts w:ascii="Arial" w:hAnsi="Arial" w:cs="Arial"/>
                <w:sz w:val="20"/>
                <w:szCs w:val="20"/>
              </w:rPr>
            </w:pPr>
            <w:r w:rsidRPr="17CB37D8">
              <w:rPr>
                <w:rFonts w:ascii="Arial" w:hAnsi="Arial" w:cs="Arial"/>
                <w:sz w:val="20"/>
                <w:szCs w:val="20"/>
              </w:rPr>
              <w:t>Financial institutions must follow their stated practices and may only disclose the information they collect as stated in the notice or as permitted by specified exceptions in the rule.</w:t>
            </w:r>
            <w:r>
              <w:rPr>
                <w:rStyle w:val="FootnoteReference"/>
                <w:rFonts w:ascii="Arial" w:hAnsi="Arial" w:cs="Arial"/>
                <w:sz w:val="20"/>
                <w:szCs w:val="20"/>
              </w:rPr>
              <w:footnoteReference w:id="7"/>
            </w:r>
            <w:r w:rsidRPr="17CB37D8">
              <w:rPr>
                <w:rFonts w:ascii="Arial" w:hAnsi="Arial" w:cs="Arial"/>
                <w:sz w:val="20"/>
                <w:szCs w:val="20"/>
              </w:rPr>
              <w:t xml:space="preserve">  16 C.F.R. §§ 313.13- 313.15</w:t>
            </w:r>
            <w:r>
              <w:rPr>
                <w:rFonts w:ascii="Arial" w:hAnsi="Arial" w:cs="Arial"/>
                <w:sz w:val="20"/>
                <w:szCs w:val="20"/>
              </w:rPr>
              <w:t xml:space="preserve"> and </w:t>
            </w:r>
            <w:r w:rsidRPr="00DF48AA">
              <w:rPr>
                <w:rFonts w:ascii="Arial" w:hAnsi="Arial" w:cs="Arial"/>
                <w:sz w:val="20"/>
                <w:szCs w:val="20"/>
              </w:rPr>
              <w:t xml:space="preserve">§§ 313.4-313.6. </w:t>
            </w:r>
            <w:r w:rsidRPr="17CB37D8">
              <w:rPr>
                <w:rFonts w:ascii="Arial" w:hAnsi="Arial" w:cs="Arial"/>
                <w:sz w:val="20"/>
                <w:szCs w:val="20"/>
              </w:rPr>
              <w:t xml:space="preserve">  </w:t>
            </w:r>
          </w:p>
          <w:p w14:paraId="0F8C100B" w14:textId="6D111F3B" w:rsidR="006D377C" w:rsidRPr="00CA3A08" w:rsidRDefault="006D377C" w:rsidP="00DD7D7F">
            <w:pPr>
              <w:spacing w:after="240"/>
              <w:rPr>
                <w:rFonts w:ascii="Arial" w:hAnsi="Arial" w:cs="Arial"/>
                <w:sz w:val="20"/>
                <w:szCs w:val="20"/>
              </w:rPr>
            </w:pPr>
            <w:r w:rsidRPr="17CB37D8">
              <w:rPr>
                <w:rFonts w:ascii="Arial" w:hAnsi="Arial" w:cs="Arial"/>
                <w:sz w:val="20"/>
                <w:szCs w:val="20"/>
              </w:rPr>
              <w:t xml:space="preserve">In addition, companies that receive consumers' personal information from a financial institution </w:t>
            </w:r>
            <w:r>
              <w:rPr>
                <w:rFonts w:ascii="Arial" w:hAnsi="Arial" w:cs="Arial"/>
                <w:sz w:val="20"/>
                <w:szCs w:val="20"/>
              </w:rPr>
              <w:t>may only reuse or redisclose such information in limited circumstances</w:t>
            </w:r>
            <w:r w:rsidRPr="17CB37D8">
              <w:rPr>
                <w:rFonts w:ascii="Arial" w:hAnsi="Arial" w:cs="Arial"/>
                <w:sz w:val="20"/>
                <w:szCs w:val="20"/>
              </w:rPr>
              <w:t xml:space="preserve">.  </w:t>
            </w:r>
            <w:r>
              <w:rPr>
                <w:rFonts w:ascii="Arial" w:hAnsi="Arial" w:cs="Arial"/>
                <w:sz w:val="20"/>
                <w:szCs w:val="20"/>
              </w:rPr>
              <w:t xml:space="preserve">15 U.S.C. § 6802(c); </w:t>
            </w:r>
            <w:r w:rsidRPr="17CB37D8">
              <w:rPr>
                <w:rFonts w:ascii="Arial" w:hAnsi="Arial" w:cs="Arial"/>
                <w:sz w:val="20"/>
                <w:szCs w:val="20"/>
              </w:rPr>
              <w:t>16 C.F.R. § 313.11.</w:t>
            </w:r>
          </w:p>
        </w:tc>
        <w:tc>
          <w:tcPr>
            <w:tcW w:w="3383" w:type="dxa"/>
          </w:tcPr>
          <w:p w14:paraId="0B502641" w14:textId="77777777" w:rsidR="006D377C" w:rsidRPr="00CA3A08" w:rsidRDefault="006D377C" w:rsidP="00DD7D7F">
            <w:pPr>
              <w:spacing w:after="240"/>
              <w:rPr>
                <w:rFonts w:ascii="Arial" w:hAnsi="Arial" w:cs="Arial"/>
                <w:sz w:val="20"/>
                <w:szCs w:val="20"/>
              </w:rPr>
            </w:pPr>
          </w:p>
        </w:tc>
        <w:tc>
          <w:tcPr>
            <w:tcW w:w="1209" w:type="dxa"/>
          </w:tcPr>
          <w:p w14:paraId="1CD83E31" w14:textId="7FF3F838" w:rsidR="006D377C" w:rsidRPr="00CA3A08" w:rsidRDefault="006D377C" w:rsidP="00DD7D7F">
            <w:pPr>
              <w:rPr>
                <w:rFonts w:ascii="Arial" w:hAnsi="Arial" w:cs="Arial"/>
                <w:sz w:val="20"/>
                <w:szCs w:val="20"/>
              </w:rPr>
            </w:pPr>
            <w:r w:rsidRPr="310DF885">
              <w:rPr>
                <w:rFonts w:ascii="Arial" w:hAnsi="Arial" w:cs="Arial"/>
                <w:sz w:val="20"/>
                <w:szCs w:val="20"/>
              </w:rPr>
              <w:t>Signed into law on November 12, 1999.</w:t>
            </w:r>
          </w:p>
        </w:tc>
      </w:tr>
      <w:tr w:rsidR="006D377C" w:rsidRPr="00CA3A08" w14:paraId="27B2D59C" w14:textId="77777777" w:rsidTr="009408B1">
        <w:tc>
          <w:tcPr>
            <w:tcW w:w="427" w:type="dxa"/>
            <w:vMerge/>
          </w:tcPr>
          <w:p w14:paraId="7C0E1A3E" w14:textId="77777777" w:rsidR="006D377C" w:rsidRPr="00CA3A08" w:rsidRDefault="006D377C" w:rsidP="008C4CF5">
            <w:pPr>
              <w:rPr>
                <w:rFonts w:ascii="Arial" w:hAnsi="Arial" w:cs="Arial"/>
                <w:sz w:val="20"/>
                <w:szCs w:val="20"/>
              </w:rPr>
            </w:pPr>
          </w:p>
        </w:tc>
        <w:tc>
          <w:tcPr>
            <w:tcW w:w="2903" w:type="dxa"/>
            <w:vMerge/>
          </w:tcPr>
          <w:p w14:paraId="4411AC9E" w14:textId="77777777" w:rsidR="006D377C" w:rsidRPr="00CA3A08" w:rsidRDefault="006D377C" w:rsidP="008C4CF5">
            <w:pPr>
              <w:adjustRightInd w:val="0"/>
              <w:ind w:left="72"/>
              <w:jc w:val="both"/>
              <w:rPr>
                <w:rFonts w:ascii="Arial" w:hAnsi="Arial" w:cs="Arial"/>
                <w:b/>
                <w:bCs/>
                <w:i/>
                <w:iCs/>
                <w:sz w:val="20"/>
                <w:szCs w:val="20"/>
              </w:rPr>
            </w:pPr>
          </w:p>
        </w:tc>
        <w:tc>
          <w:tcPr>
            <w:tcW w:w="3383" w:type="dxa"/>
          </w:tcPr>
          <w:p w14:paraId="7517F90B" w14:textId="45B5B022" w:rsidR="006D377C" w:rsidRPr="00CA3A08" w:rsidRDefault="006D377C" w:rsidP="008C4CF5">
            <w:pPr>
              <w:rPr>
                <w:rFonts w:ascii="Arial" w:hAnsi="Arial" w:cs="Arial"/>
                <w:sz w:val="20"/>
                <w:szCs w:val="20"/>
              </w:rPr>
            </w:pPr>
            <w:r w:rsidRPr="00CA3A08">
              <w:rPr>
                <w:rFonts w:ascii="Arial" w:hAnsi="Arial" w:cs="Arial"/>
                <w:b/>
                <w:bCs/>
                <w:i/>
                <w:iCs/>
                <w:sz w:val="20"/>
                <w:szCs w:val="20"/>
                <w:u w:val="single"/>
              </w:rPr>
              <w:t>The Children’s Online Privacy Protection Act (COPPA),</w:t>
            </w:r>
            <w:r w:rsidRPr="00CA3A08">
              <w:rPr>
                <w:rFonts w:ascii="Arial" w:hAnsi="Arial" w:cs="Arial"/>
                <w:sz w:val="20"/>
                <w:szCs w:val="20"/>
                <w:u w:val="single"/>
              </w:rPr>
              <w:t xml:space="preserve">  </w:t>
            </w:r>
            <w:r w:rsidRPr="00CA3A08">
              <w:rPr>
                <w:rFonts w:ascii="Arial" w:hAnsi="Arial" w:cs="Arial"/>
                <w:sz w:val="20"/>
                <w:szCs w:val="20"/>
              </w:rPr>
              <w:t>15 U.S.C. § 6501 et seq; 16 C.F.R. Part 312</w:t>
            </w:r>
          </w:p>
        </w:tc>
        <w:tc>
          <w:tcPr>
            <w:tcW w:w="3383" w:type="dxa"/>
          </w:tcPr>
          <w:p w14:paraId="7C844A56" w14:textId="2050779E" w:rsidR="002B5F43" w:rsidRDefault="002B5F43" w:rsidP="006E6DFF">
            <w:pPr>
              <w:rPr>
                <w:rFonts w:ascii="Arial" w:hAnsi="Arial" w:cs="Arial"/>
                <w:sz w:val="20"/>
                <w:szCs w:val="20"/>
              </w:rPr>
            </w:pPr>
            <w:r w:rsidRPr="00CA3A08">
              <w:rPr>
                <w:rFonts w:ascii="Arial" w:hAnsi="Arial" w:cs="Arial"/>
                <w:sz w:val="20"/>
                <w:szCs w:val="20"/>
              </w:rPr>
              <w:t xml:space="preserve">COPPA provides for use limitations in that it requires operators to send notice of and obtain parental consent for the types of information collected and how it will be used or </w:t>
            </w:r>
            <w:r w:rsidRPr="00CA3A08">
              <w:rPr>
                <w:rFonts w:ascii="Arial" w:hAnsi="Arial" w:cs="Arial"/>
                <w:sz w:val="20"/>
                <w:szCs w:val="20"/>
              </w:rPr>
              <w:lastRenderedPageBreak/>
              <w:t>shared with third parties.  15 U.S.C. § 6502(b)(1); 16 C.F.R. §§ 312.3, 312.4, 312.5</w:t>
            </w:r>
            <w:r w:rsidR="006E6DFF">
              <w:rPr>
                <w:rFonts w:ascii="Arial" w:hAnsi="Arial" w:cs="Arial"/>
                <w:sz w:val="20"/>
                <w:szCs w:val="20"/>
              </w:rPr>
              <w:t>.</w:t>
            </w:r>
          </w:p>
          <w:p w14:paraId="4A09B38D" w14:textId="77777777" w:rsidR="006E6DFF" w:rsidRDefault="006E6DFF" w:rsidP="006E6DFF">
            <w:pPr>
              <w:rPr>
                <w:rFonts w:ascii="Arial" w:hAnsi="Arial" w:cs="Arial"/>
                <w:sz w:val="20"/>
                <w:szCs w:val="20"/>
              </w:rPr>
            </w:pPr>
          </w:p>
          <w:p w14:paraId="5A7F0532" w14:textId="77777777" w:rsidR="002B5F43" w:rsidRDefault="006D377C" w:rsidP="006E6DFF">
            <w:pPr>
              <w:rPr>
                <w:rFonts w:ascii="Arial" w:hAnsi="Arial" w:cs="Arial"/>
                <w:sz w:val="20"/>
                <w:szCs w:val="20"/>
              </w:rPr>
            </w:pPr>
            <w:r w:rsidRPr="17CB37D8">
              <w:rPr>
                <w:rFonts w:ascii="Arial" w:hAnsi="Arial" w:cs="Arial"/>
                <w:sz w:val="20"/>
                <w:szCs w:val="20"/>
              </w:rPr>
              <w:t xml:space="preserve">COPPA </w:t>
            </w:r>
            <w:r w:rsidR="003541D4">
              <w:rPr>
                <w:rFonts w:ascii="Arial" w:hAnsi="Arial" w:cs="Arial"/>
                <w:sz w:val="20"/>
                <w:szCs w:val="20"/>
              </w:rPr>
              <w:t xml:space="preserve">also </w:t>
            </w:r>
            <w:r w:rsidRPr="17CB37D8">
              <w:rPr>
                <w:rFonts w:ascii="Arial" w:hAnsi="Arial" w:cs="Arial"/>
                <w:sz w:val="20"/>
                <w:szCs w:val="20"/>
              </w:rPr>
              <w:t xml:space="preserve">prohibits conditioning a child’s participation in an activity on the child disclosing more personal information than is reasonably necessary to participate in such activity.  </w:t>
            </w:r>
            <w:r w:rsidR="003541D4">
              <w:rPr>
                <w:rFonts w:ascii="Arial" w:hAnsi="Arial" w:cs="Arial"/>
                <w:sz w:val="20"/>
                <w:szCs w:val="20"/>
              </w:rPr>
              <w:t xml:space="preserve">Lastly, </w:t>
            </w:r>
            <w:r w:rsidRPr="17CB37D8">
              <w:rPr>
                <w:rFonts w:ascii="Arial" w:hAnsi="Arial" w:cs="Arial"/>
                <w:sz w:val="20"/>
                <w:szCs w:val="20"/>
              </w:rPr>
              <w:t>COPPA requires parental consent for the collection, use and disclosure of personal information from children. 15 U.S.C. §§ 6501, 6502(b)(1); 16 C.F.R. §§ 312.3, 312.7.</w:t>
            </w:r>
          </w:p>
          <w:p w14:paraId="062DDFCB" w14:textId="713A092D" w:rsidR="006E6DFF" w:rsidRPr="00A566B2" w:rsidRDefault="006E6DFF" w:rsidP="006E6DFF">
            <w:pPr>
              <w:rPr>
                <w:rFonts w:ascii="Arial" w:hAnsi="Arial" w:cs="Arial"/>
                <w:sz w:val="20"/>
                <w:szCs w:val="20"/>
              </w:rPr>
            </w:pPr>
          </w:p>
        </w:tc>
        <w:tc>
          <w:tcPr>
            <w:tcW w:w="3383" w:type="dxa"/>
          </w:tcPr>
          <w:p w14:paraId="28EF17F5" w14:textId="77777777" w:rsidR="006D377C" w:rsidRPr="00CA3A08" w:rsidRDefault="006D377C" w:rsidP="008C4CF5">
            <w:pPr>
              <w:spacing w:after="240"/>
              <w:rPr>
                <w:rFonts w:ascii="Arial" w:hAnsi="Arial" w:cs="Arial"/>
                <w:sz w:val="20"/>
                <w:szCs w:val="20"/>
              </w:rPr>
            </w:pPr>
          </w:p>
        </w:tc>
        <w:tc>
          <w:tcPr>
            <w:tcW w:w="1209" w:type="dxa"/>
          </w:tcPr>
          <w:p w14:paraId="46E95A6B" w14:textId="77777777" w:rsidR="006D377C" w:rsidRPr="00CA3A08" w:rsidRDefault="006D377C" w:rsidP="002C53D0">
            <w:pPr>
              <w:rPr>
                <w:rFonts w:ascii="Arial" w:eastAsia="Arial" w:hAnsi="Arial" w:cs="Arial"/>
                <w:sz w:val="20"/>
                <w:szCs w:val="20"/>
              </w:rPr>
            </w:pPr>
            <w:r w:rsidRPr="310DF885">
              <w:rPr>
                <w:rFonts w:ascii="Arial" w:eastAsia="Arial" w:hAnsi="Arial" w:cs="Arial"/>
                <w:sz w:val="20"/>
                <w:szCs w:val="20"/>
              </w:rPr>
              <w:t>Signed into law October 21, 1998.</w:t>
            </w:r>
          </w:p>
          <w:p w14:paraId="7776E818" w14:textId="61F57407" w:rsidR="006D377C" w:rsidRPr="00CA3A08" w:rsidRDefault="006D377C" w:rsidP="008C4CF5">
            <w:pPr>
              <w:rPr>
                <w:rFonts w:ascii="Arial" w:hAnsi="Arial" w:cs="Arial"/>
                <w:sz w:val="20"/>
                <w:szCs w:val="20"/>
              </w:rPr>
            </w:pPr>
          </w:p>
        </w:tc>
      </w:tr>
      <w:tr w:rsidR="006D377C" w:rsidRPr="00CA3A08" w14:paraId="4E12C594" w14:textId="77777777" w:rsidTr="009408B1">
        <w:tc>
          <w:tcPr>
            <w:tcW w:w="427" w:type="dxa"/>
            <w:vMerge/>
          </w:tcPr>
          <w:p w14:paraId="12B982F0" w14:textId="77777777" w:rsidR="006D377C" w:rsidRPr="00CA3A08" w:rsidRDefault="006D377C" w:rsidP="002C53D0">
            <w:pPr>
              <w:rPr>
                <w:rFonts w:ascii="Arial" w:hAnsi="Arial" w:cs="Arial"/>
                <w:sz w:val="20"/>
                <w:szCs w:val="20"/>
              </w:rPr>
            </w:pPr>
          </w:p>
        </w:tc>
        <w:tc>
          <w:tcPr>
            <w:tcW w:w="2903" w:type="dxa"/>
            <w:vMerge/>
          </w:tcPr>
          <w:p w14:paraId="71E0ECAE" w14:textId="77777777" w:rsidR="006D377C" w:rsidRPr="00CA3A08" w:rsidRDefault="006D377C" w:rsidP="002C53D0">
            <w:pPr>
              <w:adjustRightInd w:val="0"/>
              <w:ind w:left="72"/>
              <w:jc w:val="both"/>
              <w:rPr>
                <w:rFonts w:ascii="Arial" w:hAnsi="Arial" w:cs="Arial"/>
                <w:b/>
                <w:bCs/>
                <w:i/>
                <w:iCs/>
                <w:sz w:val="20"/>
                <w:szCs w:val="20"/>
              </w:rPr>
            </w:pPr>
          </w:p>
        </w:tc>
        <w:tc>
          <w:tcPr>
            <w:tcW w:w="3383" w:type="dxa"/>
          </w:tcPr>
          <w:p w14:paraId="5CE4B197" w14:textId="06492862" w:rsidR="006D377C" w:rsidRPr="00CA3A08" w:rsidRDefault="006D377C" w:rsidP="002C53D0">
            <w:pPr>
              <w:rPr>
                <w:rFonts w:ascii="Arial" w:hAnsi="Arial" w:cs="Arial"/>
                <w:sz w:val="20"/>
                <w:szCs w:val="20"/>
              </w:rPr>
            </w:pPr>
            <w:r w:rsidRPr="00CA3A08">
              <w:rPr>
                <w:rFonts w:ascii="Arial" w:hAnsi="Arial" w:cs="Arial"/>
                <w:b/>
                <w:bCs/>
                <w:i/>
                <w:iCs/>
                <w:sz w:val="20"/>
                <w:szCs w:val="20"/>
                <w:u w:val="single"/>
              </w:rPr>
              <w:t>Health Insurance Portability and Accountability Act (HIPAA),</w:t>
            </w:r>
            <w:r w:rsidRPr="00CA3A08">
              <w:rPr>
                <w:rFonts w:ascii="Arial" w:hAnsi="Arial" w:cs="Arial"/>
                <w:i/>
                <w:iCs/>
                <w:sz w:val="20"/>
                <w:szCs w:val="20"/>
                <w:u w:val="single"/>
              </w:rPr>
              <w:t xml:space="preserve"> </w:t>
            </w:r>
            <w:r w:rsidRPr="00CA3A08">
              <w:rPr>
                <w:rFonts w:ascii="Arial" w:hAnsi="Arial" w:cs="Arial"/>
                <w:sz w:val="20"/>
                <w:szCs w:val="20"/>
              </w:rPr>
              <w:t>Pub. L. 104-191 §§ 262 &amp; 264) Privacy Rule, 45 C.F.R. Parts 160 &amp; 164</w:t>
            </w:r>
          </w:p>
        </w:tc>
        <w:tc>
          <w:tcPr>
            <w:tcW w:w="3383" w:type="dxa"/>
          </w:tcPr>
          <w:p w14:paraId="4C7DDABA" w14:textId="6CCF90F0" w:rsidR="006D377C" w:rsidRPr="00CA3A08" w:rsidRDefault="006D377C" w:rsidP="002C53D0">
            <w:pPr>
              <w:spacing w:after="240"/>
              <w:rPr>
                <w:rFonts w:ascii="Arial" w:hAnsi="Arial" w:cs="Arial"/>
                <w:sz w:val="20"/>
                <w:szCs w:val="20"/>
                <w:lang w:val="en-CA"/>
              </w:rPr>
            </w:pPr>
            <w:r w:rsidRPr="00CA3A08">
              <w:rPr>
                <w:rFonts w:ascii="Arial" w:hAnsi="Arial" w:cs="Arial"/>
                <w:sz w:val="20"/>
                <w:szCs w:val="20"/>
              </w:rPr>
              <w:t>HIPAA does not generally limit what information a covered entity may collect from an individual.  However, it does require that when requesting protected health information from another covered entity, it must make reasonable efforts to limit protected health information to the minimum necessary to accomplish the intended purpose of the use, disclosure, or request.  The “minimum necessary” standard also applies to using or disclosing, protected health information.  45 C.F.R. § 164.502.</w:t>
            </w:r>
          </w:p>
        </w:tc>
        <w:tc>
          <w:tcPr>
            <w:tcW w:w="3383" w:type="dxa"/>
          </w:tcPr>
          <w:p w14:paraId="133CE87D" w14:textId="77777777" w:rsidR="006D377C" w:rsidRPr="00CA3A08" w:rsidRDefault="006D377C" w:rsidP="002C53D0">
            <w:pPr>
              <w:spacing w:after="240"/>
              <w:rPr>
                <w:rFonts w:ascii="Arial" w:hAnsi="Arial" w:cs="Arial"/>
                <w:sz w:val="20"/>
                <w:szCs w:val="20"/>
              </w:rPr>
            </w:pPr>
          </w:p>
        </w:tc>
        <w:tc>
          <w:tcPr>
            <w:tcW w:w="1209" w:type="dxa"/>
          </w:tcPr>
          <w:p w14:paraId="03123F59" w14:textId="77777777" w:rsidR="006D377C" w:rsidRPr="00CA3A08" w:rsidRDefault="006D377C" w:rsidP="00044F87">
            <w:pPr>
              <w:rPr>
                <w:rFonts w:ascii="Arial" w:eastAsia="Arial" w:hAnsi="Arial" w:cs="Arial"/>
                <w:sz w:val="20"/>
                <w:szCs w:val="20"/>
              </w:rPr>
            </w:pPr>
            <w:r w:rsidRPr="310DF885">
              <w:rPr>
                <w:rFonts w:ascii="Arial" w:eastAsia="Arial" w:hAnsi="Arial" w:cs="Arial"/>
                <w:sz w:val="20"/>
                <w:szCs w:val="20"/>
              </w:rPr>
              <w:t>Signed into law on August 21, 1996.</w:t>
            </w:r>
          </w:p>
          <w:p w14:paraId="22AFD1DD" w14:textId="77777777" w:rsidR="006D377C" w:rsidRPr="00CA3A08" w:rsidRDefault="006D377C" w:rsidP="002C53D0">
            <w:pPr>
              <w:rPr>
                <w:rFonts w:ascii="Arial" w:hAnsi="Arial" w:cs="Arial"/>
                <w:sz w:val="20"/>
                <w:szCs w:val="20"/>
              </w:rPr>
            </w:pPr>
          </w:p>
        </w:tc>
      </w:tr>
      <w:tr w:rsidR="006D377C" w:rsidRPr="00CA3A08" w14:paraId="556A7867" w14:textId="77777777" w:rsidTr="00313FD2">
        <w:trPr>
          <w:trHeight w:val="1628"/>
        </w:trPr>
        <w:tc>
          <w:tcPr>
            <w:tcW w:w="427" w:type="dxa"/>
            <w:vMerge/>
          </w:tcPr>
          <w:p w14:paraId="4132A4BE" w14:textId="77777777" w:rsidR="006D377C" w:rsidRPr="00CA3A08" w:rsidRDefault="006D377C" w:rsidP="00044F87">
            <w:pPr>
              <w:rPr>
                <w:rFonts w:ascii="Arial" w:hAnsi="Arial" w:cs="Arial"/>
                <w:sz w:val="20"/>
                <w:szCs w:val="20"/>
              </w:rPr>
            </w:pPr>
          </w:p>
        </w:tc>
        <w:tc>
          <w:tcPr>
            <w:tcW w:w="2903" w:type="dxa"/>
            <w:vMerge/>
          </w:tcPr>
          <w:p w14:paraId="4EE6EF07" w14:textId="77777777" w:rsidR="006D377C" w:rsidRPr="00CA3A08" w:rsidRDefault="006D377C" w:rsidP="00044F87">
            <w:pPr>
              <w:adjustRightInd w:val="0"/>
              <w:ind w:left="72"/>
              <w:jc w:val="both"/>
              <w:rPr>
                <w:rFonts w:ascii="Arial" w:hAnsi="Arial" w:cs="Arial"/>
                <w:b/>
                <w:bCs/>
                <w:i/>
                <w:iCs/>
                <w:sz w:val="20"/>
                <w:szCs w:val="20"/>
              </w:rPr>
            </w:pPr>
          </w:p>
        </w:tc>
        <w:tc>
          <w:tcPr>
            <w:tcW w:w="3383" w:type="dxa"/>
          </w:tcPr>
          <w:p w14:paraId="0C6CCFDD" w14:textId="57051138" w:rsidR="006D377C" w:rsidRPr="00CA3A08" w:rsidRDefault="006D377C" w:rsidP="00044F87">
            <w:pPr>
              <w:rPr>
                <w:rFonts w:ascii="Arial" w:hAnsi="Arial" w:cs="Arial"/>
                <w:sz w:val="20"/>
                <w:szCs w:val="20"/>
              </w:rPr>
            </w:pPr>
            <w:r w:rsidRPr="00CA3A08">
              <w:rPr>
                <w:rFonts w:ascii="Arial" w:hAnsi="Arial" w:cs="Arial"/>
                <w:b/>
                <w:bCs/>
                <w:i/>
                <w:iCs/>
                <w:sz w:val="20"/>
                <w:szCs w:val="20"/>
                <w:u w:val="single"/>
              </w:rPr>
              <w:t>Electronic Communications Privacy Act (ECPA),</w:t>
            </w:r>
            <w:r w:rsidRPr="00CA3A08">
              <w:rPr>
                <w:rFonts w:ascii="Arial" w:hAnsi="Arial" w:cs="Arial"/>
                <w:i/>
                <w:iCs/>
                <w:sz w:val="20"/>
                <w:szCs w:val="20"/>
                <w:u w:val="single"/>
              </w:rPr>
              <w:t xml:space="preserve"> </w:t>
            </w:r>
            <w:r w:rsidRPr="00CA3A08">
              <w:rPr>
                <w:rFonts w:ascii="Arial" w:hAnsi="Arial" w:cs="Arial"/>
                <w:sz w:val="20"/>
                <w:szCs w:val="20"/>
              </w:rPr>
              <w:t>18 U.S.C. § 2510 et seq.</w:t>
            </w:r>
          </w:p>
        </w:tc>
        <w:tc>
          <w:tcPr>
            <w:tcW w:w="3383" w:type="dxa"/>
          </w:tcPr>
          <w:p w14:paraId="456F0F7A" w14:textId="280E0FF7" w:rsidR="006D377C" w:rsidRPr="00CA3A08" w:rsidRDefault="006D377C" w:rsidP="00044F87">
            <w:pPr>
              <w:spacing w:after="240"/>
              <w:rPr>
                <w:rFonts w:ascii="Arial" w:hAnsi="Arial" w:cs="Arial"/>
                <w:sz w:val="20"/>
                <w:szCs w:val="20"/>
                <w:lang w:val="en-CA"/>
              </w:rPr>
            </w:pPr>
            <w:r w:rsidRPr="00CA3A08">
              <w:rPr>
                <w:rFonts w:ascii="Arial" w:hAnsi="Arial" w:cs="Arial"/>
                <w:sz w:val="20"/>
                <w:szCs w:val="20"/>
              </w:rPr>
              <w:t xml:space="preserve">ECPA </w:t>
            </w:r>
            <w:r>
              <w:rPr>
                <w:rFonts w:ascii="Arial" w:hAnsi="Arial" w:cs="Arial"/>
                <w:sz w:val="20"/>
                <w:szCs w:val="20"/>
              </w:rPr>
              <w:t>prohibits</w:t>
            </w:r>
            <w:r w:rsidRPr="00CA3A08">
              <w:rPr>
                <w:rFonts w:ascii="Arial" w:hAnsi="Arial" w:cs="Arial"/>
                <w:sz w:val="20"/>
                <w:szCs w:val="20"/>
              </w:rPr>
              <w:t>, with certain exceptions,</w:t>
            </w:r>
            <w:r>
              <w:rPr>
                <w:rFonts w:ascii="Arial" w:hAnsi="Arial" w:cs="Arial"/>
                <w:sz w:val="20"/>
                <w:szCs w:val="20"/>
              </w:rPr>
              <w:t xml:space="preserve"> </w:t>
            </w:r>
            <w:r w:rsidRPr="00CA3A08">
              <w:rPr>
                <w:rFonts w:ascii="Arial" w:hAnsi="Arial" w:cs="Arial"/>
                <w:sz w:val="20"/>
                <w:szCs w:val="20"/>
              </w:rPr>
              <w:t>intercept</w:t>
            </w:r>
            <w:r>
              <w:rPr>
                <w:rFonts w:ascii="Arial" w:hAnsi="Arial" w:cs="Arial"/>
                <w:sz w:val="20"/>
                <w:szCs w:val="20"/>
              </w:rPr>
              <w:t>ion of</w:t>
            </w:r>
            <w:r w:rsidRPr="00CA3A08">
              <w:rPr>
                <w:rFonts w:ascii="Arial" w:hAnsi="Arial" w:cs="Arial"/>
                <w:sz w:val="20"/>
                <w:szCs w:val="20"/>
              </w:rPr>
              <w:t xml:space="preserve"> electronic communications without the consent of at least one party to the communication. </w:t>
            </w:r>
            <w:r w:rsidRPr="00CA3A08">
              <w:rPr>
                <w:rFonts w:ascii="Arial" w:hAnsi="Arial" w:cs="Arial"/>
                <w:b/>
                <w:bCs/>
                <w:sz w:val="20"/>
                <w:szCs w:val="20"/>
              </w:rPr>
              <w:t xml:space="preserve"> </w:t>
            </w:r>
            <w:r w:rsidRPr="00CA3A08">
              <w:rPr>
                <w:rFonts w:ascii="Arial" w:hAnsi="Arial" w:cs="Arial"/>
                <w:sz w:val="20"/>
                <w:szCs w:val="20"/>
              </w:rPr>
              <w:t>18 U.S.C. § 2511</w:t>
            </w:r>
            <w:r>
              <w:rPr>
                <w:rFonts w:ascii="Arial" w:hAnsi="Arial" w:cs="Arial"/>
                <w:sz w:val="20"/>
                <w:szCs w:val="20"/>
              </w:rPr>
              <w:t>.</w:t>
            </w:r>
          </w:p>
        </w:tc>
        <w:tc>
          <w:tcPr>
            <w:tcW w:w="3383" w:type="dxa"/>
          </w:tcPr>
          <w:p w14:paraId="50B18C04" w14:textId="350732DB" w:rsidR="006D377C" w:rsidRPr="00CA3A08" w:rsidRDefault="006D377C" w:rsidP="00044F87">
            <w:pPr>
              <w:spacing w:after="240"/>
              <w:rPr>
                <w:rFonts w:ascii="Arial" w:hAnsi="Arial" w:cs="Arial"/>
                <w:sz w:val="20"/>
                <w:szCs w:val="20"/>
              </w:rPr>
            </w:pPr>
            <w:r w:rsidRPr="00CA3A08">
              <w:rPr>
                <w:rFonts w:ascii="Arial" w:hAnsi="Arial" w:cs="Arial"/>
                <w:sz w:val="20"/>
                <w:szCs w:val="20"/>
              </w:rPr>
              <w:t>ECPA imposes civil liability.  Court may award damages, attorneys’ fees and costs.</w:t>
            </w:r>
            <w:r>
              <w:rPr>
                <w:rFonts w:ascii="Arial" w:hAnsi="Arial" w:cs="Arial"/>
                <w:sz w:val="20"/>
                <w:szCs w:val="20"/>
              </w:rPr>
              <w:t xml:space="preserve"> </w:t>
            </w:r>
            <w:r w:rsidRPr="00CA3A08">
              <w:rPr>
                <w:rFonts w:ascii="Arial" w:hAnsi="Arial" w:cs="Arial"/>
                <w:sz w:val="20"/>
                <w:szCs w:val="20"/>
              </w:rPr>
              <w:t>18 U.S.C. § 25</w:t>
            </w:r>
            <w:r>
              <w:rPr>
                <w:rFonts w:ascii="Arial" w:hAnsi="Arial" w:cs="Arial"/>
                <w:sz w:val="20"/>
                <w:szCs w:val="20"/>
              </w:rPr>
              <w:t>20</w:t>
            </w:r>
            <w:r w:rsidRPr="00CA3A08">
              <w:rPr>
                <w:rFonts w:ascii="Arial" w:hAnsi="Arial" w:cs="Arial"/>
                <w:sz w:val="20"/>
                <w:szCs w:val="20"/>
              </w:rPr>
              <w:t>. Certain violations may carry criminal liability.</w:t>
            </w:r>
          </w:p>
        </w:tc>
        <w:tc>
          <w:tcPr>
            <w:tcW w:w="1209" w:type="dxa"/>
          </w:tcPr>
          <w:p w14:paraId="21B83EF5" w14:textId="77777777" w:rsidR="006D377C" w:rsidRPr="00CA3A08" w:rsidRDefault="006D377C" w:rsidP="00044F87">
            <w:pPr>
              <w:rPr>
                <w:rFonts w:ascii="Arial" w:eastAsia="Arial" w:hAnsi="Arial" w:cs="Arial"/>
                <w:sz w:val="20"/>
                <w:szCs w:val="20"/>
              </w:rPr>
            </w:pPr>
            <w:r w:rsidRPr="310DF885">
              <w:rPr>
                <w:rFonts w:ascii="Arial" w:eastAsia="Arial" w:hAnsi="Arial" w:cs="Arial"/>
                <w:sz w:val="20"/>
                <w:szCs w:val="20"/>
              </w:rPr>
              <w:t>Signed into law on October 21, 1996.</w:t>
            </w:r>
          </w:p>
          <w:p w14:paraId="3453F02E" w14:textId="77777777" w:rsidR="006D377C" w:rsidRPr="00CA3A08" w:rsidRDefault="006D377C" w:rsidP="00044F87">
            <w:pPr>
              <w:rPr>
                <w:rFonts w:ascii="Arial" w:hAnsi="Arial" w:cs="Arial"/>
                <w:sz w:val="20"/>
                <w:szCs w:val="20"/>
              </w:rPr>
            </w:pPr>
            <w:r w:rsidRPr="00CA3A08">
              <w:rPr>
                <w:rFonts w:ascii="Arial" w:hAnsi="Arial" w:cs="Arial"/>
                <w:sz w:val="20"/>
                <w:szCs w:val="20"/>
              </w:rPr>
              <w:br/>
            </w:r>
          </w:p>
          <w:p w14:paraId="46556758" w14:textId="77777777" w:rsidR="006D377C" w:rsidRPr="00CA3A08" w:rsidRDefault="006D377C" w:rsidP="00044F87">
            <w:pPr>
              <w:rPr>
                <w:rFonts w:ascii="Arial" w:hAnsi="Arial" w:cs="Arial"/>
                <w:sz w:val="20"/>
                <w:szCs w:val="20"/>
              </w:rPr>
            </w:pPr>
          </w:p>
        </w:tc>
      </w:tr>
      <w:tr w:rsidR="006D377C" w:rsidRPr="00CA3A08" w14:paraId="5DC8E710" w14:textId="77777777" w:rsidTr="009408B1">
        <w:tc>
          <w:tcPr>
            <w:tcW w:w="427" w:type="dxa"/>
            <w:vMerge/>
          </w:tcPr>
          <w:p w14:paraId="7099F4A9" w14:textId="77777777" w:rsidR="006D377C" w:rsidRPr="00CA3A08" w:rsidRDefault="006D377C" w:rsidP="00044F87">
            <w:pPr>
              <w:rPr>
                <w:rFonts w:ascii="Arial" w:hAnsi="Arial" w:cs="Arial"/>
                <w:sz w:val="20"/>
                <w:szCs w:val="20"/>
              </w:rPr>
            </w:pPr>
          </w:p>
        </w:tc>
        <w:tc>
          <w:tcPr>
            <w:tcW w:w="2903" w:type="dxa"/>
            <w:vMerge/>
          </w:tcPr>
          <w:p w14:paraId="5D4BF127" w14:textId="77777777" w:rsidR="006D377C" w:rsidRPr="00CA3A08" w:rsidRDefault="006D377C" w:rsidP="00044F87">
            <w:pPr>
              <w:adjustRightInd w:val="0"/>
              <w:ind w:left="72"/>
              <w:jc w:val="both"/>
              <w:rPr>
                <w:rFonts w:ascii="Arial" w:hAnsi="Arial" w:cs="Arial"/>
                <w:b/>
                <w:bCs/>
                <w:i/>
                <w:iCs/>
                <w:sz w:val="20"/>
                <w:szCs w:val="20"/>
              </w:rPr>
            </w:pPr>
          </w:p>
        </w:tc>
        <w:tc>
          <w:tcPr>
            <w:tcW w:w="3383" w:type="dxa"/>
          </w:tcPr>
          <w:p w14:paraId="456F4573" w14:textId="11187920" w:rsidR="006D377C" w:rsidRPr="00CA3A08" w:rsidRDefault="006D377C" w:rsidP="00044F87">
            <w:pPr>
              <w:spacing w:after="240"/>
              <w:rPr>
                <w:rFonts w:ascii="Arial" w:hAnsi="Arial" w:cs="Arial"/>
                <w:sz w:val="20"/>
                <w:szCs w:val="20"/>
              </w:rPr>
            </w:pPr>
            <w:r w:rsidRPr="00CA3A08">
              <w:rPr>
                <w:rFonts w:ascii="Arial" w:hAnsi="Arial" w:cs="Arial"/>
                <w:b/>
                <w:bCs/>
                <w:i/>
                <w:iCs/>
                <w:sz w:val="20"/>
                <w:szCs w:val="20"/>
                <w:u w:val="single"/>
              </w:rPr>
              <w:t>The Fair Credit Reporting Act (FCRA),</w:t>
            </w:r>
            <w:r w:rsidRPr="00CA3A08">
              <w:rPr>
                <w:rFonts w:ascii="Arial" w:hAnsi="Arial" w:cs="Arial"/>
                <w:i/>
                <w:iCs/>
                <w:sz w:val="20"/>
                <w:szCs w:val="20"/>
                <w:u w:val="single"/>
              </w:rPr>
              <w:t xml:space="preserve"> </w:t>
            </w:r>
            <w:r w:rsidRPr="00CA3A08">
              <w:rPr>
                <w:rFonts w:ascii="Arial" w:hAnsi="Arial" w:cs="Arial"/>
                <w:sz w:val="20"/>
                <w:szCs w:val="20"/>
              </w:rPr>
              <w:t xml:space="preserve">15 U.S.C. § 1681 et seq.  </w:t>
            </w:r>
          </w:p>
        </w:tc>
        <w:tc>
          <w:tcPr>
            <w:tcW w:w="3383" w:type="dxa"/>
          </w:tcPr>
          <w:p w14:paraId="58C83646" w14:textId="2811EAF8" w:rsidR="006D377C" w:rsidRPr="00CA3A08" w:rsidRDefault="006D377C" w:rsidP="005D0E88">
            <w:pPr>
              <w:spacing w:after="240"/>
              <w:rPr>
                <w:rFonts w:ascii="Arial" w:hAnsi="Arial" w:cs="Arial"/>
                <w:sz w:val="20"/>
                <w:szCs w:val="20"/>
              </w:rPr>
            </w:pPr>
            <w:r w:rsidRPr="00CA3A08">
              <w:rPr>
                <w:rFonts w:ascii="Arial" w:hAnsi="Arial" w:cs="Arial"/>
                <w:sz w:val="20"/>
                <w:szCs w:val="20"/>
                <w:lang w:val="en-CA"/>
              </w:rPr>
              <w:fldChar w:fldCharType="begin"/>
            </w:r>
            <w:r w:rsidRPr="00CA3A08">
              <w:rPr>
                <w:rFonts w:ascii="Arial" w:hAnsi="Arial" w:cs="Arial"/>
                <w:sz w:val="20"/>
                <w:szCs w:val="20"/>
                <w:lang w:val="en-CA"/>
              </w:rPr>
              <w:instrText xml:space="preserve"> SEQ CHAPTER \h \r 1</w:instrText>
            </w:r>
            <w:r w:rsidRPr="00CA3A08">
              <w:rPr>
                <w:rFonts w:ascii="Arial" w:hAnsi="Arial" w:cs="Arial"/>
                <w:sz w:val="20"/>
                <w:szCs w:val="20"/>
                <w:lang w:val="en-CA"/>
              </w:rPr>
              <w:fldChar w:fldCharType="end"/>
            </w:r>
            <w:r w:rsidRPr="00CA3A08">
              <w:rPr>
                <w:rFonts w:ascii="Arial" w:hAnsi="Arial" w:cs="Arial"/>
                <w:sz w:val="20"/>
                <w:szCs w:val="20"/>
              </w:rPr>
              <w:t>The FCRA limits the use of consumer report information to certain “permissible purposes” unless the consumer consents to different uses.  15 U.S.C. § 1681b(a).   Users of consumer reports must certify that they will use the information only for that purpose.  15 U.S.C. § 1681e(a).  The FCRA generally prohibits creditors from obtaining or using medical information pertaining to a consumer in connection with any determination of the consumer’s eligibility or continued eligibility for credit, subject to certain exceptions.  15 U.S.C. 1681b(g);</w:t>
            </w:r>
            <w:r>
              <w:rPr>
                <w:rFonts w:ascii="Arial" w:hAnsi="Arial" w:cs="Arial"/>
                <w:sz w:val="20"/>
                <w:szCs w:val="20"/>
              </w:rPr>
              <w:t xml:space="preserve"> 12 C.F.R. Part 1022, Subpart D.</w:t>
            </w:r>
            <w:r w:rsidRPr="00CA3A08">
              <w:rPr>
                <w:rFonts w:ascii="Arial" w:hAnsi="Arial" w:cs="Arial"/>
                <w:sz w:val="20"/>
                <w:szCs w:val="20"/>
              </w:rPr>
              <w:t xml:space="preserve"> </w:t>
            </w:r>
          </w:p>
        </w:tc>
        <w:tc>
          <w:tcPr>
            <w:tcW w:w="3383" w:type="dxa"/>
          </w:tcPr>
          <w:p w14:paraId="13D7120B" w14:textId="33F2487C" w:rsidR="006D377C" w:rsidRPr="00CA3A08" w:rsidRDefault="006D377C" w:rsidP="00044F87">
            <w:pPr>
              <w:spacing w:after="240"/>
              <w:rPr>
                <w:rFonts w:ascii="Arial" w:hAnsi="Arial" w:cs="Arial"/>
                <w:sz w:val="20"/>
                <w:szCs w:val="20"/>
              </w:rPr>
            </w:pPr>
          </w:p>
        </w:tc>
        <w:tc>
          <w:tcPr>
            <w:tcW w:w="1209" w:type="dxa"/>
          </w:tcPr>
          <w:p w14:paraId="6334FE27" w14:textId="7DCDD476" w:rsidR="006D377C" w:rsidRPr="00CA3A08" w:rsidRDefault="006D377C" w:rsidP="0041540D">
            <w:pPr>
              <w:rPr>
                <w:rFonts w:ascii="Arial" w:eastAsia="Arial" w:hAnsi="Arial" w:cs="Arial"/>
                <w:sz w:val="20"/>
                <w:szCs w:val="20"/>
              </w:rPr>
            </w:pPr>
            <w:r w:rsidRPr="310DF885">
              <w:rPr>
                <w:rFonts w:ascii="Arial" w:eastAsia="Arial" w:hAnsi="Arial" w:cs="Arial"/>
                <w:sz w:val="20"/>
                <w:szCs w:val="20"/>
              </w:rPr>
              <w:t>Signed into law on October 26, 1970.</w:t>
            </w:r>
          </w:p>
          <w:p w14:paraId="3CDBF814" w14:textId="7E65BF30" w:rsidR="006D377C" w:rsidRPr="00CA3A08" w:rsidRDefault="006D377C" w:rsidP="00044F87">
            <w:pPr>
              <w:rPr>
                <w:rFonts w:ascii="Arial" w:hAnsi="Arial" w:cs="Arial"/>
                <w:sz w:val="20"/>
                <w:szCs w:val="20"/>
              </w:rPr>
            </w:pPr>
          </w:p>
        </w:tc>
      </w:tr>
      <w:tr w:rsidR="00FA2B4D" w:rsidRPr="00CA3A08" w14:paraId="5581EC20" w14:textId="77777777" w:rsidTr="009408B1">
        <w:tc>
          <w:tcPr>
            <w:tcW w:w="427" w:type="dxa"/>
            <w:vMerge/>
          </w:tcPr>
          <w:p w14:paraId="5BAD7B32" w14:textId="77777777" w:rsidR="00FA2B4D" w:rsidRPr="00CA3A08" w:rsidRDefault="00FA2B4D" w:rsidP="00C9520B">
            <w:pPr>
              <w:rPr>
                <w:rFonts w:ascii="Arial" w:hAnsi="Arial" w:cs="Arial"/>
                <w:sz w:val="20"/>
                <w:szCs w:val="20"/>
              </w:rPr>
            </w:pPr>
          </w:p>
        </w:tc>
        <w:tc>
          <w:tcPr>
            <w:tcW w:w="2903" w:type="dxa"/>
            <w:vMerge/>
          </w:tcPr>
          <w:p w14:paraId="2E0DE3AE" w14:textId="77777777" w:rsidR="00FA2B4D" w:rsidRPr="00CA3A08" w:rsidRDefault="00FA2B4D" w:rsidP="00C9520B">
            <w:pPr>
              <w:rPr>
                <w:rFonts w:ascii="Arial" w:hAnsi="Arial" w:cs="Arial"/>
                <w:sz w:val="20"/>
                <w:szCs w:val="20"/>
              </w:rPr>
            </w:pPr>
          </w:p>
        </w:tc>
        <w:tc>
          <w:tcPr>
            <w:tcW w:w="3383" w:type="dxa"/>
          </w:tcPr>
          <w:p w14:paraId="53C935B0" w14:textId="2B043323" w:rsidR="00FA2B4D" w:rsidRPr="00CA3A08" w:rsidRDefault="00FA2B4D" w:rsidP="00C9520B">
            <w:pPr>
              <w:rPr>
                <w:rFonts w:ascii="Arial" w:eastAsia="Arial" w:hAnsi="Arial" w:cs="Arial"/>
                <w:b/>
                <w:bCs/>
                <w:i/>
                <w:iCs/>
                <w:sz w:val="20"/>
                <w:szCs w:val="20"/>
                <w:u w:val="single"/>
              </w:rPr>
            </w:pPr>
            <w:r w:rsidRPr="00CA3A08">
              <w:rPr>
                <w:rFonts w:ascii="Arial" w:hAnsi="Arial" w:cs="Arial"/>
                <w:b/>
                <w:bCs/>
                <w:i/>
                <w:iCs/>
                <w:sz w:val="20"/>
                <w:szCs w:val="20"/>
                <w:u w:val="single"/>
              </w:rPr>
              <w:t>The Federal Trade Commission Act (FTC ACT),</w:t>
            </w:r>
            <w:r w:rsidRPr="00CA3A08">
              <w:rPr>
                <w:rFonts w:ascii="Arial" w:hAnsi="Arial" w:cs="Arial"/>
                <w:i/>
                <w:iCs/>
                <w:sz w:val="20"/>
                <w:szCs w:val="20"/>
                <w:u w:val="single"/>
              </w:rPr>
              <w:t xml:space="preserve"> </w:t>
            </w:r>
            <w:r w:rsidRPr="00CA3A08">
              <w:rPr>
                <w:rFonts w:ascii="Arial" w:hAnsi="Arial" w:cs="Arial"/>
                <w:sz w:val="20"/>
                <w:szCs w:val="20"/>
              </w:rPr>
              <w:t>15 U.S.C. § 41 et. seq.</w:t>
            </w:r>
          </w:p>
        </w:tc>
        <w:tc>
          <w:tcPr>
            <w:tcW w:w="3383" w:type="dxa"/>
          </w:tcPr>
          <w:p w14:paraId="6EF7D16D" w14:textId="77777777" w:rsidR="00FA2B4D" w:rsidRDefault="00FA2B4D" w:rsidP="00C9520B">
            <w:pPr>
              <w:rPr>
                <w:rFonts w:ascii="Arial" w:hAnsi="Arial" w:cs="Arial"/>
                <w:sz w:val="20"/>
                <w:szCs w:val="20"/>
              </w:rPr>
            </w:pPr>
            <w:r w:rsidRPr="00CA3A08">
              <w:rPr>
                <w:rFonts w:ascii="Arial" w:hAnsi="Arial" w:cs="Arial"/>
                <w:sz w:val="20"/>
                <w:szCs w:val="20"/>
              </w:rPr>
              <w:t xml:space="preserve">Under Section 5 of the FTC Act, the FTC may hold companies to any use limitations established by their privacy notices.  Failing to abide by the representations made in a privacy notice is a “deceptive” business practice.  Also, it is an “unfair” practice to </w:t>
            </w:r>
            <w:r>
              <w:rPr>
                <w:rFonts w:ascii="Arial" w:hAnsi="Arial" w:cs="Arial"/>
                <w:sz w:val="20"/>
                <w:szCs w:val="20"/>
              </w:rPr>
              <w:t xml:space="preserve">make a material </w:t>
            </w:r>
            <w:r w:rsidRPr="00CA3A08">
              <w:rPr>
                <w:rFonts w:ascii="Arial" w:hAnsi="Arial" w:cs="Arial"/>
                <w:sz w:val="20"/>
                <w:szCs w:val="20"/>
              </w:rPr>
              <w:t xml:space="preserve">change </w:t>
            </w:r>
            <w:r>
              <w:rPr>
                <w:rFonts w:ascii="Arial" w:hAnsi="Arial" w:cs="Arial"/>
                <w:sz w:val="20"/>
                <w:szCs w:val="20"/>
              </w:rPr>
              <w:t xml:space="preserve">to </w:t>
            </w:r>
            <w:r w:rsidRPr="00CA3A08">
              <w:rPr>
                <w:rFonts w:ascii="Arial" w:hAnsi="Arial" w:cs="Arial"/>
                <w:sz w:val="20"/>
                <w:szCs w:val="20"/>
              </w:rPr>
              <w:t xml:space="preserve">a privacy policy and then </w:t>
            </w:r>
            <w:r w:rsidRPr="00CA3A08">
              <w:rPr>
                <w:rFonts w:ascii="Arial" w:hAnsi="Arial" w:cs="Arial"/>
                <w:sz w:val="20"/>
                <w:szCs w:val="20"/>
              </w:rPr>
              <w:lastRenderedPageBreak/>
              <w:t>retroactively apply the new policy to information collected under the earlier policy</w:t>
            </w:r>
            <w:r>
              <w:rPr>
                <w:rFonts w:ascii="Arial" w:hAnsi="Arial" w:cs="Arial"/>
                <w:sz w:val="20"/>
                <w:szCs w:val="20"/>
              </w:rPr>
              <w:t xml:space="preserve"> without consumers’ consent</w:t>
            </w:r>
            <w:r w:rsidRPr="00CA3A08">
              <w:rPr>
                <w:rFonts w:ascii="Arial" w:hAnsi="Arial" w:cs="Arial"/>
                <w:sz w:val="20"/>
                <w:szCs w:val="20"/>
              </w:rPr>
              <w:t>.  15 U.S.C. § 45.</w:t>
            </w:r>
          </w:p>
          <w:p w14:paraId="02626EDB" w14:textId="23898D20" w:rsidR="00313FD2" w:rsidRPr="00CA3A08" w:rsidRDefault="00313FD2" w:rsidP="00C9520B">
            <w:pPr>
              <w:rPr>
                <w:rFonts w:ascii="Arial" w:hAnsi="Arial" w:cs="Arial"/>
                <w:sz w:val="20"/>
                <w:szCs w:val="20"/>
              </w:rPr>
            </w:pPr>
          </w:p>
        </w:tc>
        <w:tc>
          <w:tcPr>
            <w:tcW w:w="3383" w:type="dxa"/>
          </w:tcPr>
          <w:p w14:paraId="17E2D065" w14:textId="777AC5D0" w:rsidR="00FA2B4D" w:rsidRPr="00CA3A08" w:rsidRDefault="00FA2B4D" w:rsidP="00C9520B">
            <w:pPr>
              <w:rPr>
                <w:rFonts w:ascii="Arial" w:hAnsi="Arial" w:cs="Arial"/>
                <w:sz w:val="20"/>
                <w:szCs w:val="20"/>
              </w:rPr>
            </w:pPr>
          </w:p>
        </w:tc>
        <w:tc>
          <w:tcPr>
            <w:tcW w:w="1209" w:type="dxa"/>
          </w:tcPr>
          <w:p w14:paraId="19D3A01C" w14:textId="77777777" w:rsidR="00FA2B4D" w:rsidRPr="00CA3A08" w:rsidRDefault="00FA2B4D" w:rsidP="00D70908">
            <w:pPr>
              <w:rPr>
                <w:rFonts w:ascii="Arial" w:eastAsia="Arial" w:hAnsi="Arial" w:cs="Arial"/>
                <w:sz w:val="20"/>
                <w:szCs w:val="20"/>
              </w:rPr>
            </w:pPr>
            <w:r w:rsidRPr="310DF885">
              <w:rPr>
                <w:rFonts w:ascii="Arial" w:eastAsia="Arial" w:hAnsi="Arial" w:cs="Arial"/>
                <w:sz w:val="20"/>
                <w:szCs w:val="20"/>
              </w:rPr>
              <w:t>Signed into law on September 26, 1914.</w:t>
            </w:r>
          </w:p>
          <w:p w14:paraId="4A62B1DE" w14:textId="1BB3411D" w:rsidR="00FA2B4D" w:rsidRPr="00CA3A08" w:rsidRDefault="00FA2B4D" w:rsidP="00C9520B">
            <w:pPr>
              <w:rPr>
                <w:rFonts w:ascii="Arial" w:eastAsia="Arial" w:hAnsi="Arial" w:cs="Arial"/>
                <w:sz w:val="20"/>
                <w:szCs w:val="20"/>
              </w:rPr>
            </w:pPr>
          </w:p>
        </w:tc>
      </w:tr>
      <w:tr w:rsidR="00783200" w:rsidRPr="00CA3A08" w14:paraId="2044D47A" w14:textId="77777777" w:rsidTr="009408B1">
        <w:tc>
          <w:tcPr>
            <w:tcW w:w="427" w:type="dxa"/>
            <w:vMerge w:val="restart"/>
          </w:tcPr>
          <w:p w14:paraId="752D790F" w14:textId="77777777" w:rsidR="00783200" w:rsidRPr="00CA3A08" w:rsidRDefault="00783200" w:rsidP="00783200">
            <w:pPr>
              <w:rPr>
                <w:rFonts w:ascii="Arial" w:hAnsi="Arial" w:cs="Arial"/>
                <w:sz w:val="20"/>
                <w:szCs w:val="20"/>
              </w:rPr>
            </w:pPr>
            <w:r w:rsidRPr="00CA3A08">
              <w:rPr>
                <w:rFonts w:ascii="Arial" w:hAnsi="Arial" w:cs="Arial"/>
                <w:sz w:val="20"/>
                <w:szCs w:val="20"/>
              </w:rPr>
              <w:t>4</w:t>
            </w:r>
          </w:p>
          <w:p w14:paraId="181CDE38" w14:textId="77777777" w:rsidR="00783200" w:rsidRPr="00CA3A08" w:rsidRDefault="00783200" w:rsidP="00783200">
            <w:pPr>
              <w:rPr>
                <w:rFonts w:ascii="Arial" w:hAnsi="Arial" w:cs="Arial"/>
                <w:sz w:val="20"/>
                <w:szCs w:val="20"/>
              </w:rPr>
            </w:pPr>
          </w:p>
        </w:tc>
        <w:tc>
          <w:tcPr>
            <w:tcW w:w="2903" w:type="dxa"/>
            <w:vMerge w:val="restart"/>
          </w:tcPr>
          <w:p w14:paraId="5F03CA71" w14:textId="77777777" w:rsidR="00783200" w:rsidRPr="00592C78" w:rsidRDefault="00783200" w:rsidP="00783200">
            <w:pPr>
              <w:adjustRightInd w:val="0"/>
              <w:ind w:left="34"/>
              <w:rPr>
                <w:rFonts w:ascii="Arial" w:hAnsi="Arial" w:cs="Arial"/>
                <w:b/>
                <w:bCs/>
                <w:i/>
                <w:iCs/>
                <w:sz w:val="20"/>
                <w:szCs w:val="20"/>
                <w:lang w:bidi="mni-IN"/>
              </w:rPr>
            </w:pPr>
            <w:r w:rsidRPr="00592C78">
              <w:rPr>
                <w:rFonts w:ascii="Arial" w:hAnsi="Arial" w:cs="Arial"/>
                <w:b/>
                <w:bCs/>
                <w:i/>
                <w:iCs/>
                <w:sz w:val="20"/>
                <w:szCs w:val="20"/>
                <w:lang w:bidi="mni-IN"/>
              </w:rPr>
              <w:t>IV Use of Personal Information</w:t>
            </w:r>
          </w:p>
          <w:p w14:paraId="2F7A305C" w14:textId="77777777" w:rsidR="00783200" w:rsidRPr="00592C78" w:rsidRDefault="00783200" w:rsidP="00783200">
            <w:pPr>
              <w:adjustRightInd w:val="0"/>
              <w:ind w:left="34"/>
              <w:rPr>
                <w:rFonts w:ascii="Arial" w:hAnsi="Arial" w:cs="Arial"/>
                <w:b/>
                <w:bCs/>
                <w:sz w:val="20"/>
                <w:szCs w:val="20"/>
                <w:lang w:bidi="mni-IN"/>
              </w:rPr>
            </w:pPr>
            <w:r w:rsidRPr="00592C78">
              <w:rPr>
                <w:rFonts w:ascii="Arial" w:hAnsi="Arial" w:cs="Arial"/>
                <w:b/>
                <w:bCs/>
                <w:sz w:val="20"/>
                <w:szCs w:val="20"/>
                <w:lang w:bidi="mni-IN"/>
              </w:rPr>
              <w:t xml:space="preserve">(Ref. Para. </w:t>
            </w:r>
            <w:r>
              <w:rPr>
                <w:rFonts w:ascii="Arial" w:hAnsi="Arial" w:cs="Arial"/>
                <w:b/>
                <w:bCs/>
                <w:sz w:val="20"/>
                <w:szCs w:val="20"/>
                <w:lang w:bidi="mni-IN"/>
              </w:rPr>
              <w:t>25</w:t>
            </w:r>
            <w:r w:rsidRPr="00592C78">
              <w:rPr>
                <w:rFonts w:ascii="Arial" w:hAnsi="Arial" w:cs="Arial"/>
                <w:b/>
                <w:bCs/>
                <w:sz w:val="20"/>
                <w:szCs w:val="20"/>
                <w:lang w:bidi="mni-IN"/>
              </w:rPr>
              <w:t>)</w:t>
            </w:r>
          </w:p>
          <w:p w14:paraId="7D9E150E" w14:textId="77777777" w:rsidR="00783200" w:rsidRPr="00592C78" w:rsidRDefault="00783200" w:rsidP="00783200">
            <w:pPr>
              <w:adjustRightInd w:val="0"/>
              <w:ind w:left="34"/>
              <w:rPr>
                <w:rFonts w:ascii="Arial" w:hAnsi="Arial" w:cs="Arial"/>
                <w:b/>
                <w:bCs/>
                <w:sz w:val="20"/>
                <w:szCs w:val="20"/>
                <w:lang w:bidi="mni-IN"/>
              </w:rPr>
            </w:pPr>
          </w:p>
          <w:p w14:paraId="349ABFE9" w14:textId="77777777" w:rsidR="00783200" w:rsidRPr="00592C78" w:rsidRDefault="00783200" w:rsidP="00783200">
            <w:pPr>
              <w:autoSpaceDE w:val="0"/>
              <w:autoSpaceDN w:val="0"/>
              <w:adjustRightInd w:val="0"/>
              <w:rPr>
                <w:rFonts w:ascii="Arial" w:hAnsi="Arial" w:cs="Arial"/>
                <w:sz w:val="20"/>
                <w:szCs w:val="20"/>
              </w:rPr>
            </w:pPr>
            <w:r w:rsidRPr="00592C78">
              <w:rPr>
                <w:rFonts w:ascii="Arial" w:hAnsi="Arial" w:cs="Arial"/>
                <w:sz w:val="20"/>
                <w:szCs w:val="20"/>
              </w:rPr>
              <w:t>Personal information collected should be used only to fulfill the purposes of</w:t>
            </w:r>
          </w:p>
          <w:p w14:paraId="2FC11102" w14:textId="77777777" w:rsidR="00783200" w:rsidRPr="00592C78" w:rsidRDefault="00783200" w:rsidP="00783200">
            <w:pPr>
              <w:autoSpaceDE w:val="0"/>
              <w:autoSpaceDN w:val="0"/>
              <w:adjustRightInd w:val="0"/>
              <w:rPr>
                <w:rFonts w:ascii="Arial" w:hAnsi="Arial" w:cs="Arial"/>
                <w:sz w:val="20"/>
                <w:szCs w:val="20"/>
              </w:rPr>
            </w:pPr>
            <w:r w:rsidRPr="00592C78">
              <w:rPr>
                <w:rFonts w:ascii="Arial" w:hAnsi="Arial" w:cs="Arial"/>
                <w:sz w:val="20"/>
                <w:szCs w:val="20"/>
              </w:rPr>
              <w:t>collection and other compatible or related purposes except:</w:t>
            </w:r>
          </w:p>
          <w:p w14:paraId="1CB63885" w14:textId="77777777" w:rsidR="00783200" w:rsidRPr="00592C78" w:rsidRDefault="00783200" w:rsidP="00783200">
            <w:pPr>
              <w:autoSpaceDE w:val="0"/>
              <w:autoSpaceDN w:val="0"/>
              <w:adjustRightInd w:val="0"/>
              <w:rPr>
                <w:rFonts w:ascii="Arial" w:hAnsi="Arial" w:cs="Arial"/>
                <w:sz w:val="20"/>
                <w:szCs w:val="20"/>
              </w:rPr>
            </w:pPr>
          </w:p>
          <w:p w14:paraId="15A3020A" w14:textId="77777777" w:rsidR="00783200" w:rsidRPr="00592C78" w:rsidRDefault="00783200" w:rsidP="00783200">
            <w:pPr>
              <w:autoSpaceDE w:val="0"/>
              <w:autoSpaceDN w:val="0"/>
              <w:adjustRightInd w:val="0"/>
              <w:rPr>
                <w:rFonts w:ascii="Arial" w:hAnsi="Arial" w:cs="Arial"/>
                <w:sz w:val="20"/>
                <w:szCs w:val="20"/>
              </w:rPr>
            </w:pPr>
            <w:r w:rsidRPr="00592C78">
              <w:rPr>
                <w:rFonts w:ascii="Arial" w:hAnsi="Arial" w:cs="Arial"/>
                <w:sz w:val="20"/>
                <w:szCs w:val="20"/>
              </w:rPr>
              <w:t>a) with the consent of the individual whose personal information is collected;</w:t>
            </w:r>
          </w:p>
          <w:p w14:paraId="2991E432" w14:textId="77777777" w:rsidR="00783200" w:rsidRPr="00592C78" w:rsidRDefault="00783200" w:rsidP="00783200">
            <w:pPr>
              <w:autoSpaceDE w:val="0"/>
              <w:autoSpaceDN w:val="0"/>
              <w:adjustRightInd w:val="0"/>
              <w:rPr>
                <w:rFonts w:ascii="Arial" w:hAnsi="Arial" w:cs="Arial"/>
                <w:sz w:val="20"/>
                <w:szCs w:val="20"/>
              </w:rPr>
            </w:pPr>
            <w:r w:rsidRPr="00592C78">
              <w:rPr>
                <w:rFonts w:ascii="Arial" w:hAnsi="Arial" w:cs="Arial"/>
                <w:sz w:val="20"/>
                <w:szCs w:val="20"/>
              </w:rPr>
              <w:t>b) when necessary to provide a service or product requested by the individual; or,</w:t>
            </w:r>
          </w:p>
          <w:p w14:paraId="5CEC0C3B" w14:textId="77777777" w:rsidR="00783200" w:rsidRPr="00592C78" w:rsidRDefault="00783200" w:rsidP="00783200">
            <w:pPr>
              <w:adjustRightInd w:val="0"/>
              <w:rPr>
                <w:rFonts w:ascii="Arial" w:hAnsi="Arial" w:cs="Arial"/>
                <w:sz w:val="20"/>
                <w:szCs w:val="20"/>
                <w:lang w:bidi="mni-IN"/>
              </w:rPr>
            </w:pPr>
            <w:r w:rsidRPr="00592C78">
              <w:rPr>
                <w:rFonts w:ascii="Arial" w:hAnsi="Arial" w:cs="Arial"/>
                <w:sz w:val="20"/>
                <w:szCs w:val="20"/>
              </w:rPr>
              <w:t>c) by the authority of law and other legal instruments, proclamations and pronouncements of legal effect.</w:t>
            </w:r>
          </w:p>
          <w:p w14:paraId="2685CF34" w14:textId="77777777" w:rsidR="00783200" w:rsidRPr="00CA3A08" w:rsidRDefault="00783200" w:rsidP="00783200">
            <w:pPr>
              <w:adjustRightInd w:val="0"/>
              <w:ind w:left="72"/>
              <w:rPr>
                <w:rFonts w:ascii="Arial" w:hAnsi="Arial" w:cs="Arial"/>
                <w:b/>
                <w:bCs/>
                <w:i/>
                <w:iCs/>
                <w:sz w:val="20"/>
                <w:szCs w:val="20"/>
              </w:rPr>
            </w:pPr>
          </w:p>
        </w:tc>
        <w:tc>
          <w:tcPr>
            <w:tcW w:w="3383" w:type="dxa"/>
          </w:tcPr>
          <w:p w14:paraId="766AD4F4" w14:textId="3C099279" w:rsidR="00783200" w:rsidRPr="00CA3A08" w:rsidRDefault="00783200" w:rsidP="00783200">
            <w:pPr>
              <w:rPr>
                <w:rFonts w:ascii="Arial" w:eastAsia="Arial" w:hAnsi="Arial" w:cs="Arial"/>
                <w:b/>
                <w:bCs/>
                <w:i/>
                <w:iCs/>
                <w:sz w:val="20"/>
                <w:szCs w:val="20"/>
                <w:u w:val="single"/>
              </w:rPr>
            </w:pPr>
            <w:r w:rsidRPr="00CA3A08">
              <w:rPr>
                <w:rFonts w:ascii="Arial" w:hAnsi="Arial" w:cs="Arial"/>
                <w:b/>
                <w:bCs/>
                <w:i/>
                <w:iCs/>
                <w:sz w:val="20"/>
                <w:szCs w:val="20"/>
                <w:u w:val="single"/>
              </w:rPr>
              <w:t>The Fair Credit Reporting Act (FCRA),</w:t>
            </w:r>
            <w:r w:rsidRPr="00CA3A08">
              <w:rPr>
                <w:rFonts w:ascii="Arial" w:hAnsi="Arial" w:cs="Arial"/>
                <w:i/>
                <w:iCs/>
                <w:sz w:val="20"/>
                <w:szCs w:val="20"/>
                <w:u w:val="single"/>
              </w:rPr>
              <w:t xml:space="preserve"> </w:t>
            </w:r>
            <w:r w:rsidRPr="00CA3A08">
              <w:rPr>
                <w:rFonts w:ascii="Arial" w:hAnsi="Arial" w:cs="Arial"/>
                <w:sz w:val="20"/>
                <w:szCs w:val="20"/>
              </w:rPr>
              <w:t xml:space="preserve">15 U.S.C. § 1681 et seq.  </w:t>
            </w:r>
          </w:p>
        </w:tc>
        <w:tc>
          <w:tcPr>
            <w:tcW w:w="3383" w:type="dxa"/>
          </w:tcPr>
          <w:p w14:paraId="5E5E7108" w14:textId="398C0DB5" w:rsidR="00783200" w:rsidRDefault="00783200" w:rsidP="00783200">
            <w:pPr>
              <w:spacing w:line="259" w:lineRule="auto"/>
              <w:rPr>
                <w:rFonts w:ascii="Arial" w:hAnsi="Arial" w:cs="Arial"/>
                <w:sz w:val="20"/>
                <w:szCs w:val="20"/>
              </w:rPr>
            </w:pPr>
            <w:r w:rsidRPr="00CA3A08">
              <w:rPr>
                <w:rFonts w:ascii="Arial" w:hAnsi="Arial" w:cs="Arial"/>
                <w:sz w:val="20"/>
                <w:szCs w:val="20"/>
                <w:lang w:val="en-CA"/>
              </w:rPr>
              <w:fldChar w:fldCharType="begin"/>
            </w:r>
            <w:r w:rsidRPr="00CA3A08">
              <w:rPr>
                <w:rFonts w:ascii="Arial" w:hAnsi="Arial" w:cs="Arial"/>
                <w:sz w:val="20"/>
                <w:szCs w:val="20"/>
                <w:lang w:val="en-CA"/>
              </w:rPr>
              <w:instrText xml:space="preserve"> SEQ CHAPTER \h \r 1</w:instrText>
            </w:r>
            <w:r w:rsidRPr="00CA3A08">
              <w:rPr>
                <w:rFonts w:ascii="Arial" w:hAnsi="Arial" w:cs="Arial"/>
                <w:sz w:val="20"/>
                <w:szCs w:val="20"/>
                <w:lang w:val="en-CA"/>
              </w:rPr>
              <w:fldChar w:fldCharType="end"/>
            </w:r>
            <w:r w:rsidRPr="00CA3A08">
              <w:rPr>
                <w:rFonts w:ascii="Arial" w:hAnsi="Arial" w:cs="Arial"/>
                <w:sz w:val="20"/>
                <w:szCs w:val="20"/>
              </w:rPr>
              <w:t xml:space="preserve">The FCRA limits the use of consumer report information to certain “permissible purposes” unless the consumer consents to different uses.  15 U.S.C. § 1681b(a).   Users of consumer reports must certify that they will use the information only for that purpose.  15 U.S.C. § 1681e(a).  </w:t>
            </w:r>
          </w:p>
          <w:p w14:paraId="4CF6A508" w14:textId="77777777" w:rsidR="00783200" w:rsidRDefault="00783200" w:rsidP="00783200">
            <w:pPr>
              <w:spacing w:line="259" w:lineRule="auto"/>
              <w:rPr>
                <w:rFonts w:ascii="Arial" w:hAnsi="Arial" w:cs="Arial"/>
                <w:sz w:val="20"/>
                <w:szCs w:val="20"/>
              </w:rPr>
            </w:pPr>
          </w:p>
          <w:p w14:paraId="25002002" w14:textId="77777777" w:rsidR="00783200" w:rsidRDefault="00783200" w:rsidP="00783200">
            <w:pPr>
              <w:spacing w:line="259" w:lineRule="auto"/>
              <w:rPr>
                <w:rFonts w:ascii="Arial" w:hAnsi="Arial" w:cs="Arial"/>
                <w:sz w:val="20"/>
                <w:szCs w:val="20"/>
              </w:rPr>
            </w:pPr>
            <w:r w:rsidRPr="00CA3A08">
              <w:rPr>
                <w:rFonts w:ascii="Arial" w:hAnsi="Arial" w:cs="Arial"/>
                <w:sz w:val="20"/>
                <w:szCs w:val="20"/>
              </w:rPr>
              <w:t>The FCRA generally prohibits creditors from obtaining or using medical information pertaining to a consumer in connection with any determination of the consumer’s eligibility or continued eligibility for credit, subject to certain exceptions.  15 U.S.C. 1681b(g);</w:t>
            </w:r>
            <w:r>
              <w:rPr>
                <w:rFonts w:ascii="Arial" w:hAnsi="Arial" w:cs="Arial"/>
                <w:sz w:val="20"/>
                <w:szCs w:val="20"/>
              </w:rPr>
              <w:t xml:space="preserve"> 12 C.F.R. Part 1022, Subpart D.</w:t>
            </w:r>
            <w:r w:rsidRPr="00CA3A08">
              <w:rPr>
                <w:rFonts w:ascii="Arial" w:hAnsi="Arial" w:cs="Arial"/>
                <w:sz w:val="20"/>
                <w:szCs w:val="20"/>
              </w:rPr>
              <w:t xml:space="preserve"> </w:t>
            </w:r>
          </w:p>
          <w:p w14:paraId="7B789763" w14:textId="2D25FA4D" w:rsidR="00783200" w:rsidRDefault="00783200" w:rsidP="00783200">
            <w:pPr>
              <w:spacing w:line="259" w:lineRule="auto"/>
              <w:rPr>
                <w:rFonts w:ascii="Arial" w:eastAsia="Arial" w:hAnsi="Arial" w:cs="Arial"/>
                <w:sz w:val="20"/>
                <w:szCs w:val="20"/>
              </w:rPr>
            </w:pPr>
          </w:p>
        </w:tc>
        <w:tc>
          <w:tcPr>
            <w:tcW w:w="3383" w:type="dxa"/>
          </w:tcPr>
          <w:p w14:paraId="5C54AFD1" w14:textId="77777777" w:rsidR="00783200" w:rsidRPr="00CA3A08" w:rsidRDefault="00783200" w:rsidP="00783200">
            <w:pPr>
              <w:spacing w:after="240"/>
              <w:rPr>
                <w:rFonts w:ascii="Arial" w:hAnsi="Arial" w:cs="Arial"/>
                <w:sz w:val="20"/>
                <w:szCs w:val="20"/>
              </w:rPr>
            </w:pPr>
          </w:p>
        </w:tc>
        <w:tc>
          <w:tcPr>
            <w:tcW w:w="1209" w:type="dxa"/>
          </w:tcPr>
          <w:p w14:paraId="2FAEC3C9"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October 26, 1970.</w:t>
            </w:r>
          </w:p>
          <w:p w14:paraId="37E9D2B2" w14:textId="77777777" w:rsidR="00783200" w:rsidRPr="310DF885" w:rsidRDefault="00783200" w:rsidP="00783200">
            <w:pPr>
              <w:rPr>
                <w:rFonts w:ascii="Arial" w:eastAsia="Arial" w:hAnsi="Arial" w:cs="Arial"/>
                <w:sz w:val="20"/>
                <w:szCs w:val="20"/>
              </w:rPr>
            </w:pPr>
          </w:p>
        </w:tc>
      </w:tr>
      <w:tr w:rsidR="00783200" w:rsidRPr="00CA3A08" w14:paraId="21A52E5A" w14:textId="77777777" w:rsidTr="009408B1">
        <w:tc>
          <w:tcPr>
            <w:tcW w:w="427" w:type="dxa"/>
            <w:vMerge/>
          </w:tcPr>
          <w:p w14:paraId="6FCB1B85" w14:textId="77777777" w:rsidR="00783200" w:rsidRPr="00CA3A08" w:rsidRDefault="00783200" w:rsidP="00783200">
            <w:pPr>
              <w:rPr>
                <w:rFonts w:ascii="Arial" w:hAnsi="Arial" w:cs="Arial"/>
                <w:sz w:val="20"/>
                <w:szCs w:val="20"/>
              </w:rPr>
            </w:pPr>
          </w:p>
        </w:tc>
        <w:tc>
          <w:tcPr>
            <w:tcW w:w="2903" w:type="dxa"/>
            <w:vMerge/>
          </w:tcPr>
          <w:p w14:paraId="66678015" w14:textId="77777777" w:rsidR="00783200" w:rsidRPr="00CA3A08" w:rsidRDefault="00783200" w:rsidP="00783200">
            <w:pPr>
              <w:adjustRightInd w:val="0"/>
              <w:ind w:left="72"/>
              <w:rPr>
                <w:rFonts w:ascii="Arial" w:hAnsi="Arial" w:cs="Arial"/>
                <w:sz w:val="20"/>
                <w:szCs w:val="20"/>
              </w:rPr>
            </w:pPr>
          </w:p>
        </w:tc>
        <w:tc>
          <w:tcPr>
            <w:tcW w:w="3383" w:type="dxa"/>
          </w:tcPr>
          <w:p w14:paraId="2BA98012" w14:textId="5A63B6E0" w:rsidR="00783200" w:rsidRPr="00CA3A08" w:rsidRDefault="00783200" w:rsidP="00783200">
            <w:pPr>
              <w:rPr>
                <w:rFonts w:ascii="Arial" w:hAnsi="Arial" w:cs="Arial"/>
                <w:sz w:val="20"/>
                <w:szCs w:val="20"/>
              </w:rPr>
            </w:pPr>
            <w:r w:rsidRPr="00CA3A08">
              <w:rPr>
                <w:rFonts w:ascii="Arial" w:eastAsia="Arial" w:hAnsi="Arial" w:cs="Arial"/>
                <w:b/>
                <w:bCs/>
                <w:i/>
                <w:iCs/>
                <w:sz w:val="20"/>
                <w:szCs w:val="20"/>
                <w:u w:val="single"/>
              </w:rPr>
              <w:t>Restore Online Shoppers’ Confidence Act</w:t>
            </w:r>
            <w:r>
              <w:rPr>
                <w:rFonts w:ascii="Arial" w:eastAsia="Arial" w:hAnsi="Arial" w:cs="Arial"/>
                <w:b/>
                <w:bCs/>
                <w:i/>
                <w:iCs/>
                <w:sz w:val="20"/>
                <w:szCs w:val="20"/>
                <w:u w:val="single"/>
              </w:rPr>
              <w:t>,</w:t>
            </w:r>
            <w:r w:rsidRPr="003F0964">
              <w:rPr>
                <w:rFonts w:ascii="Arial" w:eastAsia="Arial" w:hAnsi="Arial" w:cs="Arial"/>
                <w:b/>
                <w:bCs/>
                <w:sz w:val="20"/>
                <w:szCs w:val="20"/>
                <w:u w:val="single"/>
              </w:rPr>
              <w:t xml:space="preserve"> 15 U.S.C. §§ 8401 </w:t>
            </w:r>
            <w:r>
              <w:rPr>
                <w:rFonts w:ascii="Arial" w:eastAsia="Arial" w:hAnsi="Arial" w:cs="Arial"/>
                <w:b/>
                <w:bCs/>
                <w:sz w:val="20"/>
                <w:szCs w:val="20"/>
                <w:u w:val="single"/>
              </w:rPr>
              <w:t xml:space="preserve">- </w:t>
            </w:r>
            <w:r w:rsidRPr="003F0964">
              <w:rPr>
                <w:rFonts w:ascii="Arial" w:eastAsia="Arial" w:hAnsi="Arial" w:cs="Arial"/>
                <w:b/>
                <w:bCs/>
                <w:sz w:val="20"/>
                <w:szCs w:val="20"/>
                <w:u w:val="single"/>
              </w:rPr>
              <w:t>840</w:t>
            </w:r>
            <w:r>
              <w:rPr>
                <w:rFonts w:ascii="Arial" w:eastAsia="Arial" w:hAnsi="Arial" w:cs="Arial"/>
                <w:b/>
                <w:bCs/>
                <w:sz w:val="20"/>
                <w:szCs w:val="20"/>
                <w:u w:val="single"/>
              </w:rPr>
              <w:t>5</w:t>
            </w:r>
            <w:r w:rsidRPr="003F0964">
              <w:rPr>
                <w:rFonts w:ascii="Arial" w:eastAsia="Arial" w:hAnsi="Arial" w:cs="Arial"/>
                <w:b/>
                <w:bCs/>
                <w:sz w:val="20"/>
                <w:szCs w:val="20"/>
                <w:u w:val="single"/>
              </w:rPr>
              <w:t>.</w:t>
            </w:r>
          </w:p>
        </w:tc>
        <w:tc>
          <w:tcPr>
            <w:tcW w:w="3383" w:type="dxa"/>
          </w:tcPr>
          <w:p w14:paraId="25C08938" w14:textId="742C9F8D" w:rsidR="00783200" w:rsidRPr="00A26F1B" w:rsidRDefault="00783200" w:rsidP="00783200">
            <w:pPr>
              <w:spacing w:after="160" w:line="259" w:lineRule="auto"/>
              <w:rPr>
                <w:rFonts w:ascii="Arial" w:eastAsia="Arial" w:hAnsi="Arial" w:cs="Arial"/>
                <w:sz w:val="20"/>
                <w:szCs w:val="20"/>
              </w:rPr>
            </w:pPr>
            <w:r>
              <w:rPr>
                <w:rFonts w:ascii="Arial" w:eastAsia="Arial" w:hAnsi="Arial" w:cs="Arial"/>
                <w:sz w:val="20"/>
                <w:szCs w:val="20"/>
              </w:rPr>
              <w:t>The Restore Online Shoppers’ Confidence Act prohibits</w:t>
            </w:r>
            <w:r w:rsidRPr="00C83285">
              <w:rPr>
                <w:rFonts w:ascii="Arial" w:eastAsia="Arial" w:hAnsi="Arial" w:cs="Arial"/>
                <w:sz w:val="20"/>
                <w:szCs w:val="20"/>
              </w:rPr>
              <w:t xml:space="preserve"> an initial merchant </w:t>
            </w:r>
            <w:r>
              <w:rPr>
                <w:rFonts w:ascii="Arial" w:eastAsia="Arial" w:hAnsi="Arial" w:cs="Arial"/>
                <w:sz w:val="20"/>
                <w:szCs w:val="20"/>
              </w:rPr>
              <w:t>from disclosing</w:t>
            </w:r>
            <w:r w:rsidRPr="00C83285">
              <w:rPr>
                <w:rFonts w:ascii="Arial" w:eastAsia="Arial" w:hAnsi="Arial" w:cs="Arial"/>
                <w:sz w:val="20"/>
                <w:szCs w:val="20"/>
              </w:rPr>
              <w:t xml:space="preserve"> a credit card, debit card, bank account, or other financial account number, or other billing information that is used to charge a customer of the initial merchant, to any post-transaction </w:t>
            </w:r>
            <w:r w:rsidRPr="00C83285">
              <w:rPr>
                <w:rFonts w:ascii="Arial" w:eastAsia="Arial" w:hAnsi="Arial" w:cs="Arial"/>
                <w:sz w:val="20"/>
                <w:szCs w:val="20"/>
              </w:rPr>
              <w:lastRenderedPageBreak/>
              <w:t>third party seller</w:t>
            </w:r>
            <w:r>
              <w:rPr>
                <w:rFonts w:ascii="Arial" w:eastAsia="Arial" w:hAnsi="Arial" w:cs="Arial"/>
                <w:sz w:val="20"/>
                <w:szCs w:val="20"/>
              </w:rPr>
              <w:t xml:space="preserve">. (This practice is sometimes referred to as data-pass, and the act prohibits the use of data-pass to facilitate the deceptive internet sales transaction described above). </w:t>
            </w:r>
            <w:r w:rsidRPr="004D6EEB">
              <w:rPr>
                <w:rFonts w:ascii="Arial" w:eastAsia="Arial" w:hAnsi="Arial" w:cs="Arial"/>
                <w:sz w:val="20"/>
                <w:szCs w:val="20"/>
              </w:rPr>
              <w:t xml:space="preserve">15 U.S.C. § </w:t>
            </w:r>
            <w:r>
              <w:rPr>
                <w:rFonts w:ascii="Arial" w:eastAsia="Arial" w:hAnsi="Arial" w:cs="Arial"/>
                <w:sz w:val="20"/>
                <w:szCs w:val="20"/>
              </w:rPr>
              <w:t xml:space="preserve">8401, </w:t>
            </w:r>
            <w:r w:rsidRPr="004D6EEB">
              <w:rPr>
                <w:rFonts w:ascii="Arial" w:eastAsia="Arial" w:hAnsi="Arial" w:cs="Arial"/>
                <w:sz w:val="20"/>
                <w:szCs w:val="20"/>
              </w:rPr>
              <w:t>840</w:t>
            </w:r>
            <w:r>
              <w:rPr>
                <w:rFonts w:ascii="Arial" w:eastAsia="Arial" w:hAnsi="Arial" w:cs="Arial"/>
                <w:sz w:val="20"/>
                <w:szCs w:val="20"/>
              </w:rPr>
              <w:t>2(b).</w:t>
            </w:r>
          </w:p>
        </w:tc>
        <w:tc>
          <w:tcPr>
            <w:tcW w:w="3383" w:type="dxa"/>
          </w:tcPr>
          <w:p w14:paraId="665CFA90" w14:textId="77777777" w:rsidR="00783200" w:rsidRPr="00CA3A08" w:rsidRDefault="00783200" w:rsidP="00783200">
            <w:pPr>
              <w:spacing w:after="240"/>
              <w:rPr>
                <w:rFonts w:ascii="Arial" w:hAnsi="Arial" w:cs="Arial"/>
                <w:sz w:val="20"/>
                <w:szCs w:val="20"/>
              </w:rPr>
            </w:pPr>
          </w:p>
        </w:tc>
        <w:tc>
          <w:tcPr>
            <w:tcW w:w="1209" w:type="dxa"/>
          </w:tcPr>
          <w:p w14:paraId="1805629F" w14:textId="03EF960E" w:rsidR="00783200" w:rsidRPr="00CA3A08" w:rsidRDefault="00783200" w:rsidP="00783200">
            <w:pPr>
              <w:rPr>
                <w:rFonts w:ascii="Arial" w:hAnsi="Arial" w:cs="Arial"/>
                <w:sz w:val="20"/>
                <w:szCs w:val="20"/>
              </w:rPr>
            </w:pPr>
            <w:r w:rsidRPr="310DF885">
              <w:rPr>
                <w:rFonts w:ascii="Arial" w:eastAsia="Arial" w:hAnsi="Arial" w:cs="Arial"/>
                <w:sz w:val="20"/>
                <w:szCs w:val="20"/>
              </w:rPr>
              <w:t>Signed into law on December 29, 2010.</w:t>
            </w:r>
          </w:p>
        </w:tc>
      </w:tr>
      <w:tr w:rsidR="00783200" w:rsidRPr="00CA3A08" w14:paraId="64DF8B27" w14:textId="77777777" w:rsidTr="009408B1">
        <w:tc>
          <w:tcPr>
            <w:tcW w:w="427" w:type="dxa"/>
            <w:vMerge/>
          </w:tcPr>
          <w:p w14:paraId="0EE6FC7C" w14:textId="77777777" w:rsidR="00783200" w:rsidRPr="00CA3A08" w:rsidRDefault="00783200" w:rsidP="00783200">
            <w:pPr>
              <w:rPr>
                <w:rFonts w:ascii="Arial" w:hAnsi="Arial" w:cs="Arial"/>
                <w:sz w:val="20"/>
                <w:szCs w:val="20"/>
              </w:rPr>
            </w:pPr>
          </w:p>
        </w:tc>
        <w:tc>
          <w:tcPr>
            <w:tcW w:w="2903" w:type="dxa"/>
            <w:vMerge/>
          </w:tcPr>
          <w:p w14:paraId="4E70E143"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5B7E945D" w14:textId="01AE6A21" w:rsidR="00783200" w:rsidRPr="00CA3A08" w:rsidRDefault="00783200" w:rsidP="00783200">
            <w:pPr>
              <w:rPr>
                <w:rFonts w:ascii="Arial" w:hAnsi="Arial" w:cs="Arial"/>
                <w:b/>
                <w:bCs/>
                <w:i/>
                <w:iCs/>
                <w:sz w:val="20"/>
                <w:szCs w:val="20"/>
                <w:u w:val="single"/>
              </w:rPr>
            </w:pPr>
            <w:r w:rsidRPr="00CA3A08">
              <w:rPr>
                <w:rFonts w:ascii="Arial" w:hAnsi="Arial" w:cs="Arial"/>
                <w:b/>
                <w:bCs/>
                <w:i/>
                <w:iCs/>
                <w:sz w:val="20"/>
                <w:szCs w:val="20"/>
                <w:u w:val="single"/>
              </w:rPr>
              <w:t xml:space="preserve">The Drivers Privacy Protection Act of 1994 </w:t>
            </w:r>
            <w:r w:rsidRPr="00CA3A08">
              <w:rPr>
                <w:rFonts w:ascii="Arial" w:hAnsi="Arial" w:cs="Arial"/>
                <w:b/>
                <w:bCs/>
                <w:sz w:val="20"/>
                <w:szCs w:val="20"/>
                <w:u w:val="single"/>
              </w:rPr>
              <w:t>(DPPA)</w:t>
            </w:r>
            <w:r w:rsidRPr="00CA3A08">
              <w:rPr>
                <w:rFonts w:ascii="Arial" w:hAnsi="Arial" w:cs="Arial"/>
                <w:sz w:val="20"/>
                <w:szCs w:val="20"/>
              </w:rPr>
              <w:t>, 18 U.S.C. § 2721 et seq.</w:t>
            </w:r>
          </w:p>
        </w:tc>
        <w:tc>
          <w:tcPr>
            <w:tcW w:w="3383" w:type="dxa"/>
          </w:tcPr>
          <w:p w14:paraId="220EA980" w14:textId="1B2A34CE" w:rsidR="00783200" w:rsidRPr="00CA3A08" w:rsidRDefault="00783200" w:rsidP="00783200">
            <w:pPr>
              <w:spacing w:after="240"/>
              <w:rPr>
                <w:rFonts w:ascii="Arial" w:hAnsi="Arial" w:cs="Arial"/>
                <w:sz w:val="20"/>
                <w:szCs w:val="20"/>
              </w:rPr>
            </w:pPr>
            <w:r w:rsidRPr="00CA3A08">
              <w:rPr>
                <w:rFonts w:ascii="Arial" w:hAnsi="Arial" w:cs="Arial"/>
                <w:sz w:val="20"/>
                <w:szCs w:val="20"/>
              </w:rPr>
              <w:t>The DPPA limits the use of individuals’</w:t>
            </w:r>
            <w:r>
              <w:rPr>
                <w:rFonts w:ascii="Arial" w:hAnsi="Arial" w:cs="Arial"/>
                <w:sz w:val="20"/>
                <w:szCs w:val="20"/>
              </w:rPr>
              <w:t xml:space="preserve"> personal</w:t>
            </w:r>
            <w:r w:rsidRPr="00CA3A08">
              <w:rPr>
                <w:rFonts w:ascii="Arial" w:hAnsi="Arial" w:cs="Arial"/>
                <w:sz w:val="20"/>
                <w:szCs w:val="20"/>
              </w:rPr>
              <w:t xml:space="preserve"> information to certain “permissible </w:t>
            </w:r>
            <w:r>
              <w:rPr>
                <w:rFonts w:ascii="Arial" w:hAnsi="Arial" w:cs="Arial"/>
                <w:sz w:val="20"/>
                <w:szCs w:val="20"/>
              </w:rPr>
              <w:t>uses</w:t>
            </w:r>
            <w:r w:rsidRPr="00CA3A08">
              <w:rPr>
                <w:rFonts w:ascii="Arial" w:hAnsi="Arial" w:cs="Arial"/>
                <w:sz w:val="20"/>
                <w:szCs w:val="20"/>
              </w:rPr>
              <w:t xml:space="preserve">” </w:t>
            </w:r>
            <w:r>
              <w:rPr>
                <w:rFonts w:ascii="Arial" w:hAnsi="Arial" w:cs="Arial"/>
                <w:sz w:val="20"/>
                <w:szCs w:val="20"/>
              </w:rPr>
              <w:t xml:space="preserve">outlined in Section B of </w:t>
            </w:r>
            <w:r w:rsidRPr="0062640F">
              <w:rPr>
                <w:rFonts w:ascii="Arial" w:hAnsi="Arial" w:cs="Arial"/>
                <w:sz w:val="20"/>
                <w:szCs w:val="20"/>
              </w:rPr>
              <w:t xml:space="preserve">18 U.S.C. § 2721 </w:t>
            </w:r>
            <w:r w:rsidRPr="00CA3A08">
              <w:rPr>
                <w:rFonts w:ascii="Arial" w:hAnsi="Arial" w:cs="Arial"/>
                <w:sz w:val="20"/>
                <w:szCs w:val="20"/>
              </w:rPr>
              <w:t>unless the individual consents to different uses. 18 U.S.C. § 2721</w:t>
            </w:r>
          </w:p>
        </w:tc>
        <w:tc>
          <w:tcPr>
            <w:tcW w:w="3383" w:type="dxa"/>
          </w:tcPr>
          <w:p w14:paraId="278954B0" w14:textId="77777777" w:rsidR="00783200" w:rsidRPr="00CA3A08" w:rsidRDefault="00783200" w:rsidP="00783200">
            <w:pPr>
              <w:spacing w:after="240"/>
              <w:rPr>
                <w:rFonts w:ascii="Arial" w:hAnsi="Arial" w:cs="Arial"/>
                <w:sz w:val="20"/>
                <w:szCs w:val="20"/>
              </w:rPr>
            </w:pPr>
          </w:p>
        </w:tc>
        <w:tc>
          <w:tcPr>
            <w:tcW w:w="1209" w:type="dxa"/>
          </w:tcPr>
          <w:p w14:paraId="3ACF1BD9"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September 13, 1994.</w:t>
            </w:r>
          </w:p>
          <w:p w14:paraId="5A82BED3" w14:textId="3D387AE3" w:rsidR="00783200" w:rsidRPr="310DF885" w:rsidRDefault="00783200" w:rsidP="00783200">
            <w:pPr>
              <w:rPr>
                <w:rFonts w:ascii="Arial" w:eastAsia="Arial" w:hAnsi="Arial" w:cs="Arial"/>
                <w:sz w:val="20"/>
                <w:szCs w:val="20"/>
              </w:rPr>
            </w:pPr>
          </w:p>
        </w:tc>
      </w:tr>
      <w:tr w:rsidR="00783200" w:rsidRPr="00CA3A08" w14:paraId="578D4734" w14:textId="77777777" w:rsidTr="009408B1">
        <w:tc>
          <w:tcPr>
            <w:tcW w:w="427" w:type="dxa"/>
            <w:vMerge/>
          </w:tcPr>
          <w:p w14:paraId="31DB9006" w14:textId="77777777" w:rsidR="00783200" w:rsidRPr="00CA3A08" w:rsidRDefault="00783200" w:rsidP="00783200">
            <w:pPr>
              <w:rPr>
                <w:rFonts w:ascii="Arial" w:hAnsi="Arial" w:cs="Arial"/>
                <w:sz w:val="20"/>
                <w:szCs w:val="20"/>
              </w:rPr>
            </w:pPr>
          </w:p>
        </w:tc>
        <w:tc>
          <w:tcPr>
            <w:tcW w:w="2903" w:type="dxa"/>
            <w:vMerge/>
          </w:tcPr>
          <w:p w14:paraId="4F310ED2"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2812638F" w14:textId="704623F6" w:rsidR="00783200" w:rsidRPr="00CA3A08" w:rsidRDefault="00783200" w:rsidP="00783200">
            <w:pPr>
              <w:rPr>
                <w:rFonts w:ascii="Arial" w:hAnsi="Arial" w:cs="Arial"/>
                <w:b/>
                <w:bCs/>
                <w:i/>
                <w:iCs/>
                <w:sz w:val="20"/>
                <w:szCs w:val="20"/>
                <w:u w:val="single"/>
              </w:rPr>
            </w:pPr>
            <w:r w:rsidRPr="00CA3A08">
              <w:rPr>
                <w:rFonts w:ascii="Arial" w:hAnsi="Arial" w:cs="Arial"/>
                <w:b/>
                <w:bCs/>
                <w:i/>
                <w:iCs/>
                <w:sz w:val="20"/>
                <w:szCs w:val="20"/>
                <w:u w:val="single"/>
              </w:rPr>
              <w:t>Health Insurance Portability and Accountability Act (HIPAA)</w:t>
            </w:r>
            <w:r w:rsidRPr="00CA3A08">
              <w:rPr>
                <w:rFonts w:ascii="Arial" w:hAnsi="Arial" w:cs="Arial"/>
                <w:sz w:val="20"/>
                <w:szCs w:val="20"/>
              </w:rPr>
              <w:t>, Pub. L. 104-191 §§ 262 &amp; 264) Privacy Rule, 45 C.F.R. Parts 160 &amp; 164.</w:t>
            </w:r>
          </w:p>
        </w:tc>
        <w:tc>
          <w:tcPr>
            <w:tcW w:w="3383" w:type="dxa"/>
          </w:tcPr>
          <w:p w14:paraId="6482338C" w14:textId="6F2474B7" w:rsidR="00783200" w:rsidRPr="00CA3A08" w:rsidRDefault="00783200" w:rsidP="00783200">
            <w:pPr>
              <w:spacing w:after="240"/>
              <w:rPr>
                <w:rFonts w:ascii="Arial" w:hAnsi="Arial" w:cs="Arial"/>
                <w:sz w:val="20"/>
                <w:szCs w:val="20"/>
              </w:rPr>
            </w:pPr>
            <w:r w:rsidRPr="00CA3A08">
              <w:rPr>
                <w:rFonts w:ascii="Arial" w:hAnsi="Arial" w:cs="Arial"/>
                <w:sz w:val="20"/>
                <w:szCs w:val="20"/>
              </w:rPr>
              <w:t>The HIPAA Privacy Rule is mostly a use limitation rule. While uses and disclosures of protected health information are permitted without consent for treatment, payment, or health care operations, other uses are divided into three categories:  those for which authorization is required (opt in), those for which an opportunity to agree or object is required (opt out), and those for which an authorization or opportunity to object is not required.  For those disclosures requiring authorization, the form and content of authorizations is specified.  45 C.F.R. § 164.506-14.</w:t>
            </w:r>
          </w:p>
        </w:tc>
        <w:tc>
          <w:tcPr>
            <w:tcW w:w="3383" w:type="dxa"/>
          </w:tcPr>
          <w:p w14:paraId="72007073" w14:textId="77777777" w:rsidR="00783200" w:rsidRPr="00CA3A08" w:rsidRDefault="00783200" w:rsidP="00783200">
            <w:pPr>
              <w:spacing w:after="240"/>
              <w:rPr>
                <w:rFonts w:ascii="Arial" w:hAnsi="Arial" w:cs="Arial"/>
                <w:sz w:val="20"/>
                <w:szCs w:val="20"/>
              </w:rPr>
            </w:pPr>
          </w:p>
        </w:tc>
        <w:tc>
          <w:tcPr>
            <w:tcW w:w="1209" w:type="dxa"/>
          </w:tcPr>
          <w:p w14:paraId="649E7BA0"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August 21, 1996.</w:t>
            </w:r>
          </w:p>
          <w:p w14:paraId="15E6EFE1" w14:textId="76F7A611" w:rsidR="00783200" w:rsidRPr="310DF885" w:rsidRDefault="00783200" w:rsidP="00783200">
            <w:pPr>
              <w:rPr>
                <w:rFonts w:ascii="Arial" w:eastAsia="Arial" w:hAnsi="Arial" w:cs="Arial"/>
                <w:sz w:val="20"/>
                <w:szCs w:val="20"/>
              </w:rPr>
            </w:pPr>
          </w:p>
        </w:tc>
      </w:tr>
      <w:tr w:rsidR="00783200" w:rsidRPr="00CA3A08" w14:paraId="48676840" w14:textId="77777777" w:rsidTr="009408B1">
        <w:tc>
          <w:tcPr>
            <w:tcW w:w="427" w:type="dxa"/>
            <w:vMerge/>
          </w:tcPr>
          <w:p w14:paraId="58EFFC33" w14:textId="77777777" w:rsidR="00783200" w:rsidRPr="00CA3A08" w:rsidRDefault="00783200" w:rsidP="00783200">
            <w:pPr>
              <w:rPr>
                <w:rFonts w:ascii="Arial" w:hAnsi="Arial" w:cs="Arial"/>
                <w:sz w:val="20"/>
                <w:szCs w:val="20"/>
              </w:rPr>
            </w:pPr>
          </w:p>
        </w:tc>
        <w:tc>
          <w:tcPr>
            <w:tcW w:w="2903" w:type="dxa"/>
            <w:vMerge/>
          </w:tcPr>
          <w:p w14:paraId="09AB11A3"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02D05D48" w14:textId="3971DDBE" w:rsidR="00783200" w:rsidRPr="00CA3A08" w:rsidRDefault="00783200" w:rsidP="00783200">
            <w:pPr>
              <w:rPr>
                <w:rFonts w:ascii="Arial" w:hAnsi="Arial" w:cs="Arial"/>
                <w:sz w:val="20"/>
                <w:szCs w:val="20"/>
              </w:rPr>
            </w:pPr>
            <w:r w:rsidRPr="00CA3A08">
              <w:rPr>
                <w:rFonts w:ascii="Arial" w:hAnsi="Arial" w:cs="Arial"/>
                <w:b/>
                <w:i/>
                <w:sz w:val="20"/>
                <w:szCs w:val="20"/>
                <w:u w:val="single"/>
              </w:rPr>
              <w:t>Communications Act of 1934 (as amended by the Cable Communications Policy Act of 1984 (CCPA) and the Telecommunications Act of 1996),</w:t>
            </w:r>
            <w:r w:rsidRPr="00CA3A08">
              <w:rPr>
                <w:rFonts w:ascii="Arial" w:hAnsi="Arial" w:cs="Arial"/>
                <w:sz w:val="20"/>
                <w:szCs w:val="20"/>
                <w:u w:val="single"/>
              </w:rPr>
              <w:t xml:space="preserve"> </w:t>
            </w:r>
            <w:r w:rsidRPr="00CA3A08">
              <w:rPr>
                <w:rFonts w:ascii="Arial" w:hAnsi="Arial" w:cs="Arial"/>
                <w:sz w:val="20"/>
                <w:szCs w:val="20"/>
              </w:rPr>
              <w:t>47 U.S.C. § 151 et seq.</w:t>
            </w:r>
          </w:p>
        </w:tc>
        <w:tc>
          <w:tcPr>
            <w:tcW w:w="3383" w:type="dxa"/>
          </w:tcPr>
          <w:p w14:paraId="58BE36D8" w14:textId="77777777" w:rsidR="00783200" w:rsidRDefault="00783200" w:rsidP="00783200">
            <w:pPr>
              <w:spacing w:after="240"/>
              <w:rPr>
                <w:rFonts w:ascii="Arial" w:hAnsi="Arial" w:cs="Arial"/>
                <w:sz w:val="20"/>
                <w:szCs w:val="20"/>
              </w:rPr>
            </w:pPr>
            <w:r w:rsidRPr="00CA3A08">
              <w:rPr>
                <w:rFonts w:ascii="Arial" w:hAnsi="Arial" w:cs="Arial"/>
                <w:sz w:val="20"/>
                <w:szCs w:val="20"/>
              </w:rPr>
              <w:t xml:space="preserve">Under the Communications Act, a telecommunications carrier may only use or disclose the personal information of customers in order to effectively provide the services requested by the customer.  47 U.S.C. §§ 222(c)(1), 222(d)(1)-(3), 551(b)-(c).  </w:t>
            </w:r>
          </w:p>
          <w:p w14:paraId="0E973614" w14:textId="410ADC9C" w:rsidR="00783200" w:rsidRPr="00CA3A08" w:rsidRDefault="00783200" w:rsidP="00783200">
            <w:pPr>
              <w:spacing w:after="240"/>
              <w:rPr>
                <w:rFonts w:ascii="Arial" w:hAnsi="Arial" w:cs="Arial"/>
                <w:sz w:val="20"/>
                <w:szCs w:val="20"/>
                <w:lang w:val="en-CA"/>
              </w:rPr>
            </w:pPr>
            <w:r w:rsidRPr="00CA3A08">
              <w:rPr>
                <w:rFonts w:ascii="Arial" w:hAnsi="Arial" w:cs="Arial"/>
                <w:sz w:val="20"/>
                <w:szCs w:val="20"/>
              </w:rPr>
              <w:t xml:space="preserve">This permissible use includes the telecommunication carrier’s right to use such information to offer additional services to the customer which are similar to those services he already has.  For example, if the customer already has basic cable, the telecommunications carrier can use personal information about the customer to market premium cable services to him.  47 C.F.R. § 64.2005(a).  As well, personal customer information may be used or disclosed as required by the government, 47 U.S.C. §§ 222(c)(2)(D), 222(d)(4), 551(h), and in any way expressly consented to by the customer, 47 U.S.C. §§ 222(c)(2), 551(b)-(c); 47 C.F.R. § 64.2005(b).  Finally, in regard to cable operators specifically, the Act requires that all personal information must be destroyed when it is no longer necessary.  47 U.S.C. § 551(e).  This requirement </w:t>
            </w:r>
            <w:r w:rsidRPr="00CA3A08">
              <w:rPr>
                <w:rFonts w:ascii="Arial" w:hAnsi="Arial" w:cs="Arial"/>
                <w:sz w:val="20"/>
                <w:szCs w:val="20"/>
              </w:rPr>
              <w:lastRenderedPageBreak/>
              <w:t xml:space="preserve">also applies to open video systems.  47 C.F.R. § 76.1510.   </w:t>
            </w:r>
          </w:p>
        </w:tc>
        <w:tc>
          <w:tcPr>
            <w:tcW w:w="3383" w:type="dxa"/>
          </w:tcPr>
          <w:p w14:paraId="5A02431B" w14:textId="77777777" w:rsidR="00783200" w:rsidRPr="00CA3A08" w:rsidRDefault="00783200" w:rsidP="00783200">
            <w:pPr>
              <w:spacing w:after="240"/>
              <w:rPr>
                <w:rFonts w:ascii="Arial" w:hAnsi="Arial" w:cs="Arial"/>
                <w:sz w:val="20"/>
                <w:szCs w:val="20"/>
              </w:rPr>
            </w:pPr>
          </w:p>
        </w:tc>
        <w:tc>
          <w:tcPr>
            <w:tcW w:w="1209" w:type="dxa"/>
          </w:tcPr>
          <w:p w14:paraId="515CA90B" w14:textId="77777777" w:rsidR="00783200" w:rsidRPr="00CA3A08" w:rsidRDefault="00783200" w:rsidP="00783200">
            <w:pPr>
              <w:rPr>
                <w:rFonts w:ascii="Arial" w:eastAsia="Arial" w:hAnsi="Arial" w:cs="Arial"/>
                <w:sz w:val="20"/>
                <w:szCs w:val="20"/>
              </w:rPr>
            </w:pPr>
            <w:r w:rsidRPr="00CA3A08">
              <w:rPr>
                <w:rFonts w:ascii="Arial" w:eastAsia="Arial" w:hAnsi="Arial" w:cs="Arial"/>
                <w:sz w:val="20"/>
                <w:szCs w:val="20"/>
              </w:rPr>
              <w:t>Signed into law on June 19, 1934. Amended by the Cable Communications Policy Act of 1984 and the Telecommunications Act of 1996.</w:t>
            </w:r>
          </w:p>
          <w:p w14:paraId="23D5493D" w14:textId="56C5542A" w:rsidR="00783200" w:rsidRPr="00CA3A08" w:rsidRDefault="00783200" w:rsidP="00783200">
            <w:pPr>
              <w:rPr>
                <w:rFonts w:ascii="Arial" w:hAnsi="Arial" w:cs="Arial"/>
                <w:sz w:val="20"/>
                <w:szCs w:val="20"/>
              </w:rPr>
            </w:pPr>
          </w:p>
        </w:tc>
      </w:tr>
      <w:tr w:rsidR="00783200" w:rsidRPr="00CA3A08" w14:paraId="6B8B9AC9" w14:textId="77777777" w:rsidTr="009408B1">
        <w:tc>
          <w:tcPr>
            <w:tcW w:w="427" w:type="dxa"/>
            <w:vMerge/>
          </w:tcPr>
          <w:p w14:paraId="421736D7" w14:textId="77777777" w:rsidR="00783200" w:rsidRPr="00CA3A08" w:rsidRDefault="00783200" w:rsidP="00783200">
            <w:pPr>
              <w:rPr>
                <w:rFonts w:ascii="Arial" w:hAnsi="Arial" w:cs="Arial"/>
                <w:sz w:val="20"/>
                <w:szCs w:val="20"/>
              </w:rPr>
            </w:pPr>
          </w:p>
        </w:tc>
        <w:tc>
          <w:tcPr>
            <w:tcW w:w="2903" w:type="dxa"/>
            <w:vMerge/>
          </w:tcPr>
          <w:p w14:paraId="0F9FBCE9"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7E1EF236" w14:textId="7A0CBDAD" w:rsidR="00783200" w:rsidRPr="00CA3A08" w:rsidRDefault="00783200" w:rsidP="00783200">
            <w:pPr>
              <w:rPr>
                <w:rFonts w:ascii="Arial" w:hAnsi="Arial" w:cs="Arial"/>
                <w:sz w:val="20"/>
                <w:szCs w:val="20"/>
              </w:rPr>
            </w:pPr>
            <w:r w:rsidRPr="00CA3A08">
              <w:rPr>
                <w:rFonts w:ascii="Arial" w:hAnsi="Arial" w:cs="Arial"/>
                <w:b/>
                <w:bCs/>
                <w:i/>
                <w:iCs/>
                <w:sz w:val="20"/>
                <w:szCs w:val="20"/>
                <w:u w:val="single"/>
              </w:rPr>
              <w:t>Controlling the Assault of Non-Solicited Pornography and Marketing Act (CAN-SPAM),</w:t>
            </w:r>
            <w:r w:rsidRPr="00CA3A08">
              <w:rPr>
                <w:rFonts w:ascii="Arial" w:hAnsi="Arial" w:cs="Arial"/>
                <w:i/>
                <w:iCs/>
                <w:sz w:val="20"/>
                <w:szCs w:val="20"/>
                <w:u w:val="single"/>
              </w:rPr>
              <w:t xml:space="preserve"> </w:t>
            </w:r>
            <w:r w:rsidRPr="00CA3A08">
              <w:rPr>
                <w:rFonts w:ascii="Arial" w:hAnsi="Arial" w:cs="Arial"/>
                <w:sz w:val="20"/>
                <w:szCs w:val="20"/>
              </w:rPr>
              <w:t>15 U.S.C. §§ 7701-7713, applicable to commercial electronic e-mail messages.</w:t>
            </w:r>
          </w:p>
        </w:tc>
        <w:tc>
          <w:tcPr>
            <w:tcW w:w="3383" w:type="dxa"/>
          </w:tcPr>
          <w:p w14:paraId="043EEAF8" w14:textId="7BB11C13" w:rsidR="00783200" w:rsidRPr="00CA3A08" w:rsidRDefault="00783200" w:rsidP="00783200">
            <w:pPr>
              <w:spacing w:after="240"/>
              <w:rPr>
                <w:rFonts w:ascii="Arial" w:hAnsi="Arial" w:cs="Arial"/>
                <w:sz w:val="20"/>
                <w:szCs w:val="20"/>
                <w:lang w:val="en-CA"/>
              </w:rPr>
            </w:pPr>
            <w:r w:rsidRPr="00CA3A08">
              <w:rPr>
                <w:rFonts w:ascii="Arial" w:hAnsi="Arial" w:cs="Arial"/>
                <w:sz w:val="20"/>
                <w:szCs w:val="20"/>
              </w:rPr>
              <w:t>CAN-SPAM requires unsolicited commercial e-mail messages to be identified as solicitation and to include opt-out instructions and the sender's physical address. Senders must honor requests to opt-out within 10 business days.  15 U.S.C. §7704.</w:t>
            </w:r>
          </w:p>
        </w:tc>
        <w:tc>
          <w:tcPr>
            <w:tcW w:w="3383" w:type="dxa"/>
          </w:tcPr>
          <w:p w14:paraId="7CC8EE8D" w14:textId="77777777" w:rsidR="00783200" w:rsidRPr="00CA3A08" w:rsidRDefault="00783200" w:rsidP="00783200">
            <w:pPr>
              <w:spacing w:after="240"/>
              <w:rPr>
                <w:rFonts w:ascii="Arial" w:hAnsi="Arial" w:cs="Arial"/>
                <w:sz w:val="20"/>
                <w:szCs w:val="20"/>
              </w:rPr>
            </w:pPr>
          </w:p>
        </w:tc>
        <w:tc>
          <w:tcPr>
            <w:tcW w:w="1209" w:type="dxa"/>
          </w:tcPr>
          <w:p w14:paraId="548EEF99"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December 16, 2003.</w:t>
            </w:r>
          </w:p>
          <w:p w14:paraId="43749BD9" w14:textId="77777777" w:rsidR="00783200" w:rsidRPr="00CA3A08" w:rsidRDefault="00783200" w:rsidP="00783200">
            <w:pPr>
              <w:rPr>
                <w:rFonts w:ascii="Arial" w:hAnsi="Arial" w:cs="Arial"/>
                <w:sz w:val="20"/>
                <w:szCs w:val="20"/>
              </w:rPr>
            </w:pPr>
          </w:p>
        </w:tc>
      </w:tr>
      <w:tr w:rsidR="00783200" w:rsidRPr="00CA3A08" w14:paraId="565BCDC8" w14:textId="77777777" w:rsidTr="009408B1">
        <w:tc>
          <w:tcPr>
            <w:tcW w:w="427" w:type="dxa"/>
            <w:vMerge/>
          </w:tcPr>
          <w:p w14:paraId="65BE11BF" w14:textId="77777777" w:rsidR="00783200" w:rsidRPr="00CA3A08" w:rsidRDefault="00783200" w:rsidP="00783200">
            <w:pPr>
              <w:rPr>
                <w:rFonts w:ascii="Arial" w:hAnsi="Arial" w:cs="Arial"/>
                <w:sz w:val="20"/>
                <w:szCs w:val="20"/>
              </w:rPr>
            </w:pPr>
          </w:p>
        </w:tc>
        <w:tc>
          <w:tcPr>
            <w:tcW w:w="2903" w:type="dxa"/>
            <w:vMerge/>
          </w:tcPr>
          <w:p w14:paraId="47BBA8A0"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0540CC9C" w14:textId="0618C775" w:rsidR="00783200" w:rsidRPr="00CA3A08" w:rsidRDefault="00783200" w:rsidP="00783200">
            <w:pPr>
              <w:rPr>
                <w:rFonts w:ascii="Arial" w:hAnsi="Arial" w:cs="Arial"/>
                <w:sz w:val="20"/>
                <w:szCs w:val="20"/>
              </w:rPr>
            </w:pPr>
            <w:r w:rsidRPr="00CA3A08">
              <w:rPr>
                <w:rFonts w:ascii="Arial" w:hAnsi="Arial" w:cs="Arial"/>
                <w:b/>
                <w:bCs/>
                <w:i/>
                <w:iCs/>
                <w:sz w:val="20"/>
                <w:szCs w:val="20"/>
                <w:u w:val="single"/>
              </w:rPr>
              <w:t>Electronic Communications Privacy Act (ECPA),</w:t>
            </w:r>
            <w:r w:rsidRPr="00CA3A08">
              <w:rPr>
                <w:rFonts w:ascii="Arial" w:hAnsi="Arial" w:cs="Arial"/>
                <w:i/>
                <w:iCs/>
                <w:sz w:val="20"/>
                <w:szCs w:val="20"/>
                <w:u w:val="single"/>
              </w:rPr>
              <w:t xml:space="preserve"> </w:t>
            </w:r>
            <w:r w:rsidRPr="00CA3A08">
              <w:rPr>
                <w:rFonts w:ascii="Arial" w:hAnsi="Arial" w:cs="Arial"/>
                <w:sz w:val="20"/>
                <w:szCs w:val="20"/>
              </w:rPr>
              <w:t>18 U.S.C. § 2510 et seq.</w:t>
            </w:r>
          </w:p>
        </w:tc>
        <w:tc>
          <w:tcPr>
            <w:tcW w:w="3383" w:type="dxa"/>
          </w:tcPr>
          <w:p w14:paraId="21F61EEB" w14:textId="7EB3E3D6" w:rsidR="00783200" w:rsidRPr="00CA3A08" w:rsidRDefault="00783200" w:rsidP="00783200">
            <w:pPr>
              <w:spacing w:after="240"/>
              <w:rPr>
                <w:rFonts w:ascii="Arial" w:hAnsi="Arial" w:cs="Arial"/>
                <w:sz w:val="20"/>
                <w:szCs w:val="20"/>
                <w:lang w:val="en-CA"/>
              </w:rPr>
            </w:pPr>
            <w:r w:rsidRPr="00CA3A08">
              <w:rPr>
                <w:rFonts w:ascii="Arial" w:hAnsi="Arial" w:cs="Arial"/>
                <w:sz w:val="20"/>
                <w:szCs w:val="20"/>
              </w:rPr>
              <w:t xml:space="preserve">ECPA </w:t>
            </w:r>
            <w:r>
              <w:rPr>
                <w:rFonts w:ascii="Arial" w:hAnsi="Arial" w:cs="Arial"/>
                <w:sz w:val="20"/>
                <w:szCs w:val="20"/>
              </w:rPr>
              <w:t>prohibits</w:t>
            </w:r>
            <w:r w:rsidRPr="00CA3A08">
              <w:rPr>
                <w:rFonts w:ascii="Arial" w:hAnsi="Arial" w:cs="Arial"/>
                <w:sz w:val="20"/>
                <w:szCs w:val="20"/>
              </w:rPr>
              <w:t xml:space="preserve"> any person, with certain exceptions,</w:t>
            </w:r>
            <w:r>
              <w:rPr>
                <w:rFonts w:ascii="Arial" w:hAnsi="Arial" w:cs="Arial"/>
                <w:sz w:val="20"/>
                <w:szCs w:val="20"/>
              </w:rPr>
              <w:t xml:space="preserve"> </w:t>
            </w:r>
            <w:r w:rsidRPr="00CA3A08">
              <w:rPr>
                <w:rFonts w:ascii="Arial" w:hAnsi="Arial" w:cs="Arial"/>
                <w:sz w:val="20"/>
                <w:szCs w:val="20"/>
              </w:rPr>
              <w:t xml:space="preserve">from disclosing electronic communications without the consent of at least one party to the communication. </w:t>
            </w:r>
            <w:r w:rsidRPr="00CA3A08">
              <w:rPr>
                <w:rFonts w:ascii="Arial" w:hAnsi="Arial" w:cs="Arial"/>
                <w:b/>
                <w:bCs/>
                <w:sz w:val="20"/>
                <w:szCs w:val="20"/>
              </w:rPr>
              <w:t xml:space="preserve"> </w:t>
            </w:r>
            <w:r w:rsidRPr="00CA3A08">
              <w:rPr>
                <w:rFonts w:ascii="Arial" w:hAnsi="Arial" w:cs="Arial"/>
                <w:sz w:val="20"/>
                <w:szCs w:val="20"/>
              </w:rPr>
              <w:t>18 U.S.C. § 2511</w:t>
            </w:r>
          </w:p>
        </w:tc>
        <w:tc>
          <w:tcPr>
            <w:tcW w:w="3383" w:type="dxa"/>
          </w:tcPr>
          <w:p w14:paraId="7A0CD138" w14:textId="77777777" w:rsidR="00783200" w:rsidRPr="00CA3A08" w:rsidRDefault="00783200" w:rsidP="00783200">
            <w:pPr>
              <w:spacing w:after="240"/>
              <w:rPr>
                <w:rFonts w:ascii="Arial" w:hAnsi="Arial" w:cs="Arial"/>
                <w:sz w:val="20"/>
                <w:szCs w:val="20"/>
              </w:rPr>
            </w:pPr>
          </w:p>
        </w:tc>
        <w:tc>
          <w:tcPr>
            <w:tcW w:w="1209" w:type="dxa"/>
          </w:tcPr>
          <w:p w14:paraId="563880DA"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October 21, 1996.</w:t>
            </w:r>
          </w:p>
          <w:p w14:paraId="58C345DB" w14:textId="77777777" w:rsidR="00783200" w:rsidRPr="00CA3A08" w:rsidRDefault="00783200" w:rsidP="00783200">
            <w:pPr>
              <w:rPr>
                <w:rFonts w:ascii="Arial" w:hAnsi="Arial" w:cs="Arial"/>
                <w:sz w:val="20"/>
                <w:szCs w:val="20"/>
              </w:rPr>
            </w:pPr>
          </w:p>
        </w:tc>
      </w:tr>
      <w:tr w:rsidR="00783200" w:rsidRPr="00CA3A08" w14:paraId="4DCED1EF" w14:textId="77777777" w:rsidTr="009408B1">
        <w:tc>
          <w:tcPr>
            <w:tcW w:w="427" w:type="dxa"/>
            <w:vMerge/>
          </w:tcPr>
          <w:p w14:paraId="1AF248BA" w14:textId="77777777" w:rsidR="00783200" w:rsidRPr="00CA3A08" w:rsidRDefault="00783200" w:rsidP="00783200">
            <w:pPr>
              <w:rPr>
                <w:rFonts w:ascii="Arial" w:hAnsi="Arial" w:cs="Arial"/>
                <w:sz w:val="20"/>
                <w:szCs w:val="20"/>
              </w:rPr>
            </w:pPr>
          </w:p>
        </w:tc>
        <w:tc>
          <w:tcPr>
            <w:tcW w:w="2903" w:type="dxa"/>
            <w:vMerge/>
          </w:tcPr>
          <w:p w14:paraId="5BDCBD98"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3E6248A2" w14:textId="262EF090" w:rsidR="00783200" w:rsidRPr="00CA3A08" w:rsidRDefault="00783200" w:rsidP="00783200">
            <w:pPr>
              <w:pStyle w:val="NormalWeb"/>
              <w:autoSpaceDE/>
              <w:autoSpaceDN/>
              <w:spacing w:before="0" w:after="0"/>
              <w:rPr>
                <w:rFonts w:ascii="Arial" w:eastAsia="Times New Roman" w:hAnsi="Arial" w:cs="Arial"/>
                <w:sz w:val="20"/>
                <w:szCs w:val="20"/>
              </w:rPr>
            </w:pPr>
            <w:r w:rsidRPr="00CA3A08">
              <w:rPr>
                <w:rFonts w:ascii="Arial" w:hAnsi="Arial" w:cs="Arial"/>
                <w:b/>
                <w:bCs/>
                <w:i/>
                <w:iCs/>
                <w:sz w:val="20"/>
                <w:szCs w:val="20"/>
                <w:u w:val="single"/>
              </w:rPr>
              <w:t>Family Educational and Privacy Rights Act (FERPA),</w:t>
            </w:r>
            <w:r w:rsidRPr="00CA3A08">
              <w:rPr>
                <w:rFonts w:ascii="Arial" w:hAnsi="Arial" w:cs="Arial"/>
                <w:i/>
                <w:iCs/>
                <w:sz w:val="20"/>
                <w:szCs w:val="20"/>
                <w:u w:val="single"/>
              </w:rPr>
              <w:t xml:space="preserve"> </w:t>
            </w:r>
            <w:r w:rsidRPr="00CA3A08">
              <w:rPr>
                <w:rFonts w:ascii="Arial" w:hAnsi="Arial" w:cs="Arial"/>
                <w:sz w:val="20"/>
                <w:szCs w:val="20"/>
              </w:rPr>
              <w:t>20 U.S.C. § 1232g, applicable to all schools that receive funds under an applicable program of the U.S. Department of Education.</w:t>
            </w:r>
          </w:p>
        </w:tc>
        <w:tc>
          <w:tcPr>
            <w:tcW w:w="3383" w:type="dxa"/>
          </w:tcPr>
          <w:p w14:paraId="5B895594" w14:textId="50EFA05C" w:rsidR="00783200" w:rsidRPr="00CA3A08" w:rsidRDefault="00783200" w:rsidP="00783200">
            <w:pPr>
              <w:spacing w:after="240"/>
              <w:rPr>
                <w:rFonts w:ascii="Arial" w:hAnsi="Arial" w:cs="Arial"/>
                <w:sz w:val="20"/>
                <w:szCs w:val="20"/>
              </w:rPr>
            </w:pPr>
            <w:r w:rsidRPr="00CA3A08">
              <w:rPr>
                <w:rFonts w:ascii="Arial" w:hAnsi="Arial" w:cs="Arial"/>
                <w:sz w:val="20"/>
                <w:szCs w:val="20"/>
              </w:rPr>
              <w:t>With certain limited exceptions, schools cannot disclose a student’s information without the student’s consent (or the parent’s consent if the student is a minor).  20 U.S.C. § 1232g(b).</w:t>
            </w:r>
          </w:p>
        </w:tc>
        <w:tc>
          <w:tcPr>
            <w:tcW w:w="3383" w:type="dxa"/>
          </w:tcPr>
          <w:p w14:paraId="3EA4E9BB" w14:textId="363D1285" w:rsidR="00783200" w:rsidRPr="00CA3A08" w:rsidRDefault="00783200" w:rsidP="00783200">
            <w:pPr>
              <w:spacing w:after="240"/>
              <w:rPr>
                <w:rFonts w:ascii="Arial" w:hAnsi="Arial" w:cs="Arial"/>
                <w:sz w:val="20"/>
                <w:szCs w:val="20"/>
              </w:rPr>
            </w:pPr>
            <w:r w:rsidRPr="00CA3A08">
              <w:rPr>
                <w:rFonts w:ascii="Arial" w:hAnsi="Arial" w:cs="Arial"/>
                <w:sz w:val="20"/>
                <w:szCs w:val="20"/>
              </w:rPr>
              <w:t>Entities that violate FERPA are not eligible for funding from the applicable program.</w:t>
            </w:r>
            <w:r>
              <w:rPr>
                <w:rFonts w:ascii="Arial" w:hAnsi="Arial" w:cs="Arial"/>
                <w:sz w:val="20"/>
                <w:szCs w:val="20"/>
              </w:rPr>
              <w:t xml:space="preserve">  </w:t>
            </w:r>
            <w:r w:rsidRPr="00CA3A08">
              <w:rPr>
                <w:rFonts w:ascii="Arial" w:hAnsi="Arial" w:cs="Arial"/>
                <w:sz w:val="20"/>
                <w:szCs w:val="20"/>
              </w:rPr>
              <w:t>20 U.S.C. § 1232g(b).</w:t>
            </w:r>
          </w:p>
        </w:tc>
        <w:tc>
          <w:tcPr>
            <w:tcW w:w="1209" w:type="dxa"/>
          </w:tcPr>
          <w:p w14:paraId="5FFC3A1A"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August 21, 1974.</w:t>
            </w:r>
          </w:p>
          <w:p w14:paraId="57A7720A" w14:textId="77777777" w:rsidR="00783200" w:rsidRPr="00CA3A08" w:rsidRDefault="00783200" w:rsidP="00783200">
            <w:pPr>
              <w:rPr>
                <w:rFonts w:ascii="Arial" w:hAnsi="Arial" w:cs="Arial"/>
                <w:sz w:val="20"/>
                <w:szCs w:val="20"/>
              </w:rPr>
            </w:pPr>
          </w:p>
        </w:tc>
      </w:tr>
      <w:tr w:rsidR="00783200" w:rsidRPr="00CA3A08" w14:paraId="41D63BB2" w14:textId="77777777" w:rsidTr="009408B1">
        <w:tc>
          <w:tcPr>
            <w:tcW w:w="427" w:type="dxa"/>
            <w:vMerge/>
          </w:tcPr>
          <w:p w14:paraId="125891AC" w14:textId="77777777" w:rsidR="00783200" w:rsidRPr="00CA3A08" w:rsidRDefault="00783200" w:rsidP="00783200">
            <w:pPr>
              <w:rPr>
                <w:rFonts w:ascii="Arial" w:hAnsi="Arial" w:cs="Arial"/>
                <w:sz w:val="20"/>
                <w:szCs w:val="20"/>
              </w:rPr>
            </w:pPr>
          </w:p>
        </w:tc>
        <w:tc>
          <w:tcPr>
            <w:tcW w:w="2903" w:type="dxa"/>
            <w:vMerge/>
          </w:tcPr>
          <w:p w14:paraId="6AD930C6"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29310C19" w14:textId="4925CF61" w:rsidR="00783200" w:rsidRPr="00CA3A08" w:rsidRDefault="00783200" w:rsidP="00783200">
            <w:pPr>
              <w:rPr>
                <w:rFonts w:ascii="Arial" w:hAnsi="Arial" w:cs="Arial"/>
                <w:sz w:val="20"/>
                <w:szCs w:val="20"/>
              </w:rPr>
            </w:pPr>
            <w:r w:rsidRPr="00CA3A08">
              <w:rPr>
                <w:rFonts w:ascii="Arial" w:hAnsi="Arial" w:cs="Arial"/>
                <w:b/>
                <w:bCs/>
                <w:i/>
                <w:iCs/>
                <w:sz w:val="20"/>
                <w:szCs w:val="20"/>
                <w:u w:val="single"/>
              </w:rPr>
              <w:t>Video Privacy Protection Act (VPPA)</w:t>
            </w:r>
            <w:r w:rsidRPr="00CA3A08">
              <w:rPr>
                <w:rFonts w:ascii="Arial" w:hAnsi="Arial" w:cs="Arial"/>
                <w:b/>
                <w:bCs/>
                <w:i/>
                <w:iCs/>
                <w:sz w:val="20"/>
                <w:szCs w:val="20"/>
              </w:rPr>
              <w:t>,</w:t>
            </w:r>
            <w:r w:rsidRPr="00CA3A08">
              <w:rPr>
                <w:rFonts w:ascii="Arial" w:hAnsi="Arial" w:cs="Arial"/>
                <w:i/>
                <w:iCs/>
                <w:sz w:val="20"/>
                <w:szCs w:val="20"/>
              </w:rPr>
              <w:t xml:space="preserve"> </w:t>
            </w:r>
            <w:r w:rsidRPr="00CA3A08">
              <w:rPr>
                <w:rFonts w:ascii="Arial" w:hAnsi="Arial" w:cs="Arial"/>
                <w:sz w:val="20"/>
                <w:szCs w:val="20"/>
              </w:rPr>
              <w:t>18 U.S.C. § 2710, applicable to businesses that rent, sell or deliver pre-recorded videos.</w:t>
            </w:r>
          </w:p>
        </w:tc>
        <w:tc>
          <w:tcPr>
            <w:tcW w:w="3383" w:type="dxa"/>
          </w:tcPr>
          <w:p w14:paraId="59A9F1C6" w14:textId="4A91854B" w:rsidR="00783200" w:rsidRPr="00CA3A08" w:rsidRDefault="00783200" w:rsidP="00783200">
            <w:pPr>
              <w:spacing w:after="240"/>
              <w:rPr>
                <w:rFonts w:ascii="Arial" w:hAnsi="Arial" w:cs="Arial"/>
                <w:sz w:val="20"/>
                <w:szCs w:val="20"/>
                <w:lang w:val="en-CA"/>
              </w:rPr>
            </w:pPr>
            <w:r>
              <w:rPr>
                <w:rFonts w:ascii="Arial" w:hAnsi="Arial" w:cs="Arial"/>
                <w:sz w:val="20"/>
                <w:szCs w:val="20"/>
              </w:rPr>
              <w:t>The VPPA r</w:t>
            </w:r>
            <w:r w:rsidRPr="00CA3A08">
              <w:rPr>
                <w:rFonts w:ascii="Arial" w:hAnsi="Arial" w:cs="Arial"/>
                <w:sz w:val="20"/>
                <w:szCs w:val="20"/>
              </w:rPr>
              <w:t>estricts businesses from disclosing personally identifiable video rental or purchase records without the consumer’s written consent.  18 U.S.C. § 2710(b).</w:t>
            </w:r>
          </w:p>
        </w:tc>
        <w:tc>
          <w:tcPr>
            <w:tcW w:w="3383" w:type="dxa"/>
          </w:tcPr>
          <w:p w14:paraId="67AD18D6" w14:textId="4BB36BE8" w:rsidR="00783200" w:rsidRPr="00CA3A08" w:rsidRDefault="00783200" w:rsidP="00783200">
            <w:pPr>
              <w:spacing w:after="240"/>
              <w:rPr>
                <w:rFonts w:ascii="Arial" w:hAnsi="Arial" w:cs="Arial"/>
                <w:sz w:val="20"/>
                <w:szCs w:val="20"/>
              </w:rPr>
            </w:pPr>
          </w:p>
        </w:tc>
        <w:tc>
          <w:tcPr>
            <w:tcW w:w="1209" w:type="dxa"/>
          </w:tcPr>
          <w:p w14:paraId="3D3F7F12"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November 5, 1998.</w:t>
            </w:r>
          </w:p>
          <w:p w14:paraId="769EB6C3" w14:textId="77777777" w:rsidR="00783200" w:rsidRPr="00CA3A08" w:rsidRDefault="00783200" w:rsidP="00783200">
            <w:pPr>
              <w:rPr>
                <w:rFonts w:ascii="Arial" w:hAnsi="Arial" w:cs="Arial"/>
                <w:sz w:val="20"/>
                <w:szCs w:val="20"/>
              </w:rPr>
            </w:pPr>
          </w:p>
        </w:tc>
      </w:tr>
      <w:tr w:rsidR="00783200" w:rsidRPr="00CA3A08" w14:paraId="1EB1A9B0" w14:textId="77777777" w:rsidTr="009408B1">
        <w:tc>
          <w:tcPr>
            <w:tcW w:w="427" w:type="dxa"/>
            <w:vMerge/>
          </w:tcPr>
          <w:p w14:paraId="52BCE205" w14:textId="77777777" w:rsidR="00783200" w:rsidRPr="00CA3A08" w:rsidRDefault="00783200" w:rsidP="00783200">
            <w:pPr>
              <w:rPr>
                <w:rFonts w:ascii="Arial" w:hAnsi="Arial" w:cs="Arial"/>
                <w:sz w:val="20"/>
                <w:szCs w:val="20"/>
              </w:rPr>
            </w:pPr>
          </w:p>
        </w:tc>
        <w:tc>
          <w:tcPr>
            <w:tcW w:w="2903" w:type="dxa"/>
            <w:vMerge/>
          </w:tcPr>
          <w:p w14:paraId="3337C929"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7E2D0095" w14:textId="74556E5E" w:rsidR="00783200" w:rsidRPr="00CA3A08" w:rsidRDefault="00783200" w:rsidP="00783200">
            <w:pPr>
              <w:spacing w:after="240"/>
              <w:rPr>
                <w:rFonts w:ascii="Arial" w:hAnsi="Arial" w:cs="Arial"/>
                <w:sz w:val="20"/>
                <w:szCs w:val="20"/>
              </w:rPr>
            </w:pPr>
            <w:r w:rsidRPr="00CA3A08">
              <w:rPr>
                <w:rFonts w:ascii="Arial" w:hAnsi="Arial" w:cs="Arial"/>
                <w:b/>
                <w:bCs/>
                <w:i/>
                <w:iCs/>
                <w:sz w:val="20"/>
                <w:szCs w:val="20"/>
                <w:u w:val="single"/>
              </w:rPr>
              <w:t>The Fair Credit Reporting Act (FCRA),</w:t>
            </w:r>
            <w:r w:rsidRPr="00CA3A08">
              <w:rPr>
                <w:rFonts w:ascii="Arial" w:hAnsi="Arial" w:cs="Arial"/>
                <w:i/>
                <w:iCs/>
                <w:sz w:val="20"/>
                <w:szCs w:val="20"/>
                <w:u w:val="single"/>
              </w:rPr>
              <w:t xml:space="preserve"> </w:t>
            </w:r>
            <w:r w:rsidRPr="00CA3A08">
              <w:rPr>
                <w:rFonts w:ascii="Arial" w:hAnsi="Arial" w:cs="Arial"/>
                <w:sz w:val="20"/>
                <w:szCs w:val="20"/>
              </w:rPr>
              <w:t xml:space="preserve">15 U.S.C. § 1681 et seq. </w:t>
            </w:r>
          </w:p>
        </w:tc>
        <w:tc>
          <w:tcPr>
            <w:tcW w:w="3383" w:type="dxa"/>
          </w:tcPr>
          <w:p w14:paraId="40CCC9E3" w14:textId="77777777" w:rsidR="00783200" w:rsidRDefault="00783200" w:rsidP="00783200">
            <w:pPr>
              <w:spacing w:after="240"/>
              <w:rPr>
                <w:rFonts w:ascii="Arial" w:hAnsi="Arial" w:cs="Arial"/>
                <w:sz w:val="20"/>
                <w:szCs w:val="20"/>
              </w:rPr>
            </w:pPr>
            <w:r w:rsidRPr="00CA3A08">
              <w:rPr>
                <w:rFonts w:ascii="Arial" w:hAnsi="Arial" w:cs="Arial"/>
                <w:sz w:val="20"/>
                <w:szCs w:val="20"/>
                <w:lang w:val="en-CA"/>
              </w:rPr>
              <w:fldChar w:fldCharType="begin"/>
            </w:r>
            <w:r w:rsidRPr="00CA3A08">
              <w:rPr>
                <w:rFonts w:ascii="Arial" w:hAnsi="Arial" w:cs="Arial"/>
                <w:sz w:val="20"/>
                <w:szCs w:val="20"/>
                <w:lang w:val="en-CA"/>
              </w:rPr>
              <w:instrText xml:space="preserve"> SEQ CHAPTER \h \r 1</w:instrText>
            </w:r>
            <w:r w:rsidRPr="00CA3A08">
              <w:rPr>
                <w:rFonts w:ascii="Arial" w:hAnsi="Arial" w:cs="Arial"/>
                <w:sz w:val="20"/>
                <w:szCs w:val="20"/>
                <w:lang w:val="en-CA"/>
              </w:rPr>
              <w:fldChar w:fldCharType="end"/>
            </w:r>
            <w:r w:rsidRPr="00CA3A08">
              <w:rPr>
                <w:rFonts w:ascii="Arial" w:hAnsi="Arial" w:cs="Arial"/>
                <w:sz w:val="20"/>
                <w:szCs w:val="20"/>
              </w:rPr>
              <w:t>The FCRA allows the use of consumer report information for employ</w:t>
            </w:r>
            <w:r w:rsidRPr="00CA3A08">
              <w:rPr>
                <w:rFonts w:ascii="Arial" w:hAnsi="Arial" w:cs="Arial"/>
                <w:sz w:val="20"/>
                <w:szCs w:val="20"/>
              </w:rPr>
              <w:softHyphen/>
              <w:t xml:space="preserve">ment purposes only with the written authorization of the consumer.  15 U.S.C. § 1681b(b)(2).  In addition, it provides for the disclosure and use of consumer report information other than for a “permissible purpose” </w:t>
            </w:r>
            <w:r>
              <w:rPr>
                <w:rFonts w:ascii="Arial" w:hAnsi="Arial" w:cs="Arial"/>
                <w:sz w:val="20"/>
                <w:szCs w:val="20"/>
              </w:rPr>
              <w:t>only under limited circumstances</w:t>
            </w:r>
            <w:r w:rsidRPr="00CA3A08">
              <w:rPr>
                <w:rFonts w:ascii="Arial" w:hAnsi="Arial" w:cs="Arial"/>
                <w:sz w:val="20"/>
                <w:szCs w:val="20"/>
              </w:rPr>
              <w:t>. 15 U.S.C. § 1681b(a)</w:t>
            </w:r>
            <w:r>
              <w:rPr>
                <w:rFonts w:ascii="Arial" w:hAnsi="Arial" w:cs="Arial"/>
                <w:sz w:val="20"/>
                <w:szCs w:val="20"/>
              </w:rPr>
              <w:t>-</w:t>
            </w:r>
            <w:r w:rsidRPr="00CA3A08">
              <w:rPr>
                <w:rFonts w:ascii="Arial" w:hAnsi="Arial" w:cs="Arial"/>
                <w:sz w:val="20"/>
                <w:szCs w:val="20"/>
              </w:rPr>
              <w:t>(</w:t>
            </w:r>
            <w:r>
              <w:rPr>
                <w:rFonts w:ascii="Arial" w:hAnsi="Arial" w:cs="Arial"/>
                <w:sz w:val="20"/>
                <w:szCs w:val="20"/>
              </w:rPr>
              <w:t>c</w:t>
            </w:r>
            <w:r w:rsidRPr="00CA3A08">
              <w:rPr>
                <w:rFonts w:ascii="Arial" w:hAnsi="Arial" w:cs="Arial"/>
                <w:sz w:val="20"/>
                <w:szCs w:val="20"/>
              </w:rPr>
              <w:t xml:space="preserve">).  </w:t>
            </w:r>
            <w:r w:rsidRPr="00934661">
              <w:rPr>
                <w:rFonts w:ascii="Arial" w:hAnsi="Arial" w:cs="Arial"/>
                <w:sz w:val="20"/>
                <w:szCs w:val="20"/>
              </w:rPr>
              <w:t>The FCRA also allows consumers to place a security freeze that prohibits a consumer reporting agency from disclosing the contents of the consumer’s consumer report, except pursuant to certain exceptions.</w:t>
            </w:r>
            <w:r>
              <w:rPr>
                <w:rFonts w:ascii="Arial" w:hAnsi="Arial" w:cs="Arial"/>
                <w:sz w:val="20"/>
                <w:szCs w:val="20"/>
              </w:rPr>
              <w:t xml:space="preserve"> 15 U.S.C. § 1681c-1(i).</w:t>
            </w:r>
            <w:r w:rsidRPr="00934661">
              <w:rPr>
                <w:rFonts w:ascii="Arial" w:hAnsi="Arial" w:cs="Arial"/>
                <w:sz w:val="20"/>
                <w:szCs w:val="20"/>
              </w:rPr>
              <w:t xml:space="preserve"> </w:t>
            </w:r>
          </w:p>
          <w:p w14:paraId="7436CDBF" w14:textId="13E7DB17" w:rsidR="00783200" w:rsidRDefault="00783200" w:rsidP="00783200">
            <w:pPr>
              <w:spacing w:after="240"/>
              <w:rPr>
                <w:rFonts w:ascii="Arial" w:hAnsi="Arial" w:cs="Arial"/>
                <w:sz w:val="20"/>
                <w:szCs w:val="20"/>
              </w:rPr>
            </w:pPr>
            <w:r w:rsidRPr="00CA3A08">
              <w:rPr>
                <w:rFonts w:ascii="Arial" w:hAnsi="Arial" w:cs="Arial"/>
                <w:sz w:val="20"/>
                <w:szCs w:val="20"/>
              </w:rPr>
              <w:t>The FCRA allows consumers to “opt out” of credit bureau prescreening for credit or insurance solicitations, and of certain communications of information among affiliated parties.  15 U.S.C. §§ 1681a(d)(2)(A)(iii), and 1681b(e). The FCRA allows consumers to “opt out” of being sent solicitations based on the sharing of certain information among affiliates. 15 U.S.C. §</w:t>
            </w:r>
            <w:r>
              <w:rPr>
                <w:rFonts w:ascii="Arial" w:hAnsi="Arial" w:cs="Arial"/>
                <w:sz w:val="20"/>
                <w:szCs w:val="20"/>
              </w:rPr>
              <w:t xml:space="preserve"> </w:t>
            </w:r>
            <w:r w:rsidRPr="00CA3A08">
              <w:rPr>
                <w:rFonts w:ascii="Arial" w:hAnsi="Arial" w:cs="Arial"/>
                <w:sz w:val="20"/>
                <w:szCs w:val="20"/>
              </w:rPr>
              <w:t>1681s-3.</w:t>
            </w:r>
          </w:p>
          <w:p w14:paraId="1F7C5A67" w14:textId="75801A02" w:rsidR="00783200" w:rsidRPr="00CA3A08" w:rsidRDefault="00783200" w:rsidP="00783200">
            <w:pPr>
              <w:pStyle w:val="NormalWeb"/>
              <w:autoSpaceDE/>
              <w:autoSpaceDN/>
              <w:spacing w:before="0" w:after="240"/>
              <w:rPr>
                <w:rFonts w:ascii="Arial" w:eastAsia="Times New Roman" w:hAnsi="Arial" w:cs="Arial"/>
                <w:sz w:val="20"/>
                <w:szCs w:val="20"/>
              </w:rPr>
            </w:pPr>
            <w:r>
              <w:rPr>
                <w:rFonts w:ascii="Arial" w:hAnsi="Arial" w:cs="Arial"/>
                <w:sz w:val="20"/>
                <w:szCs w:val="20"/>
              </w:rPr>
              <w:lastRenderedPageBreak/>
              <w:t>Additionally, a</w:t>
            </w:r>
            <w:r w:rsidRPr="00CA3A08">
              <w:rPr>
                <w:rFonts w:ascii="Arial" w:hAnsi="Arial" w:cs="Arial"/>
                <w:sz w:val="20"/>
                <w:szCs w:val="20"/>
              </w:rPr>
              <w:t>lthough the FCRA does not limit collection, it limits what information may be included in a consumer report and fur</w:t>
            </w:r>
            <w:r w:rsidRPr="00CA3A08">
              <w:rPr>
                <w:rFonts w:ascii="Arial" w:hAnsi="Arial" w:cs="Arial"/>
                <w:sz w:val="20"/>
                <w:szCs w:val="20"/>
              </w:rPr>
              <w:softHyphen/>
              <w:t xml:space="preserve">nished to users of such reports.  For example, certain dated information may not be included in certain consumer </w:t>
            </w:r>
            <w:r>
              <w:rPr>
                <w:rFonts w:ascii="Arial" w:hAnsi="Arial" w:cs="Arial"/>
                <w:sz w:val="20"/>
                <w:szCs w:val="20"/>
              </w:rPr>
              <w:t>reports</w:t>
            </w:r>
            <w:r w:rsidRPr="00CA3A08">
              <w:rPr>
                <w:rFonts w:ascii="Arial" w:hAnsi="Arial" w:cs="Arial"/>
                <w:sz w:val="20"/>
                <w:szCs w:val="20"/>
              </w:rPr>
              <w:t xml:space="preserve">. 15 U.S.C. § 1681c(a).  Also, the FCRA requires businesses that obtain </w:t>
            </w:r>
            <w:r>
              <w:rPr>
                <w:rFonts w:ascii="Arial" w:hAnsi="Arial" w:cs="Arial"/>
                <w:sz w:val="20"/>
                <w:szCs w:val="20"/>
              </w:rPr>
              <w:t xml:space="preserve">consumer reports or </w:t>
            </w:r>
            <w:r w:rsidRPr="00CA3A08">
              <w:rPr>
                <w:rFonts w:ascii="Arial" w:hAnsi="Arial" w:cs="Arial"/>
                <w:sz w:val="20"/>
                <w:szCs w:val="20"/>
              </w:rPr>
              <w:t>any</w:t>
            </w:r>
            <w:r>
              <w:rPr>
                <w:rFonts w:ascii="Arial" w:hAnsi="Arial" w:cs="Arial"/>
                <w:sz w:val="20"/>
                <w:szCs w:val="20"/>
              </w:rPr>
              <w:t xml:space="preserve"> </w:t>
            </w:r>
            <w:r w:rsidRPr="00CA3A08">
              <w:rPr>
                <w:rFonts w:ascii="Arial" w:hAnsi="Arial" w:cs="Arial"/>
                <w:sz w:val="20"/>
                <w:szCs w:val="20"/>
              </w:rPr>
              <w:t xml:space="preserve">consumer information </w:t>
            </w:r>
            <w:r>
              <w:rPr>
                <w:rFonts w:ascii="Arial" w:hAnsi="Arial" w:cs="Arial"/>
                <w:sz w:val="20"/>
                <w:szCs w:val="20"/>
              </w:rPr>
              <w:t xml:space="preserve">derived from consumer reports </w:t>
            </w:r>
            <w:r w:rsidRPr="00CA3A08">
              <w:rPr>
                <w:rFonts w:ascii="Arial" w:hAnsi="Arial" w:cs="Arial"/>
                <w:sz w:val="20"/>
                <w:szCs w:val="20"/>
              </w:rPr>
              <w:t xml:space="preserve">to </w:t>
            </w:r>
            <w:r>
              <w:rPr>
                <w:rFonts w:ascii="Arial" w:hAnsi="Arial" w:cs="Arial"/>
                <w:sz w:val="20"/>
                <w:szCs w:val="20"/>
              </w:rPr>
              <w:t xml:space="preserve">properly </w:t>
            </w:r>
            <w:r w:rsidRPr="00CA3A08">
              <w:rPr>
                <w:rFonts w:ascii="Arial" w:hAnsi="Arial" w:cs="Arial"/>
                <w:sz w:val="20"/>
                <w:szCs w:val="20"/>
              </w:rPr>
              <w:t>dispose of the information to prevent its subsequent use for improper purposes.  15 U.S.C. § 1681w, 16 C.F.R.</w:t>
            </w:r>
            <w:r>
              <w:rPr>
                <w:rFonts w:ascii="Arial" w:hAnsi="Arial" w:cs="Arial"/>
                <w:sz w:val="20"/>
                <w:szCs w:val="20"/>
              </w:rPr>
              <w:t xml:space="preserve">§ </w:t>
            </w:r>
            <w:r w:rsidRPr="00CA3A08">
              <w:rPr>
                <w:rFonts w:ascii="Arial" w:hAnsi="Arial" w:cs="Arial"/>
                <w:sz w:val="20"/>
                <w:szCs w:val="20"/>
              </w:rPr>
              <w:t>682.</w:t>
            </w:r>
            <w:r>
              <w:rPr>
                <w:rFonts w:ascii="Arial" w:hAnsi="Arial" w:cs="Arial"/>
                <w:sz w:val="20"/>
                <w:szCs w:val="20"/>
              </w:rPr>
              <w:t>3.</w:t>
            </w:r>
          </w:p>
        </w:tc>
        <w:tc>
          <w:tcPr>
            <w:tcW w:w="3383" w:type="dxa"/>
          </w:tcPr>
          <w:p w14:paraId="00A4E814" w14:textId="387C37EA" w:rsidR="00783200" w:rsidRPr="00CA3A08" w:rsidRDefault="00783200" w:rsidP="00783200">
            <w:pPr>
              <w:spacing w:after="240"/>
              <w:rPr>
                <w:rFonts w:ascii="Arial" w:hAnsi="Arial" w:cs="Arial"/>
                <w:sz w:val="20"/>
                <w:szCs w:val="20"/>
              </w:rPr>
            </w:pPr>
          </w:p>
        </w:tc>
        <w:tc>
          <w:tcPr>
            <w:tcW w:w="1209" w:type="dxa"/>
          </w:tcPr>
          <w:p w14:paraId="4E72C838"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October 26, 1970.</w:t>
            </w:r>
          </w:p>
          <w:p w14:paraId="516805C1" w14:textId="77777777" w:rsidR="00783200" w:rsidRPr="00CA3A08" w:rsidRDefault="00783200" w:rsidP="00783200">
            <w:pPr>
              <w:rPr>
                <w:rFonts w:ascii="Arial" w:hAnsi="Arial" w:cs="Arial"/>
                <w:sz w:val="20"/>
                <w:szCs w:val="20"/>
              </w:rPr>
            </w:pPr>
          </w:p>
        </w:tc>
      </w:tr>
      <w:tr w:rsidR="00783200" w:rsidRPr="00CA3A08" w14:paraId="16CC91D5" w14:textId="77777777" w:rsidTr="009408B1">
        <w:tc>
          <w:tcPr>
            <w:tcW w:w="427" w:type="dxa"/>
            <w:vMerge/>
          </w:tcPr>
          <w:p w14:paraId="20C78B72" w14:textId="77777777" w:rsidR="00783200" w:rsidRPr="00CA3A08" w:rsidRDefault="00783200" w:rsidP="00783200">
            <w:pPr>
              <w:rPr>
                <w:rFonts w:ascii="Arial" w:hAnsi="Arial" w:cs="Arial"/>
                <w:sz w:val="20"/>
                <w:szCs w:val="20"/>
              </w:rPr>
            </w:pPr>
          </w:p>
        </w:tc>
        <w:tc>
          <w:tcPr>
            <w:tcW w:w="2903" w:type="dxa"/>
            <w:vMerge/>
          </w:tcPr>
          <w:p w14:paraId="223D6B55"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294B6A55" w14:textId="2892560E" w:rsidR="00783200" w:rsidRPr="00CA3A08" w:rsidRDefault="00783200" w:rsidP="00783200">
            <w:pPr>
              <w:spacing w:after="240"/>
              <w:rPr>
                <w:rFonts w:ascii="Arial" w:hAnsi="Arial" w:cs="Arial"/>
                <w:sz w:val="20"/>
                <w:szCs w:val="20"/>
              </w:rPr>
            </w:pPr>
            <w:r w:rsidRPr="00CA3A08">
              <w:rPr>
                <w:rFonts w:ascii="Arial" w:hAnsi="Arial" w:cs="Arial"/>
                <w:b/>
                <w:bCs/>
                <w:i/>
                <w:iCs/>
                <w:sz w:val="20"/>
                <w:szCs w:val="20"/>
                <w:u w:val="single"/>
              </w:rPr>
              <w:t>The Gramm-Leach-Bliley Act (GLBA),</w:t>
            </w:r>
            <w:r w:rsidRPr="00CA3A08">
              <w:rPr>
                <w:rFonts w:ascii="Arial" w:hAnsi="Arial" w:cs="Arial"/>
                <w:i/>
                <w:iCs/>
                <w:sz w:val="20"/>
                <w:szCs w:val="20"/>
                <w:u w:val="single"/>
              </w:rPr>
              <w:t xml:space="preserve"> </w:t>
            </w:r>
            <w:r w:rsidRPr="00CA3A08">
              <w:rPr>
                <w:rFonts w:ascii="Arial" w:hAnsi="Arial" w:cs="Arial"/>
                <w:sz w:val="20"/>
                <w:szCs w:val="20"/>
              </w:rPr>
              <w:t>Subchapter I (Disclosure of Nonpublic Personal Information) 15 U.S.C. § 6801 et seq.</w:t>
            </w:r>
          </w:p>
        </w:tc>
        <w:tc>
          <w:tcPr>
            <w:tcW w:w="3383" w:type="dxa"/>
          </w:tcPr>
          <w:p w14:paraId="4D3AF92C" w14:textId="34C892F6" w:rsidR="00783200" w:rsidRPr="00CA3A08" w:rsidRDefault="00783200" w:rsidP="00783200">
            <w:pPr>
              <w:spacing w:after="240"/>
              <w:rPr>
                <w:rFonts w:ascii="Arial" w:hAnsi="Arial" w:cs="Arial"/>
                <w:sz w:val="20"/>
                <w:szCs w:val="20"/>
              </w:rPr>
            </w:pPr>
            <w:r w:rsidRPr="00CA3A08">
              <w:rPr>
                <w:rFonts w:ascii="Arial" w:hAnsi="Arial" w:cs="Arial"/>
                <w:sz w:val="20"/>
                <w:szCs w:val="20"/>
              </w:rPr>
              <w:t>The GLBA, generally, allows consumers to opt out of the sharing of their information with third parties</w:t>
            </w:r>
            <w:r>
              <w:rPr>
                <w:rFonts w:ascii="Arial" w:hAnsi="Arial" w:cs="Arial"/>
                <w:sz w:val="20"/>
                <w:szCs w:val="20"/>
              </w:rPr>
              <w:t>,</w:t>
            </w:r>
            <w:r>
              <w:t xml:space="preserve"> </w:t>
            </w:r>
            <w:r w:rsidRPr="0014423A">
              <w:rPr>
                <w:rFonts w:ascii="Arial" w:hAnsi="Arial" w:cs="Arial"/>
                <w:sz w:val="20"/>
                <w:szCs w:val="20"/>
              </w:rPr>
              <w:t>unless it (1) discloses to the consumer that such information may be disclosed; (2) gives the consumer an opportunity to opt out; and (3) explains to the consumer how to opt out.</w:t>
            </w:r>
            <w:r w:rsidRPr="00CA3A08">
              <w:rPr>
                <w:rFonts w:ascii="Arial" w:hAnsi="Arial" w:cs="Arial"/>
                <w:sz w:val="20"/>
                <w:szCs w:val="20"/>
              </w:rPr>
              <w:t xml:space="preserve"> 15 U.S.C. § 6802(b); 16 C.F.R. </w:t>
            </w:r>
            <w:r>
              <w:rPr>
                <w:rFonts w:ascii="Arial" w:hAnsi="Arial" w:cs="Arial"/>
                <w:sz w:val="20"/>
                <w:szCs w:val="20"/>
              </w:rPr>
              <w:t xml:space="preserve">§§ </w:t>
            </w:r>
            <w:r w:rsidRPr="00CA3A08">
              <w:rPr>
                <w:rFonts w:ascii="Arial" w:hAnsi="Arial" w:cs="Arial"/>
                <w:sz w:val="20"/>
                <w:szCs w:val="20"/>
              </w:rPr>
              <w:t xml:space="preserve">313.7, 313.10, cf. 313.13 </w:t>
            </w:r>
            <w:r>
              <w:rPr>
                <w:rFonts w:ascii="Arial" w:hAnsi="Arial" w:cs="Arial"/>
                <w:sz w:val="20"/>
                <w:szCs w:val="20"/>
              </w:rPr>
              <w:t>This includes</w:t>
            </w:r>
            <w:r w:rsidRPr="00CA3A08">
              <w:rPr>
                <w:rFonts w:ascii="Arial" w:hAnsi="Arial" w:cs="Arial"/>
                <w:sz w:val="20"/>
                <w:szCs w:val="20"/>
              </w:rPr>
              <w:t xml:space="preserve"> a joint-marketing exception</w:t>
            </w:r>
            <w:r>
              <w:rPr>
                <w:rFonts w:ascii="Arial" w:hAnsi="Arial" w:cs="Arial"/>
                <w:sz w:val="20"/>
                <w:szCs w:val="20"/>
              </w:rPr>
              <w:t xml:space="preserve"> if that agreement complies with 15 U.S.C 6804 implementing regulations, that the consumer was given notice, and the third party agrees to </w:t>
            </w:r>
            <w:r>
              <w:rPr>
                <w:rFonts w:ascii="Arial" w:hAnsi="Arial" w:cs="Arial"/>
                <w:sz w:val="20"/>
                <w:szCs w:val="20"/>
              </w:rPr>
              <w:lastRenderedPageBreak/>
              <w:t>maintain the confidentiality of the information</w:t>
            </w:r>
            <w:r w:rsidRPr="00CA3A08">
              <w:rPr>
                <w:rFonts w:ascii="Arial" w:hAnsi="Arial" w:cs="Arial"/>
                <w:sz w:val="20"/>
                <w:szCs w:val="20"/>
              </w:rPr>
              <w:t>.</w:t>
            </w:r>
          </w:p>
        </w:tc>
        <w:tc>
          <w:tcPr>
            <w:tcW w:w="3383" w:type="dxa"/>
          </w:tcPr>
          <w:p w14:paraId="6A75F2F6" w14:textId="6153E8C9" w:rsidR="00783200" w:rsidRPr="00CA3A08" w:rsidRDefault="00783200" w:rsidP="00783200">
            <w:pPr>
              <w:spacing w:after="240"/>
              <w:rPr>
                <w:rFonts w:ascii="Arial" w:hAnsi="Arial" w:cs="Arial"/>
                <w:sz w:val="20"/>
                <w:szCs w:val="20"/>
              </w:rPr>
            </w:pPr>
          </w:p>
        </w:tc>
        <w:tc>
          <w:tcPr>
            <w:tcW w:w="1209" w:type="dxa"/>
          </w:tcPr>
          <w:p w14:paraId="49F6A960" w14:textId="0DBABF1D" w:rsidR="00783200" w:rsidRPr="00CA3A08" w:rsidRDefault="00783200" w:rsidP="00783200">
            <w:pPr>
              <w:rPr>
                <w:rFonts w:ascii="Arial" w:hAnsi="Arial" w:cs="Arial"/>
                <w:sz w:val="20"/>
                <w:szCs w:val="20"/>
              </w:rPr>
            </w:pPr>
            <w:r w:rsidRPr="310DF885">
              <w:rPr>
                <w:rFonts w:ascii="Arial" w:hAnsi="Arial" w:cs="Arial"/>
                <w:sz w:val="20"/>
                <w:szCs w:val="20"/>
              </w:rPr>
              <w:t>Signed into law on November 12, 1999.</w:t>
            </w:r>
          </w:p>
        </w:tc>
      </w:tr>
      <w:tr w:rsidR="00783200" w:rsidRPr="00CA3A08" w14:paraId="6025B6B8" w14:textId="77777777" w:rsidTr="009408B1">
        <w:tc>
          <w:tcPr>
            <w:tcW w:w="427" w:type="dxa"/>
            <w:vMerge/>
          </w:tcPr>
          <w:p w14:paraId="41035692" w14:textId="77777777" w:rsidR="00783200" w:rsidRPr="00CA3A08" w:rsidRDefault="00783200" w:rsidP="00783200">
            <w:pPr>
              <w:rPr>
                <w:rFonts w:ascii="Arial" w:hAnsi="Arial" w:cs="Arial"/>
                <w:sz w:val="20"/>
                <w:szCs w:val="20"/>
              </w:rPr>
            </w:pPr>
          </w:p>
        </w:tc>
        <w:tc>
          <w:tcPr>
            <w:tcW w:w="2903" w:type="dxa"/>
            <w:vMerge/>
          </w:tcPr>
          <w:p w14:paraId="381CEFBD"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4925F130" w14:textId="1DF1CB8D" w:rsidR="00783200" w:rsidRPr="00CA3A08" w:rsidRDefault="00783200" w:rsidP="00783200">
            <w:pPr>
              <w:spacing w:after="240"/>
              <w:rPr>
                <w:rFonts w:ascii="Arial" w:hAnsi="Arial" w:cs="Arial"/>
                <w:sz w:val="20"/>
                <w:szCs w:val="20"/>
              </w:rPr>
            </w:pPr>
            <w:r w:rsidRPr="00CA3A08">
              <w:rPr>
                <w:rFonts w:ascii="Arial" w:hAnsi="Arial" w:cs="Arial"/>
                <w:b/>
                <w:bCs/>
                <w:i/>
                <w:iCs/>
                <w:sz w:val="20"/>
                <w:szCs w:val="20"/>
                <w:u w:val="single"/>
              </w:rPr>
              <w:t>The Children’s Online Privacy Protection Act (COPPA),</w:t>
            </w:r>
            <w:r w:rsidRPr="00CA3A08">
              <w:rPr>
                <w:rFonts w:ascii="Arial" w:hAnsi="Arial" w:cs="Arial"/>
                <w:i/>
                <w:iCs/>
                <w:sz w:val="20"/>
                <w:szCs w:val="20"/>
                <w:u w:val="single"/>
              </w:rPr>
              <w:t xml:space="preserve">  </w:t>
            </w:r>
            <w:r w:rsidRPr="00CA3A08">
              <w:rPr>
                <w:rFonts w:ascii="Arial" w:hAnsi="Arial" w:cs="Arial"/>
                <w:sz w:val="20"/>
                <w:szCs w:val="20"/>
              </w:rPr>
              <w:t>15 U.S.C. § 6501 et seq; 16 C.F.R. Part 312.</w:t>
            </w:r>
          </w:p>
        </w:tc>
        <w:tc>
          <w:tcPr>
            <w:tcW w:w="3383" w:type="dxa"/>
          </w:tcPr>
          <w:p w14:paraId="4FA29BDF" w14:textId="7910CFA2" w:rsidR="00783200" w:rsidRPr="00CA3A08" w:rsidRDefault="00783200" w:rsidP="00783200">
            <w:pPr>
              <w:spacing w:after="240"/>
              <w:rPr>
                <w:rFonts w:ascii="Arial" w:hAnsi="Arial" w:cs="Arial"/>
                <w:sz w:val="20"/>
                <w:szCs w:val="20"/>
              </w:rPr>
            </w:pPr>
            <w:r w:rsidRPr="00CA3A08">
              <w:rPr>
                <w:rFonts w:ascii="Arial" w:hAnsi="Arial" w:cs="Arial"/>
                <w:sz w:val="20"/>
                <w:szCs w:val="20"/>
              </w:rPr>
              <w:t xml:space="preserve">COPPA allows parents to withhold or withdraw consent for the collection, use or maintenance of information about their child and a parent may give consent to the collection and use but withhold consent to the disclosure of information to third parties.  15 U.S.C. § 6502(b)(1); 16 C.F.R. </w:t>
            </w:r>
            <w:r>
              <w:rPr>
                <w:rFonts w:ascii="Arial" w:hAnsi="Arial" w:cs="Arial"/>
                <w:sz w:val="20"/>
                <w:szCs w:val="20"/>
              </w:rPr>
              <w:t xml:space="preserve">§§ </w:t>
            </w:r>
            <w:r w:rsidRPr="00CA3A08">
              <w:rPr>
                <w:rFonts w:ascii="Arial" w:hAnsi="Arial" w:cs="Arial"/>
                <w:sz w:val="20"/>
                <w:szCs w:val="20"/>
              </w:rPr>
              <w:t>312.3 and 312.5.</w:t>
            </w:r>
          </w:p>
        </w:tc>
        <w:tc>
          <w:tcPr>
            <w:tcW w:w="3383" w:type="dxa"/>
          </w:tcPr>
          <w:p w14:paraId="2C42A742" w14:textId="36C93B7F" w:rsidR="00783200" w:rsidRPr="00CA3A08" w:rsidRDefault="00783200" w:rsidP="00783200">
            <w:pPr>
              <w:spacing w:after="240"/>
              <w:rPr>
                <w:rFonts w:ascii="Arial" w:hAnsi="Arial" w:cs="Arial"/>
                <w:sz w:val="20"/>
                <w:szCs w:val="20"/>
              </w:rPr>
            </w:pPr>
          </w:p>
        </w:tc>
        <w:tc>
          <w:tcPr>
            <w:tcW w:w="1209" w:type="dxa"/>
          </w:tcPr>
          <w:p w14:paraId="664EF23F"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October 21, 1998.</w:t>
            </w:r>
          </w:p>
          <w:p w14:paraId="14176260" w14:textId="14FA6DB2" w:rsidR="00783200" w:rsidRPr="00CA3A08" w:rsidRDefault="00783200" w:rsidP="00783200">
            <w:pPr>
              <w:rPr>
                <w:rFonts w:ascii="Arial" w:hAnsi="Arial" w:cs="Arial"/>
                <w:sz w:val="20"/>
                <w:szCs w:val="20"/>
              </w:rPr>
            </w:pPr>
          </w:p>
        </w:tc>
      </w:tr>
      <w:tr w:rsidR="00783200" w:rsidRPr="00CA3A08" w14:paraId="2DC42E57" w14:textId="77777777" w:rsidTr="009408B1">
        <w:tc>
          <w:tcPr>
            <w:tcW w:w="427" w:type="dxa"/>
            <w:vMerge/>
          </w:tcPr>
          <w:p w14:paraId="21DF9360" w14:textId="77777777" w:rsidR="00783200" w:rsidRPr="00CA3A08" w:rsidRDefault="00783200" w:rsidP="00783200">
            <w:pPr>
              <w:rPr>
                <w:rFonts w:ascii="Arial" w:hAnsi="Arial" w:cs="Arial"/>
                <w:sz w:val="20"/>
                <w:szCs w:val="20"/>
              </w:rPr>
            </w:pPr>
          </w:p>
        </w:tc>
        <w:tc>
          <w:tcPr>
            <w:tcW w:w="2903" w:type="dxa"/>
            <w:vMerge/>
          </w:tcPr>
          <w:p w14:paraId="19259E3F"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53349E98" w14:textId="6C53B032" w:rsidR="00783200" w:rsidRPr="00CA3A08" w:rsidRDefault="00783200" w:rsidP="00783200">
            <w:pPr>
              <w:spacing w:after="240"/>
              <w:rPr>
                <w:rFonts w:ascii="Arial" w:hAnsi="Arial" w:cs="Arial"/>
                <w:sz w:val="20"/>
                <w:szCs w:val="20"/>
              </w:rPr>
            </w:pPr>
            <w:r w:rsidRPr="00CA3A08">
              <w:rPr>
                <w:rFonts w:ascii="Arial" w:hAnsi="Arial" w:cs="Arial"/>
                <w:b/>
                <w:bCs/>
                <w:i/>
                <w:iCs/>
                <w:sz w:val="20"/>
                <w:szCs w:val="20"/>
                <w:u w:val="single"/>
              </w:rPr>
              <w:t>The Drivers Privacy Protection Act of 1994 (DPPA),</w:t>
            </w:r>
            <w:r w:rsidRPr="00CA3A08">
              <w:rPr>
                <w:rFonts w:ascii="Arial" w:hAnsi="Arial" w:cs="Arial"/>
                <w:i/>
                <w:iCs/>
                <w:sz w:val="20"/>
                <w:szCs w:val="20"/>
                <w:u w:val="single"/>
              </w:rPr>
              <w:t xml:space="preserve"> </w:t>
            </w:r>
            <w:r w:rsidRPr="00CA3A08">
              <w:rPr>
                <w:rFonts w:ascii="Arial" w:hAnsi="Arial" w:cs="Arial"/>
                <w:sz w:val="20"/>
                <w:szCs w:val="20"/>
              </w:rPr>
              <w:t>18 U.S.C. § 2721 et seq.</w:t>
            </w:r>
          </w:p>
        </w:tc>
        <w:tc>
          <w:tcPr>
            <w:tcW w:w="3383" w:type="dxa"/>
          </w:tcPr>
          <w:p w14:paraId="4EE2875F" w14:textId="21C0AB17" w:rsidR="00783200" w:rsidRPr="00CA3A08" w:rsidRDefault="00783200" w:rsidP="00783200">
            <w:pPr>
              <w:spacing w:after="240"/>
              <w:rPr>
                <w:rFonts w:ascii="Arial" w:hAnsi="Arial" w:cs="Arial"/>
                <w:sz w:val="20"/>
                <w:szCs w:val="20"/>
              </w:rPr>
            </w:pPr>
            <w:r w:rsidRPr="00CA3A08">
              <w:rPr>
                <w:rFonts w:ascii="Arial" w:hAnsi="Arial" w:cs="Arial"/>
                <w:sz w:val="20"/>
                <w:szCs w:val="20"/>
              </w:rPr>
              <w:t xml:space="preserve">The DPPA provides for the disclosure and use of individuals’ personal information other than for a “permissible </w:t>
            </w:r>
            <w:r>
              <w:rPr>
                <w:rFonts w:ascii="Arial" w:hAnsi="Arial" w:cs="Arial"/>
                <w:sz w:val="20"/>
                <w:szCs w:val="20"/>
              </w:rPr>
              <w:t>use</w:t>
            </w:r>
            <w:r w:rsidRPr="00CA3A08">
              <w:rPr>
                <w:rFonts w:ascii="Arial" w:hAnsi="Arial" w:cs="Arial"/>
                <w:sz w:val="20"/>
                <w:szCs w:val="20"/>
              </w:rPr>
              <w:t>” if the individual gives his or her consent. 18 U.S.C. § 2721.</w:t>
            </w:r>
          </w:p>
        </w:tc>
        <w:tc>
          <w:tcPr>
            <w:tcW w:w="3383" w:type="dxa"/>
          </w:tcPr>
          <w:p w14:paraId="63702E29" w14:textId="6EC5D976" w:rsidR="00783200" w:rsidRPr="00CA3A08" w:rsidRDefault="00783200" w:rsidP="00783200">
            <w:pPr>
              <w:spacing w:after="240"/>
              <w:rPr>
                <w:rFonts w:ascii="Arial" w:hAnsi="Arial" w:cs="Arial"/>
                <w:sz w:val="20"/>
                <w:szCs w:val="20"/>
              </w:rPr>
            </w:pPr>
          </w:p>
        </w:tc>
        <w:tc>
          <w:tcPr>
            <w:tcW w:w="1209" w:type="dxa"/>
          </w:tcPr>
          <w:p w14:paraId="777049B3"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September 13, 1994.</w:t>
            </w:r>
          </w:p>
          <w:p w14:paraId="26267E33" w14:textId="6E5F96AF" w:rsidR="00783200" w:rsidRPr="00CA3A08" w:rsidRDefault="00783200" w:rsidP="00783200">
            <w:pPr>
              <w:rPr>
                <w:rFonts w:ascii="Arial" w:hAnsi="Arial" w:cs="Arial"/>
                <w:sz w:val="20"/>
                <w:szCs w:val="20"/>
              </w:rPr>
            </w:pPr>
          </w:p>
        </w:tc>
      </w:tr>
      <w:tr w:rsidR="00783200" w:rsidRPr="00CA3A08" w14:paraId="352233BA" w14:textId="77777777" w:rsidTr="009408B1">
        <w:tc>
          <w:tcPr>
            <w:tcW w:w="427" w:type="dxa"/>
            <w:vMerge/>
          </w:tcPr>
          <w:p w14:paraId="5A3281D7" w14:textId="77777777" w:rsidR="00783200" w:rsidRPr="00CA3A08" w:rsidRDefault="00783200" w:rsidP="00783200">
            <w:pPr>
              <w:rPr>
                <w:rFonts w:ascii="Arial" w:hAnsi="Arial" w:cs="Arial"/>
                <w:sz w:val="20"/>
                <w:szCs w:val="20"/>
              </w:rPr>
            </w:pPr>
          </w:p>
        </w:tc>
        <w:tc>
          <w:tcPr>
            <w:tcW w:w="2903" w:type="dxa"/>
            <w:vMerge/>
          </w:tcPr>
          <w:p w14:paraId="5EAC04D2"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0841E5D4" w14:textId="0397BC16" w:rsidR="00783200" w:rsidRPr="00CA3A08" w:rsidRDefault="00783200" w:rsidP="00783200">
            <w:pPr>
              <w:spacing w:after="240"/>
              <w:rPr>
                <w:rFonts w:ascii="Arial" w:hAnsi="Arial" w:cs="Arial"/>
                <w:sz w:val="20"/>
                <w:szCs w:val="20"/>
              </w:rPr>
            </w:pPr>
            <w:r w:rsidRPr="00CA3A08">
              <w:rPr>
                <w:rFonts w:ascii="Arial" w:hAnsi="Arial" w:cs="Arial"/>
                <w:b/>
                <w:bCs/>
                <w:i/>
                <w:iCs/>
                <w:sz w:val="20"/>
                <w:szCs w:val="20"/>
                <w:u w:val="single"/>
              </w:rPr>
              <w:t>Health Insurance Portability and Accountability Act (HIPAA),</w:t>
            </w:r>
            <w:r w:rsidRPr="00CA3A08">
              <w:rPr>
                <w:rFonts w:ascii="Arial" w:hAnsi="Arial" w:cs="Arial"/>
                <w:i/>
                <w:iCs/>
                <w:sz w:val="20"/>
                <w:szCs w:val="20"/>
                <w:u w:val="single"/>
              </w:rPr>
              <w:t xml:space="preserve"> </w:t>
            </w:r>
            <w:r w:rsidRPr="00CA3A08">
              <w:rPr>
                <w:rFonts w:ascii="Arial" w:hAnsi="Arial" w:cs="Arial"/>
                <w:sz w:val="20"/>
                <w:szCs w:val="20"/>
              </w:rPr>
              <w:t>Pub. L. 104-191 §§ 262 &amp; 264) Privacy Rule, 45 C.F.R. Parts 160 &amp; 164</w:t>
            </w:r>
          </w:p>
        </w:tc>
        <w:tc>
          <w:tcPr>
            <w:tcW w:w="3383" w:type="dxa"/>
          </w:tcPr>
          <w:p w14:paraId="631A9AF4" w14:textId="68EB4C77" w:rsidR="00783200" w:rsidRPr="00CA3A08" w:rsidRDefault="00783200" w:rsidP="00783200">
            <w:pPr>
              <w:spacing w:after="240"/>
              <w:rPr>
                <w:rFonts w:ascii="Arial" w:hAnsi="Arial" w:cs="Arial"/>
                <w:sz w:val="20"/>
                <w:szCs w:val="20"/>
              </w:rPr>
            </w:pPr>
            <w:r w:rsidRPr="00CA3A08">
              <w:rPr>
                <w:rFonts w:ascii="Arial" w:hAnsi="Arial" w:cs="Arial"/>
                <w:sz w:val="20"/>
                <w:szCs w:val="20"/>
              </w:rPr>
              <w:t xml:space="preserve">While the HIPAA Privacy Rule permits disclosure for treatment, payment, health care operations and in certain other exigent circumstances without an individual’s consent, it also provides that individuals must opt-in to disclosure of psychotherapy notes and marketing, and affords an opportunity to opt-out of facility directories, disclosure to caregivers, and certain other uses.  </w:t>
            </w:r>
            <w:r w:rsidRPr="00CA3A08">
              <w:rPr>
                <w:rFonts w:ascii="Arial" w:hAnsi="Arial" w:cs="Arial"/>
                <w:sz w:val="20"/>
                <w:szCs w:val="20"/>
              </w:rPr>
              <w:lastRenderedPageBreak/>
              <w:t>All other uses require individual consent.</w:t>
            </w:r>
          </w:p>
        </w:tc>
        <w:tc>
          <w:tcPr>
            <w:tcW w:w="3383" w:type="dxa"/>
          </w:tcPr>
          <w:p w14:paraId="0EB7718A" w14:textId="77777777" w:rsidR="00783200" w:rsidRPr="00CA3A08" w:rsidRDefault="00783200" w:rsidP="00783200">
            <w:pPr>
              <w:spacing w:after="240"/>
              <w:rPr>
                <w:rFonts w:ascii="Arial" w:hAnsi="Arial" w:cs="Arial"/>
                <w:sz w:val="20"/>
                <w:szCs w:val="20"/>
              </w:rPr>
            </w:pPr>
          </w:p>
        </w:tc>
        <w:tc>
          <w:tcPr>
            <w:tcW w:w="1209" w:type="dxa"/>
          </w:tcPr>
          <w:p w14:paraId="25E16765"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August 21, 1996.</w:t>
            </w:r>
          </w:p>
          <w:p w14:paraId="2E8B6804" w14:textId="7C5FA17E" w:rsidR="00783200" w:rsidRPr="00CA3A08" w:rsidRDefault="00783200" w:rsidP="00783200">
            <w:pPr>
              <w:rPr>
                <w:rFonts w:ascii="Arial" w:hAnsi="Arial" w:cs="Arial"/>
                <w:sz w:val="20"/>
                <w:szCs w:val="20"/>
              </w:rPr>
            </w:pPr>
          </w:p>
        </w:tc>
      </w:tr>
      <w:tr w:rsidR="00783200" w:rsidRPr="00CA3A08" w14:paraId="4186C2BB" w14:textId="77777777" w:rsidTr="009408B1">
        <w:tc>
          <w:tcPr>
            <w:tcW w:w="427" w:type="dxa"/>
            <w:vMerge w:val="restart"/>
          </w:tcPr>
          <w:p w14:paraId="003BAFFB" w14:textId="77777777" w:rsidR="00783200" w:rsidRPr="00CA3A08" w:rsidRDefault="00783200" w:rsidP="00783200">
            <w:pPr>
              <w:rPr>
                <w:rFonts w:ascii="Arial" w:hAnsi="Arial" w:cs="Arial"/>
                <w:sz w:val="20"/>
                <w:szCs w:val="20"/>
              </w:rPr>
            </w:pPr>
            <w:r w:rsidRPr="00CA3A08">
              <w:rPr>
                <w:rFonts w:ascii="Arial" w:hAnsi="Arial" w:cs="Arial"/>
                <w:sz w:val="20"/>
                <w:szCs w:val="20"/>
              </w:rPr>
              <w:t>5</w:t>
            </w:r>
          </w:p>
          <w:p w14:paraId="0CDAF126" w14:textId="77777777" w:rsidR="00783200" w:rsidRPr="00CA3A08" w:rsidRDefault="00783200" w:rsidP="00783200">
            <w:pPr>
              <w:rPr>
                <w:rFonts w:ascii="Arial" w:hAnsi="Arial" w:cs="Arial"/>
                <w:sz w:val="20"/>
                <w:szCs w:val="20"/>
              </w:rPr>
            </w:pPr>
          </w:p>
          <w:p w14:paraId="466204CA" w14:textId="77777777" w:rsidR="00783200" w:rsidRPr="00CA3A08" w:rsidRDefault="00783200" w:rsidP="00783200">
            <w:pPr>
              <w:rPr>
                <w:rFonts w:ascii="Arial" w:hAnsi="Arial" w:cs="Arial"/>
                <w:sz w:val="20"/>
                <w:szCs w:val="20"/>
              </w:rPr>
            </w:pPr>
          </w:p>
          <w:p w14:paraId="395E9443" w14:textId="77777777" w:rsidR="00783200" w:rsidRPr="00CA3A08" w:rsidRDefault="00783200" w:rsidP="00783200">
            <w:pPr>
              <w:rPr>
                <w:rFonts w:ascii="Arial" w:hAnsi="Arial" w:cs="Arial"/>
                <w:sz w:val="20"/>
                <w:szCs w:val="20"/>
              </w:rPr>
            </w:pPr>
          </w:p>
          <w:p w14:paraId="7C6AA58E" w14:textId="77777777" w:rsidR="00783200" w:rsidRPr="00CA3A08" w:rsidRDefault="00783200" w:rsidP="00783200">
            <w:pPr>
              <w:rPr>
                <w:rFonts w:ascii="Arial" w:hAnsi="Arial" w:cs="Arial"/>
                <w:sz w:val="20"/>
                <w:szCs w:val="20"/>
              </w:rPr>
            </w:pPr>
          </w:p>
          <w:p w14:paraId="225E22E9" w14:textId="77777777" w:rsidR="00783200" w:rsidRPr="00CA3A08" w:rsidRDefault="00783200" w:rsidP="00783200">
            <w:pPr>
              <w:rPr>
                <w:rFonts w:ascii="Arial" w:hAnsi="Arial" w:cs="Arial"/>
                <w:sz w:val="20"/>
                <w:szCs w:val="20"/>
              </w:rPr>
            </w:pPr>
          </w:p>
          <w:p w14:paraId="106E14E5" w14:textId="77777777" w:rsidR="00783200" w:rsidRPr="00CA3A08" w:rsidRDefault="00783200" w:rsidP="00783200">
            <w:pPr>
              <w:rPr>
                <w:rFonts w:ascii="Arial" w:hAnsi="Arial" w:cs="Arial"/>
                <w:sz w:val="20"/>
                <w:szCs w:val="20"/>
              </w:rPr>
            </w:pPr>
          </w:p>
          <w:p w14:paraId="6A245D45" w14:textId="77777777" w:rsidR="00783200" w:rsidRPr="00CA3A08" w:rsidRDefault="00783200" w:rsidP="00783200">
            <w:pPr>
              <w:rPr>
                <w:rFonts w:ascii="Arial" w:hAnsi="Arial" w:cs="Arial"/>
                <w:sz w:val="20"/>
                <w:szCs w:val="20"/>
              </w:rPr>
            </w:pPr>
          </w:p>
        </w:tc>
        <w:tc>
          <w:tcPr>
            <w:tcW w:w="2903" w:type="dxa"/>
            <w:vMerge w:val="restart"/>
          </w:tcPr>
          <w:p w14:paraId="49DF64D5" w14:textId="77777777" w:rsidR="00783200" w:rsidRPr="00592C78" w:rsidRDefault="00783200" w:rsidP="00783200">
            <w:pPr>
              <w:adjustRightInd w:val="0"/>
              <w:rPr>
                <w:rFonts w:ascii="Arial" w:hAnsi="Arial" w:cs="Arial"/>
                <w:b/>
                <w:bCs/>
                <w:i/>
                <w:iCs/>
                <w:sz w:val="20"/>
                <w:szCs w:val="20"/>
                <w:lang w:bidi="mni-IN"/>
              </w:rPr>
            </w:pPr>
            <w:r w:rsidRPr="00592C78">
              <w:rPr>
                <w:rFonts w:ascii="Arial" w:hAnsi="Arial" w:cs="Arial"/>
                <w:b/>
                <w:bCs/>
                <w:i/>
                <w:iCs/>
                <w:sz w:val="20"/>
                <w:szCs w:val="20"/>
                <w:lang w:bidi="mni-IN"/>
              </w:rPr>
              <w:t>V Choice</w:t>
            </w:r>
          </w:p>
          <w:p w14:paraId="1A2C116E" w14:textId="77777777" w:rsidR="00783200" w:rsidRPr="00592C78" w:rsidRDefault="00783200" w:rsidP="00783200">
            <w:pPr>
              <w:adjustRightInd w:val="0"/>
              <w:rPr>
                <w:rFonts w:ascii="Arial" w:hAnsi="Arial" w:cs="Arial"/>
                <w:b/>
                <w:bCs/>
                <w:sz w:val="20"/>
                <w:szCs w:val="20"/>
                <w:lang w:bidi="mni-IN"/>
              </w:rPr>
            </w:pPr>
            <w:r>
              <w:rPr>
                <w:rFonts w:ascii="Arial" w:hAnsi="Arial" w:cs="Arial"/>
                <w:b/>
                <w:bCs/>
                <w:sz w:val="20"/>
                <w:szCs w:val="20"/>
                <w:lang w:bidi="mni-IN"/>
              </w:rPr>
              <w:t>(Ref. Para. 26</w:t>
            </w:r>
            <w:r w:rsidRPr="00592C78">
              <w:rPr>
                <w:rFonts w:ascii="Arial" w:hAnsi="Arial" w:cs="Arial"/>
                <w:b/>
                <w:bCs/>
                <w:sz w:val="20"/>
                <w:szCs w:val="20"/>
                <w:lang w:bidi="mni-IN"/>
              </w:rPr>
              <w:t>)</w:t>
            </w:r>
          </w:p>
          <w:p w14:paraId="27A55878" w14:textId="77777777" w:rsidR="00783200" w:rsidRPr="00592C78" w:rsidRDefault="00783200" w:rsidP="00783200">
            <w:pPr>
              <w:adjustRightInd w:val="0"/>
              <w:rPr>
                <w:rFonts w:ascii="Arial" w:hAnsi="Arial" w:cs="Arial"/>
                <w:b/>
                <w:bCs/>
                <w:sz w:val="20"/>
                <w:szCs w:val="20"/>
                <w:lang w:bidi="mni-IN"/>
              </w:rPr>
            </w:pPr>
          </w:p>
          <w:p w14:paraId="0D3FAD38" w14:textId="77777777" w:rsidR="00783200" w:rsidRPr="00592C78" w:rsidRDefault="00783200" w:rsidP="00783200">
            <w:pPr>
              <w:autoSpaceDE w:val="0"/>
              <w:autoSpaceDN w:val="0"/>
              <w:adjustRightInd w:val="0"/>
              <w:rPr>
                <w:rFonts w:ascii="Arial" w:hAnsi="Arial" w:cs="Arial"/>
                <w:sz w:val="20"/>
                <w:szCs w:val="20"/>
              </w:rPr>
            </w:pPr>
            <w:r w:rsidRPr="00592C78">
              <w:rPr>
                <w:rFonts w:ascii="Arial" w:hAnsi="Arial" w:cs="Arial"/>
                <w:sz w:val="20"/>
                <w:szCs w:val="20"/>
              </w:rPr>
              <w:t>Where appropriate, individuals should be provided with clear, prominent, easily understandable, accessible and affordable mechanisms to exercise choice in relation to the collection, use and disclosure of their personal information. It may not be</w:t>
            </w:r>
          </w:p>
          <w:p w14:paraId="5EE4E49B" w14:textId="77777777" w:rsidR="00783200" w:rsidRPr="00592C78" w:rsidRDefault="00783200" w:rsidP="00783200">
            <w:pPr>
              <w:rPr>
                <w:rFonts w:ascii="Arial" w:hAnsi="Arial" w:cs="Arial"/>
                <w:sz w:val="20"/>
                <w:szCs w:val="20"/>
              </w:rPr>
            </w:pPr>
            <w:r w:rsidRPr="00592C78">
              <w:rPr>
                <w:rFonts w:ascii="Arial" w:hAnsi="Arial" w:cs="Arial"/>
                <w:sz w:val="20"/>
                <w:szCs w:val="20"/>
              </w:rPr>
              <w:t>appropriate for personal information controllers to provide these mechanisms when collecting publicly available information.</w:t>
            </w:r>
          </w:p>
          <w:p w14:paraId="0E497C02" w14:textId="77777777" w:rsidR="00783200" w:rsidRPr="00CA3A08" w:rsidRDefault="00783200" w:rsidP="00783200">
            <w:pPr>
              <w:adjustRightInd w:val="0"/>
              <w:ind w:left="72"/>
              <w:jc w:val="both"/>
              <w:rPr>
                <w:rFonts w:ascii="Arial" w:hAnsi="Arial" w:cs="Arial"/>
                <w:sz w:val="20"/>
                <w:szCs w:val="20"/>
              </w:rPr>
            </w:pPr>
          </w:p>
        </w:tc>
        <w:tc>
          <w:tcPr>
            <w:tcW w:w="3383" w:type="dxa"/>
          </w:tcPr>
          <w:p w14:paraId="3426FEB7" w14:textId="188B22AE" w:rsidR="00783200" w:rsidRPr="00CA3A08" w:rsidRDefault="00783200" w:rsidP="00783200">
            <w:pPr>
              <w:rPr>
                <w:rFonts w:ascii="Arial" w:hAnsi="Arial" w:cs="Arial"/>
                <w:sz w:val="20"/>
                <w:szCs w:val="20"/>
              </w:rPr>
            </w:pPr>
            <w:r w:rsidRPr="00CA3A08">
              <w:rPr>
                <w:rFonts w:ascii="Arial" w:hAnsi="Arial" w:cs="Arial"/>
                <w:b/>
                <w:i/>
                <w:sz w:val="20"/>
                <w:szCs w:val="20"/>
                <w:u w:val="single"/>
              </w:rPr>
              <w:t>Communications Act of 1934 (as amended by the Cable Communications Policy Act of 1984 (CCPA) and the Telecommunications Act of 1996),</w:t>
            </w:r>
            <w:r w:rsidRPr="00CA3A08">
              <w:rPr>
                <w:rFonts w:ascii="Arial" w:hAnsi="Arial" w:cs="Arial"/>
                <w:sz w:val="20"/>
                <w:szCs w:val="20"/>
                <w:u w:val="single"/>
              </w:rPr>
              <w:t xml:space="preserve"> </w:t>
            </w:r>
            <w:r w:rsidRPr="00CA3A08">
              <w:rPr>
                <w:rFonts w:ascii="Arial" w:hAnsi="Arial" w:cs="Arial"/>
                <w:sz w:val="20"/>
                <w:szCs w:val="20"/>
              </w:rPr>
              <w:t>47 U.S.C. § 151 et seq.</w:t>
            </w:r>
          </w:p>
        </w:tc>
        <w:tc>
          <w:tcPr>
            <w:tcW w:w="3383" w:type="dxa"/>
          </w:tcPr>
          <w:p w14:paraId="57068FD7" w14:textId="1734D7E0" w:rsidR="00783200" w:rsidRPr="00CA3A08" w:rsidRDefault="00783200" w:rsidP="00783200">
            <w:pPr>
              <w:spacing w:after="240"/>
              <w:rPr>
                <w:rFonts w:ascii="Arial" w:hAnsi="Arial" w:cs="Arial"/>
                <w:sz w:val="20"/>
                <w:szCs w:val="20"/>
              </w:rPr>
            </w:pPr>
            <w:r w:rsidRPr="00CA3A08">
              <w:rPr>
                <w:rFonts w:ascii="Arial" w:hAnsi="Arial" w:cs="Arial"/>
                <w:sz w:val="20"/>
                <w:szCs w:val="20"/>
              </w:rPr>
              <w:t>Under the Communications Act, the customer may consent to the additional disclosure of his personal information by the telecommunications carrier beyond whatever disclosure is already permitted by law, 47 U.S.C. §§ 222(c)(1), 551(c)(1), including for the solicitation of additional services dissimilar to those which he already has, 47 U.S.C. § 551(c)(2)(C); 47 C.F.R. § 64.2005(b).  In addition, a customer may affirmatively request in writing that a telecommunications carrier disclose personal information to a particular party.  47 U.S.C. § 222(c)(2).</w:t>
            </w:r>
          </w:p>
        </w:tc>
        <w:tc>
          <w:tcPr>
            <w:tcW w:w="3383" w:type="dxa"/>
          </w:tcPr>
          <w:p w14:paraId="31C91162" w14:textId="77777777" w:rsidR="00783200" w:rsidRPr="00CA3A08" w:rsidRDefault="00783200" w:rsidP="00783200">
            <w:pPr>
              <w:rPr>
                <w:rFonts w:ascii="Arial" w:hAnsi="Arial" w:cs="Arial"/>
                <w:sz w:val="20"/>
                <w:szCs w:val="20"/>
              </w:rPr>
            </w:pPr>
          </w:p>
        </w:tc>
        <w:tc>
          <w:tcPr>
            <w:tcW w:w="1209" w:type="dxa"/>
          </w:tcPr>
          <w:p w14:paraId="614A774D" w14:textId="77777777" w:rsidR="00783200" w:rsidRPr="00CA3A08" w:rsidRDefault="00783200" w:rsidP="00783200">
            <w:pPr>
              <w:rPr>
                <w:rFonts w:ascii="Arial" w:eastAsia="Arial" w:hAnsi="Arial" w:cs="Arial"/>
                <w:sz w:val="20"/>
                <w:szCs w:val="20"/>
              </w:rPr>
            </w:pPr>
            <w:r w:rsidRPr="00CA3A08">
              <w:rPr>
                <w:rFonts w:ascii="Arial" w:eastAsia="Arial" w:hAnsi="Arial" w:cs="Arial"/>
                <w:sz w:val="20"/>
                <w:szCs w:val="20"/>
              </w:rPr>
              <w:t>Signed into law on June 19, 1934. Amended by the Cable Communications Policy Act of 1984 and the Telecommunications Act of 1996.</w:t>
            </w:r>
          </w:p>
          <w:p w14:paraId="09ACB41F" w14:textId="357EE5E8" w:rsidR="00783200" w:rsidRPr="00CA3A08" w:rsidRDefault="00783200" w:rsidP="00783200">
            <w:pPr>
              <w:rPr>
                <w:rFonts w:ascii="Arial" w:hAnsi="Arial" w:cs="Arial"/>
                <w:sz w:val="20"/>
                <w:szCs w:val="20"/>
              </w:rPr>
            </w:pPr>
          </w:p>
        </w:tc>
      </w:tr>
      <w:tr w:rsidR="00783200" w:rsidRPr="00CA3A08" w14:paraId="66A205C2" w14:textId="77777777" w:rsidTr="009408B1">
        <w:tc>
          <w:tcPr>
            <w:tcW w:w="427" w:type="dxa"/>
            <w:vMerge/>
          </w:tcPr>
          <w:p w14:paraId="69E965FC" w14:textId="77777777" w:rsidR="00783200" w:rsidRPr="00CA3A08" w:rsidRDefault="00783200" w:rsidP="00783200">
            <w:pPr>
              <w:rPr>
                <w:rFonts w:ascii="Arial" w:hAnsi="Arial" w:cs="Arial"/>
                <w:sz w:val="20"/>
                <w:szCs w:val="20"/>
              </w:rPr>
            </w:pPr>
          </w:p>
        </w:tc>
        <w:tc>
          <w:tcPr>
            <w:tcW w:w="2903" w:type="dxa"/>
            <w:vMerge/>
          </w:tcPr>
          <w:p w14:paraId="39FA5D86"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54E2A383" w14:textId="3BBB38D1" w:rsidR="00783200" w:rsidRPr="00CA3A08" w:rsidRDefault="00783200" w:rsidP="00783200">
            <w:pPr>
              <w:rPr>
                <w:rFonts w:ascii="Arial" w:hAnsi="Arial" w:cs="Arial"/>
                <w:sz w:val="20"/>
                <w:szCs w:val="20"/>
              </w:rPr>
            </w:pPr>
            <w:r w:rsidRPr="00CA3A08">
              <w:rPr>
                <w:rFonts w:ascii="Arial" w:hAnsi="Arial" w:cs="Arial"/>
                <w:b/>
                <w:bCs/>
                <w:i/>
                <w:sz w:val="20"/>
                <w:szCs w:val="20"/>
                <w:u w:val="single"/>
              </w:rPr>
              <w:t>Controlling the Assault of Non-Solicited Pornography and Marketing Act (CAN-SPAM),</w:t>
            </w:r>
            <w:r w:rsidRPr="00CA3A08">
              <w:rPr>
                <w:rFonts w:ascii="Arial" w:hAnsi="Arial" w:cs="Arial"/>
                <w:sz w:val="20"/>
                <w:szCs w:val="20"/>
                <w:u w:val="single"/>
              </w:rPr>
              <w:t xml:space="preserve"> </w:t>
            </w:r>
            <w:r w:rsidRPr="00CA3A08">
              <w:rPr>
                <w:rFonts w:ascii="Arial" w:hAnsi="Arial" w:cs="Arial"/>
                <w:sz w:val="20"/>
                <w:szCs w:val="20"/>
              </w:rPr>
              <w:t>15 U.S.C. §§ 7701-7713, applicable to commercial electronic e-mail messages.</w:t>
            </w:r>
          </w:p>
        </w:tc>
        <w:tc>
          <w:tcPr>
            <w:tcW w:w="3383" w:type="dxa"/>
          </w:tcPr>
          <w:p w14:paraId="15A7BD85" w14:textId="6D84A3A2" w:rsidR="00783200" w:rsidRPr="00CA3A08" w:rsidRDefault="00783200" w:rsidP="00783200">
            <w:pPr>
              <w:spacing w:after="240"/>
              <w:rPr>
                <w:rFonts w:ascii="Arial" w:hAnsi="Arial" w:cs="Arial"/>
                <w:sz w:val="20"/>
                <w:szCs w:val="20"/>
              </w:rPr>
            </w:pPr>
            <w:r w:rsidRPr="00CA3A08">
              <w:rPr>
                <w:rFonts w:ascii="Arial" w:hAnsi="Arial" w:cs="Arial"/>
                <w:sz w:val="20"/>
                <w:szCs w:val="20"/>
              </w:rPr>
              <w:t>CAN-SPAM requires unsolicited commercial e-mail messages to be identified as solicitation and to include opt-out instructions and the sender's physical address. Senders must honor requests to opt-out within 10 business days.  15 U.S.C. §7704.</w:t>
            </w:r>
          </w:p>
        </w:tc>
        <w:tc>
          <w:tcPr>
            <w:tcW w:w="3383" w:type="dxa"/>
          </w:tcPr>
          <w:p w14:paraId="5F1E647E" w14:textId="77777777" w:rsidR="00783200" w:rsidRPr="00CA3A08" w:rsidRDefault="00783200" w:rsidP="00783200">
            <w:pPr>
              <w:rPr>
                <w:rFonts w:ascii="Arial" w:hAnsi="Arial" w:cs="Arial"/>
                <w:sz w:val="20"/>
                <w:szCs w:val="20"/>
              </w:rPr>
            </w:pPr>
          </w:p>
        </w:tc>
        <w:tc>
          <w:tcPr>
            <w:tcW w:w="1209" w:type="dxa"/>
          </w:tcPr>
          <w:p w14:paraId="148663C2"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December 16, 2003.</w:t>
            </w:r>
          </w:p>
          <w:p w14:paraId="2C021310" w14:textId="0AAF209F" w:rsidR="00783200" w:rsidRPr="00CA3A08" w:rsidRDefault="00783200" w:rsidP="00783200">
            <w:pPr>
              <w:rPr>
                <w:rFonts w:ascii="Arial" w:hAnsi="Arial" w:cs="Arial"/>
                <w:sz w:val="20"/>
                <w:szCs w:val="20"/>
              </w:rPr>
            </w:pPr>
          </w:p>
        </w:tc>
      </w:tr>
      <w:tr w:rsidR="00783200" w:rsidRPr="00CA3A08" w14:paraId="370B079A" w14:textId="77777777" w:rsidTr="009408B1">
        <w:tc>
          <w:tcPr>
            <w:tcW w:w="427" w:type="dxa"/>
            <w:vMerge/>
          </w:tcPr>
          <w:p w14:paraId="70C3BF1C" w14:textId="77777777" w:rsidR="00783200" w:rsidRPr="00CA3A08" w:rsidRDefault="00783200" w:rsidP="00783200">
            <w:pPr>
              <w:rPr>
                <w:rFonts w:ascii="Arial" w:hAnsi="Arial" w:cs="Arial"/>
                <w:sz w:val="20"/>
                <w:szCs w:val="20"/>
              </w:rPr>
            </w:pPr>
          </w:p>
        </w:tc>
        <w:tc>
          <w:tcPr>
            <w:tcW w:w="2903" w:type="dxa"/>
            <w:vMerge/>
          </w:tcPr>
          <w:p w14:paraId="20879AFF"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0D51EC00" w14:textId="5E64AC3E" w:rsidR="00783200" w:rsidRPr="00CA3A08" w:rsidRDefault="00783200" w:rsidP="00783200">
            <w:pPr>
              <w:rPr>
                <w:rFonts w:ascii="Arial" w:hAnsi="Arial" w:cs="Arial"/>
                <w:sz w:val="20"/>
                <w:szCs w:val="20"/>
              </w:rPr>
            </w:pPr>
            <w:r w:rsidRPr="00CA3A08">
              <w:rPr>
                <w:rFonts w:ascii="Arial" w:hAnsi="Arial" w:cs="Arial"/>
                <w:b/>
                <w:bCs/>
                <w:i/>
                <w:iCs/>
                <w:sz w:val="20"/>
                <w:szCs w:val="20"/>
                <w:u w:val="single"/>
              </w:rPr>
              <w:t>Video Privacy Protection Act (VPPA),</w:t>
            </w:r>
            <w:r w:rsidRPr="00CA3A08">
              <w:rPr>
                <w:rFonts w:ascii="Arial" w:hAnsi="Arial" w:cs="Arial"/>
                <w:i/>
                <w:iCs/>
                <w:sz w:val="20"/>
                <w:szCs w:val="20"/>
                <w:u w:val="single"/>
              </w:rPr>
              <w:t xml:space="preserve"> </w:t>
            </w:r>
            <w:r w:rsidRPr="00CA3A08">
              <w:rPr>
                <w:rFonts w:ascii="Arial" w:hAnsi="Arial" w:cs="Arial"/>
                <w:sz w:val="20"/>
                <w:szCs w:val="20"/>
              </w:rPr>
              <w:t>18 U.S.C. § 2710, applicable to businesses that rent, sell or deliver pre-recorded videos.</w:t>
            </w:r>
          </w:p>
        </w:tc>
        <w:tc>
          <w:tcPr>
            <w:tcW w:w="3383" w:type="dxa"/>
          </w:tcPr>
          <w:p w14:paraId="1AD77ACB" w14:textId="0111A69E" w:rsidR="00783200" w:rsidRPr="00CA3A08" w:rsidRDefault="00783200" w:rsidP="00783200">
            <w:pPr>
              <w:spacing w:after="240"/>
              <w:rPr>
                <w:rFonts w:ascii="Arial" w:hAnsi="Arial" w:cs="Arial"/>
                <w:sz w:val="20"/>
                <w:szCs w:val="20"/>
                <w:lang w:val="en-CA"/>
              </w:rPr>
            </w:pPr>
            <w:r w:rsidRPr="00CA3A08">
              <w:rPr>
                <w:rFonts w:ascii="Arial" w:hAnsi="Arial" w:cs="Arial"/>
                <w:sz w:val="20"/>
                <w:szCs w:val="20"/>
              </w:rPr>
              <w:t xml:space="preserve">Restricts businesses from disclosing personally identifiable video rental or purchase records </w:t>
            </w:r>
            <w:r w:rsidRPr="00CA3A08">
              <w:rPr>
                <w:rFonts w:ascii="Arial" w:hAnsi="Arial" w:cs="Arial"/>
                <w:sz w:val="20"/>
                <w:szCs w:val="20"/>
              </w:rPr>
              <w:lastRenderedPageBreak/>
              <w:t>without the consumer’s written consent.  18 U.S.C. § 2710(b).</w:t>
            </w:r>
          </w:p>
        </w:tc>
        <w:tc>
          <w:tcPr>
            <w:tcW w:w="3383" w:type="dxa"/>
          </w:tcPr>
          <w:p w14:paraId="578E7976" w14:textId="77777777" w:rsidR="00783200" w:rsidRPr="00CA3A08" w:rsidRDefault="00783200" w:rsidP="00783200">
            <w:pPr>
              <w:rPr>
                <w:rFonts w:ascii="Arial" w:hAnsi="Arial" w:cs="Arial"/>
                <w:sz w:val="20"/>
                <w:szCs w:val="20"/>
              </w:rPr>
            </w:pPr>
          </w:p>
        </w:tc>
        <w:tc>
          <w:tcPr>
            <w:tcW w:w="1209" w:type="dxa"/>
          </w:tcPr>
          <w:p w14:paraId="1D31AC1B"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November 5, 1998.</w:t>
            </w:r>
          </w:p>
          <w:p w14:paraId="0FD69B28" w14:textId="77777777" w:rsidR="00783200" w:rsidRPr="00CA3A08" w:rsidRDefault="00783200" w:rsidP="00783200">
            <w:pPr>
              <w:rPr>
                <w:rFonts w:ascii="Arial" w:hAnsi="Arial" w:cs="Arial"/>
                <w:sz w:val="20"/>
                <w:szCs w:val="20"/>
              </w:rPr>
            </w:pPr>
          </w:p>
        </w:tc>
      </w:tr>
      <w:tr w:rsidR="00783200" w:rsidRPr="00CA3A08" w14:paraId="638A51E0" w14:textId="77777777" w:rsidTr="009408B1">
        <w:tc>
          <w:tcPr>
            <w:tcW w:w="427" w:type="dxa"/>
            <w:vMerge/>
          </w:tcPr>
          <w:p w14:paraId="3D2F7005" w14:textId="77777777" w:rsidR="00783200" w:rsidRPr="00CA3A08" w:rsidRDefault="00783200" w:rsidP="00783200">
            <w:pPr>
              <w:rPr>
                <w:rFonts w:ascii="Arial" w:hAnsi="Arial" w:cs="Arial"/>
                <w:sz w:val="20"/>
                <w:szCs w:val="20"/>
              </w:rPr>
            </w:pPr>
          </w:p>
        </w:tc>
        <w:tc>
          <w:tcPr>
            <w:tcW w:w="2903" w:type="dxa"/>
            <w:vMerge/>
          </w:tcPr>
          <w:p w14:paraId="5FE937D2"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110F627C" w14:textId="58E4F84B" w:rsidR="00783200" w:rsidRPr="00CA3A08" w:rsidRDefault="00783200" w:rsidP="00783200">
            <w:pPr>
              <w:rPr>
                <w:rFonts w:ascii="Arial" w:hAnsi="Arial" w:cs="Arial"/>
                <w:sz w:val="20"/>
                <w:szCs w:val="20"/>
              </w:rPr>
            </w:pPr>
            <w:r w:rsidRPr="00CA3A08">
              <w:rPr>
                <w:rFonts w:ascii="Arial" w:hAnsi="Arial" w:cs="Arial"/>
                <w:b/>
                <w:bCs/>
                <w:i/>
                <w:iCs/>
                <w:sz w:val="20"/>
                <w:szCs w:val="20"/>
                <w:u w:val="single"/>
              </w:rPr>
              <w:t xml:space="preserve">The Fair Credit Reporting Act (FCRA), </w:t>
            </w:r>
            <w:r w:rsidRPr="00CA3A08">
              <w:rPr>
                <w:rFonts w:ascii="Arial" w:hAnsi="Arial" w:cs="Arial"/>
                <w:sz w:val="20"/>
                <w:szCs w:val="20"/>
              </w:rPr>
              <w:t xml:space="preserve">15 U.S.C. § 1681 et seq.  </w:t>
            </w:r>
          </w:p>
        </w:tc>
        <w:tc>
          <w:tcPr>
            <w:tcW w:w="3383" w:type="dxa"/>
          </w:tcPr>
          <w:p w14:paraId="6939912C" w14:textId="77777777" w:rsidR="00783200" w:rsidRDefault="00783200" w:rsidP="00783200">
            <w:pPr>
              <w:spacing w:after="240"/>
              <w:rPr>
                <w:rFonts w:ascii="Arial" w:hAnsi="Arial" w:cs="Arial"/>
                <w:sz w:val="20"/>
                <w:szCs w:val="20"/>
              </w:rPr>
            </w:pPr>
            <w:r w:rsidRPr="00CA3A08">
              <w:rPr>
                <w:rFonts w:ascii="Arial" w:hAnsi="Arial" w:cs="Arial"/>
                <w:sz w:val="20"/>
                <w:szCs w:val="20"/>
                <w:lang w:val="en-CA"/>
              </w:rPr>
              <w:fldChar w:fldCharType="begin"/>
            </w:r>
            <w:r w:rsidRPr="00CA3A08">
              <w:rPr>
                <w:rFonts w:ascii="Arial" w:hAnsi="Arial" w:cs="Arial"/>
                <w:sz w:val="20"/>
                <w:szCs w:val="20"/>
                <w:lang w:val="en-CA"/>
              </w:rPr>
              <w:instrText xml:space="preserve"> SEQ CHAPTER \h \r 1</w:instrText>
            </w:r>
            <w:r w:rsidRPr="00CA3A08">
              <w:rPr>
                <w:rFonts w:ascii="Arial" w:hAnsi="Arial" w:cs="Arial"/>
                <w:sz w:val="20"/>
                <w:szCs w:val="20"/>
                <w:lang w:val="en-CA"/>
              </w:rPr>
              <w:fldChar w:fldCharType="end"/>
            </w:r>
            <w:r w:rsidRPr="00CA3A08">
              <w:rPr>
                <w:rFonts w:ascii="Arial" w:hAnsi="Arial" w:cs="Arial"/>
                <w:sz w:val="20"/>
                <w:szCs w:val="20"/>
              </w:rPr>
              <w:t>The FCRA includes accuracy requirements that apply to both consumer reporting agencies and furnishers of information to consumer reporting agencies.  15 U.S.C. §§ 1681e</w:t>
            </w:r>
            <w:r>
              <w:rPr>
                <w:rFonts w:ascii="Arial" w:hAnsi="Arial" w:cs="Arial"/>
                <w:sz w:val="20"/>
                <w:szCs w:val="20"/>
              </w:rPr>
              <w:t>(b)</w:t>
            </w:r>
            <w:r w:rsidRPr="00CA3A08">
              <w:rPr>
                <w:rFonts w:ascii="Arial" w:hAnsi="Arial" w:cs="Arial"/>
                <w:sz w:val="20"/>
                <w:szCs w:val="20"/>
              </w:rPr>
              <w:t>, 1681s-2(a)(1)</w:t>
            </w:r>
            <w:r w:rsidRPr="003E04D7">
              <w:rPr>
                <w:rFonts w:ascii="Arial" w:hAnsi="Arial" w:cs="Arial"/>
                <w:sz w:val="20"/>
                <w:szCs w:val="20"/>
              </w:rPr>
              <w:t xml:space="preserve"> 16 C.F.R. Part 660, 12 C.F.R. Part 1022, Subpart E</w:t>
            </w:r>
            <w:r w:rsidRPr="00CA3A08">
              <w:rPr>
                <w:rFonts w:ascii="Arial" w:hAnsi="Arial" w:cs="Arial"/>
                <w:sz w:val="20"/>
                <w:szCs w:val="20"/>
              </w:rPr>
              <w:t xml:space="preserve">.   </w:t>
            </w:r>
          </w:p>
          <w:p w14:paraId="608335E6" w14:textId="77777777" w:rsidR="00783200" w:rsidRDefault="00783200" w:rsidP="00783200">
            <w:pPr>
              <w:spacing w:after="240"/>
              <w:rPr>
                <w:rFonts w:ascii="Arial" w:hAnsi="Arial" w:cs="Arial"/>
                <w:sz w:val="20"/>
                <w:szCs w:val="20"/>
              </w:rPr>
            </w:pPr>
            <w:r w:rsidRPr="008C26E4">
              <w:rPr>
                <w:rFonts w:ascii="Arial" w:hAnsi="Arial" w:cs="Arial"/>
                <w:sz w:val="20"/>
                <w:szCs w:val="20"/>
              </w:rPr>
              <w:t>The Dodd-Frank Act transferred to the Consumer Financial Protection Bureau most of the rulemaking responsibilities added to this Act by the Fair and Accurate Credit Transactions Act and the Credit CARD Act, but the</w:t>
            </w:r>
            <w:r>
              <w:rPr>
                <w:rFonts w:ascii="Arial" w:hAnsi="Arial" w:cs="Arial"/>
                <w:sz w:val="20"/>
                <w:szCs w:val="20"/>
              </w:rPr>
              <w:t xml:space="preserve"> FTC</w:t>
            </w:r>
            <w:r w:rsidRPr="008C26E4">
              <w:rPr>
                <w:rFonts w:ascii="Arial" w:hAnsi="Arial" w:cs="Arial"/>
                <w:sz w:val="20"/>
                <w:szCs w:val="20"/>
              </w:rPr>
              <w:t xml:space="preserve"> retains all its enforcement authority.</w:t>
            </w:r>
          </w:p>
          <w:p w14:paraId="24B7AE7E" w14:textId="77777777" w:rsidR="00783200" w:rsidRDefault="00783200" w:rsidP="00783200">
            <w:pPr>
              <w:spacing w:after="240"/>
              <w:rPr>
                <w:rFonts w:ascii="Arial" w:hAnsi="Arial" w:cs="Arial"/>
                <w:sz w:val="20"/>
                <w:szCs w:val="20"/>
              </w:rPr>
            </w:pPr>
            <w:r>
              <w:rPr>
                <w:rFonts w:ascii="Arial" w:hAnsi="Arial" w:cs="Arial"/>
                <w:sz w:val="20"/>
                <w:szCs w:val="20"/>
              </w:rPr>
              <w:t>The FCRA</w:t>
            </w:r>
            <w:r w:rsidRPr="00CA3A08">
              <w:rPr>
                <w:rFonts w:ascii="Arial" w:hAnsi="Arial" w:cs="Arial"/>
                <w:sz w:val="20"/>
                <w:szCs w:val="20"/>
              </w:rPr>
              <w:t xml:space="preserve"> provides for procedures allowing consumers to dispute information with con</w:t>
            </w:r>
            <w:r w:rsidRPr="00CA3A08">
              <w:rPr>
                <w:rFonts w:ascii="Arial" w:hAnsi="Arial" w:cs="Arial"/>
                <w:sz w:val="20"/>
                <w:szCs w:val="20"/>
              </w:rPr>
              <w:softHyphen/>
              <w:t>sum</w:t>
            </w:r>
            <w:r w:rsidRPr="00CA3A08">
              <w:rPr>
                <w:rFonts w:ascii="Arial" w:hAnsi="Arial" w:cs="Arial"/>
                <w:sz w:val="20"/>
                <w:szCs w:val="20"/>
              </w:rPr>
              <w:softHyphen/>
              <w:t>er reporting agencies</w:t>
            </w:r>
            <w:r>
              <w:rPr>
                <w:rFonts w:ascii="Arial" w:hAnsi="Arial" w:cs="Arial"/>
                <w:sz w:val="20"/>
                <w:szCs w:val="20"/>
              </w:rPr>
              <w:t>,</w:t>
            </w:r>
            <w:r w:rsidRPr="00CA3A08">
              <w:rPr>
                <w:rFonts w:ascii="Arial" w:hAnsi="Arial" w:cs="Arial"/>
                <w:sz w:val="20"/>
                <w:szCs w:val="20"/>
              </w:rPr>
              <w:t xml:space="preserve"> and</w:t>
            </w:r>
            <w:r>
              <w:rPr>
                <w:rFonts w:ascii="Arial" w:hAnsi="Arial" w:cs="Arial"/>
                <w:sz w:val="20"/>
                <w:szCs w:val="20"/>
              </w:rPr>
              <w:t xml:space="preserve"> requires the Consumer Financial Protection Bureau to promulgate regulations (</w:t>
            </w:r>
            <w:r w:rsidRPr="00BB3697">
              <w:rPr>
                <w:rFonts w:ascii="Arial" w:hAnsi="Arial" w:cs="Arial"/>
                <w:sz w:val="20"/>
                <w:szCs w:val="20"/>
              </w:rPr>
              <w:t>12 CFR Subpart E</w:t>
            </w:r>
            <w:r>
              <w:rPr>
                <w:rFonts w:ascii="Arial" w:hAnsi="Arial" w:cs="Arial"/>
                <w:sz w:val="20"/>
                <w:szCs w:val="20"/>
              </w:rPr>
              <w:t xml:space="preserve">) that </w:t>
            </w:r>
            <w:r w:rsidRPr="00A56534">
              <w:rPr>
                <w:rFonts w:ascii="Arial" w:hAnsi="Arial" w:cs="Arial"/>
                <w:sz w:val="20"/>
                <w:szCs w:val="20"/>
              </w:rPr>
              <w:t>identify the circumstances under which a</w:t>
            </w:r>
            <w:r w:rsidRPr="00CA3A08">
              <w:rPr>
                <w:rFonts w:ascii="Arial" w:hAnsi="Arial" w:cs="Arial"/>
                <w:sz w:val="20"/>
                <w:szCs w:val="20"/>
              </w:rPr>
              <w:t xml:space="preserve"> furnisher</w:t>
            </w:r>
            <w:r>
              <w:rPr>
                <w:rFonts w:ascii="Arial" w:hAnsi="Arial" w:cs="Arial"/>
                <w:sz w:val="20"/>
                <w:szCs w:val="20"/>
              </w:rPr>
              <w:t xml:space="preserve"> is </w:t>
            </w:r>
            <w:r w:rsidRPr="00A56534">
              <w:rPr>
                <w:rFonts w:ascii="Arial" w:hAnsi="Arial" w:cs="Arial"/>
                <w:sz w:val="20"/>
                <w:szCs w:val="20"/>
              </w:rPr>
              <w:t>required to reinvestigate a dispute concerning the accuracy of information contained in a consumer report on the consumer, based on a direct request of a consumer</w:t>
            </w:r>
            <w:r w:rsidRPr="00CA3A08">
              <w:rPr>
                <w:rFonts w:ascii="Arial" w:hAnsi="Arial" w:cs="Arial"/>
                <w:sz w:val="20"/>
                <w:szCs w:val="20"/>
              </w:rPr>
              <w:t xml:space="preserve">.  15 U.S.C. </w:t>
            </w:r>
            <w:r w:rsidRPr="00CA3A08">
              <w:rPr>
                <w:rFonts w:ascii="Arial" w:hAnsi="Arial" w:cs="Arial"/>
                <w:sz w:val="20"/>
                <w:szCs w:val="20"/>
              </w:rPr>
              <w:lastRenderedPageBreak/>
              <w:t>§ 1681i, 1681s-2(</w:t>
            </w:r>
            <w:r>
              <w:rPr>
                <w:rFonts w:ascii="Arial" w:hAnsi="Arial" w:cs="Arial"/>
                <w:sz w:val="20"/>
                <w:szCs w:val="20"/>
              </w:rPr>
              <w:t>a</w:t>
            </w:r>
            <w:r w:rsidRPr="00CA3A08">
              <w:rPr>
                <w:rFonts w:ascii="Arial" w:hAnsi="Arial" w:cs="Arial"/>
                <w:sz w:val="20"/>
                <w:szCs w:val="20"/>
              </w:rPr>
              <w:t>)</w:t>
            </w:r>
            <w:r>
              <w:rPr>
                <w:rFonts w:ascii="Arial" w:hAnsi="Arial" w:cs="Arial"/>
                <w:sz w:val="20"/>
                <w:szCs w:val="20"/>
              </w:rPr>
              <w:t>(8)</w:t>
            </w:r>
            <w:r w:rsidRPr="00CA3A08">
              <w:rPr>
                <w:rFonts w:ascii="Arial" w:hAnsi="Arial" w:cs="Arial"/>
                <w:sz w:val="20"/>
                <w:szCs w:val="20"/>
              </w:rPr>
              <w:t>.   )</w:t>
            </w:r>
            <w:r>
              <w:t xml:space="preserve"> </w:t>
            </w:r>
            <w:r w:rsidRPr="007D480C">
              <w:rPr>
                <w:rFonts w:ascii="Arial" w:hAnsi="Arial" w:cs="Arial"/>
                <w:sz w:val="20"/>
                <w:szCs w:val="20"/>
              </w:rPr>
              <w:t>16 C.F.R. Part 660, 12 C.F.R. Part 1022, Subpart E</w:t>
            </w:r>
            <w:r>
              <w:rPr>
                <w:rFonts w:ascii="Arial" w:hAnsi="Arial" w:cs="Arial"/>
                <w:sz w:val="20"/>
                <w:szCs w:val="20"/>
              </w:rPr>
              <w:t xml:space="preserve">. </w:t>
            </w:r>
          </w:p>
          <w:p w14:paraId="1641F7CE" w14:textId="35ADEDDE" w:rsidR="00783200" w:rsidRPr="00CA3A08" w:rsidRDefault="00783200" w:rsidP="00783200">
            <w:pPr>
              <w:spacing w:after="240"/>
              <w:rPr>
                <w:rFonts w:ascii="Arial" w:hAnsi="Arial" w:cs="Arial"/>
                <w:sz w:val="20"/>
                <w:szCs w:val="20"/>
                <w:lang w:val="en-CA"/>
              </w:rPr>
            </w:pPr>
            <w:r w:rsidRPr="00CA3A08">
              <w:rPr>
                <w:rFonts w:ascii="Arial" w:hAnsi="Arial" w:cs="Arial"/>
                <w:sz w:val="20"/>
                <w:szCs w:val="20"/>
              </w:rPr>
              <w:t>The FCRA requires users of consumer reports to develop and implement reasonable policies and procedures to respond when they receive notices from consumer reporting agencies that the address of the consumer that the user provided to the consumer reporting agency to obtain a consumer report differs substantially from the address the consumer reporting agency has in its file.  15 U.S.C. § 1681c(h)</w:t>
            </w:r>
            <w:r>
              <w:rPr>
                <w:rFonts w:ascii="Arial" w:hAnsi="Arial" w:cs="Arial"/>
                <w:sz w:val="20"/>
                <w:szCs w:val="20"/>
              </w:rPr>
              <w:t>, 16 C.F.R. Part 641, 12 C.F.R. 1022, Subpart I</w:t>
            </w:r>
            <w:r w:rsidRPr="00CA3A08">
              <w:rPr>
                <w:rFonts w:ascii="Arial" w:hAnsi="Arial" w:cs="Arial"/>
                <w:sz w:val="20"/>
                <w:szCs w:val="20"/>
              </w:rPr>
              <w:t>.</w:t>
            </w:r>
          </w:p>
        </w:tc>
        <w:tc>
          <w:tcPr>
            <w:tcW w:w="3383" w:type="dxa"/>
          </w:tcPr>
          <w:p w14:paraId="7BCC5B9F" w14:textId="77777777" w:rsidR="00783200" w:rsidRPr="00CA3A08" w:rsidRDefault="00783200" w:rsidP="00783200">
            <w:pPr>
              <w:rPr>
                <w:rFonts w:ascii="Arial" w:hAnsi="Arial" w:cs="Arial"/>
                <w:sz w:val="20"/>
                <w:szCs w:val="20"/>
              </w:rPr>
            </w:pPr>
          </w:p>
        </w:tc>
        <w:tc>
          <w:tcPr>
            <w:tcW w:w="1209" w:type="dxa"/>
          </w:tcPr>
          <w:p w14:paraId="6C8B2C2C"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October 26, 1970.</w:t>
            </w:r>
          </w:p>
          <w:p w14:paraId="69E3CF08" w14:textId="77777777" w:rsidR="00783200" w:rsidRPr="00CA3A08" w:rsidRDefault="00783200" w:rsidP="00783200">
            <w:pPr>
              <w:rPr>
                <w:rFonts w:ascii="Arial" w:hAnsi="Arial" w:cs="Arial"/>
                <w:sz w:val="20"/>
                <w:szCs w:val="20"/>
              </w:rPr>
            </w:pPr>
          </w:p>
        </w:tc>
      </w:tr>
      <w:tr w:rsidR="00783200" w:rsidRPr="00CA3A08" w14:paraId="1944D078" w14:textId="77777777" w:rsidTr="009408B1">
        <w:tc>
          <w:tcPr>
            <w:tcW w:w="427" w:type="dxa"/>
            <w:vMerge/>
          </w:tcPr>
          <w:p w14:paraId="4C73F4C3" w14:textId="77777777" w:rsidR="00783200" w:rsidRPr="00CA3A08" w:rsidRDefault="00783200" w:rsidP="00783200">
            <w:pPr>
              <w:rPr>
                <w:rFonts w:ascii="Arial" w:hAnsi="Arial" w:cs="Arial"/>
                <w:sz w:val="20"/>
                <w:szCs w:val="20"/>
              </w:rPr>
            </w:pPr>
          </w:p>
        </w:tc>
        <w:tc>
          <w:tcPr>
            <w:tcW w:w="2903" w:type="dxa"/>
            <w:vMerge/>
          </w:tcPr>
          <w:p w14:paraId="1781B662"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663E8366" w14:textId="22D4F19B" w:rsidR="00783200" w:rsidRPr="00CA3A08" w:rsidRDefault="00783200" w:rsidP="00783200">
            <w:pPr>
              <w:rPr>
                <w:rFonts w:ascii="Arial" w:hAnsi="Arial" w:cs="Arial"/>
                <w:sz w:val="20"/>
                <w:szCs w:val="20"/>
              </w:rPr>
            </w:pPr>
            <w:r w:rsidRPr="00CA3A08">
              <w:rPr>
                <w:rFonts w:ascii="Arial" w:hAnsi="Arial" w:cs="Arial"/>
                <w:sz w:val="20"/>
                <w:szCs w:val="20"/>
              </w:rPr>
              <w:t>State defamation laws. (Statutory and common law)</w:t>
            </w:r>
          </w:p>
        </w:tc>
        <w:tc>
          <w:tcPr>
            <w:tcW w:w="3383" w:type="dxa"/>
          </w:tcPr>
          <w:p w14:paraId="0743C9EF" w14:textId="2CD747EC" w:rsidR="00783200" w:rsidRPr="00CA3A08" w:rsidRDefault="00783200" w:rsidP="00783200">
            <w:pPr>
              <w:spacing w:after="240"/>
              <w:rPr>
                <w:rFonts w:ascii="Arial" w:hAnsi="Arial" w:cs="Arial"/>
                <w:sz w:val="20"/>
                <w:szCs w:val="20"/>
                <w:lang w:val="en-CA"/>
              </w:rPr>
            </w:pPr>
            <w:r w:rsidRPr="00CA3A08">
              <w:rPr>
                <w:rFonts w:ascii="Arial" w:hAnsi="Arial" w:cs="Arial"/>
                <w:sz w:val="20"/>
                <w:szCs w:val="20"/>
              </w:rPr>
              <w:t>Generally, state laws provide for tort claims for defamation -- an intentional false communication, either published or spoken, that injures another’s reputation or good name.</w:t>
            </w:r>
          </w:p>
        </w:tc>
        <w:tc>
          <w:tcPr>
            <w:tcW w:w="3383" w:type="dxa"/>
          </w:tcPr>
          <w:p w14:paraId="4EA67C30" w14:textId="77777777" w:rsidR="00783200" w:rsidRPr="00CA3A08" w:rsidRDefault="00783200" w:rsidP="00783200">
            <w:pPr>
              <w:rPr>
                <w:rFonts w:ascii="Arial" w:hAnsi="Arial" w:cs="Arial"/>
                <w:sz w:val="20"/>
                <w:szCs w:val="20"/>
              </w:rPr>
            </w:pPr>
          </w:p>
        </w:tc>
        <w:tc>
          <w:tcPr>
            <w:tcW w:w="1209" w:type="dxa"/>
          </w:tcPr>
          <w:p w14:paraId="63F71746" w14:textId="77777777" w:rsidR="00783200" w:rsidRPr="00CA3A08" w:rsidRDefault="00783200" w:rsidP="00783200">
            <w:pPr>
              <w:rPr>
                <w:rFonts w:ascii="Arial" w:hAnsi="Arial" w:cs="Arial"/>
                <w:sz w:val="20"/>
                <w:szCs w:val="20"/>
              </w:rPr>
            </w:pPr>
          </w:p>
        </w:tc>
      </w:tr>
      <w:tr w:rsidR="00783200" w:rsidRPr="00CA3A08" w14:paraId="78C35013" w14:textId="77777777" w:rsidTr="009408B1">
        <w:tc>
          <w:tcPr>
            <w:tcW w:w="427" w:type="dxa"/>
            <w:vMerge/>
          </w:tcPr>
          <w:p w14:paraId="7FFE3E9E" w14:textId="77777777" w:rsidR="00783200" w:rsidRPr="00CA3A08" w:rsidRDefault="00783200" w:rsidP="00783200">
            <w:pPr>
              <w:rPr>
                <w:rFonts w:ascii="Arial" w:hAnsi="Arial" w:cs="Arial"/>
                <w:sz w:val="20"/>
                <w:szCs w:val="20"/>
              </w:rPr>
            </w:pPr>
          </w:p>
        </w:tc>
        <w:tc>
          <w:tcPr>
            <w:tcW w:w="2903" w:type="dxa"/>
            <w:vMerge/>
          </w:tcPr>
          <w:p w14:paraId="57B527FC"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5BCBE0A9" w14:textId="3FD58380" w:rsidR="00783200" w:rsidRPr="00CA3A08" w:rsidRDefault="00783200" w:rsidP="00783200">
            <w:pPr>
              <w:spacing w:after="240"/>
              <w:rPr>
                <w:rFonts w:ascii="Arial" w:hAnsi="Arial" w:cs="Arial"/>
                <w:sz w:val="20"/>
                <w:szCs w:val="20"/>
              </w:rPr>
            </w:pPr>
            <w:r w:rsidRPr="00CA3A08">
              <w:rPr>
                <w:rFonts w:ascii="Arial" w:hAnsi="Arial" w:cs="Arial"/>
                <w:b/>
                <w:bCs/>
                <w:i/>
                <w:iCs/>
                <w:sz w:val="20"/>
                <w:szCs w:val="20"/>
                <w:u w:val="single"/>
              </w:rPr>
              <w:t>The Fair Credit Reporting Act (FCRA),</w:t>
            </w:r>
            <w:r w:rsidRPr="00CA3A08">
              <w:rPr>
                <w:rFonts w:ascii="Arial" w:hAnsi="Arial" w:cs="Arial"/>
                <w:i/>
                <w:iCs/>
                <w:sz w:val="20"/>
                <w:szCs w:val="20"/>
                <w:u w:val="single"/>
              </w:rPr>
              <w:t xml:space="preserve"> </w:t>
            </w:r>
            <w:r w:rsidRPr="00CA3A08">
              <w:rPr>
                <w:rFonts w:ascii="Arial" w:hAnsi="Arial" w:cs="Arial"/>
                <w:sz w:val="20"/>
                <w:szCs w:val="20"/>
              </w:rPr>
              <w:t xml:space="preserve">15 U.S.C. § 1681 et seq.  </w:t>
            </w:r>
          </w:p>
        </w:tc>
        <w:tc>
          <w:tcPr>
            <w:tcW w:w="3383" w:type="dxa"/>
          </w:tcPr>
          <w:p w14:paraId="3776A5BC" w14:textId="322856B9" w:rsidR="00783200" w:rsidRPr="00CA3A08" w:rsidRDefault="00783200" w:rsidP="00783200">
            <w:pPr>
              <w:spacing w:after="240"/>
              <w:rPr>
                <w:rFonts w:ascii="Arial" w:hAnsi="Arial" w:cs="Arial"/>
                <w:sz w:val="20"/>
                <w:szCs w:val="20"/>
              </w:rPr>
            </w:pPr>
            <w:r w:rsidRPr="00CA3A08">
              <w:rPr>
                <w:rFonts w:ascii="Arial" w:hAnsi="Arial" w:cs="Arial"/>
                <w:sz w:val="20"/>
                <w:szCs w:val="20"/>
                <w:lang w:val="en-CA"/>
              </w:rPr>
              <w:fldChar w:fldCharType="begin"/>
            </w:r>
            <w:r w:rsidRPr="00CA3A08">
              <w:rPr>
                <w:rFonts w:ascii="Arial" w:hAnsi="Arial" w:cs="Arial"/>
                <w:sz w:val="20"/>
                <w:szCs w:val="20"/>
                <w:lang w:val="en-CA"/>
              </w:rPr>
              <w:instrText xml:space="preserve"> SEQ CHAPTER \h \r 1</w:instrText>
            </w:r>
            <w:r w:rsidRPr="00CA3A08">
              <w:rPr>
                <w:rFonts w:ascii="Arial" w:hAnsi="Arial" w:cs="Arial"/>
                <w:sz w:val="20"/>
                <w:szCs w:val="20"/>
                <w:lang w:val="en-CA"/>
              </w:rPr>
              <w:fldChar w:fldCharType="end"/>
            </w:r>
            <w:r w:rsidRPr="00CA3A08">
              <w:rPr>
                <w:rFonts w:ascii="Arial" w:hAnsi="Arial" w:cs="Arial"/>
                <w:sz w:val="20"/>
                <w:szCs w:val="20"/>
              </w:rPr>
              <w:t xml:space="preserve">The FCRA mandates strong safeguards by requiring consumer reporting agencies to establish reasonable procedures to ensure that they provide data only to parties that have a “permissible purpose” for it.  Specifically, agencies must verify the identity of each such party, and require it to </w:t>
            </w:r>
            <w:r w:rsidRPr="00CA3A08">
              <w:rPr>
                <w:rFonts w:ascii="Arial" w:hAnsi="Arial" w:cs="Arial"/>
                <w:sz w:val="20"/>
                <w:szCs w:val="20"/>
              </w:rPr>
              <w:lastRenderedPageBreak/>
              <w:t>certify the purposes for which information will be sought from the agency and that it will be used for no other purpose, before it provides any consumer reports to that party. 15 U.S.C. §§ 1681b(a), 1681e(a).  The FCRA requires financial institutions and creditors to establish reasonable policies and procedures for implementing agency guidelines for identifying patterns, practices, and specific forms of activity that indicate the possible existence of identity theft.  15 U.S.C. § 1681m(e)</w:t>
            </w:r>
            <w:r>
              <w:rPr>
                <w:rFonts w:ascii="Arial" w:hAnsi="Arial" w:cs="Arial"/>
                <w:sz w:val="20"/>
                <w:szCs w:val="20"/>
              </w:rPr>
              <w:t xml:space="preserve">, </w:t>
            </w:r>
            <w:r w:rsidRPr="00D52C87">
              <w:rPr>
                <w:rFonts w:ascii="Arial" w:hAnsi="Arial" w:cs="Arial"/>
                <w:sz w:val="20"/>
                <w:szCs w:val="20"/>
              </w:rPr>
              <w:t>16 C.F.R. Part 681</w:t>
            </w:r>
            <w:r>
              <w:rPr>
                <w:rFonts w:ascii="Arial" w:hAnsi="Arial" w:cs="Arial"/>
                <w:sz w:val="20"/>
                <w:szCs w:val="20"/>
              </w:rPr>
              <w:t>.</w:t>
            </w:r>
          </w:p>
        </w:tc>
        <w:tc>
          <w:tcPr>
            <w:tcW w:w="3383" w:type="dxa"/>
          </w:tcPr>
          <w:p w14:paraId="5DC0FE2D" w14:textId="77777777" w:rsidR="00783200" w:rsidRPr="00CA3A08" w:rsidRDefault="00783200" w:rsidP="00783200">
            <w:pPr>
              <w:spacing w:after="240"/>
              <w:rPr>
                <w:rFonts w:ascii="Arial" w:hAnsi="Arial" w:cs="Arial"/>
                <w:sz w:val="20"/>
                <w:szCs w:val="20"/>
              </w:rPr>
            </w:pPr>
          </w:p>
        </w:tc>
        <w:tc>
          <w:tcPr>
            <w:tcW w:w="1209" w:type="dxa"/>
          </w:tcPr>
          <w:p w14:paraId="5093B5EC"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October 26, 1970.</w:t>
            </w:r>
          </w:p>
          <w:p w14:paraId="4FE3FF3B" w14:textId="77777777" w:rsidR="00783200" w:rsidRPr="00CA3A08" w:rsidRDefault="00783200" w:rsidP="00783200">
            <w:pPr>
              <w:rPr>
                <w:rFonts w:ascii="Arial" w:hAnsi="Arial" w:cs="Arial"/>
                <w:sz w:val="20"/>
                <w:szCs w:val="20"/>
              </w:rPr>
            </w:pPr>
          </w:p>
        </w:tc>
      </w:tr>
      <w:tr w:rsidR="00783200" w:rsidRPr="00CA3A08" w14:paraId="11494A95" w14:textId="77777777" w:rsidTr="009408B1">
        <w:tc>
          <w:tcPr>
            <w:tcW w:w="427" w:type="dxa"/>
            <w:vMerge/>
          </w:tcPr>
          <w:p w14:paraId="77E3DA57" w14:textId="77777777" w:rsidR="00783200" w:rsidRPr="00CA3A08" w:rsidRDefault="00783200" w:rsidP="00783200">
            <w:pPr>
              <w:rPr>
                <w:rFonts w:ascii="Arial" w:hAnsi="Arial" w:cs="Arial"/>
                <w:sz w:val="20"/>
                <w:szCs w:val="20"/>
              </w:rPr>
            </w:pPr>
          </w:p>
        </w:tc>
        <w:tc>
          <w:tcPr>
            <w:tcW w:w="2903" w:type="dxa"/>
            <w:vMerge/>
          </w:tcPr>
          <w:p w14:paraId="7B3C3C1B"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50DAC56E" w14:textId="7F9BCEDF" w:rsidR="00783200" w:rsidRPr="00CA3A08" w:rsidRDefault="00783200" w:rsidP="00783200">
            <w:pPr>
              <w:spacing w:after="240"/>
              <w:rPr>
                <w:rFonts w:ascii="Arial" w:hAnsi="Arial" w:cs="Arial"/>
                <w:sz w:val="20"/>
                <w:szCs w:val="20"/>
              </w:rPr>
            </w:pPr>
            <w:r w:rsidRPr="00CA3A08">
              <w:rPr>
                <w:rFonts w:ascii="Arial" w:hAnsi="Arial" w:cs="Arial"/>
                <w:b/>
                <w:bCs/>
                <w:i/>
                <w:iCs/>
                <w:sz w:val="20"/>
                <w:szCs w:val="20"/>
                <w:u w:val="single"/>
              </w:rPr>
              <w:t>The Gramm-Leach-Bliley Act (GLBA),</w:t>
            </w:r>
            <w:r w:rsidRPr="00CA3A08">
              <w:rPr>
                <w:rFonts w:ascii="Arial" w:hAnsi="Arial" w:cs="Arial"/>
                <w:i/>
                <w:iCs/>
                <w:sz w:val="20"/>
                <w:szCs w:val="20"/>
                <w:u w:val="single"/>
              </w:rPr>
              <w:t xml:space="preserve"> </w:t>
            </w:r>
            <w:r w:rsidRPr="00CA3A08">
              <w:rPr>
                <w:rFonts w:ascii="Arial" w:hAnsi="Arial" w:cs="Arial"/>
                <w:sz w:val="20"/>
                <w:szCs w:val="20"/>
              </w:rPr>
              <w:t>Subchapter I (Disclosure of Nonpublic Personal Information) 15 U.S.C. § 6801 et seq.</w:t>
            </w:r>
          </w:p>
        </w:tc>
        <w:tc>
          <w:tcPr>
            <w:tcW w:w="3383" w:type="dxa"/>
          </w:tcPr>
          <w:p w14:paraId="73D4DCE8" w14:textId="2DC634BD" w:rsidR="00783200" w:rsidRPr="00CA3A08" w:rsidRDefault="00783200" w:rsidP="00783200">
            <w:pPr>
              <w:spacing w:after="240"/>
              <w:rPr>
                <w:rFonts w:ascii="Arial" w:hAnsi="Arial" w:cs="Arial"/>
                <w:sz w:val="20"/>
                <w:szCs w:val="20"/>
              </w:rPr>
            </w:pPr>
            <w:r w:rsidRPr="00CA3A08">
              <w:rPr>
                <w:rFonts w:ascii="Arial" w:hAnsi="Arial" w:cs="Arial"/>
                <w:sz w:val="20"/>
                <w:szCs w:val="20"/>
              </w:rPr>
              <w:t>As required by the GLBA, relevant regulatory authorities have promulgated standards for administrative, technical and physical safeguards to protect the security and confidentiality of customer records held by financial institutions.  15 U.S.C. § 6801(b)</w:t>
            </w:r>
            <w:r>
              <w:rPr>
                <w:rFonts w:ascii="Arial" w:hAnsi="Arial" w:cs="Arial"/>
                <w:sz w:val="20"/>
                <w:szCs w:val="20"/>
              </w:rPr>
              <w:t>, 6804(b)(2)</w:t>
            </w:r>
            <w:r w:rsidRPr="00CA3A08">
              <w:rPr>
                <w:rFonts w:ascii="Arial" w:hAnsi="Arial" w:cs="Arial"/>
                <w:sz w:val="20"/>
                <w:szCs w:val="20"/>
              </w:rPr>
              <w:t xml:space="preserve">; 16 C.F.R. </w:t>
            </w:r>
            <w:r>
              <w:rPr>
                <w:rFonts w:ascii="Arial" w:hAnsi="Arial" w:cs="Arial"/>
                <w:sz w:val="20"/>
                <w:szCs w:val="20"/>
              </w:rPr>
              <w:t xml:space="preserve">§§ </w:t>
            </w:r>
            <w:r w:rsidRPr="00CA3A08">
              <w:rPr>
                <w:rFonts w:ascii="Arial" w:hAnsi="Arial" w:cs="Arial"/>
                <w:sz w:val="20"/>
                <w:szCs w:val="20"/>
              </w:rPr>
              <w:t>314</w:t>
            </w:r>
            <w:r>
              <w:rPr>
                <w:rFonts w:ascii="Arial" w:hAnsi="Arial" w:cs="Arial"/>
                <w:sz w:val="20"/>
                <w:szCs w:val="20"/>
              </w:rPr>
              <w:t>.3-314.4</w:t>
            </w:r>
            <w:r w:rsidRPr="00CA3A08">
              <w:rPr>
                <w:rFonts w:ascii="Arial" w:hAnsi="Arial" w:cs="Arial"/>
                <w:sz w:val="20"/>
                <w:szCs w:val="20"/>
              </w:rPr>
              <w:t xml:space="preserve">;  The federal banking agencies have issued Interagency Guidance on Response Programs for Unauthorized Access to Customer Information and Customer Notice describing the appropriate elements of a financial institution’s response program, including customer notification </w:t>
            </w:r>
            <w:r w:rsidRPr="00CA3A08">
              <w:rPr>
                <w:rFonts w:ascii="Arial" w:hAnsi="Arial" w:cs="Arial"/>
                <w:sz w:val="20"/>
                <w:szCs w:val="20"/>
              </w:rPr>
              <w:lastRenderedPageBreak/>
              <w:t>procedures.  70 Fed. Reg. 15736 (March 29, 2005)</w:t>
            </w:r>
            <w:r>
              <w:rPr>
                <w:rFonts w:ascii="Arial" w:hAnsi="Arial" w:cs="Arial"/>
                <w:sz w:val="20"/>
                <w:szCs w:val="20"/>
              </w:rPr>
              <w:t xml:space="preserve">; </w:t>
            </w:r>
            <w:r w:rsidRPr="0093491F">
              <w:rPr>
                <w:rFonts w:ascii="Arial" w:hAnsi="Arial" w:cs="Arial"/>
                <w:sz w:val="20"/>
                <w:szCs w:val="20"/>
              </w:rPr>
              <w:t>12 CFR 208</w:t>
            </w:r>
            <w:r>
              <w:rPr>
                <w:rFonts w:ascii="Arial" w:hAnsi="Arial" w:cs="Arial"/>
                <w:sz w:val="20"/>
                <w:szCs w:val="20"/>
              </w:rPr>
              <w:t xml:space="preserve">; </w:t>
            </w:r>
            <w:r w:rsidRPr="0093491F">
              <w:rPr>
                <w:rFonts w:ascii="Arial" w:hAnsi="Arial" w:cs="Arial"/>
                <w:sz w:val="20"/>
                <w:szCs w:val="20"/>
              </w:rPr>
              <w:t>12 CFR 225</w:t>
            </w:r>
            <w:r>
              <w:rPr>
                <w:rFonts w:ascii="Arial" w:hAnsi="Arial" w:cs="Arial"/>
                <w:sz w:val="20"/>
                <w:szCs w:val="20"/>
              </w:rPr>
              <w:t xml:space="preserve">; </w:t>
            </w:r>
            <w:r w:rsidRPr="0093491F">
              <w:rPr>
                <w:rFonts w:ascii="Arial" w:hAnsi="Arial" w:cs="Arial"/>
                <w:sz w:val="20"/>
                <w:szCs w:val="20"/>
              </w:rPr>
              <w:t>12 CFR 30</w:t>
            </w:r>
            <w:r>
              <w:rPr>
                <w:rFonts w:ascii="Arial" w:hAnsi="Arial" w:cs="Arial"/>
                <w:sz w:val="20"/>
                <w:szCs w:val="20"/>
              </w:rPr>
              <w:t xml:space="preserve">; </w:t>
            </w:r>
            <w:r w:rsidRPr="0093491F">
              <w:rPr>
                <w:rFonts w:ascii="Arial" w:hAnsi="Arial" w:cs="Arial"/>
                <w:sz w:val="20"/>
                <w:szCs w:val="20"/>
              </w:rPr>
              <w:t>12 CFR 364</w:t>
            </w:r>
            <w:r>
              <w:rPr>
                <w:rFonts w:ascii="Arial" w:hAnsi="Arial" w:cs="Arial"/>
                <w:sz w:val="20"/>
                <w:szCs w:val="20"/>
              </w:rPr>
              <w:t xml:space="preserve">; </w:t>
            </w:r>
            <w:r w:rsidRPr="0093491F">
              <w:rPr>
                <w:rFonts w:ascii="Arial" w:hAnsi="Arial" w:cs="Arial"/>
                <w:sz w:val="20"/>
                <w:szCs w:val="20"/>
              </w:rPr>
              <w:t>12 CFR 568</w:t>
            </w:r>
            <w:r>
              <w:rPr>
                <w:rFonts w:ascii="Arial" w:hAnsi="Arial" w:cs="Arial"/>
                <w:sz w:val="20"/>
                <w:szCs w:val="20"/>
              </w:rPr>
              <w:t xml:space="preserve">; </w:t>
            </w:r>
            <w:r w:rsidRPr="0093491F">
              <w:rPr>
                <w:rFonts w:ascii="Arial" w:hAnsi="Arial" w:cs="Arial"/>
                <w:sz w:val="20"/>
                <w:szCs w:val="20"/>
              </w:rPr>
              <w:t>12 CFR 570</w:t>
            </w:r>
          </w:p>
        </w:tc>
        <w:tc>
          <w:tcPr>
            <w:tcW w:w="3383" w:type="dxa"/>
          </w:tcPr>
          <w:p w14:paraId="482BA937" w14:textId="77777777" w:rsidR="00783200" w:rsidRPr="00CA3A08" w:rsidRDefault="00783200" w:rsidP="00783200">
            <w:pPr>
              <w:spacing w:after="240"/>
              <w:rPr>
                <w:rFonts w:ascii="Arial" w:hAnsi="Arial" w:cs="Arial"/>
                <w:sz w:val="20"/>
                <w:szCs w:val="20"/>
              </w:rPr>
            </w:pPr>
          </w:p>
        </w:tc>
        <w:tc>
          <w:tcPr>
            <w:tcW w:w="1209" w:type="dxa"/>
          </w:tcPr>
          <w:p w14:paraId="454C70B9"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November 12, 1999.</w:t>
            </w:r>
          </w:p>
          <w:p w14:paraId="4E07836A" w14:textId="77777777" w:rsidR="00783200" w:rsidRPr="00CA3A08" w:rsidRDefault="00783200" w:rsidP="00783200">
            <w:pPr>
              <w:rPr>
                <w:rFonts w:ascii="Arial" w:hAnsi="Arial" w:cs="Arial"/>
                <w:sz w:val="20"/>
                <w:szCs w:val="20"/>
              </w:rPr>
            </w:pPr>
          </w:p>
        </w:tc>
      </w:tr>
      <w:tr w:rsidR="00783200" w:rsidRPr="00CA3A08" w14:paraId="050272B5" w14:textId="77777777" w:rsidTr="009408B1">
        <w:tc>
          <w:tcPr>
            <w:tcW w:w="427" w:type="dxa"/>
            <w:vMerge/>
          </w:tcPr>
          <w:p w14:paraId="43BEFE23" w14:textId="77777777" w:rsidR="00783200" w:rsidRPr="00CA3A08" w:rsidRDefault="00783200" w:rsidP="00783200">
            <w:pPr>
              <w:rPr>
                <w:rFonts w:ascii="Arial" w:hAnsi="Arial" w:cs="Arial"/>
                <w:sz w:val="20"/>
                <w:szCs w:val="20"/>
              </w:rPr>
            </w:pPr>
          </w:p>
        </w:tc>
        <w:tc>
          <w:tcPr>
            <w:tcW w:w="2903" w:type="dxa"/>
            <w:vMerge/>
          </w:tcPr>
          <w:p w14:paraId="11284D8C"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5233BC9D" w14:textId="680121A1" w:rsidR="00783200" w:rsidRPr="00CA3A08" w:rsidRDefault="00783200" w:rsidP="00783200">
            <w:pPr>
              <w:spacing w:after="240"/>
              <w:rPr>
                <w:rFonts w:ascii="Arial" w:hAnsi="Arial" w:cs="Arial"/>
                <w:sz w:val="20"/>
                <w:szCs w:val="20"/>
              </w:rPr>
            </w:pPr>
            <w:r w:rsidRPr="00CA3A08">
              <w:rPr>
                <w:rFonts w:ascii="Arial" w:hAnsi="Arial" w:cs="Arial"/>
                <w:b/>
                <w:bCs/>
                <w:i/>
                <w:iCs/>
                <w:sz w:val="20"/>
                <w:szCs w:val="20"/>
                <w:u w:val="single"/>
              </w:rPr>
              <w:t>The Children’s Online Privacy Protection Act (COPPA),</w:t>
            </w:r>
            <w:r w:rsidRPr="00CA3A08">
              <w:rPr>
                <w:rFonts w:ascii="Arial" w:hAnsi="Arial" w:cs="Arial"/>
                <w:i/>
                <w:iCs/>
                <w:sz w:val="20"/>
                <w:szCs w:val="20"/>
                <w:u w:val="single"/>
              </w:rPr>
              <w:t xml:space="preserve">  </w:t>
            </w:r>
            <w:r w:rsidRPr="00CA3A08">
              <w:rPr>
                <w:rFonts w:ascii="Arial" w:hAnsi="Arial" w:cs="Arial"/>
                <w:sz w:val="20"/>
                <w:szCs w:val="20"/>
              </w:rPr>
              <w:t>15 U.S.C. § 6501 et seq; 16 C.F.R. Part 312.</w:t>
            </w:r>
          </w:p>
        </w:tc>
        <w:tc>
          <w:tcPr>
            <w:tcW w:w="3383" w:type="dxa"/>
          </w:tcPr>
          <w:p w14:paraId="25D7BB30" w14:textId="0E7418E6" w:rsidR="00783200" w:rsidRPr="00CA3A08" w:rsidRDefault="00783200" w:rsidP="00783200">
            <w:pPr>
              <w:spacing w:after="240"/>
              <w:rPr>
                <w:rFonts w:ascii="Arial" w:hAnsi="Arial" w:cs="Arial"/>
                <w:sz w:val="20"/>
                <w:szCs w:val="20"/>
              </w:rPr>
            </w:pPr>
            <w:r w:rsidRPr="00CA3A08">
              <w:rPr>
                <w:rFonts w:ascii="Arial" w:hAnsi="Arial" w:cs="Arial"/>
                <w:sz w:val="20"/>
                <w:szCs w:val="20"/>
              </w:rPr>
              <w:t xml:space="preserve">Under COPPA, </w:t>
            </w:r>
            <w:r>
              <w:rPr>
                <w:rFonts w:ascii="Arial" w:hAnsi="Arial" w:cs="Arial"/>
                <w:sz w:val="20"/>
                <w:szCs w:val="20"/>
              </w:rPr>
              <w:t xml:space="preserve">covered </w:t>
            </w:r>
            <w:r w:rsidRPr="00CA3A08">
              <w:rPr>
                <w:rFonts w:ascii="Arial" w:hAnsi="Arial" w:cs="Arial"/>
                <w:sz w:val="20"/>
                <w:szCs w:val="20"/>
              </w:rPr>
              <w:t>operators must establish and maintain reasonable procedures to protect the confidentiality and security</w:t>
            </w:r>
            <w:r>
              <w:rPr>
                <w:rFonts w:ascii="Arial" w:hAnsi="Arial" w:cs="Arial"/>
                <w:sz w:val="20"/>
                <w:szCs w:val="20"/>
              </w:rPr>
              <w:t>, and integrity</w:t>
            </w:r>
            <w:r w:rsidRPr="00CA3A08">
              <w:rPr>
                <w:rFonts w:ascii="Arial" w:hAnsi="Arial" w:cs="Arial"/>
                <w:sz w:val="20"/>
                <w:szCs w:val="20"/>
              </w:rPr>
              <w:t xml:space="preserve"> of personal information</w:t>
            </w:r>
            <w:r>
              <w:rPr>
                <w:rFonts w:ascii="Arial" w:hAnsi="Arial" w:cs="Arial"/>
                <w:sz w:val="20"/>
                <w:szCs w:val="20"/>
              </w:rPr>
              <w:t xml:space="preserve"> collected from children</w:t>
            </w:r>
            <w:r w:rsidRPr="00CA3A08">
              <w:rPr>
                <w:rFonts w:ascii="Arial" w:hAnsi="Arial" w:cs="Arial"/>
                <w:sz w:val="20"/>
                <w:szCs w:val="20"/>
              </w:rPr>
              <w:t xml:space="preserve">. 15 U.S.C. § 6502(b)(1); 16 C.F.R. </w:t>
            </w:r>
            <w:r>
              <w:rPr>
                <w:rFonts w:ascii="Arial" w:hAnsi="Arial" w:cs="Arial"/>
                <w:sz w:val="20"/>
                <w:szCs w:val="20"/>
              </w:rPr>
              <w:t xml:space="preserve">§ </w:t>
            </w:r>
            <w:r w:rsidRPr="00CA3A08">
              <w:rPr>
                <w:rFonts w:ascii="Arial" w:hAnsi="Arial" w:cs="Arial"/>
                <w:sz w:val="20"/>
                <w:szCs w:val="20"/>
              </w:rPr>
              <w:t>312.8.</w:t>
            </w:r>
          </w:p>
        </w:tc>
        <w:tc>
          <w:tcPr>
            <w:tcW w:w="3383" w:type="dxa"/>
          </w:tcPr>
          <w:p w14:paraId="6034E658" w14:textId="77777777" w:rsidR="00783200" w:rsidRPr="00CA3A08" w:rsidRDefault="00783200" w:rsidP="00783200">
            <w:pPr>
              <w:spacing w:after="240"/>
              <w:rPr>
                <w:rFonts w:ascii="Arial" w:hAnsi="Arial" w:cs="Arial"/>
                <w:sz w:val="20"/>
                <w:szCs w:val="20"/>
              </w:rPr>
            </w:pPr>
          </w:p>
        </w:tc>
        <w:tc>
          <w:tcPr>
            <w:tcW w:w="1209" w:type="dxa"/>
          </w:tcPr>
          <w:p w14:paraId="16EBE941"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October 21, 1998.</w:t>
            </w:r>
          </w:p>
          <w:p w14:paraId="6875A9DD" w14:textId="77777777" w:rsidR="00783200" w:rsidRPr="00CA3A08" w:rsidRDefault="00783200" w:rsidP="00783200">
            <w:pPr>
              <w:rPr>
                <w:rFonts w:ascii="Arial" w:hAnsi="Arial" w:cs="Arial"/>
                <w:sz w:val="20"/>
                <w:szCs w:val="20"/>
              </w:rPr>
            </w:pPr>
          </w:p>
        </w:tc>
      </w:tr>
      <w:tr w:rsidR="00783200" w:rsidRPr="00CA3A08" w14:paraId="027451A0" w14:textId="77777777" w:rsidTr="009408B1">
        <w:tc>
          <w:tcPr>
            <w:tcW w:w="427" w:type="dxa"/>
            <w:vMerge w:val="restart"/>
          </w:tcPr>
          <w:p w14:paraId="42225E16" w14:textId="77777777" w:rsidR="00783200" w:rsidRPr="00CA3A08" w:rsidRDefault="00783200" w:rsidP="00783200">
            <w:pPr>
              <w:rPr>
                <w:rFonts w:ascii="Arial" w:hAnsi="Arial" w:cs="Arial"/>
                <w:sz w:val="20"/>
                <w:szCs w:val="20"/>
              </w:rPr>
            </w:pPr>
            <w:r w:rsidRPr="00CA3A08">
              <w:rPr>
                <w:rFonts w:ascii="Arial" w:hAnsi="Arial" w:cs="Arial"/>
                <w:sz w:val="20"/>
                <w:szCs w:val="20"/>
              </w:rPr>
              <w:t>6</w:t>
            </w:r>
          </w:p>
          <w:p w14:paraId="3B8055A6" w14:textId="77777777" w:rsidR="00783200" w:rsidRPr="00CA3A08" w:rsidRDefault="00783200" w:rsidP="00783200">
            <w:pPr>
              <w:rPr>
                <w:rFonts w:ascii="Arial" w:hAnsi="Arial" w:cs="Arial"/>
                <w:sz w:val="20"/>
                <w:szCs w:val="20"/>
              </w:rPr>
            </w:pPr>
          </w:p>
          <w:p w14:paraId="45628B1C" w14:textId="77777777" w:rsidR="00783200" w:rsidRPr="00CA3A08" w:rsidRDefault="00783200" w:rsidP="00783200">
            <w:pPr>
              <w:rPr>
                <w:rFonts w:ascii="Arial" w:hAnsi="Arial" w:cs="Arial"/>
                <w:sz w:val="20"/>
                <w:szCs w:val="20"/>
              </w:rPr>
            </w:pPr>
          </w:p>
        </w:tc>
        <w:tc>
          <w:tcPr>
            <w:tcW w:w="2903" w:type="dxa"/>
            <w:vMerge w:val="restart"/>
          </w:tcPr>
          <w:p w14:paraId="1EE36C60" w14:textId="77777777" w:rsidR="00783200" w:rsidRPr="00592C78" w:rsidRDefault="00783200" w:rsidP="00783200">
            <w:pPr>
              <w:adjustRightInd w:val="0"/>
              <w:ind w:left="72"/>
              <w:rPr>
                <w:rFonts w:ascii="Arial" w:hAnsi="Arial" w:cs="Arial"/>
                <w:b/>
                <w:bCs/>
                <w:i/>
                <w:iCs/>
                <w:sz w:val="20"/>
                <w:szCs w:val="20"/>
                <w:lang w:bidi="mni-IN"/>
              </w:rPr>
            </w:pPr>
            <w:r w:rsidRPr="00592C78">
              <w:rPr>
                <w:rFonts w:ascii="Arial" w:hAnsi="Arial" w:cs="Arial"/>
                <w:b/>
                <w:bCs/>
                <w:i/>
                <w:iCs/>
                <w:sz w:val="20"/>
                <w:szCs w:val="20"/>
                <w:lang w:bidi="mni-IN"/>
              </w:rPr>
              <w:t>VI Integrity of Personal Information</w:t>
            </w:r>
          </w:p>
          <w:p w14:paraId="15C14F0F" w14:textId="77777777" w:rsidR="00783200" w:rsidRPr="00592C78" w:rsidRDefault="00783200" w:rsidP="00783200">
            <w:pPr>
              <w:adjustRightInd w:val="0"/>
              <w:ind w:left="72"/>
              <w:rPr>
                <w:rFonts w:ascii="Arial" w:hAnsi="Arial" w:cs="Arial"/>
                <w:b/>
                <w:bCs/>
                <w:sz w:val="20"/>
                <w:szCs w:val="20"/>
                <w:lang w:bidi="mni-IN"/>
              </w:rPr>
            </w:pPr>
            <w:r>
              <w:rPr>
                <w:rFonts w:ascii="Arial" w:hAnsi="Arial" w:cs="Arial"/>
                <w:b/>
                <w:bCs/>
                <w:sz w:val="20"/>
                <w:szCs w:val="20"/>
                <w:lang w:bidi="mni-IN"/>
              </w:rPr>
              <w:t>(Ref. Para. 27</w:t>
            </w:r>
            <w:r w:rsidRPr="00592C78">
              <w:rPr>
                <w:rFonts w:ascii="Arial" w:hAnsi="Arial" w:cs="Arial"/>
                <w:b/>
                <w:bCs/>
                <w:sz w:val="20"/>
                <w:szCs w:val="20"/>
                <w:lang w:bidi="mni-IN"/>
              </w:rPr>
              <w:t>)</w:t>
            </w:r>
          </w:p>
          <w:p w14:paraId="34029E0F" w14:textId="77777777" w:rsidR="00783200" w:rsidRPr="00592C78" w:rsidRDefault="00783200" w:rsidP="00783200">
            <w:pPr>
              <w:adjustRightInd w:val="0"/>
              <w:ind w:left="72"/>
              <w:rPr>
                <w:rFonts w:ascii="Arial" w:hAnsi="Arial" w:cs="Arial"/>
                <w:b/>
                <w:bCs/>
                <w:sz w:val="20"/>
                <w:szCs w:val="20"/>
                <w:lang w:bidi="mni-IN"/>
              </w:rPr>
            </w:pPr>
          </w:p>
          <w:p w14:paraId="63767459" w14:textId="77777777" w:rsidR="00783200" w:rsidRPr="00592C78" w:rsidRDefault="00783200" w:rsidP="00783200">
            <w:pPr>
              <w:ind w:left="72"/>
              <w:rPr>
                <w:rFonts w:ascii="Arial" w:hAnsi="Arial" w:cs="Arial"/>
                <w:sz w:val="20"/>
                <w:szCs w:val="20"/>
              </w:rPr>
            </w:pPr>
            <w:r w:rsidRPr="00592C78">
              <w:rPr>
                <w:rFonts w:ascii="Arial" w:hAnsi="Arial" w:cs="Arial"/>
                <w:sz w:val="20"/>
                <w:szCs w:val="20"/>
              </w:rPr>
              <w:t>Personal information should be accurate, complete and kept up-to-date to the extent necessary for the purposes of use.</w:t>
            </w:r>
          </w:p>
          <w:p w14:paraId="44853E2C" w14:textId="77777777" w:rsidR="00783200" w:rsidRPr="00CA3A08" w:rsidRDefault="00783200" w:rsidP="00783200">
            <w:pPr>
              <w:adjustRightInd w:val="0"/>
              <w:ind w:left="72"/>
              <w:jc w:val="both"/>
              <w:rPr>
                <w:rFonts w:ascii="Arial" w:hAnsi="Arial" w:cs="Arial"/>
                <w:sz w:val="20"/>
                <w:szCs w:val="20"/>
              </w:rPr>
            </w:pPr>
          </w:p>
        </w:tc>
        <w:tc>
          <w:tcPr>
            <w:tcW w:w="3383" w:type="dxa"/>
          </w:tcPr>
          <w:p w14:paraId="46AEEE02" w14:textId="47730B14" w:rsidR="00783200" w:rsidRPr="00CA3A08" w:rsidRDefault="00783200" w:rsidP="00783200">
            <w:pPr>
              <w:rPr>
                <w:rFonts w:ascii="Arial" w:hAnsi="Arial" w:cs="Arial"/>
                <w:sz w:val="20"/>
                <w:szCs w:val="20"/>
              </w:rPr>
            </w:pPr>
            <w:r w:rsidRPr="00CA3A08">
              <w:rPr>
                <w:rFonts w:ascii="Arial" w:hAnsi="Arial" w:cs="Arial"/>
                <w:b/>
                <w:bCs/>
                <w:i/>
                <w:iCs/>
                <w:sz w:val="20"/>
                <w:szCs w:val="20"/>
                <w:u w:val="single"/>
              </w:rPr>
              <w:t>The Federal Trade Commission Act (FTC ACT),</w:t>
            </w:r>
            <w:r w:rsidRPr="00CA3A08">
              <w:rPr>
                <w:rFonts w:ascii="Arial" w:hAnsi="Arial" w:cs="Arial"/>
                <w:i/>
                <w:iCs/>
                <w:sz w:val="20"/>
                <w:szCs w:val="20"/>
                <w:u w:val="single"/>
              </w:rPr>
              <w:t xml:space="preserve"> </w:t>
            </w:r>
            <w:r w:rsidRPr="00CA3A08">
              <w:rPr>
                <w:rFonts w:ascii="Arial" w:hAnsi="Arial" w:cs="Arial"/>
                <w:sz w:val="20"/>
                <w:szCs w:val="20"/>
              </w:rPr>
              <w:t>15 U.S.C. § 41 et. seq.</w:t>
            </w:r>
          </w:p>
        </w:tc>
        <w:tc>
          <w:tcPr>
            <w:tcW w:w="3383" w:type="dxa"/>
          </w:tcPr>
          <w:p w14:paraId="3FED9C44" w14:textId="0A66B3DC" w:rsidR="00783200" w:rsidRPr="00CA3A08" w:rsidRDefault="00783200" w:rsidP="00783200">
            <w:pPr>
              <w:spacing w:after="240"/>
              <w:rPr>
                <w:rFonts w:ascii="Arial" w:hAnsi="Arial" w:cs="Arial"/>
                <w:sz w:val="20"/>
                <w:szCs w:val="20"/>
              </w:rPr>
            </w:pPr>
            <w:bookmarkStart w:id="0" w:name="_Hlk78206571"/>
            <w:r w:rsidRPr="00CA3A08">
              <w:rPr>
                <w:rFonts w:ascii="Arial" w:hAnsi="Arial" w:cs="Arial"/>
                <w:sz w:val="20"/>
                <w:szCs w:val="20"/>
              </w:rPr>
              <w:t xml:space="preserve">The FTC Act prohibits deceptive data security practices, including the failure to provide reasonable security for consumer information, in violation of a privacy policy or representations.  It also prohibits unfair data security practices that cause </w:t>
            </w:r>
            <w:r>
              <w:rPr>
                <w:rFonts w:ascii="Arial" w:hAnsi="Arial" w:cs="Arial"/>
                <w:sz w:val="20"/>
                <w:szCs w:val="20"/>
              </w:rPr>
              <w:t xml:space="preserve">or are likely to cause </w:t>
            </w:r>
            <w:r w:rsidRPr="00CA3A08">
              <w:rPr>
                <w:rFonts w:ascii="Arial" w:hAnsi="Arial" w:cs="Arial"/>
                <w:sz w:val="20"/>
                <w:szCs w:val="20"/>
              </w:rPr>
              <w:t xml:space="preserve">substantial consumer injury </w:t>
            </w:r>
            <w:r>
              <w:rPr>
                <w:rFonts w:ascii="Arial" w:hAnsi="Arial" w:cs="Arial"/>
                <w:sz w:val="20"/>
                <w:szCs w:val="20"/>
              </w:rPr>
              <w:t xml:space="preserve">which is not reasonably avoidable by consumers and which is not outweighed by countervailing </w:t>
            </w:r>
            <w:r w:rsidRPr="00CA3A08">
              <w:rPr>
                <w:rFonts w:ascii="Arial" w:hAnsi="Arial" w:cs="Arial"/>
                <w:sz w:val="20"/>
                <w:szCs w:val="20"/>
              </w:rPr>
              <w:t>benefits</w:t>
            </w:r>
            <w:r>
              <w:rPr>
                <w:rFonts w:ascii="Arial" w:hAnsi="Arial" w:cs="Arial"/>
                <w:sz w:val="20"/>
                <w:szCs w:val="20"/>
              </w:rPr>
              <w:t xml:space="preserve"> to consumers or competition</w:t>
            </w:r>
            <w:r w:rsidRPr="00CA3A08">
              <w:rPr>
                <w:rFonts w:ascii="Arial" w:hAnsi="Arial" w:cs="Arial"/>
                <w:sz w:val="20"/>
                <w:szCs w:val="20"/>
              </w:rPr>
              <w:t>. 15 U.S.C. § 45.</w:t>
            </w:r>
            <w:bookmarkEnd w:id="0"/>
          </w:p>
        </w:tc>
        <w:tc>
          <w:tcPr>
            <w:tcW w:w="3383" w:type="dxa"/>
          </w:tcPr>
          <w:p w14:paraId="1990B8DE" w14:textId="77777777" w:rsidR="00783200" w:rsidRPr="00CA3A08" w:rsidRDefault="00783200" w:rsidP="00783200">
            <w:pPr>
              <w:rPr>
                <w:rFonts w:ascii="Arial" w:hAnsi="Arial" w:cs="Arial"/>
                <w:sz w:val="20"/>
                <w:szCs w:val="20"/>
              </w:rPr>
            </w:pPr>
          </w:p>
        </w:tc>
        <w:tc>
          <w:tcPr>
            <w:tcW w:w="1209" w:type="dxa"/>
          </w:tcPr>
          <w:p w14:paraId="6010E028" w14:textId="210EB4A6" w:rsidR="00783200" w:rsidRPr="00CA3A08" w:rsidRDefault="00783200" w:rsidP="00783200">
            <w:pPr>
              <w:rPr>
                <w:rFonts w:ascii="Arial" w:hAnsi="Arial" w:cs="Arial"/>
                <w:sz w:val="20"/>
                <w:szCs w:val="20"/>
              </w:rPr>
            </w:pPr>
            <w:r w:rsidRPr="310DF885">
              <w:rPr>
                <w:rFonts w:ascii="Arial" w:eastAsia="Arial" w:hAnsi="Arial" w:cs="Arial"/>
                <w:sz w:val="20"/>
                <w:szCs w:val="20"/>
              </w:rPr>
              <w:t>Signed into law on September 26, 1914.</w:t>
            </w:r>
          </w:p>
        </w:tc>
      </w:tr>
      <w:tr w:rsidR="00783200" w:rsidRPr="00CA3A08" w14:paraId="0229719C" w14:textId="77777777" w:rsidTr="00E367BE">
        <w:trPr>
          <w:trHeight w:val="1223"/>
        </w:trPr>
        <w:tc>
          <w:tcPr>
            <w:tcW w:w="427" w:type="dxa"/>
            <w:vMerge/>
          </w:tcPr>
          <w:p w14:paraId="436C1A9A" w14:textId="77777777" w:rsidR="00783200" w:rsidRPr="00CA3A08" w:rsidRDefault="00783200" w:rsidP="00783200">
            <w:pPr>
              <w:rPr>
                <w:rFonts w:ascii="Arial" w:hAnsi="Arial" w:cs="Arial"/>
                <w:sz w:val="20"/>
                <w:szCs w:val="20"/>
              </w:rPr>
            </w:pPr>
          </w:p>
        </w:tc>
        <w:tc>
          <w:tcPr>
            <w:tcW w:w="2903" w:type="dxa"/>
            <w:vMerge/>
          </w:tcPr>
          <w:p w14:paraId="2545579F"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703F38CA" w14:textId="286E55AE" w:rsidR="00783200" w:rsidRPr="00CA3A08" w:rsidRDefault="00783200" w:rsidP="00783200">
            <w:pPr>
              <w:rPr>
                <w:rFonts w:ascii="Arial" w:hAnsi="Arial" w:cs="Arial"/>
                <w:sz w:val="20"/>
                <w:szCs w:val="20"/>
              </w:rPr>
            </w:pPr>
            <w:r w:rsidRPr="00CA3A08">
              <w:rPr>
                <w:rFonts w:ascii="Arial" w:hAnsi="Arial" w:cs="Arial"/>
                <w:b/>
                <w:bCs/>
                <w:i/>
                <w:iCs/>
                <w:sz w:val="20"/>
                <w:szCs w:val="20"/>
                <w:u w:val="single"/>
              </w:rPr>
              <w:t>The Drivers Privacy Protection Act of 1994 (DPPA),</w:t>
            </w:r>
            <w:r w:rsidRPr="00CA3A08">
              <w:rPr>
                <w:rFonts w:ascii="Arial" w:hAnsi="Arial" w:cs="Arial"/>
                <w:i/>
                <w:iCs/>
                <w:sz w:val="20"/>
                <w:szCs w:val="20"/>
                <w:u w:val="single"/>
              </w:rPr>
              <w:t xml:space="preserve"> </w:t>
            </w:r>
            <w:r w:rsidRPr="00CA3A08">
              <w:rPr>
                <w:rFonts w:ascii="Arial" w:hAnsi="Arial" w:cs="Arial"/>
                <w:sz w:val="20"/>
                <w:szCs w:val="20"/>
              </w:rPr>
              <w:t>18 U.S.C. § 2721 et seq.</w:t>
            </w:r>
          </w:p>
        </w:tc>
        <w:tc>
          <w:tcPr>
            <w:tcW w:w="3383" w:type="dxa"/>
          </w:tcPr>
          <w:p w14:paraId="5DB43B0A" w14:textId="77777777" w:rsidR="00783200" w:rsidRPr="00CA3A08" w:rsidRDefault="00783200" w:rsidP="00783200">
            <w:pPr>
              <w:rPr>
                <w:rFonts w:ascii="Arial" w:hAnsi="Arial" w:cs="Arial"/>
                <w:sz w:val="20"/>
                <w:szCs w:val="20"/>
              </w:rPr>
            </w:pPr>
            <w:r w:rsidRPr="00CA3A08">
              <w:rPr>
                <w:rFonts w:ascii="Arial" w:hAnsi="Arial" w:cs="Arial"/>
                <w:sz w:val="20"/>
                <w:szCs w:val="20"/>
              </w:rPr>
              <w:t xml:space="preserve">The DPPA’s permissible </w:t>
            </w:r>
            <w:r>
              <w:rPr>
                <w:rFonts w:ascii="Arial" w:hAnsi="Arial" w:cs="Arial"/>
                <w:sz w:val="20"/>
                <w:szCs w:val="20"/>
              </w:rPr>
              <w:t>uses</w:t>
            </w:r>
            <w:r w:rsidRPr="00CA3A08">
              <w:rPr>
                <w:rFonts w:ascii="Arial" w:hAnsi="Arial" w:cs="Arial"/>
                <w:sz w:val="20"/>
                <w:szCs w:val="20"/>
              </w:rPr>
              <w:t xml:space="preserve"> provisions necessitate strong security safeguards. 18 U.S.C. § 2721.</w:t>
            </w:r>
          </w:p>
          <w:p w14:paraId="447288E8" w14:textId="2BD9CDAD" w:rsidR="00783200" w:rsidRPr="00CA3A08" w:rsidRDefault="00783200" w:rsidP="00783200">
            <w:pPr>
              <w:spacing w:after="240"/>
              <w:rPr>
                <w:rFonts w:ascii="Arial" w:hAnsi="Arial" w:cs="Arial"/>
                <w:sz w:val="20"/>
                <w:szCs w:val="20"/>
                <w:lang w:val="en-CA"/>
              </w:rPr>
            </w:pPr>
          </w:p>
        </w:tc>
        <w:tc>
          <w:tcPr>
            <w:tcW w:w="3383" w:type="dxa"/>
          </w:tcPr>
          <w:p w14:paraId="78FAF8EE" w14:textId="77777777" w:rsidR="00783200" w:rsidRPr="00CA3A08" w:rsidRDefault="00783200" w:rsidP="00783200">
            <w:pPr>
              <w:rPr>
                <w:rFonts w:ascii="Arial" w:hAnsi="Arial" w:cs="Arial"/>
                <w:sz w:val="20"/>
                <w:szCs w:val="20"/>
              </w:rPr>
            </w:pPr>
          </w:p>
        </w:tc>
        <w:tc>
          <w:tcPr>
            <w:tcW w:w="1209" w:type="dxa"/>
          </w:tcPr>
          <w:p w14:paraId="3AA1D8D7"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September 13, 1994.</w:t>
            </w:r>
          </w:p>
          <w:p w14:paraId="4F2CBBB2" w14:textId="6649DCA0" w:rsidR="00783200" w:rsidRPr="00CA3A08" w:rsidRDefault="00783200" w:rsidP="00783200">
            <w:pPr>
              <w:rPr>
                <w:rFonts w:ascii="Arial" w:hAnsi="Arial" w:cs="Arial"/>
                <w:sz w:val="20"/>
                <w:szCs w:val="20"/>
              </w:rPr>
            </w:pPr>
          </w:p>
        </w:tc>
      </w:tr>
      <w:tr w:rsidR="00783200" w:rsidRPr="00CA3A08" w14:paraId="0F4EC75E" w14:textId="77777777" w:rsidTr="009408B1">
        <w:tc>
          <w:tcPr>
            <w:tcW w:w="427" w:type="dxa"/>
            <w:vMerge/>
          </w:tcPr>
          <w:p w14:paraId="0AF82E43" w14:textId="77777777" w:rsidR="00783200" w:rsidRPr="00CA3A08" w:rsidRDefault="00783200" w:rsidP="00783200">
            <w:pPr>
              <w:rPr>
                <w:rFonts w:ascii="Arial" w:hAnsi="Arial" w:cs="Arial"/>
                <w:sz w:val="20"/>
                <w:szCs w:val="20"/>
              </w:rPr>
            </w:pPr>
          </w:p>
        </w:tc>
        <w:tc>
          <w:tcPr>
            <w:tcW w:w="2903" w:type="dxa"/>
            <w:vMerge/>
          </w:tcPr>
          <w:p w14:paraId="6E1389D8"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7E9C1B91" w14:textId="5927F482" w:rsidR="00783200" w:rsidRPr="00CA3A08" w:rsidRDefault="00783200" w:rsidP="00783200">
            <w:pPr>
              <w:spacing w:after="240"/>
              <w:rPr>
                <w:rFonts w:ascii="Arial" w:hAnsi="Arial" w:cs="Arial"/>
                <w:sz w:val="20"/>
                <w:szCs w:val="20"/>
              </w:rPr>
            </w:pPr>
            <w:r w:rsidRPr="00CA3A08">
              <w:rPr>
                <w:rFonts w:ascii="Arial" w:hAnsi="Arial" w:cs="Arial"/>
                <w:b/>
                <w:bCs/>
                <w:i/>
                <w:iCs/>
                <w:sz w:val="20"/>
                <w:szCs w:val="20"/>
                <w:u w:val="single"/>
              </w:rPr>
              <w:t>Health Insurance Portability and Accountability Act (HIPAA),</w:t>
            </w:r>
            <w:r w:rsidRPr="00CA3A08">
              <w:rPr>
                <w:rFonts w:ascii="Arial" w:hAnsi="Arial" w:cs="Arial"/>
                <w:sz w:val="20"/>
                <w:szCs w:val="20"/>
              </w:rPr>
              <w:t xml:space="preserve"> Pub. L. 104-191 §§ 262 &amp; 264) Privacy Rule, 45 C.F.R. Parts 160 &amp; 164</w:t>
            </w:r>
          </w:p>
        </w:tc>
        <w:tc>
          <w:tcPr>
            <w:tcW w:w="3383" w:type="dxa"/>
          </w:tcPr>
          <w:p w14:paraId="43D0EDB7" w14:textId="77777777" w:rsidR="00783200" w:rsidRDefault="00783200" w:rsidP="00783200">
            <w:pPr>
              <w:rPr>
                <w:rFonts w:ascii="Arial" w:hAnsi="Arial" w:cs="Arial"/>
                <w:sz w:val="20"/>
                <w:szCs w:val="20"/>
              </w:rPr>
            </w:pPr>
            <w:r w:rsidRPr="00CA3A08">
              <w:rPr>
                <w:rFonts w:ascii="Arial" w:hAnsi="Arial" w:cs="Arial"/>
                <w:sz w:val="20"/>
                <w:szCs w:val="20"/>
              </w:rPr>
              <w:t>The HIPAA Privacy Rule requires covered entities to have in place appropriate administrative, technical, and physical safeguards to protect the privacy of protected health information.  It specifically requires safeguards that reasonably protect the health information from intentional or unintentional use of disclosure in violation of the rule, and that limit incidental uses or disclosures made pursuant to an otherwise permitted or required use or disclosure.  45 C.F.R. § 164.530.</w:t>
            </w:r>
          </w:p>
          <w:p w14:paraId="45DA8130" w14:textId="1D28DDC7" w:rsidR="00783200" w:rsidRPr="00E367BE" w:rsidRDefault="00783200" w:rsidP="00783200">
            <w:pPr>
              <w:rPr>
                <w:rFonts w:ascii="Arial" w:hAnsi="Arial" w:cs="Arial"/>
                <w:sz w:val="20"/>
                <w:szCs w:val="20"/>
              </w:rPr>
            </w:pPr>
          </w:p>
        </w:tc>
        <w:tc>
          <w:tcPr>
            <w:tcW w:w="3383" w:type="dxa"/>
          </w:tcPr>
          <w:p w14:paraId="6A9ADD7C" w14:textId="77777777" w:rsidR="00783200" w:rsidRPr="00CA3A08" w:rsidRDefault="00783200" w:rsidP="00783200">
            <w:pPr>
              <w:spacing w:after="240"/>
              <w:rPr>
                <w:rFonts w:ascii="Arial" w:hAnsi="Arial" w:cs="Arial"/>
                <w:sz w:val="20"/>
                <w:szCs w:val="20"/>
              </w:rPr>
            </w:pPr>
          </w:p>
        </w:tc>
        <w:tc>
          <w:tcPr>
            <w:tcW w:w="1209" w:type="dxa"/>
          </w:tcPr>
          <w:p w14:paraId="4D9896BA"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August 21, 1996.</w:t>
            </w:r>
          </w:p>
          <w:p w14:paraId="522FD016" w14:textId="2722CE2D" w:rsidR="00783200" w:rsidRPr="00CA3A08" w:rsidRDefault="00783200" w:rsidP="00783200">
            <w:pPr>
              <w:rPr>
                <w:rFonts w:ascii="Arial" w:hAnsi="Arial" w:cs="Arial"/>
                <w:sz w:val="20"/>
                <w:szCs w:val="20"/>
              </w:rPr>
            </w:pPr>
          </w:p>
        </w:tc>
      </w:tr>
      <w:tr w:rsidR="00783200" w:rsidRPr="00CA3A08" w14:paraId="5EA085F6" w14:textId="77777777" w:rsidTr="009408B1">
        <w:tc>
          <w:tcPr>
            <w:tcW w:w="427" w:type="dxa"/>
            <w:vMerge w:val="restart"/>
          </w:tcPr>
          <w:p w14:paraId="37F663C9" w14:textId="77777777" w:rsidR="00783200" w:rsidRPr="00CA3A08" w:rsidRDefault="00783200" w:rsidP="00783200">
            <w:pPr>
              <w:rPr>
                <w:rFonts w:ascii="Arial" w:hAnsi="Arial" w:cs="Arial"/>
                <w:sz w:val="20"/>
                <w:szCs w:val="20"/>
              </w:rPr>
            </w:pPr>
            <w:r w:rsidRPr="00CA3A08">
              <w:rPr>
                <w:rFonts w:ascii="Arial" w:hAnsi="Arial" w:cs="Arial"/>
                <w:sz w:val="20"/>
                <w:szCs w:val="20"/>
              </w:rPr>
              <w:t>7</w:t>
            </w:r>
          </w:p>
          <w:p w14:paraId="025EDB55" w14:textId="77777777" w:rsidR="00783200" w:rsidRPr="00CA3A08" w:rsidRDefault="00783200" w:rsidP="00783200">
            <w:pPr>
              <w:rPr>
                <w:rFonts w:ascii="Arial" w:hAnsi="Arial" w:cs="Arial"/>
                <w:sz w:val="20"/>
                <w:szCs w:val="20"/>
              </w:rPr>
            </w:pPr>
          </w:p>
          <w:p w14:paraId="0C110008" w14:textId="77777777" w:rsidR="00783200" w:rsidRPr="00CA3A08" w:rsidRDefault="00783200" w:rsidP="00783200">
            <w:pPr>
              <w:rPr>
                <w:rFonts w:ascii="Arial" w:hAnsi="Arial" w:cs="Arial"/>
                <w:sz w:val="20"/>
                <w:szCs w:val="20"/>
              </w:rPr>
            </w:pPr>
          </w:p>
          <w:p w14:paraId="033AF693" w14:textId="77777777" w:rsidR="00783200" w:rsidRPr="00CA3A08" w:rsidRDefault="00783200" w:rsidP="00783200">
            <w:pPr>
              <w:rPr>
                <w:rFonts w:ascii="Arial" w:hAnsi="Arial" w:cs="Arial"/>
                <w:sz w:val="20"/>
                <w:szCs w:val="20"/>
              </w:rPr>
            </w:pPr>
          </w:p>
          <w:p w14:paraId="08120A56" w14:textId="77777777" w:rsidR="00783200" w:rsidRPr="00CA3A08" w:rsidRDefault="00783200" w:rsidP="00783200">
            <w:pPr>
              <w:rPr>
                <w:rFonts w:ascii="Arial" w:hAnsi="Arial" w:cs="Arial"/>
                <w:sz w:val="20"/>
                <w:szCs w:val="20"/>
              </w:rPr>
            </w:pPr>
          </w:p>
          <w:p w14:paraId="37233E85" w14:textId="77777777" w:rsidR="00783200" w:rsidRPr="00CA3A08" w:rsidRDefault="00783200" w:rsidP="00783200">
            <w:pPr>
              <w:rPr>
                <w:rFonts w:ascii="Arial" w:hAnsi="Arial" w:cs="Arial"/>
                <w:sz w:val="20"/>
                <w:szCs w:val="20"/>
              </w:rPr>
            </w:pPr>
          </w:p>
          <w:p w14:paraId="5E223D80" w14:textId="77777777" w:rsidR="00783200" w:rsidRPr="00CA3A08" w:rsidRDefault="00783200" w:rsidP="00783200">
            <w:pPr>
              <w:rPr>
                <w:rFonts w:ascii="Arial" w:hAnsi="Arial" w:cs="Arial"/>
                <w:sz w:val="20"/>
                <w:szCs w:val="20"/>
              </w:rPr>
            </w:pPr>
          </w:p>
        </w:tc>
        <w:tc>
          <w:tcPr>
            <w:tcW w:w="2903" w:type="dxa"/>
            <w:vMerge w:val="restart"/>
          </w:tcPr>
          <w:p w14:paraId="59A2424F" w14:textId="77777777" w:rsidR="00783200" w:rsidRPr="00592C78" w:rsidRDefault="00783200" w:rsidP="00783200">
            <w:pPr>
              <w:adjustRightInd w:val="0"/>
              <w:ind w:left="34"/>
              <w:rPr>
                <w:rFonts w:ascii="Arial" w:hAnsi="Arial" w:cs="Arial"/>
                <w:b/>
                <w:bCs/>
                <w:i/>
                <w:iCs/>
                <w:sz w:val="20"/>
                <w:szCs w:val="20"/>
                <w:lang w:bidi="mni-IN"/>
              </w:rPr>
            </w:pPr>
            <w:r w:rsidRPr="00592C78">
              <w:rPr>
                <w:rFonts w:ascii="Arial" w:hAnsi="Arial" w:cs="Arial"/>
                <w:b/>
                <w:bCs/>
                <w:i/>
                <w:iCs/>
                <w:sz w:val="20"/>
                <w:szCs w:val="20"/>
                <w:lang w:bidi="mni-IN"/>
              </w:rPr>
              <w:t>VII Security Safeguards</w:t>
            </w:r>
          </w:p>
          <w:p w14:paraId="40D6A7B1" w14:textId="77777777" w:rsidR="00783200" w:rsidRPr="00592C78" w:rsidRDefault="00783200" w:rsidP="00783200">
            <w:pPr>
              <w:adjustRightInd w:val="0"/>
              <w:ind w:left="34"/>
              <w:rPr>
                <w:rFonts w:ascii="Arial" w:hAnsi="Arial" w:cs="Arial"/>
                <w:b/>
                <w:bCs/>
                <w:sz w:val="20"/>
                <w:szCs w:val="20"/>
                <w:lang w:bidi="mni-IN"/>
              </w:rPr>
            </w:pPr>
            <w:r>
              <w:rPr>
                <w:rFonts w:ascii="Arial" w:hAnsi="Arial" w:cs="Arial"/>
                <w:b/>
                <w:bCs/>
                <w:sz w:val="20"/>
                <w:szCs w:val="20"/>
                <w:lang w:bidi="mni-IN"/>
              </w:rPr>
              <w:t>(Ref. Para. 28</w:t>
            </w:r>
            <w:r w:rsidRPr="00592C78">
              <w:rPr>
                <w:rFonts w:ascii="Arial" w:hAnsi="Arial" w:cs="Arial"/>
                <w:b/>
                <w:bCs/>
                <w:sz w:val="20"/>
                <w:szCs w:val="20"/>
                <w:lang w:bidi="mni-IN"/>
              </w:rPr>
              <w:t>)</w:t>
            </w:r>
          </w:p>
          <w:p w14:paraId="05EC06B9" w14:textId="77777777" w:rsidR="00783200" w:rsidRPr="00592C78" w:rsidRDefault="00783200" w:rsidP="00783200">
            <w:pPr>
              <w:adjustRightInd w:val="0"/>
              <w:ind w:left="34"/>
              <w:rPr>
                <w:rFonts w:ascii="Arial" w:hAnsi="Arial" w:cs="Arial"/>
                <w:b/>
                <w:bCs/>
                <w:sz w:val="20"/>
                <w:szCs w:val="20"/>
                <w:lang w:bidi="mni-IN"/>
              </w:rPr>
            </w:pPr>
          </w:p>
          <w:p w14:paraId="4ACA9D61" w14:textId="77777777" w:rsidR="00783200" w:rsidRPr="00592C78" w:rsidRDefault="00783200" w:rsidP="00783200">
            <w:pPr>
              <w:autoSpaceDE w:val="0"/>
              <w:autoSpaceDN w:val="0"/>
              <w:adjustRightInd w:val="0"/>
              <w:rPr>
                <w:rFonts w:ascii="Arial" w:hAnsi="Arial" w:cs="Arial"/>
                <w:sz w:val="20"/>
                <w:szCs w:val="20"/>
              </w:rPr>
            </w:pPr>
            <w:r w:rsidRPr="00592C78">
              <w:rPr>
                <w:rFonts w:ascii="Arial" w:hAnsi="Arial" w:cs="Arial"/>
                <w:sz w:val="20"/>
                <w:szCs w:val="20"/>
              </w:rPr>
              <w:t xml:space="preserve">Personal information controllers should protect personal information that they hold with appropriate safeguards against risks, such as loss or unauthorized access to personal information, or unauthorized destruction, use, modification or disclosure of information or other misuses. Such safeguards should be proportional to the likelihood and severity of the harm </w:t>
            </w:r>
            <w:r>
              <w:rPr>
                <w:rFonts w:ascii="Arial" w:hAnsi="Arial" w:cs="Arial"/>
                <w:sz w:val="20"/>
                <w:szCs w:val="20"/>
              </w:rPr>
              <w:t>threatened,</w:t>
            </w:r>
            <w:r w:rsidRPr="00592C78">
              <w:rPr>
                <w:rFonts w:ascii="Arial" w:hAnsi="Arial" w:cs="Arial"/>
                <w:sz w:val="20"/>
                <w:szCs w:val="20"/>
              </w:rPr>
              <w:t xml:space="preserve"> the sensitivity of the information and the </w:t>
            </w:r>
            <w:r w:rsidRPr="00592C78">
              <w:rPr>
                <w:rFonts w:ascii="Arial" w:hAnsi="Arial" w:cs="Arial"/>
                <w:sz w:val="20"/>
                <w:szCs w:val="20"/>
              </w:rPr>
              <w:lastRenderedPageBreak/>
              <w:t>context in which it is held, and should be subject to periodic review and reassessment.</w:t>
            </w:r>
          </w:p>
          <w:p w14:paraId="22972FCB" w14:textId="77777777" w:rsidR="00783200" w:rsidRPr="00CA3A08" w:rsidRDefault="00783200" w:rsidP="00783200">
            <w:pPr>
              <w:adjustRightInd w:val="0"/>
              <w:ind w:left="72"/>
              <w:jc w:val="both"/>
              <w:rPr>
                <w:rFonts w:ascii="Arial" w:hAnsi="Arial" w:cs="Arial"/>
                <w:sz w:val="20"/>
                <w:szCs w:val="20"/>
              </w:rPr>
            </w:pPr>
          </w:p>
        </w:tc>
        <w:tc>
          <w:tcPr>
            <w:tcW w:w="3383" w:type="dxa"/>
          </w:tcPr>
          <w:p w14:paraId="1D115272" w14:textId="031FFADA" w:rsidR="00783200" w:rsidRPr="00CA3A08" w:rsidRDefault="00783200" w:rsidP="00783200">
            <w:pPr>
              <w:rPr>
                <w:rFonts w:ascii="Arial" w:hAnsi="Arial" w:cs="Arial"/>
                <w:sz w:val="20"/>
                <w:szCs w:val="20"/>
              </w:rPr>
            </w:pPr>
            <w:r w:rsidRPr="00CA3A08">
              <w:rPr>
                <w:rFonts w:ascii="Arial" w:hAnsi="Arial" w:cs="Arial"/>
                <w:b/>
                <w:i/>
                <w:sz w:val="20"/>
                <w:szCs w:val="20"/>
                <w:u w:val="single"/>
              </w:rPr>
              <w:lastRenderedPageBreak/>
              <w:t>Communications Act of 1934 (as amended by the Cable Communications Policy Act of 1984 (CCPA) and the Telecommunications Act of 1996),</w:t>
            </w:r>
            <w:r w:rsidRPr="00CA3A08">
              <w:rPr>
                <w:rFonts w:ascii="Arial" w:hAnsi="Arial" w:cs="Arial"/>
                <w:sz w:val="20"/>
                <w:szCs w:val="20"/>
                <w:u w:val="single"/>
              </w:rPr>
              <w:t xml:space="preserve"> </w:t>
            </w:r>
            <w:r w:rsidRPr="00CA3A08">
              <w:rPr>
                <w:rFonts w:ascii="Arial" w:hAnsi="Arial" w:cs="Arial"/>
                <w:sz w:val="20"/>
                <w:szCs w:val="20"/>
              </w:rPr>
              <w:t>47 U.S.C. § 151 et seq.</w:t>
            </w:r>
          </w:p>
        </w:tc>
        <w:tc>
          <w:tcPr>
            <w:tcW w:w="3383" w:type="dxa"/>
          </w:tcPr>
          <w:p w14:paraId="7CE73FA7" w14:textId="77777777" w:rsidR="00783200" w:rsidRPr="00CA3A08" w:rsidRDefault="00783200" w:rsidP="00783200">
            <w:pPr>
              <w:rPr>
                <w:rFonts w:ascii="Arial" w:hAnsi="Arial" w:cs="Arial"/>
                <w:sz w:val="20"/>
                <w:szCs w:val="20"/>
              </w:rPr>
            </w:pPr>
            <w:r w:rsidRPr="00CA3A08">
              <w:rPr>
                <w:rFonts w:ascii="Arial" w:hAnsi="Arial" w:cs="Arial"/>
                <w:sz w:val="20"/>
                <w:szCs w:val="20"/>
              </w:rPr>
              <w:t xml:space="preserve">The Communications Act requires that telecommunications carriers have training and disciplinary procedures in place to prevent the disclosure of personal customer information that was not authorized by either law or customer consent.  47 C.F.R. § 64.2009(b).  The Act also specifically requires that cable operators take such actions as are necessary to prevent unauthorized access to any personal customer information.  47 U.S.C. § 551(c).  Moreover, cable operators are required to destroy any such information when it is no longer necessary for the purpose for which it was collected.  47 U.S.C. § 551(e).  These cable requirements </w:t>
            </w:r>
            <w:r w:rsidRPr="00CA3A08">
              <w:rPr>
                <w:rFonts w:ascii="Arial" w:hAnsi="Arial" w:cs="Arial"/>
                <w:sz w:val="20"/>
                <w:szCs w:val="20"/>
              </w:rPr>
              <w:lastRenderedPageBreak/>
              <w:t xml:space="preserve">also apply to open video systems.  47 C.F.R. § 76.1510.    </w:t>
            </w:r>
          </w:p>
          <w:p w14:paraId="3C949A45" w14:textId="40C96361" w:rsidR="00783200" w:rsidRPr="00CA3A08" w:rsidRDefault="00783200" w:rsidP="00783200">
            <w:pPr>
              <w:spacing w:after="240"/>
              <w:rPr>
                <w:rFonts w:ascii="Arial" w:hAnsi="Arial" w:cs="Arial"/>
                <w:sz w:val="20"/>
                <w:szCs w:val="20"/>
              </w:rPr>
            </w:pPr>
          </w:p>
        </w:tc>
        <w:tc>
          <w:tcPr>
            <w:tcW w:w="3383" w:type="dxa"/>
          </w:tcPr>
          <w:p w14:paraId="2BEF29C3" w14:textId="77777777" w:rsidR="00783200" w:rsidRPr="00CA3A08" w:rsidRDefault="00783200" w:rsidP="00783200">
            <w:pPr>
              <w:rPr>
                <w:rFonts w:ascii="Arial" w:hAnsi="Arial" w:cs="Arial"/>
                <w:sz w:val="20"/>
                <w:szCs w:val="20"/>
              </w:rPr>
            </w:pPr>
          </w:p>
        </w:tc>
        <w:tc>
          <w:tcPr>
            <w:tcW w:w="1209" w:type="dxa"/>
          </w:tcPr>
          <w:p w14:paraId="4E81EE4B" w14:textId="77777777" w:rsidR="00783200" w:rsidRPr="00CA3A08" w:rsidRDefault="00783200" w:rsidP="00783200">
            <w:pPr>
              <w:rPr>
                <w:rFonts w:ascii="Arial" w:eastAsia="Arial" w:hAnsi="Arial" w:cs="Arial"/>
                <w:sz w:val="20"/>
                <w:szCs w:val="20"/>
              </w:rPr>
            </w:pPr>
            <w:r w:rsidRPr="00CA3A08">
              <w:rPr>
                <w:rFonts w:ascii="Arial" w:eastAsia="Arial" w:hAnsi="Arial" w:cs="Arial"/>
                <w:sz w:val="20"/>
                <w:szCs w:val="20"/>
              </w:rPr>
              <w:t>Signed into law on June 19, 1934. Amended by the Cable Communications Policy Act of 1984 and the Telecommunications Act of 1996.</w:t>
            </w:r>
          </w:p>
          <w:p w14:paraId="1121F429" w14:textId="6DED62CE" w:rsidR="00783200" w:rsidRPr="00CA3A08" w:rsidRDefault="00783200" w:rsidP="00783200">
            <w:pPr>
              <w:rPr>
                <w:rFonts w:ascii="Arial" w:hAnsi="Arial" w:cs="Arial"/>
                <w:sz w:val="20"/>
                <w:szCs w:val="20"/>
              </w:rPr>
            </w:pPr>
          </w:p>
        </w:tc>
      </w:tr>
      <w:tr w:rsidR="00783200" w:rsidRPr="00CA3A08" w14:paraId="46630A4B" w14:textId="77777777" w:rsidTr="009408B1">
        <w:tc>
          <w:tcPr>
            <w:tcW w:w="427" w:type="dxa"/>
            <w:vMerge/>
          </w:tcPr>
          <w:p w14:paraId="4F4009A1" w14:textId="77777777" w:rsidR="00783200" w:rsidRPr="00CA3A08" w:rsidRDefault="00783200" w:rsidP="00783200">
            <w:pPr>
              <w:rPr>
                <w:rFonts w:ascii="Arial" w:hAnsi="Arial" w:cs="Arial"/>
                <w:sz w:val="20"/>
                <w:szCs w:val="20"/>
              </w:rPr>
            </w:pPr>
          </w:p>
        </w:tc>
        <w:tc>
          <w:tcPr>
            <w:tcW w:w="2903" w:type="dxa"/>
            <w:vMerge/>
          </w:tcPr>
          <w:p w14:paraId="66BE4877"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2CEEFB69" w14:textId="298F8FAF" w:rsidR="00783200" w:rsidRPr="00CA3A08" w:rsidRDefault="00783200" w:rsidP="00783200">
            <w:pPr>
              <w:rPr>
                <w:rFonts w:ascii="Arial" w:hAnsi="Arial" w:cs="Arial"/>
                <w:sz w:val="20"/>
                <w:szCs w:val="20"/>
              </w:rPr>
            </w:pPr>
            <w:r w:rsidRPr="00CA3A08">
              <w:rPr>
                <w:rFonts w:ascii="Arial" w:hAnsi="Arial" w:cs="Arial"/>
                <w:b/>
                <w:bCs/>
                <w:i/>
                <w:iCs/>
                <w:sz w:val="20"/>
                <w:szCs w:val="20"/>
                <w:u w:val="single"/>
              </w:rPr>
              <w:t>Video Privacy Protection Act (VPPA),</w:t>
            </w:r>
            <w:r w:rsidRPr="00CA3A08">
              <w:rPr>
                <w:rFonts w:ascii="Arial" w:hAnsi="Arial" w:cs="Arial"/>
                <w:i/>
                <w:iCs/>
                <w:sz w:val="20"/>
                <w:szCs w:val="20"/>
                <w:u w:val="single"/>
              </w:rPr>
              <w:t xml:space="preserve"> </w:t>
            </w:r>
            <w:r w:rsidRPr="00CA3A08">
              <w:rPr>
                <w:rFonts w:ascii="Arial" w:hAnsi="Arial" w:cs="Arial"/>
                <w:sz w:val="20"/>
                <w:szCs w:val="20"/>
              </w:rPr>
              <w:t>18 U.S.C. § 2710, applicable to businesses that rent, sell or deliver pre-recorded videos.</w:t>
            </w:r>
          </w:p>
        </w:tc>
        <w:tc>
          <w:tcPr>
            <w:tcW w:w="3383" w:type="dxa"/>
          </w:tcPr>
          <w:p w14:paraId="2DF850FB" w14:textId="0387E73F" w:rsidR="00783200" w:rsidRPr="00CA3A08" w:rsidRDefault="00783200" w:rsidP="00783200">
            <w:pPr>
              <w:spacing w:after="240"/>
              <w:rPr>
                <w:rFonts w:ascii="Arial" w:hAnsi="Arial" w:cs="Arial"/>
                <w:sz w:val="20"/>
                <w:szCs w:val="20"/>
                <w:lang w:val="en-CA"/>
              </w:rPr>
            </w:pPr>
            <w:r>
              <w:rPr>
                <w:rFonts w:ascii="Arial" w:hAnsi="Arial" w:cs="Arial"/>
                <w:sz w:val="20"/>
                <w:szCs w:val="20"/>
              </w:rPr>
              <w:t>The VPPA r</w:t>
            </w:r>
            <w:r w:rsidRPr="00CA3A08">
              <w:rPr>
                <w:rFonts w:ascii="Arial" w:hAnsi="Arial" w:cs="Arial"/>
                <w:sz w:val="20"/>
                <w:szCs w:val="20"/>
              </w:rPr>
              <w:t>equires businesses to destroy personally identifiable rental information within a year after it is no longer required. 18 U.S.C. § 2710(e).</w:t>
            </w:r>
          </w:p>
        </w:tc>
        <w:tc>
          <w:tcPr>
            <w:tcW w:w="3383" w:type="dxa"/>
          </w:tcPr>
          <w:p w14:paraId="2A47714C" w14:textId="77777777" w:rsidR="00783200" w:rsidRPr="00CA3A08" w:rsidRDefault="00783200" w:rsidP="00783200">
            <w:pPr>
              <w:rPr>
                <w:rFonts w:ascii="Arial" w:hAnsi="Arial" w:cs="Arial"/>
                <w:sz w:val="20"/>
                <w:szCs w:val="20"/>
              </w:rPr>
            </w:pPr>
          </w:p>
        </w:tc>
        <w:tc>
          <w:tcPr>
            <w:tcW w:w="1209" w:type="dxa"/>
          </w:tcPr>
          <w:p w14:paraId="11D2285C" w14:textId="0FBF17FC" w:rsidR="00783200" w:rsidRPr="00CA3A08" w:rsidRDefault="00783200" w:rsidP="00783200">
            <w:pPr>
              <w:rPr>
                <w:rFonts w:ascii="Arial" w:hAnsi="Arial" w:cs="Arial"/>
                <w:sz w:val="20"/>
                <w:szCs w:val="20"/>
              </w:rPr>
            </w:pPr>
            <w:r w:rsidRPr="310DF885">
              <w:rPr>
                <w:rFonts w:ascii="Arial" w:hAnsi="Arial" w:cs="Arial"/>
                <w:sz w:val="20"/>
                <w:szCs w:val="20"/>
              </w:rPr>
              <w:t>Signed into law</w:t>
            </w:r>
            <w:r w:rsidRPr="310DF885" w:rsidDel="00F43621">
              <w:rPr>
                <w:rFonts w:ascii="Arial" w:hAnsi="Arial" w:cs="Arial"/>
                <w:sz w:val="20"/>
                <w:szCs w:val="20"/>
              </w:rPr>
              <w:t xml:space="preserve"> </w:t>
            </w:r>
            <w:r w:rsidRPr="310DF885">
              <w:rPr>
                <w:rFonts w:ascii="Arial" w:hAnsi="Arial" w:cs="Arial"/>
                <w:sz w:val="20"/>
                <w:szCs w:val="20"/>
              </w:rPr>
              <w:t>on November 5, 1988.</w:t>
            </w:r>
          </w:p>
        </w:tc>
      </w:tr>
      <w:tr w:rsidR="00783200" w:rsidRPr="00CA3A08" w14:paraId="1400F07B" w14:textId="77777777" w:rsidTr="009408B1">
        <w:tc>
          <w:tcPr>
            <w:tcW w:w="427" w:type="dxa"/>
            <w:vMerge/>
          </w:tcPr>
          <w:p w14:paraId="608EB3EA" w14:textId="77777777" w:rsidR="00783200" w:rsidRPr="00CA3A08" w:rsidRDefault="00783200" w:rsidP="00783200">
            <w:pPr>
              <w:rPr>
                <w:rFonts w:ascii="Arial" w:hAnsi="Arial" w:cs="Arial"/>
                <w:sz w:val="20"/>
                <w:szCs w:val="20"/>
              </w:rPr>
            </w:pPr>
          </w:p>
        </w:tc>
        <w:tc>
          <w:tcPr>
            <w:tcW w:w="2903" w:type="dxa"/>
            <w:vMerge/>
          </w:tcPr>
          <w:p w14:paraId="5D98FB96"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50F892B1" w14:textId="1233D753" w:rsidR="00783200" w:rsidRPr="00CA3A08" w:rsidRDefault="00783200" w:rsidP="00783200">
            <w:pPr>
              <w:rPr>
                <w:rFonts w:ascii="Arial" w:hAnsi="Arial" w:cs="Arial"/>
                <w:sz w:val="20"/>
                <w:szCs w:val="20"/>
              </w:rPr>
            </w:pPr>
            <w:r w:rsidRPr="00CA3A08">
              <w:rPr>
                <w:rFonts w:ascii="Arial" w:hAnsi="Arial" w:cs="Arial"/>
                <w:b/>
                <w:bCs/>
                <w:i/>
                <w:iCs/>
                <w:sz w:val="20"/>
                <w:szCs w:val="20"/>
                <w:u w:val="single"/>
              </w:rPr>
              <w:t>The Fair Credit Reporting Act (FCRA),</w:t>
            </w:r>
            <w:r w:rsidRPr="00CA3A08">
              <w:rPr>
                <w:rFonts w:ascii="Arial" w:hAnsi="Arial" w:cs="Arial"/>
                <w:i/>
                <w:iCs/>
                <w:sz w:val="20"/>
                <w:szCs w:val="20"/>
                <w:u w:val="single"/>
              </w:rPr>
              <w:t xml:space="preserve"> </w:t>
            </w:r>
            <w:r w:rsidRPr="00CA3A08">
              <w:rPr>
                <w:rFonts w:ascii="Arial" w:hAnsi="Arial" w:cs="Arial"/>
                <w:sz w:val="20"/>
                <w:szCs w:val="20"/>
              </w:rPr>
              <w:t xml:space="preserve">15 U.S.C. § 1681 et seq.  </w:t>
            </w:r>
          </w:p>
        </w:tc>
        <w:tc>
          <w:tcPr>
            <w:tcW w:w="3383" w:type="dxa"/>
          </w:tcPr>
          <w:p w14:paraId="26DF040F" w14:textId="77777777" w:rsidR="00783200" w:rsidRDefault="00783200" w:rsidP="00783200">
            <w:pPr>
              <w:rPr>
                <w:rFonts w:ascii="Arial" w:hAnsi="Arial" w:cs="Arial"/>
                <w:sz w:val="20"/>
                <w:szCs w:val="20"/>
              </w:rPr>
            </w:pPr>
            <w:r w:rsidRPr="00CA3A08">
              <w:rPr>
                <w:rFonts w:ascii="Arial" w:hAnsi="Arial" w:cs="Arial"/>
                <w:sz w:val="20"/>
                <w:szCs w:val="20"/>
                <w:lang w:val="en-CA"/>
              </w:rPr>
              <w:fldChar w:fldCharType="begin"/>
            </w:r>
            <w:r w:rsidRPr="00CA3A08">
              <w:rPr>
                <w:rFonts w:ascii="Arial" w:hAnsi="Arial" w:cs="Arial"/>
                <w:sz w:val="20"/>
                <w:szCs w:val="20"/>
                <w:lang w:val="en-CA"/>
              </w:rPr>
              <w:instrText xml:space="preserve"> SEQ CHAPTER \h \r 1</w:instrText>
            </w:r>
            <w:r w:rsidRPr="00CA3A08">
              <w:rPr>
                <w:rFonts w:ascii="Arial" w:hAnsi="Arial" w:cs="Arial"/>
                <w:sz w:val="20"/>
                <w:szCs w:val="20"/>
                <w:lang w:val="en-CA"/>
              </w:rPr>
              <w:fldChar w:fldCharType="end"/>
            </w:r>
            <w:r w:rsidRPr="00CA3A08">
              <w:rPr>
                <w:rFonts w:ascii="Arial" w:hAnsi="Arial" w:cs="Arial"/>
                <w:sz w:val="20"/>
                <w:szCs w:val="20"/>
              </w:rPr>
              <w:t>The FCRA requires consumer reporting agencies to disclose to consum</w:t>
            </w:r>
            <w:r w:rsidRPr="00CA3A08">
              <w:rPr>
                <w:rFonts w:ascii="Arial" w:hAnsi="Arial" w:cs="Arial"/>
                <w:sz w:val="20"/>
                <w:szCs w:val="20"/>
              </w:rPr>
              <w:softHyphen/>
              <w:t xml:space="preserve">ers </w:t>
            </w:r>
            <w:r>
              <w:rPr>
                <w:rFonts w:ascii="Arial" w:hAnsi="Arial" w:cs="Arial"/>
                <w:sz w:val="20"/>
                <w:szCs w:val="20"/>
              </w:rPr>
              <w:t>most of</w:t>
            </w:r>
            <w:r w:rsidRPr="00CA3A08">
              <w:rPr>
                <w:rFonts w:ascii="Arial" w:hAnsi="Arial" w:cs="Arial"/>
                <w:sz w:val="20"/>
                <w:szCs w:val="20"/>
              </w:rPr>
              <w:t xml:space="preserve"> their file information upon request</w:t>
            </w:r>
            <w:r>
              <w:rPr>
                <w:rFonts w:ascii="Arial" w:hAnsi="Arial" w:cs="Arial"/>
                <w:sz w:val="20"/>
                <w:szCs w:val="20"/>
              </w:rPr>
              <w:t>, with a few exceptions</w:t>
            </w:r>
            <w:r w:rsidRPr="00CA3A08">
              <w:rPr>
                <w:rFonts w:ascii="Arial" w:hAnsi="Arial" w:cs="Arial"/>
                <w:sz w:val="20"/>
                <w:szCs w:val="20"/>
              </w:rPr>
              <w:t>. 15 U.S.C. § 1681g(a).  In many cases, the disclosure is without charge. 15 U.S.C. § 1681j. In cases of disputed accuracy, the FCRA requires consumer reporting agen</w:t>
            </w:r>
            <w:r w:rsidRPr="00CA3A08">
              <w:rPr>
                <w:rFonts w:ascii="Arial" w:hAnsi="Arial" w:cs="Arial"/>
                <w:sz w:val="20"/>
                <w:szCs w:val="20"/>
              </w:rPr>
              <w:softHyphen/>
              <w:t xml:space="preserve">cies </w:t>
            </w:r>
            <w:r>
              <w:rPr>
                <w:rFonts w:ascii="Arial" w:hAnsi="Arial" w:cs="Arial"/>
                <w:sz w:val="20"/>
                <w:szCs w:val="20"/>
              </w:rPr>
              <w:t xml:space="preserve">and furnishers </w:t>
            </w:r>
            <w:r w:rsidRPr="00CA3A08">
              <w:rPr>
                <w:rFonts w:ascii="Arial" w:hAnsi="Arial" w:cs="Arial"/>
                <w:sz w:val="20"/>
                <w:szCs w:val="20"/>
              </w:rPr>
              <w:t>to reinvestigate information challenged by the consumer. 15 U.S.C. §</w:t>
            </w:r>
            <w:r>
              <w:rPr>
                <w:rFonts w:ascii="Arial" w:hAnsi="Arial" w:cs="Arial"/>
                <w:sz w:val="20"/>
                <w:szCs w:val="20"/>
              </w:rPr>
              <w:t xml:space="preserve">§  </w:t>
            </w:r>
            <w:r w:rsidRPr="00CA3A08">
              <w:rPr>
                <w:rFonts w:ascii="Arial" w:hAnsi="Arial" w:cs="Arial"/>
                <w:sz w:val="20"/>
                <w:szCs w:val="20"/>
              </w:rPr>
              <w:t>1681i</w:t>
            </w:r>
            <w:r>
              <w:rPr>
                <w:rFonts w:ascii="Arial" w:hAnsi="Arial" w:cs="Arial"/>
                <w:sz w:val="20"/>
                <w:szCs w:val="20"/>
              </w:rPr>
              <w:t>, 1681s-2(b</w:t>
            </w:r>
            <w:r w:rsidRPr="005738D5">
              <w:rPr>
                <w:rFonts w:ascii="Arial" w:hAnsi="Arial" w:cs="Arial"/>
                <w:sz w:val="20"/>
                <w:szCs w:val="20"/>
              </w:rPr>
              <w:t>)</w:t>
            </w:r>
            <w:r>
              <w:rPr>
                <w:rFonts w:ascii="Arial" w:hAnsi="Arial" w:cs="Arial"/>
                <w:sz w:val="20"/>
                <w:szCs w:val="20"/>
              </w:rPr>
              <w:t>,</w:t>
            </w:r>
            <w:r w:rsidRPr="005738D5">
              <w:rPr>
                <w:rFonts w:ascii="Arial" w:hAnsi="Arial" w:cs="Arial"/>
                <w:sz w:val="20"/>
                <w:szCs w:val="20"/>
              </w:rPr>
              <w:t xml:space="preserve"> 16 C.F.R. Part 660, 12 C.F.R. Part 1022, Subpart E</w:t>
            </w:r>
            <w:r>
              <w:rPr>
                <w:rFonts w:ascii="Arial" w:hAnsi="Arial" w:cs="Arial"/>
                <w:sz w:val="20"/>
                <w:szCs w:val="20"/>
              </w:rPr>
              <w:t>.</w:t>
            </w:r>
          </w:p>
          <w:p w14:paraId="6B206B09" w14:textId="69D837BC" w:rsidR="00783200" w:rsidRPr="00CA3A08" w:rsidRDefault="00783200" w:rsidP="00783200">
            <w:pPr>
              <w:spacing w:after="240"/>
              <w:rPr>
                <w:rFonts w:ascii="Arial" w:hAnsi="Arial" w:cs="Arial"/>
                <w:sz w:val="20"/>
                <w:szCs w:val="20"/>
              </w:rPr>
            </w:pPr>
          </w:p>
        </w:tc>
        <w:tc>
          <w:tcPr>
            <w:tcW w:w="3383" w:type="dxa"/>
          </w:tcPr>
          <w:p w14:paraId="55B73732" w14:textId="77777777" w:rsidR="00783200" w:rsidRPr="00CA3A08" w:rsidRDefault="00783200" w:rsidP="00783200">
            <w:pPr>
              <w:rPr>
                <w:rFonts w:ascii="Arial" w:hAnsi="Arial" w:cs="Arial"/>
                <w:sz w:val="20"/>
                <w:szCs w:val="20"/>
              </w:rPr>
            </w:pPr>
          </w:p>
        </w:tc>
        <w:tc>
          <w:tcPr>
            <w:tcW w:w="1209" w:type="dxa"/>
          </w:tcPr>
          <w:p w14:paraId="539A6A17"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October 26, 1970.</w:t>
            </w:r>
          </w:p>
          <w:p w14:paraId="70CD6DFA" w14:textId="54AB8858" w:rsidR="00783200" w:rsidRPr="00CA3A08" w:rsidRDefault="00783200" w:rsidP="00783200">
            <w:pPr>
              <w:rPr>
                <w:rFonts w:ascii="Arial" w:hAnsi="Arial" w:cs="Arial"/>
                <w:sz w:val="20"/>
                <w:szCs w:val="20"/>
              </w:rPr>
            </w:pPr>
          </w:p>
        </w:tc>
      </w:tr>
      <w:tr w:rsidR="00783200" w:rsidRPr="00CA3A08" w14:paraId="39611DFD" w14:textId="77777777" w:rsidTr="009408B1">
        <w:tc>
          <w:tcPr>
            <w:tcW w:w="427" w:type="dxa"/>
            <w:vMerge/>
          </w:tcPr>
          <w:p w14:paraId="03165E74" w14:textId="77777777" w:rsidR="00783200" w:rsidRPr="00CA3A08" w:rsidRDefault="00783200" w:rsidP="00783200">
            <w:pPr>
              <w:rPr>
                <w:rFonts w:ascii="Arial" w:hAnsi="Arial" w:cs="Arial"/>
                <w:sz w:val="20"/>
                <w:szCs w:val="20"/>
              </w:rPr>
            </w:pPr>
          </w:p>
        </w:tc>
        <w:tc>
          <w:tcPr>
            <w:tcW w:w="2903" w:type="dxa"/>
            <w:vMerge/>
          </w:tcPr>
          <w:p w14:paraId="0C322B5C"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7BB62A22" w14:textId="163A20AA" w:rsidR="00783200" w:rsidRPr="00CA3A08" w:rsidRDefault="00783200" w:rsidP="00783200">
            <w:pPr>
              <w:rPr>
                <w:rFonts w:ascii="Arial" w:hAnsi="Arial" w:cs="Arial"/>
                <w:sz w:val="20"/>
                <w:szCs w:val="20"/>
              </w:rPr>
            </w:pPr>
            <w:r w:rsidRPr="00CA3A08">
              <w:rPr>
                <w:rFonts w:ascii="Arial" w:hAnsi="Arial" w:cs="Arial"/>
                <w:b/>
                <w:bCs/>
                <w:i/>
                <w:iCs/>
                <w:sz w:val="20"/>
                <w:szCs w:val="20"/>
                <w:u w:val="single"/>
              </w:rPr>
              <w:t>The Children’s Online Privacy Protection Act (COPPA),</w:t>
            </w:r>
            <w:r w:rsidRPr="00CA3A08">
              <w:rPr>
                <w:rFonts w:ascii="Arial" w:hAnsi="Arial" w:cs="Arial"/>
                <w:sz w:val="20"/>
                <w:szCs w:val="20"/>
                <w:u w:val="single"/>
              </w:rPr>
              <w:t xml:space="preserve">  </w:t>
            </w:r>
            <w:r w:rsidRPr="00CA3A08">
              <w:rPr>
                <w:rFonts w:ascii="Arial" w:hAnsi="Arial" w:cs="Arial"/>
                <w:sz w:val="20"/>
                <w:szCs w:val="20"/>
              </w:rPr>
              <w:t>15 U.S.C. § 6501 et seq; 16 C.F.R. Part 312.</w:t>
            </w:r>
          </w:p>
        </w:tc>
        <w:tc>
          <w:tcPr>
            <w:tcW w:w="3383" w:type="dxa"/>
          </w:tcPr>
          <w:p w14:paraId="167B56A7" w14:textId="4F03E7C2" w:rsidR="00783200" w:rsidRPr="00CA3A08" w:rsidRDefault="00783200" w:rsidP="00783200">
            <w:pPr>
              <w:spacing w:after="240"/>
              <w:rPr>
                <w:rFonts w:ascii="Arial" w:hAnsi="Arial" w:cs="Arial"/>
                <w:sz w:val="20"/>
                <w:szCs w:val="20"/>
                <w:lang w:val="en-CA"/>
              </w:rPr>
            </w:pPr>
            <w:r w:rsidRPr="00CA3A08">
              <w:rPr>
                <w:rFonts w:ascii="Arial" w:hAnsi="Arial" w:cs="Arial"/>
                <w:sz w:val="20"/>
                <w:szCs w:val="20"/>
              </w:rPr>
              <w:t xml:space="preserve">COPPA provides parents with the right to review and delete the personal information provided by a child.  15 U.S.C. § 6502 (b)(1)(B); 16 C.F.R. </w:t>
            </w:r>
            <w:r>
              <w:rPr>
                <w:rFonts w:ascii="Arial" w:hAnsi="Arial" w:cs="Arial"/>
                <w:sz w:val="20"/>
                <w:szCs w:val="20"/>
              </w:rPr>
              <w:t xml:space="preserve">§§ </w:t>
            </w:r>
            <w:r w:rsidRPr="00CA3A08">
              <w:rPr>
                <w:rFonts w:ascii="Arial" w:hAnsi="Arial" w:cs="Arial"/>
                <w:sz w:val="20"/>
                <w:szCs w:val="20"/>
              </w:rPr>
              <w:t>312.3(c) and 312.6.</w:t>
            </w:r>
          </w:p>
        </w:tc>
        <w:tc>
          <w:tcPr>
            <w:tcW w:w="3383" w:type="dxa"/>
          </w:tcPr>
          <w:p w14:paraId="14B7F60C" w14:textId="77777777" w:rsidR="00783200" w:rsidRPr="00CA3A08" w:rsidRDefault="00783200" w:rsidP="00783200">
            <w:pPr>
              <w:rPr>
                <w:rFonts w:ascii="Arial" w:hAnsi="Arial" w:cs="Arial"/>
                <w:sz w:val="20"/>
                <w:szCs w:val="20"/>
              </w:rPr>
            </w:pPr>
          </w:p>
        </w:tc>
        <w:tc>
          <w:tcPr>
            <w:tcW w:w="1209" w:type="dxa"/>
          </w:tcPr>
          <w:p w14:paraId="63DEDAAF"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October 21, 1998.</w:t>
            </w:r>
          </w:p>
          <w:p w14:paraId="7066F8BB" w14:textId="55C3754B" w:rsidR="00783200" w:rsidRPr="00CA3A08" w:rsidRDefault="00783200" w:rsidP="00783200">
            <w:pPr>
              <w:rPr>
                <w:rFonts w:ascii="Arial" w:hAnsi="Arial" w:cs="Arial"/>
                <w:sz w:val="20"/>
                <w:szCs w:val="20"/>
              </w:rPr>
            </w:pPr>
          </w:p>
        </w:tc>
      </w:tr>
      <w:tr w:rsidR="00783200" w:rsidRPr="00CA3A08" w14:paraId="470D21C3" w14:textId="77777777" w:rsidTr="009408B1">
        <w:tc>
          <w:tcPr>
            <w:tcW w:w="427" w:type="dxa"/>
            <w:vMerge/>
          </w:tcPr>
          <w:p w14:paraId="5DC836B8" w14:textId="77777777" w:rsidR="00783200" w:rsidRPr="00CA3A08" w:rsidRDefault="00783200" w:rsidP="00783200">
            <w:pPr>
              <w:rPr>
                <w:rFonts w:ascii="Arial" w:hAnsi="Arial" w:cs="Arial"/>
                <w:sz w:val="20"/>
                <w:szCs w:val="20"/>
              </w:rPr>
            </w:pPr>
          </w:p>
        </w:tc>
        <w:tc>
          <w:tcPr>
            <w:tcW w:w="2903" w:type="dxa"/>
            <w:vMerge/>
          </w:tcPr>
          <w:p w14:paraId="64E81971"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3724F3C5" w14:textId="6192058D" w:rsidR="00783200" w:rsidRPr="00CA3A08" w:rsidRDefault="00783200" w:rsidP="00783200">
            <w:pPr>
              <w:rPr>
                <w:rFonts w:ascii="Arial" w:hAnsi="Arial" w:cs="Arial"/>
                <w:sz w:val="20"/>
                <w:szCs w:val="20"/>
              </w:rPr>
            </w:pPr>
            <w:r w:rsidRPr="00CA3A08">
              <w:rPr>
                <w:rFonts w:ascii="Arial" w:hAnsi="Arial" w:cs="Arial"/>
                <w:b/>
                <w:bCs/>
                <w:i/>
                <w:iCs/>
                <w:sz w:val="20"/>
                <w:szCs w:val="20"/>
                <w:u w:val="single"/>
              </w:rPr>
              <w:t>Health Insurance Portability and Accountability Act (HIPAA),</w:t>
            </w:r>
            <w:r w:rsidRPr="00CA3A08">
              <w:rPr>
                <w:rFonts w:ascii="Arial" w:hAnsi="Arial" w:cs="Arial"/>
                <w:sz w:val="20"/>
                <w:szCs w:val="20"/>
                <w:u w:val="single"/>
              </w:rPr>
              <w:t xml:space="preserve"> </w:t>
            </w:r>
            <w:r w:rsidRPr="00CA3A08">
              <w:rPr>
                <w:rFonts w:ascii="Arial" w:hAnsi="Arial" w:cs="Arial"/>
                <w:sz w:val="20"/>
                <w:szCs w:val="20"/>
              </w:rPr>
              <w:t>Pub. L. 104-191 §§ 262 &amp; 264) Privacy Rule, 45 C.F.R. Parts 160 &amp; 164.</w:t>
            </w:r>
          </w:p>
        </w:tc>
        <w:tc>
          <w:tcPr>
            <w:tcW w:w="3383" w:type="dxa"/>
          </w:tcPr>
          <w:p w14:paraId="43022B65" w14:textId="77777777" w:rsidR="00783200" w:rsidRDefault="00783200" w:rsidP="00783200">
            <w:pPr>
              <w:rPr>
                <w:rFonts w:ascii="Arial" w:hAnsi="Arial" w:cs="Arial"/>
                <w:sz w:val="20"/>
                <w:szCs w:val="20"/>
              </w:rPr>
            </w:pPr>
            <w:r w:rsidRPr="00CA3A08">
              <w:rPr>
                <w:rFonts w:ascii="Arial" w:hAnsi="Arial" w:cs="Arial"/>
                <w:sz w:val="20"/>
                <w:szCs w:val="20"/>
              </w:rPr>
              <w:t>The HIPAA Privacy Rule grants an individual the right to access, inspect, and obtain a copy of protected health information about themselves in a designated record set with narrow exceptions.  The custodian is permitted to charge a reasonable fee.  An individual has the right to request amendment of protected health information held by a covered entity in a designated record set with certain exceptions.  The individual has the right to a timely written denial, and has the right to submit a statement of disagreement that must be placed in the record and disclosed with the record.  The covered entity may include a rebuttal.</w:t>
            </w:r>
            <w:r>
              <w:rPr>
                <w:rFonts w:ascii="Arial" w:hAnsi="Arial" w:cs="Arial"/>
                <w:sz w:val="20"/>
                <w:szCs w:val="20"/>
              </w:rPr>
              <w:t xml:space="preserve">  </w:t>
            </w:r>
            <w:r w:rsidRPr="0086731A">
              <w:rPr>
                <w:rFonts w:ascii="Arial" w:hAnsi="Arial" w:cs="Arial"/>
                <w:sz w:val="20"/>
                <w:szCs w:val="20"/>
              </w:rPr>
              <w:t>45 C.F.R. Part</w:t>
            </w:r>
            <w:r>
              <w:rPr>
                <w:rFonts w:ascii="Arial" w:hAnsi="Arial" w:cs="Arial"/>
                <w:sz w:val="20"/>
                <w:szCs w:val="20"/>
              </w:rPr>
              <w:t xml:space="preserve"> 164.</w:t>
            </w:r>
          </w:p>
          <w:p w14:paraId="2304E0F7" w14:textId="413C57D4" w:rsidR="00783200" w:rsidRPr="00CA3A08" w:rsidRDefault="00783200" w:rsidP="00783200">
            <w:pPr>
              <w:rPr>
                <w:rFonts w:ascii="Arial" w:hAnsi="Arial" w:cs="Arial"/>
                <w:sz w:val="20"/>
                <w:szCs w:val="20"/>
              </w:rPr>
            </w:pPr>
          </w:p>
        </w:tc>
        <w:tc>
          <w:tcPr>
            <w:tcW w:w="3383" w:type="dxa"/>
          </w:tcPr>
          <w:p w14:paraId="0D372C44" w14:textId="77777777" w:rsidR="00783200" w:rsidRPr="00CA3A08" w:rsidRDefault="00783200" w:rsidP="00783200">
            <w:pPr>
              <w:rPr>
                <w:rFonts w:ascii="Arial" w:hAnsi="Arial" w:cs="Arial"/>
                <w:sz w:val="20"/>
                <w:szCs w:val="20"/>
              </w:rPr>
            </w:pPr>
          </w:p>
        </w:tc>
        <w:tc>
          <w:tcPr>
            <w:tcW w:w="1209" w:type="dxa"/>
          </w:tcPr>
          <w:p w14:paraId="795D5D90"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August 21, 1996.</w:t>
            </w:r>
          </w:p>
          <w:p w14:paraId="18A9D997" w14:textId="75A7977F" w:rsidR="00783200" w:rsidRPr="00CA3A08" w:rsidRDefault="00783200" w:rsidP="00783200">
            <w:pPr>
              <w:rPr>
                <w:rFonts w:ascii="Arial" w:hAnsi="Arial" w:cs="Arial"/>
                <w:sz w:val="20"/>
                <w:szCs w:val="20"/>
              </w:rPr>
            </w:pPr>
          </w:p>
        </w:tc>
      </w:tr>
      <w:tr w:rsidR="00783200" w:rsidRPr="00CA3A08" w14:paraId="4517D160" w14:textId="77777777" w:rsidTr="009408B1">
        <w:tc>
          <w:tcPr>
            <w:tcW w:w="427" w:type="dxa"/>
            <w:vMerge/>
          </w:tcPr>
          <w:p w14:paraId="5DD5209C" w14:textId="77777777" w:rsidR="00783200" w:rsidRPr="00CA3A08" w:rsidRDefault="00783200" w:rsidP="00783200">
            <w:pPr>
              <w:rPr>
                <w:rFonts w:ascii="Arial" w:hAnsi="Arial" w:cs="Arial"/>
                <w:sz w:val="20"/>
                <w:szCs w:val="20"/>
              </w:rPr>
            </w:pPr>
          </w:p>
        </w:tc>
        <w:tc>
          <w:tcPr>
            <w:tcW w:w="2903" w:type="dxa"/>
            <w:vMerge/>
          </w:tcPr>
          <w:p w14:paraId="5450FAA7"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41ACCDC8" w14:textId="302CEA54" w:rsidR="00783200" w:rsidRPr="00CA3A08" w:rsidRDefault="00783200" w:rsidP="00783200">
            <w:pPr>
              <w:rPr>
                <w:rFonts w:ascii="Arial" w:hAnsi="Arial" w:cs="Arial"/>
                <w:sz w:val="20"/>
                <w:szCs w:val="20"/>
              </w:rPr>
            </w:pPr>
            <w:r w:rsidRPr="00CA3A08">
              <w:rPr>
                <w:rFonts w:ascii="Arial" w:hAnsi="Arial" w:cs="Arial"/>
                <w:b/>
                <w:i/>
                <w:sz w:val="20"/>
                <w:szCs w:val="20"/>
                <w:u w:val="single"/>
              </w:rPr>
              <w:t>Communications Act of 1934 (as amended by the Cable Communications Policy Act of 1984 (CCPA) and the Telecommunications Act of 1996),</w:t>
            </w:r>
            <w:r w:rsidRPr="00CA3A08">
              <w:rPr>
                <w:rFonts w:ascii="Arial" w:hAnsi="Arial" w:cs="Arial"/>
                <w:sz w:val="20"/>
                <w:szCs w:val="20"/>
                <w:u w:val="single"/>
              </w:rPr>
              <w:t xml:space="preserve"> </w:t>
            </w:r>
            <w:r w:rsidRPr="00CA3A08">
              <w:rPr>
                <w:rFonts w:ascii="Arial" w:hAnsi="Arial" w:cs="Arial"/>
                <w:sz w:val="20"/>
                <w:szCs w:val="20"/>
              </w:rPr>
              <w:t>47 U.S.C. § 151 et seq.</w:t>
            </w:r>
          </w:p>
        </w:tc>
        <w:tc>
          <w:tcPr>
            <w:tcW w:w="3383" w:type="dxa"/>
          </w:tcPr>
          <w:p w14:paraId="4BCD00EE" w14:textId="77777777" w:rsidR="00783200" w:rsidRPr="00CA3A08" w:rsidRDefault="00783200" w:rsidP="00783200">
            <w:pPr>
              <w:rPr>
                <w:rFonts w:ascii="Arial" w:hAnsi="Arial" w:cs="Arial"/>
                <w:sz w:val="20"/>
                <w:szCs w:val="20"/>
              </w:rPr>
            </w:pPr>
            <w:r w:rsidRPr="00CA3A08">
              <w:rPr>
                <w:rFonts w:ascii="Arial" w:hAnsi="Arial" w:cs="Arial"/>
                <w:sz w:val="20"/>
                <w:szCs w:val="20"/>
              </w:rPr>
              <w:t xml:space="preserve">For cable operators in particular, the Communications Act provides for access to, and correction of, personal information by customers.  47 U.S.C. § 551(d).  These requirements also apply to open video systems.  47 C.F.R. § 76.1510.    </w:t>
            </w:r>
          </w:p>
          <w:p w14:paraId="6B533F25" w14:textId="46267115" w:rsidR="00783200" w:rsidRPr="00CA3A08" w:rsidRDefault="00783200" w:rsidP="00783200">
            <w:pPr>
              <w:rPr>
                <w:rFonts w:ascii="Arial" w:hAnsi="Arial" w:cs="Arial"/>
                <w:sz w:val="20"/>
                <w:szCs w:val="20"/>
                <w:lang w:val="en-CA"/>
              </w:rPr>
            </w:pPr>
          </w:p>
        </w:tc>
        <w:tc>
          <w:tcPr>
            <w:tcW w:w="3383" w:type="dxa"/>
          </w:tcPr>
          <w:p w14:paraId="73AA51F1" w14:textId="77777777" w:rsidR="00783200" w:rsidRPr="00CA3A08" w:rsidRDefault="00783200" w:rsidP="00783200">
            <w:pPr>
              <w:rPr>
                <w:rFonts w:ascii="Arial" w:hAnsi="Arial" w:cs="Arial"/>
                <w:sz w:val="20"/>
                <w:szCs w:val="20"/>
              </w:rPr>
            </w:pPr>
          </w:p>
        </w:tc>
        <w:tc>
          <w:tcPr>
            <w:tcW w:w="1209" w:type="dxa"/>
          </w:tcPr>
          <w:p w14:paraId="12A97D2F" w14:textId="77777777" w:rsidR="00783200" w:rsidRPr="00CA3A08" w:rsidRDefault="00783200" w:rsidP="00783200">
            <w:pPr>
              <w:rPr>
                <w:rFonts w:ascii="Arial" w:eastAsia="Arial" w:hAnsi="Arial" w:cs="Arial"/>
                <w:sz w:val="20"/>
                <w:szCs w:val="20"/>
              </w:rPr>
            </w:pPr>
            <w:r w:rsidRPr="00CA3A08">
              <w:rPr>
                <w:rFonts w:ascii="Arial" w:eastAsia="Arial" w:hAnsi="Arial" w:cs="Arial"/>
                <w:sz w:val="20"/>
                <w:szCs w:val="20"/>
              </w:rPr>
              <w:t xml:space="preserve">Signed into law on June 19, 1934. Amended by the Cable Communications Policy Act of 1984 and the Telecommunications </w:t>
            </w:r>
            <w:r w:rsidRPr="00CA3A08">
              <w:rPr>
                <w:rFonts w:ascii="Arial" w:eastAsia="Arial" w:hAnsi="Arial" w:cs="Arial"/>
                <w:sz w:val="20"/>
                <w:szCs w:val="20"/>
              </w:rPr>
              <w:lastRenderedPageBreak/>
              <w:t>Act of 1996.</w:t>
            </w:r>
          </w:p>
          <w:p w14:paraId="68169325" w14:textId="46AB5102" w:rsidR="00783200" w:rsidRPr="00CA3A08" w:rsidRDefault="00783200" w:rsidP="00783200">
            <w:pPr>
              <w:rPr>
                <w:rFonts w:ascii="Arial" w:hAnsi="Arial" w:cs="Arial"/>
                <w:sz w:val="20"/>
                <w:szCs w:val="20"/>
              </w:rPr>
            </w:pPr>
          </w:p>
        </w:tc>
      </w:tr>
      <w:tr w:rsidR="00783200" w:rsidRPr="00CA3A08" w14:paraId="2C1407F6" w14:textId="77777777" w:rsidTr="009408B1">
        <w:tc>
          <w:tcPr>
            <w:tcW w:w="427" w:type="dxa"/>
            <w:vMerge/>
          </w:tcPr>
          <w:p w14:paraId="3DC82F09" w14:textId="77777777" w:rsidR="00783200" w:rsidRPr="00CA3A08" w:rsidRDefault="00783200" w:rsidP="00783200">
            <w:pPr>
              <w:rPr>
                <w:rFonts w:ascii="Arial" w:hAnsi="Arial" w:cs="Arial"/>
                <w:sz w:val="20"/>
                <w:szCs w:val="20"/>
              </w:rPr>
            </w:pPr>
          </w:p>
        </w:tc>
        <w:tc>
          <w:tcPr>
            <w:tcW w:w="2903" w:type="dxa"/>
            <w:vMerge/>
          </w:tcPr>
          <w:p w14:paraId="43C139F8"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66D9C6CB" w14:textId="6DEBFAB7" w:rsidR="00783200" w:rsidRPr="00CA3A08" w:rsidRDefault="00783200" w:rsidP="00783200">
            <w:pPr>
              <w:rPr>
                <w:rFonts w:ascii="Arial" w:hAnsi="Arial" w:cs="Arial"/>
                <w:b/>
                <w:bCs/>
                <w:i/>
                <w:iCs/>
                <w:sz w:val="20"/>
                <w:szCs w:val="20"/>
                <w:u w:val="single"/>
              </w:rPr>
            </w:pPr>
            <w:r w:rsidRPr="00CA3A08">
              <w:rPr>
                <w:rFonts w:ascii="Arial" w:hAnsi="Arial" w:cs="Arial"/>
                <w:b/>
                <w:bCs/>
                <w:i/>
                <w:iCs/>
                <w:sz w:val="20"/>
                <w:szCs w:val="20"/>
                <w:u w:val="single"/>
              </w:rPr>
              <w:t>Family Educational and Privacy Rights Act (FERPA),</w:t>
            </w:r>
            <w:r w:rsidRPr="00CA3A08">
              <w:rPr>
                <w:rFonts w:ascii="Arial" w:hAnsi="Arial" w:cs="Arial"/>
                <w:sz w:val="20"/>
                <w:szCs w:val="20"/>
                <w:u w:val="single"/>
              </w:rPr>
              <w:t xml:space="preserve"> </w:t>
            </w:r>
            <w:r w:rsidRPr="00CA3A08">
              <w:rPr>
                <w:rFonts w:ascii="Arial" w:hAnsi="Arial" w:cs="Arial"/>
                <w:sz w:val="20"/>
                <w:szCs w:val="20"/>
              </w:rPr>
              <w:t>20 U.S.C. § 1232g, applicable to all schools that receive funds under an applicable program of the U.S. Department of Education.</w:t>
            </w:r>
          </w:p>
        </w:tc>
        <w:tc>
          <w:tcPr>
            <w:tcW w:w="3383" w:type="dxa"/>
          </w:tcPr>
          <w:p w14:paraId="6599D3EC" w14:textId="77777777" w:rsidR="00783200" w:rsidRDefault="00783200" w:rsidP="00783200">
            <w:pPr>
              <w:rPr>
                <w:rFonts w:ascii="Arial" w:hAnsi="Arial" w:cs="Arial"/>
                <w:sz w:val="20"/>
                <w:szCs w:val="20"/>
              </w:rPr>
            </w:pPr>
            <w:r w:rsidRPr="00CA3A08">
              <w:rPr>
                <w:rFonts w:ascii="Arial" w:hAnsi="Arial" w:cs="Arial"/>
                <w:sz w:val="20"/>
                <w:szCs w:val="20"/>
              </w:rPr>
              <w:t>With certain limited exceptions, schools must allow a student (or the parent if the student is a minor) the opportunity to review and challenge or correct school records.  20 U.S.C. § 1232g(a).</w:t>
            </w:r>
          </w:p>
          <w:p w14:paraId="2A82B94D" w14:textId="45479131" w:rsidR="00783200" w:rsidRPr="00CA3A08" w:rsidRDefault="00783200" w:rsidP="00783200">
            <w:pPr>
              <w:rPr>
                <w:rFonts w:ascii="Arial" w:hAnsi="Arial" w:cs="Arial"/>
                <w:sz w:val="20"/>
                <w:szCs w:val="20"/>
              </w:rPr>
            </w:pPr>
          </w:p>
        </w:tc>
        <w:tc>
          <w:tcPr>
            <w:tcW w:w="3383" w:type="dxa"/>
          </w:tcPr>
          <w:p w14:paraId="740B85C7" w14:textId="77777777" w:rsidR="00783200" w:rsidRPr="00CA3A08" w:rsidRDefault="00783200" w:rsidP="00783200">
            <w:pPr>
              <w:rPr>
                <w:rFonts w:ascii="Arial" w:hAnsi="Arial" w:cs="Arial"/>
                <w:sz w:val="20"/>
                <w:szCs w:val="20"/>
              </w:rPr>
            </w:pPr>
          </w:p>
        </w:tc>
        <w:tc>
          <w:tcPr>
            <w:tcW w:w="1209" w:type="dxa"/>
          </w:tcPr>
          <w:p w14:paraId="03646096"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w:t>
            </w:r>
            <w:r w:rsidRPr="310DF885" w:rsidDel="00F43621">
              <w:rPr>
                <w:rFonts w:ascii="Arial" w:eastAsia="Arial" w:hAnsi="Arial" w:cs="Arial"/>
                <w:sz w:val="20"/>
                <w:szCs w:val="20"/>
              </w:rPr>
              <w:t xml:space="preserve"> </w:t>
            </w:r>
            <w:r w:rsidRPr="310DF885">
              <w:rPr>
                <w:rFonts w:ascii="Arial" w:eastAsia="Arial" w:hAnsi="Arial" w:cs="Arial"/>
                <w:sz w:val="20"/>
                <w:szCs w:val="20"/>
              </w:rPr>
              <w:t>on August 21, 1974.</w:t>
            </w:r>
          </w:p>
          <w:p w14:paraId="79181614" w14:textId="4D838569" w:rsidR="00783200" w:rsidRPr="00CA3A08" w:rsidRDefault="00783200" w:rsidP="00783200">
            <w:pPr>
              <w:rPr>
                <w:rFonts w:ascii="Arial" w:hAnsi="Arial" w:cs="Arial"/>
                <w:sz w:val="20"/>
                <w:szCs w:val="20"/>
              </w:rPr>
            </w:pPr>
          </w:p>
        </w:tc>
      </w:tr>
      <w:tr w:rsidR="00783200" w:rsidRPr="00CA3A08" w14:paraId="21BFA1D8" w14:textId="77777777" w:rsidTr="009408B1">
        <w:tc>
          <w:tcPr>
            <w:tcW w:w="427" w:type="dxa"/>
            <w:vMerge/>
          </w:tcPr>
          <w:p w14:paraId="1782243D" w14:textId="77777777" w:rsidR="00783200" w:rsidRPr="00CA3A08" w:rsidRDefault="00783200" w:rsidP="00783200">
            <w:pPr>
              <w:rPr>
                <w:rFonts w:ascii="Arial" w:hAnsi="Arial" w:cs="Arial"/>
                <w:sz w:val="20"/>
                <w:szCs w:val="20"/>
              </w:rPr>
            </w:pPr>
          </w:p>
        </w:tc>
        <w:tc>
          <w:tcPr>
            <w:tcW w:w="2903" w:type="dxa"/>
            <w:vMerge/>
          </w:tcPr>
          <w:p w14:paraId="76B4F0A7"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1681353A" w14:textId="13739EFC" w:rsidR="00783200" w:rsidRPr="00CA3A08" w:rsidRDefault="00783200" w:rsidP="00783200">
            <w:pPr>
              <w:spacing w:after="240"/>
              <w:rPr>
                <w:rFonts w:ascii="Arial" w:hAnsi="Arial" w:cs="Arial"/>
                <w:sz w:val="20"/>
                <w:szCs w:val="20"/>
              </w:rPr>
            </w:pPr>
            <w:r w:rsidRPr="00CA3A08">
              <w:rPr>
                <w:rFonts w:ascii="Arial" w:hAnsi="Arial" w:cs="Arial"/>
                <w:b/>
                <w:bCs/>
                <w:i/>
                <w:iCs/>
                <w:sz w:val="20"/>
                <w:szCs w:val="20"/>
                <w:u w:val="single"/>
              </w:rPr>
              <w:t>The Fair Credit Reporting Act (FCRA),</w:t>
            </w:r>
            <w:r w:rsidRPr="00CA3A08">
              <w:rPr>
                <w:rFonts w:ascii="Arial" w:hAnsi="Arial" w:cs="Arial"/>
                <w:i/>
                <w:iCs/>
                <w:sz w:val="20"/>
                <w:szCs w:val="20"/>
                <w:u w:val="single"/>
              </w:rPr>
              <w:t xml:space="preserve"> </w:t>
            </w:r>
            <w:r w:rsidRPr="00CA3A08">
              <w:rPr>
                <w:rFonts w:ascii="Arial" w:hAnsi="Arial" w:cs="Arial"/>
                <w:sz w:val="20"/>
                <w:szCs w:val="20"/>
              </w:rPr>
              <w:t xml:space="preserve">15 U.S.C. § 1681 et seq.  </w:t>
            </w:r>
          </w:p>
        </w:tc>
        <w:tc>
          <w:tcPr>
            <w:tcW w:w="3383" w:type="dxa"/>
          </w:tcPr>
          <w:p w14:paraId="0034816E" w14:textId="77777777" w:rsidR="00783200" w:rsidRPr="00CA3A08" w:rsidRDefault="00783200" w:rsidP="00783200">
            <w:pPr>
              <w:rPr>
                <w:rFonts w:ascii="Arial" w:hAnsi="Arial" w:cs="Arial"/>
                <w:sz w:val="20"/>
                <w:szCs w:val="20"/>
              </w:rPr>
            </w:pPr>
            <w:r w:rsidRPr="00CA3A08">
              <w:rPr>
                <w:rFonts w:ascii="Arial" w:hAnsi="Arial" w:cs="Arial"/>
                <w:sz w:val="20"/>
                <w:szCs w:val="20"/>
                <w:lang w:val="en-CA"/>
              </w:rPr>
              <w:fldChar w:fldCharType="begin"/>
            </w:r>
            <w:r w:rsidRPr="00CA3A08">
              <w:rPr>
                <w:rFonts w:ascii="Arial" w:hAnsi="Arial" w:cs="Arial"/>
                <w:sz w:val="20"/>
                <w:szCs w:val="20"/>
                <w:lang w:val="en-CA"/>
              </w:rPr>
              <w:instrText xml:space="preserve"> SEQ CHAPTER \h \r 1</w:instrText>
            </w:r>
            <w:r w:rsidRPr="00CA3A08">
              <w:rPr>
                <w:rFonts w:ascii="Arial" w:hAnsi="Arial" w:cs="Arial"/>
                <w:sz w:val="20"/>
                <w:szCs w:val="20"/>
                <w:lang w:val="en-CA"/>
              </w:rPr>
              <w:fldChar w:fldCharType="end"/>
            </w:r>
            <w:r w:rsidRPr="00CA3A08">
              <w:rPr>
                <w:rFonts w:ascii="Arial" w:hAnsi="Arial" w:cs="Arial"/>
                <w:sz w:val="20"/>
                <w:szCs w:val="20"/>
              </w:rPr>
              <w:t>The FCRA provides for limited accountability by requiring prospective users of consumer report information to certify the purpose for which they seek to acquire the consumer report information and that they will use the information only for that purpose, and by prohibiting the release of consumer report information by a consumer reporting agency when information is sought for a non-permissible purpose. 15 U.S.C. § 1681e.</w:t>
            </w:r>
          </w:p>
          <w:p w14:paraId="75E39D9A" w14:textId="55A6EF3B" w:rsidR="00783200" w:rsidRPr="00CA3A08" w:rsidRDefault="00783200" w:rsidP="00783200">
            <w:pPr>
              <w:rPr>
                <w:rFonts w:ascii="Arial" w:hAnsi="Arial" w:cs="Arial"/>
                <w:sz w:val="20"/>
                <w:szCs w:val="20"/>
              </w:rPr>
            </w:pPr>
          </w:p>
        </w:tc>
        <w:tc>
          <w:tcPr>
            <w:tcW w:w="3383" w:type="dxa"/>
          </w:tcPr>
          <w:p w14:paraId="38220B3E" w14:textId="77777777" w:rsidR="00783200" w:rsidRPr="00CA3A08" w:rsidRDefault="00783200" w:rsidP="00783200">
            <w:pPr>
              <w:spacing w:after="240"/>
              <w:rPr>
                <w:rFonts w:ascii="Arial" w:hAnsi="Arial" w:cs="Arial"/>
                <w:sz w:val="20"/>
                <w:szCs w:val="20"/>
              </w:rPr>
            </w:pPr>
          </w:p>
        </w:tc>
        <w:tc>
          <w:tcPr>
            <w:tcW w:w="1209" w:type="dxa"/>
          </w:tcPr>
          <w:p w14:paraId="0D160B64" w14:textId="79560803" w:rsidR="00783200" w:rsidRPr="00CA3A08" w:rsidRDefault="00783200" w:rsidP="00783200">
            <w:pPr>
              <w:rPr>
                <w:rFonts w:ascii="Arial" w:hAnsi="Arial" w:cs="Arial"/>
                <w:sz w:val="20"/>
                <w:szCs w:val="20"/>
              </w:rPr>
            </w:pPr>
            <w:r w:rsidRPr="310DF885">
              <w:rPr>
                <w:rFonts w:ascii="Arial" w:hAnsi="Arial" w:cs="Arial"/>
                <w:sz w:val="20"/>
                <w:szCs w:val="20"/>
              </w:rPr>
              <w:t>Signed into law on October 26, 1970.</w:t>
            </w:r>
          </w:p>
        </w:tc>
      </w:tr>
      <w:tr w:rsidR="00783200" w:rsidRPr="00CA3A08" w14:paraId="416B690E" w14:textId="77777777" w:rsidTr="009408B1">
        <w:tc>
          <w:tcPr>
            <w:tcW w:w="427" w:type="dxa"/>
            <w:vMerge w:val="restart"/>
          </w:tcPr>
          <w:p w14:paraId="53180066" w14:textId="77777777" w:rsidR="00783200" w:rsidRPr="00CA3A08" w:rsidRDefault="00783200" w:rsidP="00783200">
            <w:pPr>
              <w:rPr>
                <w:rFonts w:ascii="Arial" w:hAnsi="Arial" w:cs="Arial"/>
                <w:sz w:val="20"/>
                <w:szCs w:val="20"/>
              </w:rPr>
            </w:pPr>
            <w:r w:rsidRPr="00CA3A08">
              <w:rPr>
                <w:rFonts w:ascii="Arial" w:hAnsi="Arial" w:cs="Arial"/>
                <w:sz w:val="20"/>
                <w:szCs w:val="20"/>
              </w:rPr>
              <w:t>8</w:t>
            </w:r>
          </w:p>
          <w:p w14:paraId="5AD42690" w14:textId="77777777" w:rsidR="00783200" w:rsidRPr="00CA3A08" w:rsidRDefault="00783200" w:rsidP="00783200">
            <w:pPr>
              <w:rPr>
                <w:rFonts w:ascii="Arial" w:hAnsi="Arial" w:cs="Arial"/>
                <w:sz w:val="20"/>
                <w:szCs w:val="20"/>
              </w:rPr>
            </w:pPr>
          </w:p>
          <w:p w14:paraId="17D85687" w14:textId="77777777" w:rsidR="00783200" w:rsidRPr="00CA3A08" w:rsidRDefault="00783200" w:rsidP="00783200">
            <w:pPr>
              <w:rPr>
                <w:rFonts w:ascii="Arial" w:hAnsi="Arial" w:cs="Arial"/>
                <w:sz w:val="20"/>
                <w:szCs w:val="20"/>
              </w:rPr>
            </w:pPr>
          </w:p>
          <w:p w14:paraId="617C4851" w14:textId="77777777" w:rsidR="00783200" w:rsidRPr="00CA3A08" w:rsidRDefault="00783200" w:rsidP="00783200">
            <w:pPr>
              <w:rPr>
                <w:rFonts w:ascii="Arial" w:hAnsi="Arial" w:cs="Arial"/>
                <w:sz w:val="20"/>
                <w:szCs w:val="20"/>
              </w:rPr>
            </w:pPr>
          </w:p>
          <w:p w14:paraId="77EF2C01" w14:textId="77777777" w:rsidR="00783200" w:rsidRPr="00CA3A08" w:rsidRDefault="00783200" w:rsidP="00783200">
            <w:pPr>
              <w:rPr>
                <w:rFonts w:ascii="Arial" w:hAnsi="Arial" w:cs="Arial"/>
                <w:sz w:val="20"/>
                <w:szCs w:val="20"/>
              </w:rPr>
            </w:pPr>
          </w:p>
        </w:tc>
        <w:tc>
          <w:tcPr>
            <w:tcW w:w="2903" w:type="dxa"/>
            <w:vMerge w:val="restart"/>
          </w:tcPr>
          <w:p w14:paraId="603E67EA" w14:textId="77777777" w:rsidR="00783200" w:rsidRPr="00592C78" w:rsidRDefault="00783200" w:rsidP="00783200">
            <w:pPr>
              <w:adjustRightInd w:val="0"/>
              <w:ind w:left="34"/>
              <w:rPr>
                <w:rFonts w:ascii="Arial" w:hAnsi="Arial" w:cs="Arial"/>
                <w:b/>
                <w:bCs/>
                <w:i/>
                <w:iCs/>
                <w:sz w:val="20"/>
                <w:szCs w:val="20"/>
                <w:lang w:bidi="mni-IN"/>
              </w:rPr>
            </w:pPr>
            <w:r w:rsidRPr="00592C78">
              <w:rPr>
                <w:rFonts w:ascii="Arial" w:hAnsi="Arial" w:cs="Arial"/>
                <w:b/>
                <w:bCs/>
                <w:i/>
                <w:iCs/>
                <w:sz w:val="20"/>
                <w:szCs w:val="20"/>
                <w:lang w:bidi="mni-IN"/>
              </w:rPr>
              <w:t>VIII Access and Correction</w:t>
            </w:r>
          </w:p>
          <w:p w14:paraId="55256E33" w14:textId="77777777" w:rsidR="00783200" w:rsidRPr="00592C78" w:rsidRDefault="00783200" w:rsidP="00783200">
            <w:pPr>
              <w:adjustRightInd w:val="0"/>
              <w:ind w:left="34"/>
              <w:rPr>
                <w:rFonts w:ascii="Arial" w:hAnsi="Arial" w:cs="Arial"/>
                <w:b/>
                <w:bCs/>
                <w:sz w:val="20"/>
                <w:szCs w:val="20"/>
                <w:lang w:bidi="mni-IN"/>
              </w:rPr>
            </w:pPr>
            <w:r w:rsidRPr="00592C78">
              <w:rPr>
                <w:rFonts w:ascii="Arial" w:hAnsi="Arial" w:cs="Arial"/>
                <w:b/>
                <w:bCs/>
                <w:sz w:val="20"/>
                <w:szCs w:val="20"/>
                <w:lang w:bidi="mni-IN"/>
              </w:rPr>
              <w:t xml:space="preserve">(Ref. Para. </w:t>
            </w:r>
            <w:r>
              <w:rPr>
                <w:rFonts w:ascii="Arial" w:hAnsi="Arial" w:cs="Arial"/>
                <w:b/>
                <w:bCs/>
                <w:sz w:val="20"/>
                <w:szCs w:val="20"/>
                <w:lang w:bidi="mni-IN"/>
              </w:rPr>
              <w:t>29-31</w:t>
            </w:r>
            <w:r w:rsidRPr="00592C78">
              <w:rPr>
                <w:rFonts w:ascii="Arial" w:hAnsi="Arial" w:cs="Arial"/>
                <w:b/>
                <w:bCs/>
                <w:sz w:val="20"/>
                <w:szCs w:val="20"/>
                <w:lang w:bidi="mni-IN"/>
              </w:rPr>
              <w:t>)</w:t>
            </w:r>
          </w:p>
          <w:p w14:paraId="18016D7A" w14:textId="77777777" w:rsidR="00783200" w:rsidRPr="00592C78" w:rsidRDefault="00783200" w:rsidP="00783200">
            <w:pPr>
              <w:adjustRightInd w:val="0"/>
              <w:ind w:left="34"/>
              <w:rPr>
                <w:rFonts w:ascii="Arial" w:hAnsi="Arial" w:cs="Arial"/>
                <w:b/>
                <w:bCs/>
                <w:sz w:val="20"/>
                <w:szCs w:val="20"/>
                <w:lang w:bidi="mni-IN"/>
              </w:rPr>
            </w:pPr>
          </w:p>
          <w:p w14:paraId="09D197B9" w14:textId="77777777" w:rsidR="00783200" w:rsidRPr="00592C78" w:rsidRDefault="00783200" w:rsidP="00783200">
            <w:pPr>
              <w:autoSpaceDE w:val="0"/>
              <w:autoSpaceDN w:val="0"/>
              <w:adjustRightInd w:val="0"/>
              <w:rPr>
                <w:rFonts w:ascii="Arial" w:hAnsi="Arial" w:cs="Arial"/>
                <w:sz w:val="20"/>
                <w:szCs w:val="20"/>
              </w:rPr>
            </w:pPr>
            <w:r w:rsidRPr="00592C78">
              <w:rPr>
                <w:rFonts w:ascii="Arial" w:hAnsi="Arial" w:cs="Arial"/>
                <w:sz w:val="20"/>
                <w:szCs w:val="20"/>
              </w:rPr>
              <w:t>Individuals should be able to:</w:t>
            </w:r>
          </w:p>
          <w:p w14:paraId="48B642BD" w14:textId="77777777" w:rsidR="00783200" w:rsidRPr="00592C78" w:rsidRDefault="00783200" w:rsidP="00783200">
            <w:pPr>
              <w:autoSpaceDE w:val="0"/>
              <w:autoSpaceDN w:val="0"/>
              <w:adjustRightInd w:val="0"/>
              <w:rPr>
                <w:rFonts w:ascii="Arial" w:hAnsi="Arial" w:cs="Arial"/>
                <w:sz w:val="20"/>
                <w:szCs w:val="20"/>
              </w:rPr>
            </w:pPr>
          </w:p>
          <w:p w14:paraId="132B1EC9" w14:textId="77777777" w:rsidR="00783200" w:rsidRPr="00592C78" w:rsidRDefault="00783200" w:rsidP="00783200">
            <w:pPr>
              <w:autoSpaceDE w:val="0"/>
              <w:autoSpaceDN w:val="0"/>
              <w:adjustRightInd w:val="0"/>
              <w:rPr>
                <w:rFonts w:ascii="Arial" w:hAnsi="Arial" w:cs="Arial"/>
                <w:sz w:val="20"/>
                <w:szCs w:val="20"/>
              </w:rPr>
            </w:pPr>
            <w:r w:rsidRPr="00592C78">
              <w:rPr>
                <w:rFonts w:ascii="Arial" w:hAnsi="Arial" w:cs="Arial"/>
                <w:sz w:val="20"/>
                <w:szCs w:val="20"/>
              </w:rPr>
              <w:t xml:space="preserve">a) obtain from the personal information controller confirmation of whether or not the personal information </w:t>
            </w:r>
            <w:r w:rsidRPr="00592C78">
              <w:rPr>
                <w:rFonts w:ascii="Arial" w:hAnsi="Arial" w:cs="Arial"/>
                <w:sz w:val="20"/>
                <w:szCs w:val="20"/>
              </w:rPr>
              <w:lastRenderedPageBreak/>
              <w:t>controller holds personal information about them;</w:t>
            </w:r>
          </w:p>
          <w:p w14:paraId="7848BB7D" w14:textId="77777777" w:rsidR="00783200" w:rsidRPr="00592C78" w:rsidRDefault="00783200" w:rsidP="00783200">
            <w:pPr>
              <w:autoSpaceDE w:val="0"/>
              <w:autoSpaceDN w:val="0"/>
              <w:adjustRightInd w:val="0"/>
              <w:rPr>
                <w:rFonts w:ascii="Arial" w:hAnsi="Arial" w:cs="Arial"/>
                <w:sz w:val="20"/>
                <w:szCs w:val="20"/>
              </w:rPr>
            </w:pPr>
          </w:p>
          <w:p w14:paraId="194DACA3" w14:textId="77777777" w:rsidR="00783200" w:rsidRPr="00592C78" w:rsidRDefault="00783200" w:rsidP="00783200">
            <w:pPr>
              <w:autoSpaceDE w:val="0"/>
              <w:autoSpaceDN w:val="0"/>
              <w:adjustRightInd w:val="0"/>
              <w:rPr>
                <w:rFonts w:ascii="Arial" w:hAnsi="Arial" w:cs="Arial"/>
                <w:sz w:val="20"/>
                <w:szCs w:val="20"/>
              </w:rPr>
            </w:pPr>
            <w:r w:rsidRPr="00592C78">
              <w:rPr>
                <w:rFonts w:ascii="Arial" w:hAnsi="Arial" w:cs="Arial"/>
                <w:sz w:val="20"/>
                <w:szCs w:val="20"/>
              </w:rPr>
              <w:t>b) have communicated to them, after having provided sufficient proof of their identity, personal information about them;</w:t>
            </w:r>
          </w:p>
          <w:p w14:paraId="53E4B75D" w14:textId="77777777" w:rsidR="00783200" w:rsidRPr="00592C78" w:rsidRDefault="00783200" w:rsidP="00783200">
            <w:pPr>
              <w:autoSpaceDE w:val="0"/>
              <w:autoSpaceDN w:val="0"/>
              <w:adjustRightInd w:val="0"/>
              <w:rPr>
                <w:rFonts w:ascii="Arial" w:hAnsi="Arial" w:cs="Arial"/>
                <w:sz w:val="20"/>
                <w:szCs w:val="20"/>
              </w:rPr>
            </w:pPr>
          </w:p>
          <w:p w14:paraId="085B55F0" w14:textId="77777777" w:rsidR="00783200" w:rsidRPr="00592C78" w:rsidRDefault="00783200" w:rsidP="00783200">
            <w:pPr>
              <w:autoSpaceDE w:val="0"/>
              <w:autoSpaceDN w:val="0"/>
              <w:adjustRightInd w:val="0"/>
              <w:rPr>
                <w:rFonts w:ascii="Arial" w:hAnsi="Arial" w:cs="Arial"/>
                <w:sz w:val="20"/>
                <w:szCs w:val="20"/>
              </w:rPr>
            </w:pPr>
            <w:r w:rsidRPr="00592C78">
              <w:rPr>
                <w:rFonts w:ascii="Arial" w:hAnsi="Arial" w:cs="Arial"/>
                <w:sz w:val="20"/>
                <w:szCs w:val="20"/>
              </w:rPr>
              <w:t>i. within a reasonable time;</w:t>
            </w:r>
          </w:p>
          <w:p w14:paraId="32FC81EC" w14:textId="77777777" w:rsidR="00783200" w:rsidRPr="00592C78" w:rsidRDefault="00783200" w:rsidP="00783200">
            <w:pPr>
              <w:autoSpaceDE w:val="0"/>
              <w:autoSpaceDN w:val="0"/>
              <w:adjustRightInd w:val="0"/>
              <w:rPr>
                <w:rFonts w:ascii="Arial" w:hAnsi="Arial" w:cs="Arial"/>
                <w:sz w:val="20"/>
                <w:szCs w:val="20"/>
              </w:rPr>
            </w:pPr>
          </w:p>
          <w:p w14:paraId="1C111B3F" w14:textId="77777777" w:rsidR="00783200" w:rsidRPr="00592C78" w:rsidRDefault="00783200" w:rsidP="00783200">
            <w:pPr>
              <w:autoSpaceDE w:val="0"/>
              <w:autoSpaceDN w:val="0"/>
              <w:adjustRightInd w:val="0"/>
              <w:rPr>
                <w:rFonts w:ascii="Arial" w:hAnsi="Arial" w:cs="Arial"/>
                <w:sz w:val="20"/>
                <w:szCs w:val="20"/>
              </w:rPr>
            </w:pPr>
            <w:r w:rsidRPr="00592C78">
              <w:rPr>
                <w:rFonts w:ascii="Arial" w:hAnsi="Arial" w:cs="Arial"/>
                <w:sz w:val="20"/>
                <w:szCs w:val="20"/>
              </w:rPr>
              <w:t>ii. at a charge, if any, that is not excessive;</w:t>
            </w:r>
          </w:p>
          <w:p w14:paraId="574EF190" w14:textId="77777777" w:rsidR="00783200" w:rsidRPr="00592C78" w:rsidRDefault="00783200" w:rsidP="00783200">
            <w:pPr>
              <w:autoSpaceDE w:val="0"/>
              <w:autoSpaceDN w:val="0"/>
              <w:adjustRightInd w:val="0"/>
              <w:rPr>
                <w:rFonts w:ascii="Arial" w:hAnsi="Arial" w:cs="Arial"/>
                <w:sz w:val="20"/>
                <w:szCs w:val="20"/>
              </w:rPr>
            </w:pPr>
          </w:p>
          <w:p w14:paraId="0A960B90" w14:textId="77777777" w:rsidR="00783200" w:rsidRPr="00592C78" w:rsidRDefault="00783200" w:rsidP="00783200">
            <w:pPr>
              <w:autoSpaceDE w:val="0"/>
              <w:autoSpaceDN w:val="0"/>
              <w:adjustRightInd w:val="0"/>
              <w:rPr>
                <w:rFonts w:ascii="Arial" w:hAnsi="Arial" w:cs="Arial"/>
                <w:sz w:val="20"/>
                <w:szCs w:val="20"/>
              </w:rPr>
            </w:pPr>
            <w:r w:rsidRPr="00592C78">
              <w:rPr>
                <w:rFonts w:ascii="Arial" w:hAnsi="Arial" w:cs="Arial"/>
                <w:sz w:val="20"/>
                <w:szCs w:val="20"/>
              </w:rPr>
              <w:t>iii. in a reasonable manner;</w:t>
            </w:r>
          </w:p>
          <w:p w14:paraId="39465C85" w14:textId="77777777" w:rsidR="00783200" w:rsidRPr="00592C78" w:rsidRDefault="00783200" w:rsidP="00783200">
            <w:pPr>
              <w:autoSpaceDE w:val="0"/>
              <w:autoSpaceDN w:val="0"/>
              <w:adjustRightInd w:val="0"/>
              <w:rPr>
                <w:rFonts w:ascii="Arial" w:hAnsi="Arial" w:cs="Arial"/>
                <w:sz w:val="20"/>
                <w:szCs w:val="20"/>
              </w:rPr>
            </w:pPr>
          </w:p>
          <w:p w14:paraId="5B581F8C" w14:textId="77777777" w:rsidR="00783200" w:rsidRPr="00592C78" w:rsidRDefault="00783200" w:rsidP="00783200">
            <w:pPr>
              <w:autoSpaceDE w:val="0"/>
              <w:autoSpaceDN w:val="0"/>
              <w:adjustRightInd w:val="0"/>
              <w:rPr>
                <w:rFonts w:ascii="Arial" w:hAnsi="Arial" w:cs="Arial"/>
                <w:sz w:val="20"/>
                <w:szCs w:val="20"/>
              </w:rPr>
            </w:pPr>
            <w:r w:rsidRPr="00592C78">
              <w:rPr>
                <w:rFonts w:ascii="Arial" w:hAnsi="Arial" w:cs="Arial"/>
                <w:sz w:val="20"/>
                <w:szCs w:val="20"/>
              </w:rPr>
              <w:t>iv. in a form that is generally understandable; and,</w:t>
            </w:r>
          </w:p>
          <w:p w14:paraId="5EBF37C4" w14:textId="77777777" w:rsidR="00783200" w:rsidRPr="00592C78" w:rsidRDefault="00783200" w:rsidP="00783200">
            <w:pPr>
              <w:autoSpaceDE w:val="0"/>
              <w:autoSpaceDN w:val="0"/>
              <w:adjustRightInd w:val="0"/>
              <w:rPr>
                <w:rFonts w:ascii="Arial" w:hAnsi="Arial" w:cs="Arial"/>
                <w:sz w:val="20"/>
                <w:szCs w:val="20"/>
              </w:rPr>
            </w:pPr>
          </w:p>
          <w:p w14:paraId="68CB4858" w14:textId="77777777" w:rsidR="00783200" w:rsidRPr="00592C78" w:rsidRDefault="00783200" w:rsidP="00783200">
            <w:pPr>
              <w:autoSpaceDE w:val="0"/>
              <w:autoSpaceDN w:val="0"/>
              <w:adjustRightInd w:val="0"/>
              <w:rPr>
                <w:rFonts w:ascii="Arial" w:hAnsi="Arial" w:cs="Arial"/>
                <w:sz w:val="20"/>
                <w:szCs w:val="20"/>
              </w:rPr>
            </w:pPr>
            <w:r w:rsidRPr="00592C78">
              <w:rPr>
                <w:rFonts w:ascii="Arial" w:hAnsi="Arial" w:cs="Arial"/>
                <w:sz w:val="20"/>
                <w:szCs w:val="20"/>
              </w:rPr>
              <w:t>c) challenge the accuracy of information relating to them and, if possible and as appropriate, have the information rectified, completed, amended or deleted.</w:t>
            </w:r>
          </w:p>
          <w:p w14:paraId="59A3589F" w14:textId="77777777" w:rsidR="00783200" w:rsidRPr="00592C78" w:rsidRDefault="00783200" w:rsidP="00783200">
            <w:pPr>
              <w:autoSpaceDE w:val="0"/>
              <w:autoSpaceDN w:val="0"/>
              <w:adjustRightInd w:val="0"/>
              <w:rPr>
                <w:rFonts w:ascii="Arial" w:hAnsi="Arial" w:cs="Arial"/>
                <w:sz w:val="20"/>
                <w:szCs w:val="20"/>
              </w:rPr>
            </w:pPr>
          </w:p>
          <w:p w14:paraId="6A8BA0E1" w14:textId="77777777" w:rsidR="00783200" w:rsidRPr="00592C78" w:rsidRDefault="00783200" w:rsidP="00783200">
            <w:pPr>
              <w:autoSpaceDE w:val="0"/>
              <w:autoSpaceDN w:val="0"/>
              <w:adjustRightInd w:val="0"/>
              <w:rPr>
                <w:rFonts w:ascii="Arial" w:hAnsi="Arial" w:cs="Arial"/>
                <w:sz w:val="20"/>
                <w:szCs w:val="20"/>
              </w:rPr>
            </w:pPr>
            <w:r w:rsidRPr="00592C78">
              <w:rPr>
                <w:rFonts w:ascii="Arial" w:hAnsi="Arial" w:cs="Arial"/>
                <w:sz w:val="20"/>
                <w:szCs w:val="20"/>
              </w:rPr>
              <w:t>Such access and opportunity for correction should be provided except where:</w:t>
            </w:r>
          </w:p>
          <w:p w14:paraId="09A7BEC5" w14:textId="77777777" w:rsidR="00783200" w:rsidRPr="00592C78" w:rsidRDefault="00783200" w:rsidP="00783200">
            <w:pPr>
              <w:autoSpaceDE w:val="0"/>
              <w:autoSpaceDN w:val="0"/>
              <w:adjustRightInd w:val="0"/>
              <w:rPr>
                <w:rFonts w:ascii="Arial" w:hAnsi="Arial" w:cs="Arial"/>
                <w:sz w:val="20"/>
                <w:szCs w:val="20"/>
              </w:rPr>
            </w:pPr>
          </w:p>
          <w:p w14:paraId="034E35AE" w14:textId="77777777" w:rsidR="00783200" w:rsidRPr="00592C78" w:rsidRDefault="00783200" w:rsidP="00783200">
            <w:pPr>
              <w:autoSpaceDE w:val="0"/>
              <w:autoSpaceDN w:val="0"/>
              <w:adjustRightInd w:val="0"/>
              <w:rPr>
                <w:rFonts w:ascii="Arial" w:hAnsi="Arial" w:cs="Arial"/>
                <w:sz w:val="20"/>
                <w:szCs w:val="20"/>
              </w:rPr>
            </w:pPr>
            <w:r w:rsidRPr="00592C78">
              <w:rPr>
                <w:rFonts w:ascii="Arial" w:hAnsi="Arial" w:cs="Arial"/>
                <w:sz w:val="20"/>
                <w:szCs w:val="20"/>
              </w:rPr>
              <w:t xml:space="preserve">(i) the burden or expense of doing so would be unreasonable or disproportionate to the risks to </w:t>
            </w:r>
            <w:r w:rsidRPr="00592C78">
              <w:rPr>
                <w:rFonts w:ascii="Arial" w:hAnsi="Arial" w:cs="Arial"/>
                <w:sz w:val="20"/>
                <w:szCs w:val="20"/>
              </w:rPr>
              <w:lastRenderedPageBreak/>
              <w:t>the individual’s privacy in the case in question;</w:t>
            </w:r>
          </w:p>
          <w:p w14:paraId="6A6E0AD5" w14:textId="77777777" w:rsidR="00783200" w:rsidRPr="00592C78" w:rsidRDefault="00783200" w:rsidP="00783200">
            <w:pPr>
              <w:autoSpaceDE w:val="0"/>
              <w:autoSpaceDN w:val="0"/>
              <w:adjustRightInd w:val="0"/>
              <w:rPr>
                <w:rFonts w:ascii="Arial" w:hAnsi="Arial" w:cs="Arial"/>
                <w:sz w:val="20"/>
                <w:szCs w:val="20"/>
              </w:rPr>
            </w:pPr>
          </w:p>
          <w:p w14:paraId="1AA2772F" w14:textId="77777777" w:rsidR="00783200" w:rsidRPr="00592C78" w:rsidRDefault="00783200" w:rsidP="00783200">
            <w:pPr>
              <w:autoSpaceDE w:val="0"/>
              <w:autoSpaceDN w:val="0"/>
              <w:adjustRightInd w:val="0"/>
              <w:rPr>
                <w:rFonts w:ascii="Arial" w:hAnsi="Arial" w:cs="Arial"/>
                <w:sz w:val="20"/>
                <w:szCs w:val="20"/>
              </w:rPr>
            </w:pPr>
            <w:r w:rsidRPr="00592C78">
              <w:rPr>
                <w:rFonts w:ascii="Arial" w:hAnsi="Arial" w:cs="Arial"/>
                <w:sz w:val="20"/>
                <w:szCs w:val="20"/>
              </w:rPr>
              <w:t>(ii) the information should not be disclosed due to legal or security reasons or to protect confidential commercial information; or</w:t>
            </w:r>
          </w:p>
          <w:p w14:paraId="65C2FC78" w14:textId="77777777" w:rsidR="00783200" w:rsidRPr="00592C78" w:rsidRDefault="00783200" w:rsidP="00783200">
            <w:pPr>
              <w:autoSpaceDE w:val="0"/>
              <w:autoSpaceDN w:val="0"/>
              <w:adjustRightInd w:val="0"/>
              <w:rPr>
                <w:rFonts w:ascii="Arial" w:hAnsi="Arial" w:cs="Arial"/>
                <w:sz w:val="20"/>
                <w:szCs w:val="20"/>
              </w:rPr>
            </w:pPr>
          </w:p>
          <w:p w14:paraId="045C82DB" w14:textId="77777777" w:rsidR="00783200" w:rsidRPr="00592C78" w:rsidRDefault="00783200" w:rsidP="00783200">
            <w:pPr>
              <w:autoSpaceDE w:val="0"/>
              <w:autoSpaceDN w:val="0"/>
              <w:adjustRightInd w:val="0"/>
              <w:rPr>
                <w:rFonts w:ascii="Arial" w:hAnsi="Arial" w:cs="Arial"/>
                <w:sz w:val="20"/>
                <w:szCs w:val="20"/>
              </w:rPr>
            </w:pPr>
            <w:r w:rsidRPr="00592C78">
              <w:rPr>
                <w:rFonts w:ascii="Arial" w:hAnsi="Arial" w:cs="Arial"/>
                <w:sz w:val="20"/>
                <w:szCs w:val="20"/>
              </w:rPr>
              <w:t>(iii) the information privacy of persons other than the individual would be violated.</w:t>
            </w:r>
          </w:p>
          <w:p w14:paraId="6C14B750" w14:textId="77777777" w:rsidR="00783200" w:rsidRPr="00592C78" w:rsidRDefault="00783200" w:rsidP="00783200">
            <w:pPr>
              <w:autoSpaceDE w:val="0"/>
              <w:autoSpaceDN w:val="0"/>
              <w:adjustRightInd w:val="0"/>
              <w:rPr>
                <w:rFonts w:ascii="Arial" w:hAnsi="Arial" w:cs="Arial"/>
                <w:sz w:val="20"/>
                <w:szCs w:val="20"/>
              </w:rPr>
            </w:pPr>
          </w:p>
          <w:p w14:paraId="61DB393C" w14:textId="71C97B42" w:rsidR="00783200" w:rsidRPr="00CA3A08" w:rsidRDefault="00783200" w:rsidP="00783200">
            <w:pPr>
              <w:adjustRightInd w:val="0"/>
              <w:ind w:left="72"/>
              <w:jc w:val="both"/>
              <w:rPr>
                <w:rFonts w:ascii="Arial" w:hAnsi="Arial" w:cs="Arial"/>
                <w:sz w:val="20"/>
                <w:szCs w:val="20"/>
              </w:rPr>
            </w:pPr>
            <w:r w:rsidRPr="00592C78">
              <w:rPr>
                <w:rFonts w:ascii="Arial" w:hAnsi="Arial" w:cs="Arial"/>
                <w:sz w:val="20"/>
                <w:szCs w:val="20"/>
              </w:rPr>
              <w:t>If a request under (a) or (b) or a challenge under (c) is denied, the individual should be provided with reasons why and be able to challenge such denial.</w:t>
            </w:r>
            <w:r w:rsidRPr="00592C78">
              <w:rPr>
                <w:rFonts w:ascii="Arial" w:hAnsi="Arial" w:cs="Arial"/>
                <w:sz w:val="20"/>
                <w:szCs w:val="20"/>
                <w:lang w:bidi="mni-IN"/>
              </w:rPr>
              <w:t xml:space="preserve"> </w:t>
            </w:r>
          </w:p>
        </w:tc>
        <w:tc>
          <w:tcPr>
            <w:tcW w:w="3383" w:type="dxa"/>
          </w:tcPr>
          <w:p w14:paraId="322FA7B0" w14:textId="24790E59" w:rsidR="00783200" w:rsidRPr="00CA3A08" w:rsidRDefault="00783200" w:rsidP="00783200">
            <w:pPr>
              <w:rPr>
                <w:rFonts w:ascii="Arial" w:hAnsi="Arial" w:cs="Arial"/>
                <w:sz w:val="20"/>
                <w:szCs w:val="20"/>
              </w:rPr>
            </w:pPr>
            <w:r w:rsidRPr="00CA3A08">
              <w:rPr>
                <w:rFonts w:ascii="Arial" w:hAnsi="Arial" w:cs="Arial"/>
                <w:b/>
                <w:bCs/>
                <w:i/>
                <w:iCs/>
                <w:sz w:val="20"/>
                <w:szCs w:val="20"/>
                <w:u w:val="single"/>
              </w:rPr>
              <w:lastRenderedPageBreak/>
              <w:t>The Fair Credit Reporting Act (FCRA),</w:t>
            </w:r>
            <w:r w:rsidRPr="00CA3A08">
              <w:rPr>
                <w:rFonts w:ascii="Arial" w:hAnsi="Arial" w:cs="Arial"/>
                <w:i/>
                <w:iCs/>
                <w:sz w:val="20"/>
                <w:szCs w:val="20"/>
                <w:u w:val="single"/>
              </w:rPr>
              <w:t xml:space="preserve"> </w:t>
            </w:r>
            <w:r w:rsidRPr="00CA3A08">
              <w:rPr>
                <w:rFonts w:ascii="Arial" w:hAnsi="Arial" w:cs="Arial"/>
                <w:sz w:val="20"/>
                <w:szCs w:val="20"/>
              </w:rPr>
              <w:t xml:space="preserve">15 U.S.C. § 1681 et seq.  </w:t>
            </w:r>
          </w:p>
        </w:tc>
        <w:tc>
          <w:tcPr>
            <w:tcW w:w="3383" w:type="dxa"/>
          </w:tcPr>
          <w:p w14:paraId="53283D67" w14:textId="77777777" w:rsidR="00783200" w:rsidRDefault="00783200" w:rsidP="00783200">
            <w:pPr>
              <w:rPr>
                <w:rFonts w:ascii="Arial" w:hAnsi="Arial" w:cs="Arial"/>
                <w:sz w:val="20"/>
                <w:szCs w:val="20"/>
              </w:rPr>
            </w:pPr>
            <w:r w:rsidRPr="00CA3A08">
              <w:rPr>
                <w:rFonts w:ascii="Arial" w:hAnsi="Arial" w:cs="Arial"/>
                <w:sz w:val="20"/>
                <w:szCs w:val="20"/>
                <w:lang w:val="en-CA"/>
              </w:rPr>
              <w:fldChar w:fldCharType="begin"/>
            </w:r>
            <w:r w:rsidRPr="00CA3A08">
              <w:rPr>
                <w:rFonts w:ascii="Arial" w:hAnsi="Arial" w:cs="Arial"/>
                <w:sz w:val="20"/>
                <w:szCs w:val="20"/>
                <w:lang w:val="en-CA"/>
              </w:rPr>
              <w:instrText xml:space="preserve"> SEQ CHAPTER \h \r 1</w:instrText>
            </w:r>
            <w:r w:rsidRPr="00CA3A08">
              <w:rPr>
                <w:rFonts w:ascii="Arial" w:hAnsi="Arial" w:cs="Arial"/>
                <w:sz w:val="20"/>
                <w:szCs w:val="20"/>
                <w:lang w:val="en-CA"/>
              </w:rPr>
              <w:fldChar w:fldCharType="end"/>
            </w:r>
            <w:r w:rsidRPr="00CA3A08">
              <w:rPr>
                <w:rFonts w:ascii="Arial" w:hAnsi="Arial" w:cs="Arial"/>
                <w:sz w:val="20"/>
                <w:szCs w:val="20"/>
              </w:rPr>
              <w:t>The FCRA requires consumer reporting agencies to disclose to consum</w:t>
            </w:r>
            <w:r w:rsidRPr="00CA3A08">
              <w:rPr>
                <w:rFonts w:ascii="Arial" w:hAnsi="Arial" w:cs="Arial"/>
                <w:sz w:val="20"/>
                <w:szCs w:val="20"/>
              </w:rPr>
              <w:softHyphen/>
              <w:t xml:space="preserve">ers </w:t>
            </w:r>
            <w:r>
              <w:rPr>
                <w:rFonts w:ascii="Arial" w:hAnsi="Arial" w:cs="Arial"/>
                <w:sz w:val="20"/>
                <w:szCs w:val="20"/>
              </w:rPr>
              <w:t>most of</w:t>
            </w:r>
            <w:r w:rsidRPr="00CA3A08">
              <w:rPr>
                <w:rFonts w:ascii="Arial" w:hAnsi="Arial" w:cs="Arial"/>
                <w:sz w:val="20"/>
                <w:szCs w:val="20"/>
              </w:rPr>
              <w:t xml:space="preserve"> their file information upon request</w:t>
            </w:r>
            <w:r>
              <w:rPr>
                <w:rFonts w:ascii="Arial" w:hAnsi="Arial" w:cs="Arial"/>
                <w:sz w:val="20"/>
                <w:szCs w:val="20"/>
              </w:rPr>
              <w:t>, with a few exceptions</w:t>
            </w:r>
            <w:r w:rsidRPr="00CA3A08">
              <w:rPr>
                <w:rFonts w:ascii="Arial" w:hAnsi="Arial" w:cs="Arial"/>
                <w:sz w:val="20"/>
                <w:szCs w:val="20"/>
              </w:rPr>
              <w:t>. 15 U.S.C. § 1681g(a).  In many cases, the disclosure is without charge. 15 U.S.C. § 1681j. In cases of disputed accuracy, the FCRA requires consumer reporting agen</w:t>
            </w:r>
            <w:r w:rsidRPr="00CA3A08">
              <w:rPr>
                <w:rFonts w:ascii="Arial" w:hAnsi="Arial" w:cs="Arial"/>
                <w:sz w:val="20"/>
                <w:szCs w:val="20"/>
              </w:rPr>
              <w:softHyphen/>
            </w:r>
            <w:r w:rsidRPr="00CA3A08">
              <w:rPr>
                <w:rFonts w:ascii="Arial" w:hAnsi="Arial" w:cs="Arial"/>
                <w:sz w:val="20"/>
                <w:szCs w:val="20"/>
              </w:rPr>
              <w:lastRenderedPageBreak/>
              <w:t xml:space="preserve">cies </w:t>
            </w:r>
            <w:r>
              <w:rPr>
                <w:rFonts w:ascii="Arial" w:hAnsi="Arial" w:cs="Arial"/>
                <w:sz w:val="20"/>
                <w:szCs w:val="20"/>
              </w:rPr>
              <w:t xml:space="preserve">and furnishers </w:t>
            </w:r>
            <w:r w:rsidRPr="00CA3A08">
              <w:rPr>
                <w:rFonts w:ascii="Arial" w:hAnsi="Arial" w:cs="Arial"/>
                <w:sz w:val="20"/>
                <w:szCs w:val="20"/>
              </w:rPr>
              <w:t>to reinvestigate information challenged by the consumer. 15 U.S.C. §</w:t>
            </w:r>
            <w:r>
              <w:rPr>
                <w:rFonts w:ascii="Arial" w:hAnsi="Arial" w:cs="Arial"/>
                <w:sz w:val="20"/>
                <w:szCs w:val="20"/>
              </w:rPr>
              <w:t xml:space="preserve">§  </w:t>
            </w:r>
            <w:r w:rsidRPr="00CA3A08">
              <w:rPr>
                <w:rFonts w:ascii="Arial" w:hAnsi="Arial" w:cs="Arial"/>
                <w:sz w:val="20"/>
                <w:szCs w:val="20"/>
              </w:rPr>
              <w:t>1681i</w:t>
            </w:r>
            <w:r>
              <w:rPr>
                <w:rFonts w:ascii="Arial" w:hAnsi="Arial" w:cs="Arial"/>
                <w:sz w:val="20"/>
                <w:szCs w:val="20"/>
              </w:rPr>
              <w:t>, 1681s-2(b</w:t>
            </w:r>
            <w:r w:rsidRPr="005738D5">
              <w:rPr>
                <w:rFonts w:ascii="Arial" w:hAnsi="Arial" w:cs="Arial"/>
                <w:sz w:val="20"/>
                <w:szCs w:val="20"/>
              </w:rPr>
              <w:t>)</w:t>
            </w:r>
            <w:r>
              <w:rPr>
                <w:rFonts w:ascii="Arial" w:hAnsi="Arial" w:cs="Arial"/>
                <w:sz w:val="20"/>
                <w:szCs w:val="20"/>
              </w:rPr>
              <w:t>,</w:t>
            </w:r>
            <w:r w:rsidRPr="005738D5">
              <w:rPr>
                <w:rFonts w:ascii="Arial" w:hAnsi="Arial" w:cs="Arial"/>
                <w:sz w:val="20"/>
                <w:szCs w:val="20"/>
              </w:rPr>
              <w:t xml:space="preserve"> 16 C.F.R. Part 660, 12 C.F.R. Part 1022, Subpart E</w:t>
            </w:r>
            <w:r>
              <w:rPr>
                <w:rFonts w:ascii="Arial" w:hAnsi="Arial" w:cs="Arial"/>
                <w:sz w:val="20"/>
                <w:szCs w:val="20"/>
              </w:rPr>
              <w:t>.</w:t>
            </w:r>
          </w:p>
          <w:p w14:paraId="6940CC33" w14:textId="424337A4" w:rsidR="00783200" w:rsidRPr="00CA3A08" w:rsidRDefault="00783200" w:rsidP="00783200">
            <w:pPr>
              <w:rPr>
                <w:rFonts w:ascii="Arial" w:hAnsi="Arial" w:cs="Arial"/>
                <w:sz w:val="20"/>
                <w:szCs w:val="20"/>
              </w:rPr>
            </w:pPr>
          </w:p>
        </w:tc>
        <w:tc>
          <w:tcPr>
            <w:tcW w:w="3383" w:type="dxa"/>
          </w:tcPr>
          <w:p w14:paraId="75E6A261" w14:textId="77777777" w:rsidR="00783200" w:rsidRPr="00CA3A08" w:rsidRDefault="00783200" w:rsidP="00783200">
            <w:pPr>
              <w:rPr>
                <w:rFonts w:ascii="Arial" w:hAnsi="Arial" w:cs="Arial"/>
                <w:sz w:val="20"/>
                <w:szCs w:val="20"/>
              </w:rPr>
            </w:pPr>
          </w:p>
        </w:tc>
        <w:tc>
          <w:tcPr>
            <w:tcW w:w="1209" w:type="dxa"/>
          </w:tcPr>
          <w:p w14:paraId="49C886C9"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October 26, 1970.</w:t>
            </w:r>
          </w:p>
          <w:p w14:paraId="2BF06BFC" w14:textId="7B154770" w:rsidR="00783200" w:rsidRPr="00CA3A08" w:rsidRDefault="00783200" w:rsidP="00783200">
            <w:pPr>
              <w:rPr>
                <w:rFonts w:ascii="Arial" w:hAnsi="Arial" w:cs="Arial"/>
                <w:sz w:val="20"/>
                <w:szCs w:val="20"/>
              </w:rPr>
            </w:pPr>
          </w:p>
        </w:tc>
      </w:tr>
      <w:tr w:rsidR="00783200" w:rsidRPr="00CA3A08" w14:paraId="4D9B80BD" w14:textId="77777777" w:rsidTr="009408B1">
        <w:tc>
          <w:tcPr>
            <w:tcW w:w="427" w:type="dxa"/>
            <w:vMerge/>
          </w:tcPr>
          <w:p w14:paraId="6E756AB4" w14:textId="77777777" w:rsidR="00783200" w:rsidRPr="00CA3A08" w:rsidRDefault="00783200" w:rsidP="00783200">
            <w:pPr>
              <w:rPr>
                <w:rFonts w:ascii="Arial" w:hAnsi="Arial" w:cs="Arial"/>
                <w:sz w:val="20"/>
                <w:szCs w:val="20"/>
              </w:rPr>
            </w:pPr>
          </w:p>
        </w:tc>
        <w:tc>
          <w:tcPr>
            <w:tcW w:w="2903" w:type="dxa"/>
            <w:vMerge/>
          </w:tcPr>
          <w:p w14:paraId="298B7779"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66732F00" w14:textId="512C52BC" w:rsidR="00783200" w:rsidRPr="00CA3A08" w:rsidRDefault="00783200" w:rsidP="00783200">
            <w:pPr>
              <w:rPr>
                <w:rFonts w:ascii="Arial" w:hAnsi="Arial" w:cs="Arial"/>
                <w:b/>
                <w:bCs/>
                <w:i/>
                <w:iCs/>
                <w:sz w:val="20"/>
                <w:szCs w:val="20"/>
                <w:u w:val="single"/>
              </w:rPr>
            </w:pPr>
            <w:r w:rsidRPr="00CA3A08">
              <w:rPr>
                <w:rFonts w:ascii="Arial" w:hAnsi="Arial" w:cs="Arial"/>
                <w:b/>
                <w:bCs/>
                <w:i/>
                <w:iCs/>
                <w:sz w:val="20"/>
                <w:szCs w:val="20"/>
                <w:u w:val="single"/>
              </w:rPr>
              <w:t>The Children’s Online Privacy Protection Act (COPPA),</w:t>
            </w:r>
            <w:r w:rsidRPr="00CA3A08">
              <w:rPr>
                <w:rFonts w:ascii="Arial" w:hAnsi="Arial" w:cs="Arial"/>
                <w:sz w:val="20"/>
                <w:szCs w:val="20"/>
                <w:u w:val="single"/>
              </w:rPr>
              <w:t xml:space="preserve">  </w:t>
            </w:r>
            <w:r w:rsidRPr="00CA3A08">
              <w:rPr>
                <w:rFonts w:ascii="Arial" w:hAnsi="Arial" w:cs="Arial"/>
                <w:sz w:val="20"/>
                <w:szCs w:val="20"/>
              </w:rPr>
              <w:t>15 U.S.C. § 6501 et seq; 16 C.F.R. Part 312.</w:t>
            </w:r>
          </w:p>
        </w:tc>
        <w:tc>
          <w:tcPr>
            <w:tcW w:w="3383" w:type="dxa"/>
          </w:tcPr>
          <w:p w14:paraId="733E2442" w14:textId="77777777" w:rsidR="00783200" w:rsidRDefault="00783200" w:rsidP="00783200">
            <w:pPr>
              <w:rPr>
                <w:rFonts w:ascii="Arial" w:hAnsi="Arial" w:cs="Arial"/>
                <w:sz w:val="20"/>
                <w:szCs w:val="20"/>
              </w:rPr>
            </w:pPr>
            <w:r w:rsidRPr="00CA3A08">
              <w:rPr>
                <w:rFonts w:ascii="Arial" w:hAnsi="Arial" w:cs="Arial"/>
                <w:sz w:val="20"/>
                <w:szCs w:val="20"/>
              </w:rPr>
              <w:t xml:space="preserve">COPPA provides parents with the right to review and delete the personal information provided by a child.  15 U.S.C. § 6502 (b)(1)(B); 16 C.F.R. </w:t>
            </w:r>
            <w:r>
              <w:rPr>
                <w:rFonts w:ascii="Arial" w:hAnsi="Arial" w:cs="Arial"/>
                <w:sz w:val="20"/>
                <w:szCs w:val="20"/>
              </w:rPr>
              <w:t xml:space="preserve">§§ </w:t>
            </w:r>
            <w:r w:rsidRPr="00CA3A08">
              <w:rPr>
                <w:rFonts w:ascii="Arial" w:hAnsi="Arial" w:cs="Arial"/>
                <w:sz w:val="20"/>
                <w:szCs w:val="20"/>
              </w:rPr>
              <w:t>312.3(c) and 312.6.</w:t>
            </w:r>
          </w:p>
          <w:p w14:paraId="6BDF0F3B" w14:textId="40CC2898" w:rsidR="00783200" w:rsidRPr="00CA3A08" w:rsidRDefault="00783200" w:rsidP="00783200">
            <w:pPr>
              <w:rPr>
                <w:rFonts w:ascii="Arial" w:hAnsi="Arial" w:cs="Arial"/>
                <w:sz w:val="20"/>
                <w:szCs w:val="20"/>
              </w:rPr>
            </w:pPr>
          </w:p>
        </w:tc>
        <w:tc>
          <w:tcPr>
            <w:tcW w:w="3383" w:type="dxa"/>
          </w:tcPr>
          <w:p w14:paraId="67582A6A" w14:textId="77777777" w:rsidR="00783200" w:rsidRPr="00CA3A08" w:rsidRDefault="00783200" w:rsidP="00783200">
            <w:pPr>
              <w:rPr>
                <w:rFonts w:ascii="Arial" w:hAnsi="Arial" w:cs="Arial"/>
                <w:sz w:val="20"/>
                <w:szCs w:val="20"/>
              </w:rPr>
            </w:pPr>
          </w:p>
        </w:tc>
        <w:tc>
          <w:tcPr>
            <w:tcW w:w="1209" w:type="dxa"/>
          </w:tcPr>
          <w:p w14:paraId="3458A7B0"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October 21, 1998.</w:t>
            </w:r>
          </w:p>
          <w:p w14:paraId="3C601893" w14:textId="77777777" w:rsidR="00783200" w:rsidRPr="310DF885" w:rsidRDefault="00783200" w:rsidP="00783200">
            <w:pPr>
              <w:rPr>
                <w:rFonts w:ascii="Arial" w:hAnsi="Arial" w:cs="Arial"/>
                <w:sz w:val="20"/>
                <w:szCs w:val="20"/>
              </w:rPr>
            </w:pPr>
          </w:p>
        </w:tc>
      </w:tr>
      <w:tr w:rsidR="00783200" w:rsidRPr="00CA3A08" w14:paraId="221832F8" w14:textId="77777777" w:rsidTr="009408B1">
        <w:tc>
          <w:tcPr>
            <w:tcW w:w="427" w:type="dxa"/>
            <w:vMerge/>
          </w:tcPr>
          <w:p w14:paraId="43A7D6A8" w14:textId="77777777" w:rsidR="00783200" w:rsidRPr="00CA3A08" w:rsidRDefault="00783200" w:rsidP="00783200">
            <w:pPr>
              <w:rPr>
                <w:rFonts w:ascii="Arial" w:hAnsi="Arial" w:cs="Arial"/>
                <w:sz w:val="20"/>
                <w:szCs w:val="20"/>
              </w:rPr>
            </w:pPr>
          </w:p>
        </w:tc>
        <w:tc>
          <w:tcPr>
            <w:tcW w:w="2903" w:type="dxa"/>
            <w:vMerge/>
          </w:tcPr>
          <w:p w14:paraId="18E2BE0E"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4DA1DC74" w14:textId="6DBB7B02" w:rsidR="00783200" w:rsidRPr="00CA3A08" w:rsidRDefault="00783200" w:rsidP="00783200">
            <w:pPr>
              <w:rPr>
                <w:rFonts w:ascii="Arial" w:hAnsi="Arial" w:cs="Arial"/>
                <w:b/>
                <w:bCs/>
                <w:i/>
                <w:iCs/>
                <w:sz w:val="20"/>
                <w:szCs w:val="20"/>
                <w:u w:val="single"/>
              </w:rPr>
            </w:pPr>
            <w:r w:rsidRPr="00CA3A08">
              <w:rPr>
                <w:rFonts w:ascii="Arial" w:hAnsi="Arial" w:cs="Arial"/>
                <w:b/>
                <w:bCs/>
                <w:i/>
                <w:iCs/>
                <w:sz w:val="20"/>
                <w:szCs w:val="20"/>
                <w:u w:val="single"/>
              </w:rPr>
              <w:t>Health Insurance Portability and Accountability Act (HIPAA),</w:t>
            </w:r>
            <w:r w:rsidRPr="00CA3A08">
              <w:rPr>
                <w:rFonts w:ascii="Arial" w:hAnsi="Arial" w:cs="Arial"/>
                <w:sz w:val="20"/>
                <w:szCs w:val="20"/>
                <w:u w:val="single"/>
              </w:rPr>
              <w:t xml:space="preserve"> </w:t>
            </w:r>
            <w:r w:rsidRPr="00CA3A08">
              <w:rPr>
                <w:rFonts w:ascii="Arial" w:hAnsi="Arial" w:cs="Arial"/>
                <w:sz w:val="20"/>
                <w:szCs w:val="20"/>
              </w:rPr>
              <w:t>Pub. L. 104-191 §§ 262 &amp; 264) Privacy Rule, 45 C.F.R. Parts 160 &amp; 164.</w:t>
            </w:r>
          </w:p>
        </w:tc>
        <w:tc>
          <w:tcPr>
            <w:tcW w:w="3383" w:type="dxa"/>
          </w:tcPr>
          <w:p w14:paraId="6C0A4946" w14:textId="77777777" w:rsidR="00783200" w:rsidRDefault="00783200" w:rsidP="00783200">
            <w:pPr>
              <w:rPr>
                <w:rFonts w:ascii="Arial" w:hAnsi="Arial" w:cs="Arial"/>
                <w:sz w:val="20"/>
                <w:szCs w:val="20"/>
              </w:rPr>
            </w:pPr>
            <w:r w:rsidRPr="00CA3A08">
              <w:rPr>
                <w:rFonts w:ascii="Arial" w:hAnsi="Arial" w:cs="Arial"/>
                <w:sz w:val="20"/>
                <w:szCs w:val="20"/>
              </w:rPr>
              <w:t>The HIPAA Privacy Rule grants an individual the right to access, inspect, and obtain a copy of protected health information about themselves in a designated record set with narrow exceptions.  The custodian is permitted to charge a reasonable fee.  An individual has the right to request amendment of protected health information held by a covered entity in a designated record set with certain exceptions.  The individual has the right to a timely written denial, and has the right to submit a statement of disagreement that must be placed in the record and disclosed with the record.  The covered entity may include a rebuttal.</w:t>
            </w:r>
            <w:r>
              <w:rPr>
                <w:rFonts w:ascii="Arial" w:hAnsi="Arial" w:cs="Arial"/>
                <w:sz w:val="20"/>
                <w:szCs w:val="20"/>
              </w:rPr>
              <w:t xml:space="preserve">  </w:t>
            </w:r>
            <w:r w:rsidRPr="0086731A">
              <w:rPr>
                <w:rFonts w:ascii="Arial" w:hAnsi="Arial" w:cs="Arial"/>
                <w:sz w:val="20"/>
                <w:szCs w:val="20"/>
              </w:rPr>
              <w:t>45 C.F.R. Part</w:t>
            </w:r>
            <w:r>
              <w:rPr>
                <w:rFonts w:ascii="Arial" w:hAnsi="Arial" w:cs="Arial"/>
                <w:sz w:val="20"/>
                <w:szCs w:val="20"/>
              </w:rPr>
              <w:t xml:space="preserve"> 164.</w:t>
            </w:r>
          </w:p>
          <w:p w14:paraId="55931EEA" w14:textId="5963FDBE" w:rsidR="00783200" w:rsidRPr="00CA3A08" w:rsidRDefault="00783200" w:rsidP="00783200">
            <w:pPr>
              <w:rPr>
                <w:rFonts w:ascii="Arial" w:hAnsi="Arial" w:cs="Arial"/>
                <w:sz w:val="20"/>
                <w:szCs w:val="20"/>
                <w:lang w:val="en-CA"/>
              </w:rPr>
            </w:pPr>
          </w:p>
        </w:tc>
        <w:tc>
          <w:tcPr>
            <w:tcW w:w="3383" w:type="dxa"/>
          </w:tcPr>
          <w:p w14:paraId="0815C982" w14:textId="77777777" w:rsidR="00783200" w:rsidRPr="00CA3A08" w:rsidRDefault="00783200" w:rsidP="00783200">
            <w:pPr>
              <w:rPr>
                <w:rFonts w:ascii="Arial" w:hAnsi="Arial" w:cs="Arial"/>
                <w:sz w:val="20"/>
                <w:szCs w:val="20"/>
              </w:rPr>
            </w:pPr>
          </w:p>
        </w:tc>
        <w:tc>
          <w:tcPr>
            <w:tcW w:w="1209" w:type="dxa"/>
          </w:tcPr>
          <w:p w14:paraId="6671E8E7"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August 21, 1996.</w:t>
            </w:r>
          </w:p>
          <w:p w14:paraId="46E0332D" w14:textId="77777777" w:rsidR="00783200" w:rsidRPr="310DF885" w:rsidRDefault="00783200" w:rsidP="00783200">
            <w:pPr>
              <w:rPr>
                <w:rFonts w:ascii="Arial" w:eastAsia="Arial" w:hAnsi="Arial" w:cs="Arial"/>
                <w:sz w:val="20"/>
                <w:szCs w:val="20"/>
              </w:rPr>
            </w:pPr>
          </w:p>
        </w:tc>
      </w:tr>
      <w:tr w:rsidR="00783200" w:rsidRPr="00CA3A08" w14:paraId="4F729117" w14:textId="77777777" w:rsidTr="009408B1">
        <w:tc>
          <w:tcPr>
            <w:tcW w:w="427" w:type="dxa"/>
            <w:vMerge/>
          </w:tcPr>
          <w:p w14:paraId="7161FBC0" w14:textId="77777777" w:rsidR="00783200" w:rsidRPr="00CA3A08" w:rsidRDefault="00783200" w:rsidP="00783200">
            <w:pPr>
              <w:rPr>
                <w:rFonts w:ascii="Arial" w:hAnsi="Arial" w:cs="Arial"/>
                <w:sz w:val="20"/>
                <w:szCs w:val="20"/>
              </w:rPr>
            </w:pPr>
          </w:p>
        </w:tc>
        <w:tc>
          <w:tcPr>
            <w:tcW w:w="2903" w:type="dxa"/>
            <w:vMerge/>
          </w:tcPr>
          <w:p w14:paraId="5703EFC8"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4D12AF63" w14:textId="2C6C463A" w:rsidR="00783200" w:rsidRPr="00CA3A08" w:rsidRDefault="00783200" w:rsidP="00783200">
            <w:pPr>
              <w:rPr>
                <w:rFonts w:ascii="Arial" w:hAnsi="Arial" w:cs="Arial"/>
                <w:b/>
                <w:bCs/>
                <w:i/>
                <w:iCs/>
                <w:sz w:val="20"/>
                <w:szCs w:val="20"/>
                <w:u w:val="single"/>
              </w:rPr>
            </w:pPr>
            <w:r w:rsidRPr="00CA3A08">
              <w:rPr>
                <w:rFonts w:ascii="Arial" w:hAnsi="Arial" w:cs="Arial"/>
                <w:b/>
                <w:i/>
                <w:sz w:val="20"/>
                <w:szCs w:val="20"/>
                <w:u w:val="single"/>
              </w:rPr>
              <w:t xml:space="preserve">Communications Act of 1934 (as amended by the Cable </w:t>
            </w:r>
            <w:r w:rsidRPr="00CA3A08">
              <w:rPr>
                <w:rFonts w:ascii="Arial" w:hAnsi="Arial" w:cs="Arial"/>
                <w:b/>
                <w:i/>
                <w:sz w:val="20"/>
                <w:szCs w:val="20"/>
                <w:u w:val="single"/>
              </w:rPr>
              <w:lastRenderedPageBreak/>
              <w:t>Communications Policy Act of 1984 (CCPA) and the Telecommunications Act of 1996),</w:t>
            </w:r>
            <w:r w:rsidRPr="00CA3A08">
              <w:rPr>
                <w:rFonts w:ascii="Arial" w:hAnsi="Arial" w:cs="Arial"/>
                <w:sz w:val="20"/>
                <w:szCs w:val="20"/>
                <w:u w:val="single"/>
              </w:rPr>
              <w:t xml:space="preserve"> </w:t>
            </w:r>
            <w:r w:rsidRPr="00CA3A08">
              <w:rPr>
                <w:rFonts w:ascii="Arial" w:hAnsi="Arial" w:cs="Arial"/>
                <w:sz w:val="20"/>
                <w:szCs w:val="20"/>
              </w:rPr>
              <w:t>47 U.S.C. § 151 et seq.</w:t>
            </w:r>
          </w:p>
        </w:tc>
        <w:tc>
          <w:tcPr>
            <w:tcW w:w="3383" w:type="dxa"/>
          </w:tcPr>
          <w:p w14:paraId="2F8BD02E" w14:textId="77777777" w:rsidR="00783200" w:rsidRPr="00CA3A08" w:rsidRDefault="00783200" w:rsidP="00783200">
            <w:pPr>
              <w:rPr>
                <w:rFonts w:ascii="Arial" w:hAnsi="Arial" w:cs="Arial"/>
                <w:sz w:val="20"/>
                <w:szCs w:val="20"/>
              </w:rPr>
            </w:pPr>
            <w:r w:rsidRPr="00CA3A08">
              <w:rPr>
                <w:rFonts w:ascii="Arial" w:hAnsi="Arial" w:cs="Arial"/>
                <w:sz w:val="20"/>
                <w:szCs w:val="20"/>
              </w:rPr>
              <w:lastRenderedPageBreak/>
              <w:t xml:space="preserve">For cable operators in particular, the Communications Act provides </w:t>
            </w:r>
            <w:r w:rsidRPr="00CA3A08">
              <w:rPr>
                <w:rFonts w:ascii="Arial" w:hAnsi="Arial" w:cs="Arial"/>
                <w:sz w:val="20"/>
                <w:szCs w:val="20"/>
              </w:rPr>
              <w:lastRenderedPageBreak/>
              <w:t xml:space="preserve">for access to, and correction of, personal information by customers.  47 U.S.C. § 551(d).  These requirements also apply to open video systems.  47 C.F.R. § 76.1510.    </w:t>
            </w:r>
          </w:p>
          <w:p w14:paraId="60DF39BC" w14:textId="50CEFB4E" w:rsidR="00783200" w:rsidRPr="00CA3A08" w:rsidRDefault="00783200" w:rsidP="00783200">
            <w:pPr>
              <w:rPr>
                <w:rFonts w:ascii="Arial" w:hAnsi="Arial" w:cs="Arial"/>
                <w:sz w:val="20"/>
                <w:szCs w:val="20"/>
              </w:rPr>
            </w:pPr>
          </w:p>
        </w:tc>
        <w:tc>
          <w:tcPr>
            <w:tcW w:w="3383" w:type="dxa"/>
          </w:tcPr>
          <w:p w14:paraId="6EB6DA27" w14:textId="77777777" w:rsidR="00783200" w:rsidRPr="00CA3A08" w:rsidRDefault="00783200" w:rsidP="00783200">
            <w:pPr>
              <w:rPr>
                <w:rFonts w:ascii="Arial" w:hAnsi="Arial" w:cs="Arial"/>
                <w:sz w:val="20"/>
                <w:szCs w:val="20"/>
              </w:rPr>
            </w:pPr>
          </w:p>
        </w:tc>
        <w:tc>
          <w:tcPr>
            <w:tcW w:w="1209" w:type="dxa"/>
          </w:tcPr>
          <w:p w14:paraId="21BE3D52" w14:textId="77777777" w:rsidR="00783200" w:rsidRPr="00CA3A08" w:rsidRDefault="00783200" w:rsidP="00783200">
            <w:pPr>
              <w:rPr>
                <w:rFonts w:ascii="Arial" w:eastAsia="Arial" w:hAnsi="Arial" w:cs="Arial"/>
                <w:sz w:val="20"/>
                <w:szCs w:val="20"/>
              </w:rPr>
            </w:pPr>
            <w:r w:rsidRPr="00CA3A08">
              <w:rPr>
                <w:rFonts w:ascii="Arial" w:eastAsia="Arial" w:hAnsi="Arial" w:cs="Arial"/>
                <w:sz w:val="20"/>
                <w:szCs w:val="20"/>
              </w:rPr>
              <w:t xml:space="preserve">Signed into law on </w:t>
            </w:r>
            <w:r w:rsidRPr="00CA3A08">
              <w:rPr>
                <w:rFonts w:ascii="Arial" w:eastAsia="Arial" w:hAnsi="Arial" w:cs="Arial"/>
                <w:sz w:val="20"/>
                <w:szCs w:val="20"/>
              </w:rPr>
              <w:lastRenderedPageBreak/>
              <w:t>June 19, 1934. Amended by the Cable Communications Policy Act of 1984 and the Telecommunications Act of 1996.</w:t>
            </w:r>
          </w:p>
          <w:p w14:paraId="77DC09D8" w14:textId="77777777" w:rsidR="00783200" w:rsidRPr="310DF885" w:rsidRDefault="00783200" w:rsidP="00783200">
            <w:pPr>
              <w:rPr>
                <w:rFonts w:ascii="Arial" w:eastAsia="Arial" w:hAnsi="Arial" w:cs="Arial"/>
                <w:sz w:val="20"/>
                <w:szCs w:val="20"/>
              </w:rPr>
            </w:pPr>
          </w:p>
        </w:tc>
      </w:tr>
      <w:tr w:rsidR="00783200" w:rsidRPr="00CA3A08" w14:paraId="38C9BF84" w14:textId="77777777" w:rsidTr="009408B1">
        <w:tc>
          <w:tcPr>
            <w:tcW w:w="427" w:type="dxa"/>
            <w:vMerge/>
          </w:tcPr>
          <w:p w14:paraId="48367AE6" w14:textId="77777777" w:rsidR="00783200" w:rsidRPr="00CA3A08" w:rsidRDefault="00783200" w:rsidP="00783200">
            <w:pPr>
              <w:rPr>
                <w:rFonts w:ascii="Arial" w:hAnsi="Arial" w:cs="Arial"/>
                <w:sz w:val="20"/>
                <w:szCs w:val="20"/>
              </w:rPr>
            </w:pPr>
          </w:p>
        </w:tc>
        <w:tc>
          <w:tcPr>
            <w:tcW w:w="2903" w:type="dxa"/>
            <w:vMerge/>
          </w:tcPr>
          <w:p w14:paraId="6D15A5DD"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1D2E2FBB" w14:textId="77777777" w:rsidR="00783200" w:rsidRDefault="00783200" w:rsidP="00783200">
            <w:pPr>
              <w:rPr>
                <w:rFonts w:ascii="Arial" w:hAnsi="Arial" w:cs="Arial"/>
                <w:sz w:val="20"/>
                <w:szCs w:val="20"/>
              </w:rPr>
            </w:pPr>
            <w:r w:rsidRPr="00CA3A08">
              <w:rPr>
                <w:rFonts w:ascii="Arial" w:hAnsi="Arial" w:cs="Arial"/>
                <w:b/>
                <w:bCs/>
                <w:i/>
                <w:iCs/>
                <w:sz w:val="20"/>
                <w:szCs w:val="20"/>
                <w:u w:val="single"/>
              </w:rPr>
              <w:t>Family Educational and Privacy Rights Act (FERPA),</w:t>
            </w:r>
            <w:r w:rsidRPr="00CA3A08">
              <w:rPr>
                <w:rFonts w:ascii="Arial" w:hAnsi="Arial" w:cs="Arial"/>
                <w:sz w:val="20"/>
                <w:szCs w:val="20"/>
                <w:u w:val="single"/>
              </w:rPr>
              <w:t xml:space="preserve"> </w:t>
            </w:r>
            <w:r w:rsidRPr="00CA3A08">
              <w:rPr>
                <w:rFonts w:ascii="Arial" w:hAnsi="Arial" w:cs="Arial"/>
                <w:sz w:val="20"/>
                <w:szCs w:val="20"/>
              </w:rPr>
              <w:t>20 U.S.C. § 1232g, applicable to all schools that receive funds under an applicable program of the U.S. Department of Education.</w:t>
            </w:r>
          </w:p>
          <w:p w14:paraId="72890718" w14:textId="1A4326A4" w:rsidR="00783200" w:rsidRPr="00CA3A08" w:rsidRDefault="00783200" w:rsidP="00783200">
            <w:pPr>
              <w:rPr>
                <w:rFonts w:ascii="Arial" w:hAnsi="Arial" w:cs="Arial"/>
                <w:b/>
                <w:bCs/>
                <w:i/>
                <w:iCs/>
                <w:sz w:val="20"/>
                <w:szCs w:val="20"/>
                <w:u w:val="single"/>
              </w:rPr>
            </w:pPr>
          </w:p>
        </w:tc>
        <w:tc>
          <w:tcPr>
            <w:tcW w:w="3383" w:type="dxa"/>
          </w:tcPr>
          <w:p w14:paraId="0DE20EA5" w14:textId="0FE9DDB9" w:rsidR="00783200" w:rsidRPr="00CA3A08" w:rsidRDefault="00783200" w:rsidP="00783200">
            <w:pPr>
              <w:rPr>
                <w:rFonts w:ascii="Arial" w:hAnsi="Arial" w:cs="Arial"/>
                <w:sz w:val="20"/>
                <w:szCs w:val="20"/>
              </w:rPr>
            </w:pPr>
            <w:r w:rsidRPr="00CA3A08">
              <w:rPr>
                <w:rFonts w:ascii="Arial" w:hAnsi="Arial" w:cs="Arial"/>
                <w:sz w:val="20"/>
                <w:szCs w:val="20"/>
              </w:rPr>
              <w:t>With certain limited exceptions, schools must allow a student (or the parent if the student is a minor) the opportunity to review and challenge or correct school records.  20 U.S.C. § 1232g(a).</w:t>
            </w:r>
          </w:p>
        </w:tc>
        <w:tc>
          <w:tcPr>
            <w:tcW w:w="3383" w:type="dxa"/>
          </w:tcPr>
          <w:p w14:paraId="34588B36" w14:textId="77777777" w:rsidR="00783200" w:rsidRPr="00CA3A08" w:rsidRDefault="00783200" w:rsidP="00783200">
            <w:pPr>
              <w:rPr>
                <w:rFonts w:ascii="Arial" w:hAnsi="Arial" w:cs="Arial"/>
                <w:sz w:val="20"/>
                <w:szCs w:val="20"/>
              </w:rPr>
            </w:pPr>
          </w:p>
        </w:tc>
        <w:tc>
          <w:tcPr>
            <w:tcW w:w="1209" w:type="dxa"/>
          </w:tcPr>
          <w:p w14:paraId="19EBABF2" w14:textId="77777777"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August 21, 1974.</w:t>
            </w:r>
          </w:p>
          <w:p w14:paraId="43E16418" w14:textId="77777777" w:rsidR="00783200" w:rsidRPr="310DF885" w:rsidRDefault="00783200" w:rsidP="00783200">
            <w:pPr>
              <w:rPr>
                <w:rFonts w:ascii="Arial" w:eastAsia="Arial" w:hAnsi="Arial" w:cs="Arial"/>
                <w:sz w:val="20"/>
                <w:szCs w:val="20"/>
              </w:rPr>
            </w:pPr>
          </w:p>
        </w:tc>
      </w:tr>
      <w:tr w:rsidR="00783200" w:rsidRPr="00CA3A08" w14:paraId="3B31AA38" w14:textId="77777777" w:rsidTr="009F3387">
        <w:trPr>
          <w:trHeight w:val="60"/>
        </w:trPr>
        <w:tc>
          <w:tcPr>
            <w:tcW w:w="427" w:type="dxa"/>
            <w:vMerge w:val="restart"/>
          </w:tcPr>
          <w:p w14:paraId="6471A338" w14:textId="77777777" w:rsidR="00783200" w:rsidRPr="00CA3A08" w:rsidRDefault="00783200" w:rsidP="00783200">
            <w:pPr>
              <w:rPr>
                <w:rFonts w:ascii="Arial" w:hAnsi="Arial" w:cs="Arial"/>
                <w:sz w:val="20"/>
                <w:szCs w:val="20"/>
              </w:rPr>
            </w:pPr>
            <w:r w:rsidRPr="00CA3A08">
              <w:rPr>
                <w:rFonts w:ascii="Arial" w:hAnsi="Arial" w:cs="Arial"/>
                <w:sz w:val="20"/>
                <w:szCs w:val="20"/>
              </w:rPr>
              <w:t>9</w:t>
            </w:r>
          </w:p>
          <w:p w14:paraId="768F7C00" w14:textId="77777777" w:rsidR="00783200" w:rsidRPr="00CA3A08" w:rsidRDefault="00783200" w:rsidP="00783200">
            <w:pPr>
              <w:jc w:val="center"/>
              <w:rPr>
                <w:rFonts w:ascii="Arial" w:hAnsi="Arial" w:cs="Arial"/>
                <w:sz w:val="20"/>
                <w:szCs w:val="20"/>
                <w:lang w:eastAsia="zh-TW"/>
              </w:rPr>
            </w:pPr>
          </w:p>
          <w:p w14:paraId="7994F1F9" w14:textId="77777777" w:rsidR="00783200" w:rsidRPr="00CA3A08" w:rsidRDefault="00783200" w:rsidP="00783200">
            <w:pPr>
              <w:jc w:val="center"/>
              <w:rPr>
                <w:rFonts w:ascii="Arial" w:hAnsi="Arial" w:cs="Arial"/>
                <w:sz w:val="20"/>
                <w:szCs w:val="20"/>
                <w:lang w:eastAsia="zh-TW"/>
              </w:rPr>
            </w:pPr>
          </w:p>
          <w:p w14:paraId="6213E5E6" w14:textId="77777777" w:rsidR="00783200" w:rsidRPr="00CA3A08" w:rsidRDefault="00783200" w:rsidP="00783200">
            <w:pPr>
              <w:jc w:val="center"/>
              <w:rPr>
                <w:rFonts w:ascii="Arial" w:hAnsi="Arial" w:cs="Arial"/>
                <w:sz w:val="20"/>
                <w:szCs w:val="20"/>
                <w:lang w:eastAsia="zh-TW"/>
              </w:rPr>
            </w:pPr>
          </w:p>
          <w:p w14:paraId="30679FEB" w14:textId="77777777" w:rsidR="00783200" w:rsidRPr="00CA3A08" w:rsidRDefault="00783200" w:rsidP="00783200">
            <w:pPr>
              <w:jc w:val="center"/>
              <w:rPr>
                <w:rFonts w:ascii="Arial" w:hAnsi="Arial" w:cs="Arial"/>
                <w:sz w:val="20"/>
                <w:szCs w:val="20"/>
                <w:lang w:eastAsia="zh-TW"/>
              </w:rPr>
            </w:pPr>
          </w:p>
          <w:p w14:paraId="126EBB69" w14:textId="77777777" w:rsidR="00783200" w:rsidRPr="00CA3A08" w:rsidRDefault="00783200" w:rsidP="00783200">
            <w:pPr>
              <w:jc w:val="center"/>
              <w:rPr>
                <w:rFonts w:ascii="Arial" w:hAnsi="Arial" w:cs="Arial"/>
                <w:sz w:val="20"/>
                <w:szCs w:val="20"/>
              </w:rPr>
            </w:pPr>
          </w:p>
        </w:tc>
        <w:tc>
          <w:tcPr>
            <w:tcW w:w="2903" w:type="dxa"/>
            <w:vMerge w:val="restart"/>
          </w:tcPr>
          <w:p w14:paraId="20C8DCA4" w14:textId="77777777" w:rsidR="00783200" w:rsidRPr="00592C78" w:rsidRDefault="00783200" w:rsidP="00783200">
            <w:pPr>
              <w:adjustRightInd w:val="0"/>
              <w:ind w:left="34"/>
              <w:rPr>
                <w:rFonts w:ascii="Arial" w:hAnsi="Arial" w:cs="Arial"/>
                <w:b/>
                <w:bCs/>
                <w:i/>
                <w:iCs/>
                <w:sz w:val="20"/>
                <w:szCs w:val="20"/>
                <w:lang w:bidi="mni-IN"/>
              </w:rPr>
            </w:pPr>
            <w:r w:rsidRPr="00592C78">
              <w:rPr>
                <w:rFonts w:ascii="Arial" w:hAnsi="Arial" w:cs="Arial"/>
                <w:b/>
                <w:bCs/>
                <w:i/>
                <w:iCs/>
                <w:sz w:val="20"/>
                <w:szCs w:val="20"/>
                <w:lang w:bidi="mni-IN"/>
              </w:rPr>
              <w:t>IX Accountability</w:t>
            </w:r>
          </w:p>
          <w:p w14:paraId="54C5390C" w14:textId="77777777" w:rsidR="00783200" w:rsidRPr="00592C78" w:rsidRDefault="00783200" w:rsidP="00783200">
            <w:pPr>
              <w:adjustRightInd w:val="0"/>
              <w:ind w:left="34"/>
              <w:rPr>
                <w:rFonts w:ascii="Arial" w:hAnsi="Arial" w:cs="Arial"/>
                <w:b/>
                <w:bCs/>
                <w:sz w:val="20"/>
                <w:szCs w:val="20"/>
                <w:lang w:bidi="mni-IN"/>
              </w:rPr>
            </w:pPr>
            <w:r w:rsidRPr="00592C78">
              <w:rPr>
                <w:rFonts w:ascii="Arial" w:hAnsi="Arial" w:cs="Arial"/>
                <w:b/>
                <w:bCs/>
                <w:sz w:val="20"/>
                <w:szCs w:val="20"/>
                <w:lang w:bidi="mni-IN"/>
              </w:rPr>
              <w:t xml:space="preserve">(Ref. Para. </w:t>
            </w:r>
            <w:r>
              <w:rPr>
                <w:rFonts w:ascii="Arial" w:hAnsi="Arial" w:cs="Arial"/>
                <w:b/>
                <w:bCs/>
                <w:sz w:val="20"/>
                <w:szCs w:val="20"/>
                <w:lang w:bidi="mni-IN"/>
              </w:rPr>
              <w:t>32</w:t>
            </w:r>
            <w:r w:rsidRPr="00592C78">
              <w:rPr>
                <w:rFonts w:ascii="Arial" w:hAnsi="Arial" w:cs="Arial"/>
                <w:b/>
                <w:bCs/>
                <w:sz w:val="20"/>
                <w:szCs w:val="20"/>
                <w:lang w:bidi="mni-IN"/>
              </w:rPr>
              <w:t>)</w:t>
            </w:r>
          </w:p>
          <w:p w14:paraId="2D2A676A" w14:textId="77777777" w:rsidR="00783200" w:rsidRPr="00592C78" w:rsidRDefault="00783200" w:rsidP="00783200">
            <w:pPr>
              <w:adjustRightInd w:val="0"/>
              <w:ind w:left="34"/>
              <w:rPr>
                <w:rFonts w:ascii="Arial" w:hAnsi="Arial" w:cs="Arial"/>
                <w:b/>
                <w:bCs/>
                <w:sz w:val="20"/>
                <w:szCs w:val="20"/>
                <w:lang w:bidi="mni-IN"/>
              </w:rPr>
            </w:pPr>
          </w:p>
          <w:p w14:paraId="4ECE101E" w14:textId="77777777" w:rsidR="00783200" w:rsidRDefault="00783200" w:rsidP="00783200">
            <w:pPr>
              <w:ind w:left="34"/>
              <w:rPr>
                <w:rFonts w:ascii="Arial" w:hAnsi="Arial" w:cs="Arial"/>
                <w:sz w:val="20"/>
                <w:szCs w:val="20"/>
              </w:rPr>
            </w:pPr>
            <w:r w:rsidRPr="00592C78">
              <w:rPr>
                <w:rFonts w:ascii="Arial" w:hAnsi="Arial" w:cs="Arial"/>
                <w:sz w:val="20"/>
                <w:szCs w:val="20"/>
              </w:rPr>
              <w:t xml:space="preserve">A </w:t>
            </w:r>
            <w:r>
              <w:rPr>
                <w:rFonts w:ascii="Arial" w:hAnsi="Arial" w:cs="Arial"/>
                <w:sz w:val="20"/>
                <w:szCs w:val="20"/>
              </w:rPr>
              <w:t>personal information controller</w:t>
            </w:r>
            <w:r w:rsidRPr="00592C78">
              <w:rPr>
                <w:rFonts w:ascii="Arial" w:hAnsi="Arial" w:cs="Arial"/>
                <w:sz w:val="20"/>
                <w:szCs w:val="20"/>
              </w:rPr>
              <w:t xml:space="preserve"> should be accountable for complying with measures that give effect to the Principles stated above. </w:t>
            </w:r>
          </w:p>
          <w:p w14:paraId="524D3B18" w14:textId="77777777" w:rsidR="00783200" w:rsidRDefault="00783200" w:rsidP="00783200">
            <w:pPr>
              <w:ind w:left="34"/>
              <w:rPr>
                <w:rFonts w:ascii="Arial" w:hAnsi="Arial" w:cs="Arial"/>
                <w:sz w:val="20"/>
                <w:szCs w:val="20"/>
              </w:rPr>
            </w:pPr>
          </w:p>
          <w:p w14:paraId="77E0ECA5" w14:textId="77777777" w:rsidR="00783200" w:rsidRPr="008B394D" w:rsidRDefault="00783200" w:rsidP="00783200">
            <w:pPr>
              <w:ind w:left="34"/>
              <w:rPr>
                <w:rFonts w:ascii="Arial" w:hAnsi="Arial" w:cs="Arial"/>
                <w:sz w:val="20"/>
                <w:szCs w:val="20"/>
                <w:highlight w:val="yellow"/>
              </w:rPr>
            </w:pPr>
            <w:r w:rsidRPr="00592C78">
              <w:rPr>
                <w:rFonts w:ascii="Arial" w:hAnsi="Arial" w:cs="Arial"/>
                <w:sz w:val="20"/>
                <w:szCs w:val="20"/>
              </w:rPr>
              <w:t xml:space="preserve">When personal information is to be transferred to another </w:t>
            </w:r>
            <w:r w:rsidRPr="00592C78">
              <w:rPr>
                <w:rFonts w:ascii="Arial" w:hAnsi="Arial" w:cs="Arial"/>
                <w:sz w:val="20"/>
                <w:szCs w:val="20"/>
              </w:rPr>
              <w:lastRenderedPageBreak/>
              <w:t>person or organization, whether domestically or internationally, the personal information controller should obtain the consent of the individual or exercise due diligence and take reasonable steps to ensure that the recipient person or organization will protect the information consistently with these Principles.</w:t>
            </w:r>
          </w:p>
          <w:p w14:paraId="284C70EA" w14:textId="5A9BA9AB" w:rsidR="00783200" w:rsidRPr="00CA3A08" w:rsidRDefault="00783200" w:rsidP="00783200">
            <w:pPr>
              <w:ind w:left="72"/>
              <w:rPr>
                <w:rFonts w:ascii="Arial" w:hAnsi="Arial" w:cs="Arial"/>
                <w:sz w:val="20"/>
                <w:szCs w:val="20"/>
              </w:rPr>
            </w:pPr>
          </w:p>
        </w:tc>
        <w:tc>
          <w:tcPr>
            <w:tcW w:w="3383" w:type="dxa"/>
          </w:tcPr>
          <w:p w14:paraId="17947828" w14:textId="12482359" w:rsidR="00783200" w:rsidRPr="00CA3A08" w:rsidRDefault="00783200" w:rsidP="00783200">
            <w:pPr>
              <w:rPr>
                <w:rFonts w:ascii="Arial" w:hAnsi="Arial" w:cs="Arial"/>
                <w:sz w:val="20"/>
                <w:szCs w:val="20"/>
              </w:rPr>
            </w:pPr>
            <w:r w:rsidRPr="00CA3A08">
              <w:rPr>
                <w:rFonts w:ascii="Arial" w:hAnsi="Arial" w:cs="Arial"/>
                <w:b/>
                <w:bCs/>
                <w:i/>
                <w:iCs/>
                <w:sz w:val="20"/>
                <w:szCs w:val="20"/>
                <w:u w:val="single"/>
              </w:rPr>
              <w:lastRenderedPageBreak/>
              <w:t>The Fair Credit Reporting Act (FCRA),</w:t>
            </w:r>
            <w:r w:rsidRPr="00CA3A08">
              <w:rPr>
                <w:rFonts w:ascii="Arial" w:hAnsi="Arial" w:cs="Arial"/>
                <w:i/>
                <w:iCs/>
                <w:sz w:val="20"/>
                <w:szCs w:val="20"/>
                <w:u w:val="single"/>
              </w:rPr>
              <w:t xml:space="preserve"> </w:t>
            </w:r>
            <w:r w:rsidRPr="00CA3A08">
              <w:rPr>
                <w:rFonts w:ascii="Arial" w:hAnsi="Arial" w:cs="Arial"/>
                <w:sz w:val="20"/>
                <w:szCs w:val="20"/>
              </w:rPr>
              <w:t xml:space="preserve">15 U.S.C. § 1681 et seq.  </w:t>
            </w:r>
          </w:p>
        </w:tc>
        <w:tc>
          <w:tcPr>
            <w:tcW w:w="3383" w:type="dxa"/>
          </w:tcPr>
          <w:p w14:paraId="7480D316" w14:textId="77777777" w:rsidR="00783200" w:rsidRPr="00CA3A08" w:rsidRDefault="00783200" w:rsidP="00783200">
            <w:pPr>
              <w:rPr>
                <w:rFonts w:ascii="Arial" w:hAnsi="Arial" w:cs="Arial"/>
                <w:sz w:val="20"/>
                <w:szCs w:val="20"/>
              </w:rPr>
            </w:pPr>
            <w:r w:rsidRPr="00CA3A08">
              <w:rPr>
                <w:rFonts w:ascii="Arial" w:hAnsi="Arial" w:cs="Arial"/>
                <w:sz w:val="20"/>
                <w:szCs w:val="20"/>
                <w:lang w:val="en-CA"/>
              </w:rPr>
              <w:fldChar w:fldCharType="begin"/>
            </w:r>
            <w:r w:rsidRPr="00CA3A08">
              <w:rPr>
                <w:rFonts w:ascii="Arial" w:hAnsi="Arial" w:cs="Arial"/>
                <w:sz w:val="20"/>
                <w:szCs w:val="20"/>
                <w:lang w:val="en-CA"/>
              </w:rPr>
              <w:instrText xml:space="preserve"> SEQ CHAPTER \h \r 1</w:instrText>
            </w:r>
            <w:r w:rsidRPr="00CA3A08">
              <w:rPr>
                <w:rFonts w:ascii="Arial" w:hAnsi="Arial" w:cs="Arial"/>
                <w:sz w:val="20"/>
                <w:szCs w:val="20"/>
                <w:lang w:val="en-CA"/>
              </w:rPr>
              <w:fldChar w:fldCharType="end"/>
            </w:r>
            <w:r w:rsidRPr="00CA3A08">
              <w:rPr>
                <w:rFonts w:ascii="Arial" w:hAnsi="Arial" w:cs="Arial"/>
                <w:sz w:val="20"/>
                <w:szCs w:val="20"/>
              </w:rPr>
              <w:t xml:space="preserve">The FCRA provides for limited accountability by requiring prospective users of consumer report information to certify the purpose for which they seek to acquire the consumer report information and that they will use the information only for that purpose, and by prohibiting the release of consumer report information by a consumer reporting agency when information </w:t>
            </w:r>
            <w:r w:rsidRPr="00CA3A08">
              <w:rPr>
                <w:rFonts w:ascii="Arial" w:hAnsi="Arial" w:cs="Arial"/>
                <w:sz w:val="20"/>
                <w:szCs w:val="20"/>
              </w:rPr>
              <w:lastRenderedPageBreak/>
              <w:t>is sought for a non-permissible purpose. 15 U.S.C. § 1681e.</w:t>
            </w:r>
          </w:p>
          <w:p w14:paraId="6361D2E0" w14:textId="6C978765" w:rsidR="00783200" w:rsidRPr="00CA3A08" w:rsidRDefault="00783200" w:rsidP="00783200">
            <w:pPr>
              <w:rPr>
                <w:rFonts w:ascii="Arial" w:hAnsi="Arial" w:cs="Arial"/>
                <w:sz w:val="20"/>
                <w:szCs w:val="20"/>
              </w:rPr>
            </w:pPr>
          </w:p>
        </w:tc>
        <w:tc>
          <w:tcPr>
            <w:tcW w:w="3383" w:type="dxa"/>
          </w:tcPr>
          <w:p w14:paraId="3AE3BBF5" w14:textId="77777777" w:rsidR="00783200" w:rsidRPr="00CA3A08" w:rsidRDefault="00783200" w:rsidP="00783200">
            <w:pPr>
              <w:rPr>
                <w:rFonts w:ascii="Arial" w:hAnsi="Arial" w:cs="Arial"/>
                <w:sz w:val="20"/>
                <w:szCs w:val="20"/>
              </w:rPr>
            </w:pPr>
          </w:p>
        </w:tc>
        <w:tc>
          <w:tcPr>
            <w:tcW w:w="1209" w:type="dxa"/>
          </w:tcPr>
          <w:p w14:paraId="4DAE8503" w14:textId="2D845C3A" w:rsidR="00783200" w:rsidRPr="00CA3A08" w:rsidRDefault="00783200" w:rsidP="00783200">
            <w:pPr>
              <w:rPr>
                <w:rFonts w:ascii="Arial" w:hAnsi="Arial" w:cs="Arial"/>
                <w:sz w:val="20"/>
                <w:szCs w:val="20"/>
              </w:rPr>
            </w:pPr>
            <w:r w:rsidRPr="310DF885">
              <w:rPr>
                <w:rFonts w:ascii="Arial" w:hAnsi="Arial" w:cs="Arial"/>
                <w:sz w:val="20"/>
                <w:szCs w:val="20"/>
              </w:rPr>
              <w:t>Signed into law on October 26, 1970.</w:t>
            </w:r>
          </w:p>
        </w:tc>
      </w:tr>
      <w:tr w:rsidR="00783200" w:rsidRPr="00CA3A08" w14:paraId="7D830EE4" w14:textId="77777777" w:rsidTr="009F3387">
        <w:trPr>
          <w:trHeight w:val="60"/>
        </w:trPr>
        <w:tc>
          <w:tcPr>
            <w:tcW w:w="427" w:type="dxa"/>
            <w:vMerge/>
          </w:tcPr>
          <w:p w14:paraId="1F2BABE8" w14:textId="77777777" w:rsidR="00783200" w:rsidRPr="00CA3A08" w:rsidRDefault="00783200" w:rsidP="00783200">
            <w:pPr>
              <w:rPr>
                <w:rFonts w:ascii="Arial" w:hAnsi="Arial" w:cs="Arial"/>
                <w:sz w:val="20"/>
                <w:szCs w:val="20"/>
              </w:rPr>
            </w:pPr>
          </w:p>
        </w:tc>
        <w:tc>
          <w:tcPr>
            <w:tcW w:w="2903" w:type="dxa"/>
            <w:vMerge/>
          </w:tcPr>
          <w:p w14:paraId="696EB40D"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56FE4F95" w14:textId="699561D5" w:rsidR="00783200" w:rsidRPr="00CA3A08" w:rsidRDefault="00783200" w:rsidP="00783200">
            <w:pPr>
              <w:rPr>
                <w:rFonts w:ascii="Arial" w:hAnsi="Arial" w:cs="Arial"/>
                <w:sz w:val="20"/>
                <w:szCs w:val="20"/>
              </w:rPr>
            </w:pPr>
            <w:r w:rsidRPr="00CA3A08">
              <w:rPr>
                <w:rFonts w:ascii="Arial" w:hAnsi="Arial" w:cs="Arial"/>
                <w:b/>
                <w:bCs/>
                <w:i/>
                <w:iCs/>
                <w:sz w:val="20"/>
                <w:szCs w:val="20"/>
                <w:u w:val="single"/>
              </w:rPr>
              <w:t>The Gramm-Leach-Bliley Act (GLBA),</w:t>
            </w:r>
            <w:r w:rsidRPr="00CA3A08">
              <w:rPr>
                <w:rFonts w:ascii="Arial" w:hAnsi="Arial" w:cs="Arial"/>
                <w:i/>
                <w:iCs/>
                <w:sz w:val="20"/>
                <w:szCs w:val="20"/>
                <w:u w:val="single"/>
              </w:rPr>
              <w:t xml:space="preserve"> </w:t>
            </w:r>
            <w:r w:rsidRPr="00CA3A08">
              <w:rPr>
                <w:rFonts w:ascii="Arial" w:hAnsi="Arial" w:cs="Arial"/>
                <w:sz w:val="20"/>
                <w:szCs w:val="20"/>
              </w:rPr>
              <w:t>Subchapter I (Disclosure of Nonpublic Personal Information) 15 U.S.C. § 6801 et seq.</w:t>
            </w:r>
          </w:p>
        </w:tc>
        <w:tc>
          <w:tcPr>
            <w:tcW w:w="3383" w:type="dxa"/>
          </w:tcPr>
          <w:p w14:paraId="22D71C5F" w14:textId="77777777" w:rsidR="00783200" w:rsidRPr="00CA3A08" w:rsidRDefault="00783200" w:rsidP="00783200">
            <w:pPr>
              <w:rPr>
                <w:rFonts w:ascii="Arial" w:hAnsi="Arial" w:cs="Arial"/>
                <w:sz w:val="20"/>
                <w:szCs w:val="20"/>
              </w:rPr>
            </w:pPr>
            <w:r w:rsidRPr="00CA3A08">
              <w:rPr>
                <w:rFonts w:ascii="Arial" w:hAnsi="Arial" w:cs="Arial"/>
                <w:sz w:val="20"/>
                <w:szCs w:val="20"/>
              </w:rPr>
              <w:t>The GLBA creates accountability for covered entities by requiring them to ensure that their own affiliates as well as any third-party service providers with access to customer information maintain appropriate safeguards. 16 C.F.R. 314.2, 314.4.</w:t>
            </w:r>
          </w:p>
          <w:p w14:paraId="753FE071" w14:textId="77777777" w:rsidR="00783200" w:rsidRPr="00CA3A08" w:rsidRDefault="00783200" w:rsidP="00783200">
            <w:pPr>
              <w:rPr>
                <w:rFonts w:ascii="Arial" w:hAnsi="Arial" w:cs="Arial"/>
                <w:sz w:val="20"/>
                <w:szCs w:val="20"/>
              </w:rPr>
            </w:pPr>
          </w:p>
        </w:tc>
        <w:tc>
          <w:tcPr>
            <w:tcW w:w="3383" w:type="dxa"/>
          </w:tcPr>
          <w:p w14:paraId="2E923CAC" w14:textId="77777777" w:rsidR="00783200" w:rsidRPr="00CA3A08" w:rsidRDefault="00783200" w:rsidP="00783200">
            <w:pPr>
              <w:rPr>
                <w:rFonts w:ascii="Arial" w:hAnsi="Arial" w:cs="Arial"/>
                <w:sz w:val="20"/>
                <w:szCs w:val="20"/>
              </w:rPr>
            </w:pPr>
          </w:p>
        </w:tc>
        <w:tc>
          <w:tcPr>
            <w:tcW w:w="1209" w:type="dxa"/>
          </w:tcPr>
          <w:p w14:paraId="3B2E626F" w14:textId="2C935DC7" w:rsidR="00783200" w:rsidRPr="00CA3A08" w:rsidRDefault="00783200" w:rsidP="00783200">
            <w:pPr>
              <w:rPr>
                <w:rFonts w:ascii="Arial" w:hAnsi="Arial" w:cs="Arial"/>
                <w:sz w:val="20"/>
                <w:szCs w:val="20"/>
              </w:rPr>
            </w:pPr>
            <w:r w:rsidRPr="310DF885">
              <w:rPr>
                <w:rFonts w:ascii="Arial" w:hAnsi="Arial" w:cs="Arial"/>
                <w:sz w:val="20"/>
                <w:szCs w:val="20"/>
              </w:rPr>
              <w:t>Signed into law on November 12, 1999.</w:t>
            </w:r>
          </w:p>
        </w:tc>
      </w:tr>
      <w:tr w:rsidR="00783200" w:rsidRPr="00CA3A08" w14:paraId="626F23E5" w14:textId="77777777" w:rsidTr="009F3387">
        <w:trPr>
          <w:trHeight w:val="60"/>
        </w:trPr>
        <w:tc>
          <w:tcPr>
            <w:tcW w:w="427" w:type="dxa"/>
            <w:vMerge/>
          </w:tcPr>
          <w:p w14:paraId="3FFDB238" w14:textId="77777777" w:rsidR="00783200" w:rsidRPr="00CA3A08" w:rsidRDefault="00783200" w:rsidP="00783200">
            <w:pPr>
              <w:rPr>
                <w:rFonts w:ascii="Arial" w:hAnsi="Arial" w:cs="Arial"/>
                <w:sz w:val="20"/>
                <w:szCs w:val="20"/>
              </w:rPr>
            </w:pPr>
          </w:p>
        </w:tc>
        <w:tc>
          <w:tcPr>
            <w:tcW w:w="2903" w:type="dxa"/>
            <w:vMerge/>
          </w:tcPr>
          <w:p w14:paraId="02AAD29C"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6E5E49FD" w14:textId="7265F418" w:rsidR="00783200" w:rsidRPr="00CA3A08" w:rsidRDefault="00783200" w:rsidP="00783200">
            <w:pPr>
              <w:rPr>
                <w:rFonts w:ascii="Arial" w:hAnsi="Arial" w:cs="Arial"/>
                <w:sz w:val="20"/>
                <w:szCs w:val="20"/>
              </w:rPr>
            </w:pPr>
            <w:r w:rsidRPr="00CA3A08">
              <w:rPr>
                <w:rFonts w:ascii="Arial" w:hAnsi="Arial" w:cs="Arial"/>
                <w:b/>
                <w:bCs/>
                <w:i/>
                <w:iCs/>
                <w:sz w:val="20"/>
                <w:szCs w:val="20"/>
                <w:u w:val="single"/>
              </w:rPr>
              <w:t>The Federal Trade Commission Act (FTC ACT),</w:t>
            </w:r>
            <w:r w:rsidRPr="00CA3A08">
              <w:rPr>
                <w:rFonts w:ascii="Arial" w:hAnsi="Arial" w:cs="Arial"/>
                <w:i/>
                <w:iCs/>
                <w:sz w:val="20"/>
                <w:szCs w:val="20"/>
                <w:u w:val="single"/>
              </w:rPr>
              <w:t xml:space="preserve"> </w:t>
            </w:r>
            <w:r w:rsidRPr="00CA3A08">
              <w:rPr>
                <w:rFonts w:ascii="Arial" w:hAnsi="Arial" w:cs="Arial"/>
                <w:sz w:val="20"/>
                <w:szCs w:val="20"/>
              </w:rPr>
              <w:t>15 U.S.C. § 41 et. seq.</w:t>
            </w:r>
          </w:p>
        </w:tc>
        <w:tc>
          <w:tcPr>
            <w:tcW w:w="3383" w:type="dxa"/>
          </w:tcPr>
          <w:p w14:paraId="4C523641" w14:textId="77777777" w:rsidR="00783200" w:rsidRPr="00CA3A08" w:rsidRDefault="00783200" w:rsidP="00783200">
            <w:pPr>
              <w:rPr>
                <w:rFonts w:ascii="Arial" w:hAnsi="Arial" w:cs="Arial"/>
                <w:sz w:val="20"/>
                <w:szCs w:val="20"/>
              </w:rPr>
            </w:pPr>
            <w:bookmarkStart w:id="1" w:name="_Hlk78207105"/>
            <w:r w:rsidRPr="00CA3A08">
              <w:rPr>
                <w:rFonts w:ascii="Arial" w:hAnsi="Arial" w:cs="Arial"/>
                <w:sz w:val="20"/>
                <w:szCs w:val="20"/>
              </w:rPr>
              <w:t>Section 5 of the FTC Act</w:t>
            </w:r>
            <w:r>
              <w:rPr>
                <w:rFonts w:ascii="Arial" w:hAnsi="Arial" w:cs="Arial"/>
                <w:sz w:val="20"/>
                <w:szCs w:val="20"/>
              </w:rPr>
              <w:t xml:space="preserve"> prohibits “deceptive” or “unfair” practices</w:t>
            </w:r>
            <w:r w:rsidRPr="00CA3A08">
              <w:rPr>
                <w:rFonts w:ascii="Arial" w:hAnsi="Arial" w:cs="Arial"/>
                <w:sz w:val="20"/>
                <w:szCs w:val="20"/>
              </w:rPr>
              <w:t>,</w:t>
            </w:r>
            <w:r>
              <w:rPr>
                <w:rFonts w:ascii="Arial" w:hAnsi="Arial" w:cs="Arial"/>
                <w:sz w:val="20"/>
                <w:szCs w:val="20"/>
              </w:rPr>
              <w:t xml:space="preserve"> such as</w:t>
            </w:r>
            <w:r w:rsidRPr="00CA3A08">
              <w:rPr>
                <w:rFonts w:ascii="Arial" w:hAnsi="Arial" w:cs="Arial"/>
                <w:sz w:val="20"/>
                <w:szCs w:val="20"/>
              </w:rPr>
              <w:t xml:space="preserve"> </w:t>
            </w:r>
            <w:r>
              <w:rPr>
                <w:rFonts w:ascii="Arial" w:hAnsi="Arial" w:cs="Arial"/>
                <w:sz w:val="20"/>
                <w:szCs w:val="20"/>
              </w:rPr>
              <w:t xml:space="preserve">a business’s false promise that it will disclose information to third-party service providers only to the extent necessary to perform services on behalf of the business, or a service provider’s practice of collecting and sharing personal information in a way that contradicts merchants’ privacy policies. </w:t>
            </w:r>
            <w:r w:rsidRPr="00CA3A08">
              <w:rPr>
                <w:rFonts w:ascii="Arial" w:hAnsi="Arial" w:cs="Arial"/>
                <w:sz w:val="20"/>
                <w:szCs w:val="20"/>
              </w:rPr>
              <w:t>15 U.S.C. § 45.</w:t>
            </w:r>
          </w:p>
          <w:bookmarkEnd w:id="1"/>
          <w:p w14:paraId="32496C45" w14:textId="77777777" w:rsidR="00783200" w:rsidRPr="00CA3A08" w:rsidRDefault="00783200" w:rsidP="00783200">
            <w:pPr>
              <w:rPr>
                <w:rFonts w:ascii="Arial" w:hAnsi="Arial" w:cs="Arial"/>
                <w:sz w:val="20"/>
                <w:szCs w:val="20"/>
              </w:rPr>
            </w:pPr>
          </w:p>
        </w:tc>
        <w:tc>
          <w:tcPr>
            <w:tcW w:w="3383" w:type="dxa"/>
          </w:tcPr>
          <w:p w14:paraId="45CB5920" w14:textId="77777777" w:rsidR="00783200" w:rsidRPr="00CA3A08" w:rsidRDefault="00783200" w:rsidP="00783200">
            <w:pPr>
              <w:rPr>
                <w:rFonts w:ascii="Arial" w:hAnsi="Arial" w:cs="Arial"/>
                <w:sz w:val="20"/>
                <w:szCs w:val="20"/>
              </w:rPr>
            </w:pPr>
          </w:p>
        </w:tc>
        <w:tc>
          <w:tcPr>
            <w:tcW w:w="1209" w:type="dxa"/>
          </w:tcPr>
          <w:p w14:paraId="2526F419" w14:textId="074AB156" w:rsidR="00783200" w:rsidRPr="00CA3A08" w:rsidRDefault="00783200" w:rsidP="00783200">
            <w:pPr>
              <w:rPr>
                <w:rFonts w:ascii="Arial" w:hAnsi="Arial" w:cs="Arial"/>
                <w:sz w:val="20"/>
                <w:szCs w:val="20"/>
              </w:rPr>
            </w:pPr>
            <w:r w:rsidRPr="310DF885">
              <w:rPr>
                <w:rFonts w:ascii="Arial" w:eastAsia="Arial" w:hAnsi="Arial" w:cs="Arial"/>
                <w:sz w:val="20"/>
                <w:szCs w:val="20"/>
              </w:rPr>
              <w:t>Signed into law on September 26, 1914.</w:t>
            </w:r>
          </w:p>
        </w:tc>
      </w:tr>
      <w:tr w:rsidR="00783200" w:rsidRPr="00CA3A08" w14:paraId="618E222B" w14:textId="77777777" w:rsidTr="009F3387">
        <w:trPr>
          <w:trHeight w:val="60"/>
        </w:trPr>
        <w:tc>
          <w:tcPr>
            <w:tcW w:w="427" w:type="dxa"/>
            <w:vMerge/>
          </w:tcPr>
          <w:p w14:paraId="4E9CD9A5" w14:textId="77777777" w:rsidR="00783200" w:rsidRPr="00CA3A08" w:rsidRDefault="00783200" w:rsidP="00783200">
            <w:pPr>
              <w:rPr>
                <w:rFonts w:ascii="Arial" w:hAnsi="Arial" w:cs="Arial"/>
                <w:sz w:val="20"/>
                <w:szCs w:val="20"/>
              </w:rPr>
            </w:pPr>
          </w:p>
        </w:tc>
        <w:tc>
          <w:tcPr>
            <w:tcW w:w="2903" w:type="dxa"/>
            <w:vMerge/>
          </w:tcPr>
          <w:p w14:paraId="72567F1B"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7B572BC9" w14:textId="0E8B38DA" w:rsidR="00783200" w:rsidRPr="00CA3A08" w:rsidRDefault="00783200" w:rsidP="00783200">
            <w:pPr>
              <w:rPr>
                <w:rFonts w:ascii="Arial" w:hAnsi="Arial" w:cs="Arial"/>
                <w:sz w:val="20"/>
                <w:szCs w:val="20"/>
              </w:rPr>
            </w:pPr>
            <w:r w:rsidRPr="00CA3A08">
              <w:rPr>
                <w:rFonts w:ascii="Arial" w:hAnsi="Arial" w:cs="Arial"/>
                <w:b/>
                <w:bCs/>
                <w:i/>
                <w:iCs/>
                <w:sz w:val="20"/>
                <w:szCs w:val="20"/>
                <w:u w:val="single"/>
              </w:rPr>
              <w:t>The Drivers Privacy Protection Act of 1994 (DPPA),</w:t>
            </w:r>
            <w:r w:rsidRPr="00CA3A08">
              <w:rPr>
                <w:rFonts w:ascii="Arial" w:hAnsi="Arial" w:cs="Arial"/>
                <w:sz w:val="20"/>
                <w:szCs w:val="20"/>
                <w:u w:val="single"/>
              </w:rPr>
              <w:t xml:space="preserve"> </w:t>
            </w:r>
            <w:r w:rsidRPr="00CA3A08">
              <w:rPr>
                <w:rFonts w:ascii="Arial" w:hAnsi="Arial" w:cs="Arial"/>
                <w:sz w:val="20"/>
                <w:szCs w:val="20"/>
              </w:rPr>
              <w:t>18 U.S.C. § 2721 et seq.</w:t>
            </w:r>
          </w:p>
        </w:tc>
        <w:tc>
          <w:tcPr>
            <w:tcW w:w="3383" w:type="dxa"/>
          </w:tcPr>
          <w:p w14:paraId="0E10AD02" w14:textId="77777777" w:rsidR="00783200" w:rsidRPr="00CA3A08" w:rsidRDefault="00783200" w:rsidP="00783200">
            <w:pPr>
              <w:pStyle w:val="NormalWeb"/>
              <w:autoSpaceDE/>
              <w:autoSpaceDN/>
              <w:spacing w:before="0" w:after="0"/>
              <w:rPr>
                <w:rFonts w:ascii="Arial" w:eastAsia="Times New Roman" w:hAnsi="Arial" w:cs="Arial"/>
                <w:sz w:val="20"/>
                <w:szCs w:val="20"/>
              </w:rPr>
            </w:pPr>
            <w:r w:rsidRPr="00CA3A08">
              <w:rPr>
                <w:rFonts w:ascii="Arial" w:eastAsia="Times New Roman" w:hAnsi="Arial" w:cs="Arial"/>
                <w:sz w:val="20"/>
                <w:szCs w:val="20"/>
              </w:rPr>
              <w:t xml:space="preserve">The DPPA provides for limited accountability by prohibiting state motor vehicle departments from disclosing an individual’s personal information outside of a permissible </w:t>
            </w:r>
            <w:r>
              <w:rPr>
                <w:rFonts w:ascii="Arial" w:eastAsia="Times New Roman" w:hAnsi="Arial" w:cs="Arial"/>
                <w:sz w:val="20"/>
                <w:szCs w:val="20"/>
              </w:rPr>
              <w:t>use</w:t>
            </w:r>
            <w:r w:rsidRPr="00CA3A08">
              <w:rPr>
                <w:rFonts w:ascii="Arial" w:eastAsia="Times New Roman" w:hAnsi="Arial" w:cs="Arial"/>
                <w:sz w:val="20"/>
                <w:szCs w:val="20"/>
              </w:rPr>
              <w:t xml:space="preserve"> and by requiring state motor vehicle departments to obtain a waiver from the individual before releasing the individual’s personal information for requests outside of </w:t>
            </w:r>
            <w:r w:rsidRPr="00CA3A08">
              <w:rPr>
                <w:rFonts w:ascii="Arial" w:eastAsia="Times New Roman" w:hAnsi="Arial" w:cs="Arial"/>
                <w:sz w:val="20"/>
                <w:szCs w:val="20"/>
              </w:rPr>
              <w:lastRenderedPageBreak/>
              <w:t xml:space="preserve">the permissible </w:t>
            </w:r>
            <w:r>
              <w:rPr>
                <w:rFonts w:ascii="Arial" w:eastAsia="Times New Roman" w:hAnsi="Arial" w:cs="Arial"/>
                <w:sz w:val="20"/>
                <w:szCs w:val="20"/>
              </w:rPr>
              <w:t>uses</w:t>
            </w:r>
            <w:r w:rsidRPr="00CA3A08">
              <w:rPr>
                <w:rFonts w:ascii="Arial" w:eastAsia="Times New Roman" w:hAnsi="Arial" w:cs="Arial"/>
                <w:sz w:val="20"/>
                <w:szCs w:val="20"/>
              </w:rPr>
              <w:t xml:space="preserve">. Further, authorized recipients of personal information may not resell or redisclose the personal information outside of the permissible </w:t>
            </w:r>
            <w:r>
              <w:rPr>
                <w:rFonts w:ascii="Arial" w:eastAsia="Times New Roman" w:hAnsi="Arial" w:cs="Arial"/>
                <w:sz w:val="20"/>
                <w:szCs w:val="20"/>
              </w:rPr>
              <w:t>uses</w:t>
            </w:r>
            <w:r w:rsidRPr="00CA3A08">
              <w:rPr>
                <w:rFonts w:ascii="Arial" w:eastAsia="Times New Roman" w:hAnsi="Arial" w:cs="Arial"/>
                <w:sz w:val="20"/>
                <w:szCs w:val="20"/>
              </w:rPr>
              <w:t xml:space="preserve"> except when the individual has consented and must keep records regarding any such resale or redisclosure. 18 U.S.C. §§ 2721(c), 2721(d).</w:t>
            </w:r>
          </w:p>
          <w:p w14:paraId="5A37BD52" w14:textId="77777777" w:rsidR="00783200" w:rsidRPr="00CA3A08" w:rsidRDefault="00783200" w:rsidP="00783200">
            <w:pPr>
              <w:rPr>
                <w:rFonts w:ascii="Arial" w:hAnsi="Arial" w:cs="Arial"/>
                <w:sz w:val="20"/>
                <w:szCs w:val="20"/>
              </w:rPr>
            </w:pPr>
          </w:p>
        </w:tc>
        <w:tc>
          <w:tcPr>
            <w:tcW w:w="3383" w:type="dxa"/>
          </w:tcPr>
          <w:p w14:paraId="2766E402" w14:textId="77777777" w:rsidR="00783200" w:rsidRPr="00CA3A08" w:rsidRDefault="00783200" w:rsidP="00783200">
            <w:pPr>
              <w:rPr>
                <w:rFonts w:ascii="Arial" w:hAnsi="Arial" w:cs="Arial"/>
                <w:sz w:val="20"/>
                <w:szCs w:val="20"/>
              </w:rPr>
            </w:pPr>
          </w:p>
        </w:tc>
        <w:tc>
          <w:tcPr>
            <w:tcW w:w="1209" w:type="dxa"/>
          </w:tcPr>
          <w:p w14:paraId="30C9E6D7" w14:textId="6365C936"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September 13, 1994.</w:t>
            </w:r>
          </w:p>
          <w:p w14:paraId="3145E5D0" w14:textId="77777777" w:rsidR="00783200" w:rsidRPr="00CA3A08" w:rsidRDefault="00783200" w:rsidP="00783200">
            <w:pPr>
              <w:rPr>
                <w:rFonts w:ascii="Arial" w:hAnsi="Arial" w:cs="Arial"/>
                <w:sz w:val="20"/>
                <w:szCs w:val="20"/>
              </w:rPr>
            </w:pPr>
          </w:p>
        </w:tc>
      </w:tr>
      <w:tr w:rsidR="00783200" w:rsidRPr="00CA3A08" w14:paraId="50F0CE35" w14:textId="77777777" w:rsidTr="009F3387">
        <w:trPr>
          <w:trHeight w:val="60"/>
        </w:trPr>
        <w:tc>
          <w:tcPr>
            <w:tcW w:w="427" w:type="dxa"/>
            <w:vMerge/>
          </w:tcPr>
          <w:p w14:paraId="455C0B9E" w14:textId="77777777" w:rsidR="00783200" w:rsidRPr="00CA3A08" w:rsidRDefault="00783200" w:rsidP="00783200">
            <w:pPr>
              <w:rPr>
                <w:rFonts w:ascii="Arial" w:hAnsi="Arial" w:cs="Arial"/>
                <w:sz w:val="20"/>
                <w:szCs w:val="20"/>
              </w:rPr>
            </w:pPr>
          </w:p>
        </w:tc>
        <w:tc>
          <w:tcPr>
            <w:tcW w:w="2903" w:type="dxa"/>
            <w:vMerge/>
          </w:tcPr>
          <w:p w14:paraId="773685C9" w14:textId="77777777" w:rsidR="00783200" w:rsidRPr="00CA3A08" w:rsidRDefault="00783200" w:rsidP="00783200">
            <w:pPr>
              <w:adjustRightInd w:val="0"/>
              <w:ind w:left="72"/>
              <w:jc w:val="both"/>
              <w:rPr>
                <w:rFonts w:ascii="Arial" w:hAnsi="Arial" w:cs="Arial"/>
                <w:b/>
                <w:bCs/>
                <w:i/>
                <w:iCs/>
                <w:sz w:val="20"/>
                <w:szCs w:val="20"/>
              </w:rPr>
            </w:pPr>
          </w:p>
        </w:tc>
        <w:tc>
          <w:tcPr>
            <w:tcW w:w="3383" w:type="dxa"/>
          </w:tcPr>
          <w:p w14:paraId="01B7649D" w14:textId="5A2799D3" w:rsidR="00783200" w:rsidRPr="00CA3A08" w:rsidRDefault="00783200" w:rsidP="00783200">
            <w:pPr>
              <w:rPr>
                <w:rFonts w:ascii="Arial" w:hAnsi="Arial" w:cs="Arial"/>
                <w:sz w:val="20"/>
                <w:szCs w:val="20"/>
              </w:rPr>
            </w:pPr>
            <w:r w:rsidRPr="00CA3A08">
              <w:rPr>
                <w:rFonts w:ascii="Arial" w:hAnsi="Arial" w:cs="Arial"/>
                <w:b/>
                <w:bCs/>
                <w:i/>
                <w:iCs/>
                <w:sz w:val="20"/>
                <w:szCs w:val="20"/>
                <w:u w:val="single"/>
              </w:rPr>
              <w:t>Health Insurance Portability and Accountability Act (HIPAA),</w:t>
            </w:r>
            <w:r w:rsidRPr="00CA3A08">
              <w:rPr>
                <w:rFonts w:ascii="Arial" w:hAnsi="Arial" w:cs="Arial"/>
                <w:i/>
                <w:iCs/>
                <w:sz w:val="20"/>
                <w:szCs w:val="20"/>
                <w:u w:val="single"/>
              </w:rPr>
              <w:t xml:space="preserve"> </w:t>
            </w:r>
            <w:r w:rsidRPr="00CA3A08">
              <w:rPr>
                <w:rFonts w:ascii="Arial" w:hAnsi="Arial" w:cs="Arial"/>
                <w:sz w:val="20"/>
                <w:szCs w:val="20"/>
              </w:rPr>
              <w:t>Pub. L. 104-191 §§ 262 &amp; 264) Privacy Rule, 45 C.F.R. Parts 160 &amp; 164.</w:t>
            </w:r>
          </w:p>
        </w:tc>
        <w:tc>
          <w:tcPr>
            <w:tcW w:w="3383" w:type="dxa"/>
          </w:tcPr>
          <w:p w14:paraId="3C451F53" w14:textId="77777777" w:rsidR="00783200" w:rsidRPr="00CA3A08" w:rsidRDefault="00783200" w:rsidP="00783200">
            <w:pPr>
              <w:rPr>
                <w:rFonts w:ascii="Arial" w:hAnsi="Arial" w:cs="Arial"/>
                <w:sz w:val="20"/>
                <w:szCs w:val="20"/>
              </w:rPr>
            </w:pPr>
            <w:r w:rsidRPr="00CA3A08">
              <w:rPr>
                <w:rFonts w:ascii="Arial" w:hAnsi="Arial" w:cs="Arial"/>
                <w:sz w:val="20"/>
                <w:szCs w:val="20"/>
              </w:rPr>
              <w:t>Under the HIPAA Rule, a covered entity must enter into agreements with its business associates to whom protected health information is disclosed requiring appropriate safeguards.  Covered entities may be criminally and civilly liable for disclosures in violation of the Privacy Rule.</w:t>
            </w:r>
            <w:r>
              <w:rPr>
                <w:rFonts w:ascii="Arial" w:hAnsi="Arial" w:cs="Arial"/>
                <w:sz w:val="20"/>
                <w:szCs w:val="20"/>
              </w:rPr>
              <w:t xml:space="preserve"> </w:t>
            </w:r>
            <w:r w:rsidRPr="00CA3A08">
              <w:rPr>
                <w:rFonts w:ascii="Arial" w:hAnsi="Arial" w:cs="Arial"/>
                <w:sz w:val="20"/>
                <w:szCs w:val="20"/>
              </w:rPr>
              <w:t>45 C.F.R. Part</w:t>
            </w:r>
            <w:r>
              <w:rPr>
                <w:rFonts w:ascii="Arial" w:hAnsi="Arial" w:cs="Arial"/>
                <w:sz w:val="20"/>
                <w:szCs w:val="20"/>
              </w:rPr>
              <w:t xml:space="preserve"> 164.</w:t>
            </w:r>
          </w:p>
          <w:p w14:paraId="739B806C" w14:textId="77777777" w:rsidR="00783200" w:rsidRPr="00CA3A08" w:rsidRDefault="00783200" w:rsidP="00783200">
            <w:pPr>
              <w:rPr>
                <w:rFonts w:ascii="Arial" w:hAnsi="Arial" w:cs="Arial"/>
                <w:sz w:val="20"/>
                <w:szCs w:val="20"/>
              </w:rPr>
            </w:pPr>
          </w:p>
        </w:tc>
        <w:tc>
          <w:tcPr>
            <w:tcW w:w="3383" w:type="dxa"/>
          </w:tcPr>
          <w:p w14:paraId="2F9AA194" w14:textId="77777777" w:rsidR="00783200" w:rsidRPr="00CA3A08" w:rsidRDefault="00783200" w:rsidP="00783200">
            <w:pPr>
              <w:rPr>
                <w:rFonts w:ascii="Arial" w:hAnsi="Arial" w:cs="Arial"/>
                <w:sz w:val="20"/>
                <w:szCs w:val="20"/>
              </w:rPr>
            </w:pPr>
          </w:p>
        </w:tc>
        <w:tc>
          <w:tcPr>
            <w:tcW w:w="1209" w:type="dxa"/>
          </w:tcPr>
          <w:p w14:paraId="42CF8DAA" w14:textId="535A8E51" w:rsidR="00783200" w:rsidRPr="00CA3A08" w:rsidRDefault="00783200" w:rsidP="00783200">
            <w:pPr>
              <w:rPr>
                <w:rFonts w:ascii="Arial" w:eastAsia="Arial" w:hAnsi="Arial" w:cs="Arial"/>
                <w:sz w:val="20"/>
                <w:szCs w:val="20"/>
              </w:rPr>
            </w:pPr>
            <w:r w:rsidRPr="310DF885">
              <w:rPr>
                <w:rFonts w:ascii="Arial" w:eastAsia="Arial" w:hAnsi="Arial" w:cs="Arial"/>
                <w:sz w:val="20"/>
                <w:szCs w:val="20"/>
              </w:rPr>
              <w:t>Signed into law on August 21, 1996.</w:t>
            </w:r>
          </w:p>
          <w:p w14:paraId="5A357C5C" w14:textId="77777777" w:rsidR="00783200" w:rsidRPr="00CA3A08" w:rsidRDefault="00783200" w:rsidP="00783200">
            <w:pPr>
              <w:rPr>
                <w:rFonts w:ascii="Arial" w:hAnsi="Arial" w:cs="Arial"/>
                <w:sz w:val="20"/>
                <w:szCs w:val="20"/>
              </w:rPr>
            </w:pPr>
          </w:p>
        </w:tc>
      </w:tr>
    </w:tbl>
    <w:p w14:paraId="1594FD21" w14:textId="5395FE27" w:rsidR="009F3387" w:rsidRDefault="009F3387" w:rsidP="002F6EA0">
      <w:pPr>
        <w:tabs>
          <w:tab w:val="left" w:pos="5522"/>
        </w:tabs>
        <w:jc w:val="center"/>
      </w:pPr>
    </w:p>
    <w:p w14:paraId="1FC98D65" w14:textId="77777777" w:rsidR="002F6EA0" w:rsidRDefault="002F6EA0" w:rsidP="002F6EA0">
      <w:pPr>
        <w:jc w:val="center"/>
      </w:pPr>
      <w:r>
        <w:rPr>
          <w:rFonts w:ascii="Arial" w:hAnsi="Arial" w:cs="Arial"/>
          <w:sz w:val="20"/>
        </w:rPr>
        <w:t>-- // -</w:t>
      </w:r>
      <w:r>
        <w:t>-</w:t>
      </w:r>
    </w:p>
    <w:p w14:paraId="3C440FD6" w14:textId="77777777" w:rsidR="002F6EA0" w:rsidRPr="009F3387" w:rsidRDefault="002F6EA0" w:rsidP="002F6EA0">
      <w:pPr>
        <w:tabs>
          <w:tab w:val="left" w:pos="5522"/>
        </w:tabs>
        <w:jc w:val="center"/>
      </w:pPr>
    </w:p>
    <w:sectPr w:rsidR="002F6EA0" w:rsidRPr="009F3387" w:rsidSect="009D7EDA">
      <w:footerReference w:type="even" r:id="rId9"/>
      <w:footerReference w:type="default" r:id="rId10"/>
      <w:pgSz w:w="15840" w:h="12240" w:orient="landscape"/>
      <w:pgMar w:top="1152" w:right="720" w:bottom="1152" w:left="720" w:header="1440" w:footer="89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CD4CB" w14:textId="77777777" w:rsidR="00DD46CA" w:rsidRDefault="00DD46CA">
      <w:r>
        <w:separator/>
      </w:r>
    </w:p>
  </w:endnote>
  <w:endnote w:type="continuationSeparator" w:id="0">
    <w:p w14:paraId="6AC7DF97" w14:textId="77777777" w:rsidR="00DD46CA" w:rsidRDefault="00DD46CA">
      <w:r>
        <w:continuationSeparator/>
      </w:r>
    </w:p>
  </w:endnote>
  <w:endnote w:type="continuationNotice" w:id="1">
    <w:p w14:paraId="05E562E4" w14:textId="77777777" w:rsidR="00DD46CA" w:rsidRDefault="00DD4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973B2" w14:textId="77777777" w:rsidR="00455F77" w:rsidRDefault="00455F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8283348" w14:textId="77777777" w:rsidR="00455F77" w:rsidRDefault="00455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DE6E" w14:textId="77777777" w:rsidR="00455F77" w:rsidRPr="009D7EDA" w:rsidRDefault="00455F77">
    <w:pPr>
      <w:pStyle w:val="Footer"/>
      <w:framePr w:wrap="around" w:vAnchor="text" w:hAnchor="margin" w:xAlign="center" w:y="1"/>
      <w:rPr>
        <w:rStyle w:val="PageNumber"/>
        <w:sz w:val="20"/>
      </w:rPr>
    </w:pPr>
    <w:r w:rsidRPr="009D7EDA">
      <w:rPr>
        <w:rStyle w:val="PageNumber"/>
        <w:rFonts w:ascii="Arial" w:hAnsi="Arial" w:cs="Arial"/>
        <w:sz w:val="20"/>
      </w:rPr>
      <w:fldChar w:fldCharType="begin"/>
    </w:r>
    <w:r w:rsidRPr="009D7EDA">
      <w:rPr>
        <w:rStyle w:val="PageNumber"/>
        <w:rFonts w:ascii="Arial" w:hAnsi="Arial" w:cs="Arial"/>
        <w:sz w:val="20"/>
      </w:rPr>
      <w:instrText xml:space="preserve">PAGE  </w:instrText>
    </w:r>
    <w:r w:rsidRPr="009D7EDA">
      <w:rPr>
        <w:rStyle w:val="PageNumber"/>
        <w:rFonts w:ascii="Arial" w:hAnsi="Arial" w:cs="Arial"/>
        <w:sz w:val="20"/>
      </w:rPr>
      <w:fldChar w:fldCharType="separate"/>
    </w:r>
    <w:r>
      <w:rPr>
        <w:rStyle w:val="PageNumber"/>
        <w:rFonts w:ascii="Arial" w:hAnsi="Arial" w:cs="Arial"/>
        <w:noProof/>
        <w:sz w:val="20"/>
      </w:rPr>
      <w:t>39</w:t>
    </w:r>
    <w:r w:rsidRPr="009D7EDA">
      <w:rPr>
        <w:rStyle w:val="PageNumber"/>
        <w:rFonts w:ascii="Arial" w:hAnsi="Arial" w:cs="Arial"/>
        <w:sz w:val="20"/>
      </w:rPr>
      <w:fldChar w:fldCharType="end"/>
    </w:r>
  </w:p>
  <w:p w14:paraId="3680E027" w14:textId="77777777" w:rsidR="00455F77" w:rsidRDefault="00455F77">
    <w:pPr>
      <w:pStyle w:val="Footer"/>
      <w:rPr>
        <w:i/>
        <w:sz w:val="18"/>
        <w:szCs w:val="18"/>
      </w:rPr>
    </w:pPr>
  </w:p>
  <w:p w14:paraId="092408DF" w14:textId="77777777" w:rsidR="00455F77" w:rsidRDefault="00455F77">
    <w:pPr>
      <w:pStyle w:val="Footer"/>
      <w:rPr>
        <w:i/>
        <w:sz w:val="18"/>
        <w:szCs w:val="18"/>
      </w:rPr>
    </w:pPr>
  </w:p>
  <w:p w14:paraId="4674F82D" w14:textId="77777777" w:rsidR="00455F77" w:rsidRPr="009D7EDA" w:rsidRDefault="00455F77" w:rsidP="009D7EDA">
    <w:pPr>
      <w:pStyle w:val="Footer"/>
      <w:jc w:val="center"/>
      <w:rPr>
        <w:rFonts w:ascii="Arial" w:hAnsi="Arial" w:cs="Arial"/>
        <w:sz w:val="16"/>
        <w:szCs w:val="16"/>
      </w:rPr>
    </w:pPr>
    <w:r w:rsidRPr="009D7EDA">
      <w:rPr>
        <w:rFonts w:ascii="Arial" w:hAnsi="Arial" w:cs="Arial"/>
        <w:i/>
        <w:sz w:val="16"/>
        <w:szCs w:val="16"/>
      </w:rPr>
      <w:t xml:space="preserve">Disclaimer: </w:t>
    </w:r>
    <w:r w:rsidRPr="009D7EDA">
      <w:rPr>
        <w:rFonts w:ascii="Arial" w:hAnsi="Arial" w:cs="Arial"/>
        <w:sz w:val="16"/>
        <w:szCs w:val="16"/>
      </w:rPr>
      <w:t xml:space="preserve">This document </w:t>
    </w:r>
    <w:r w:rsidRPr="009D7EDA">
      <w:rPr>
        <w:rFonts w:ascii="Arial" w:hAnsi="Arial" w:cs="Arial"/>
        <w:sz w:val="16"/>
        <w:szCs w:val="16"/>
      </w:rPr>
      <w:tab/>
      <w:t>does not purport to provide a complete picture of privacy protections available to consumers in the United States, as it does not include state laws and the numerous self-regulatory codes that could apply in electronic commerce.  In addition, the summaries included in this document are not necessarily comprehensive; nor do they include all applicable exceptions to general rules.  They are not intended to be relied on as legal advice and should not be used as statements of law in the context of legal proceedings.  Instead, readers should use these summaries as a starting point for determining how the U.S. approach to privacy reflects or corresponds to the APEC privacy principles or components thereof.</w:t>
    </w:r>
  </w:p>
  <w:p w14:paraId="1061B3C9" w14:textId="77777777" w:rsidR="00455F77" w:rsidRPr="009D7EDA" w:rsidRDefault="00455F77" w:rsidP="009D7EDA">
    <w:pPr>
      <w:pStyle w:val="Footer"/>
      <w:spacing w:line="200" w:lineRule="exact"/>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0335D" w14:textId="77777777" w:rsidR="00DD46CA" w:rsidRDefault="00DD46CA">
      <w:r>
        <w:separator/>
      </w:r>
    </w:p>
  </w:footnote>
  <w:footnote w:type="continuationSeparator" w:id="0">
    <w:p w14:paraId="6BA53111" w14:textId="77777777" w:rsidR="00DD46CA" w:rsidRDefault="00DD46CA">
      <w:r>
        <w:continuationSeparator/>
      </w:r>
    </w:p>
  </w:footnote>
  <w:footnote w:type="continuationNotice" w:id="1">
    <w:p w14:paraId="428FE7DB" w14:textId="77777777" w:rsidR="00DD46CA" w:rsidRDefault="00DD46CA"/>
  </w:footnote>
  <w:footnote w:id="2">
    <w:p w14:paraId="0F9A3646" w14:textId="77777777" w:rsidR="00455F77" w:rsidRPr="009D7EDA" w:rsidRDefault="00455F77">
      <w:pPr>
        <w:pStyle w:val="FootnoteText"/>
        <w:rPr>
          <w:rFonts w:ascii="Arial" w:hAnsi="Arial" w:cs="Arial"/>
          <w:i/>
          <w:sz w:val="18"/>
          <w:szCs w:val="18"/>
        </w:rPr>
      </w:pPr>
      <w:r w:rsidRPr="009D7EDA">
        <w:rPr>
          <w:rStyle w:val="FootnoteReference"/>
          <w:rFonts w:ascii="Arial" w:hAnsi="Arial" w:cs="Arial"/>
          <w:i/>
          <w:sz w:val="18"/>
          <w:szCs w:val="18"/>
        </w:rPr>
        <w:footnoteRef/>
      </w:r>
      <w:r w:rsidRPr="009D7EDA">
        <w:rPr>
          <w:rFonts w:ascii="Arial" w:hAnsi="Arial" w:cs="Arial"/>
          <w:i/>
          <w:sz w:val="18"/>
          <w:szCs w:val="18"/>
        </w:rPr>
        <w:t xml:space="preserve"> Note here the legislation, rule, code, framework or other privacy protection scheme. Where possible please provide the URL for the website where the legislation or arrangement is available.</w:t>
      </w:r>
    </w:p>
  </w:footnote>
  <w:footnote w:id="3">
    <w:p w14:paraId="2A20D799" w14:textId="77777777" w:rsidR="00455F77" w:rsidRPr="009D7EDA" w:rsidRDefault="00455F77">
      <w:pPr>
        <w:pStyle w:val="FootnoteText"/>
        <w:rPr>
          <w:rFonts w:ascii="Arial" w:hAnsi="Arial" w:cs="Arial"/>
          <w:i/>
          <w:sz w:val="18"/>
          <w:szCs w:val="18"/>
        </w:rPr>
      </w:pPr>
      <w:r w:rsidRPr="009D7EDA">
        <w:rPr>
          <w:rStyle w:val="FootnoteReference"/>
          <w:rFonts w:ascii="Arial" w:hAnsi="Arial" w:cs="Arial"/>
          <w:i/>
          <w:sz w:val="18"/>
          <w:szCs w:val="18"/>
        </w:rPr>
        <w:footnoteRef/>
      </w:r>
      <w:r w:rsidRPr="009D7EDA">
        <w:rPr>
          <w:rFonts w:ascii="Arial" w:hAnsi="Arial" w:cs="Arial"/>
          <w:i/>
          <w:sz w:val="18"/>
          <w:szCs w:val="18"/>
        </w:rPr>
        <w:t xml:space="preserve"> Insert the full text or summary of the provisions of your privacy protection scheme(s) that correspond to the  APEC Privacy Principles identified in the column titled “APEC Principle/ Commentary”.</w:t>
      </w:r>
    </w:p>
  </w:footnote>
  <w:footnote w:id="4">
    <w:p w14:paraId="48FBDCF3" w14:textId="77777777" w:rsidR="00455F77" w:rsidRPr="009D7EDA" w:rsidRDefault="00455F77">
      <w:pPr>
        <w:pStyle w:val="FootnoteText"/>
        <w:rPr>
          <w:rFonts w:ascii="Arial" w:hAnsi="Arial" w:cs="Arial"/>
          <w:i/>
          <w:sz w:val="18"/>
          <w:szCs w:val="18"/>
        </w:rPr>
      </w:pPr>
      <w:r w:rsidRPr="009D7EDA">
        <w:rPr>
          <w:rStyle w:val="FootnoteReference"/>
          <w:rFonts w:ascii="Arial" w:hAnsi="Arial" w:cs="Arial"/>
          <w:i/>
          <w:sz w:val="18"/>
          <w:szCs w:val="18"/>
        </w:rPr>
        <w:footnoteRef/>
      </w:r>
      <w:r w:rsidRPr="009D7EDA">
        <w:rPr>
          <w:rFonts w:ascii="Arial" w:hAnsi="Arial" w:cs="Arial"/>
          <w:i/>
          <w:sz w:val="18"/>
          <w:szCs w:val="18"/>
        </w:rPr>
        <w:t xml:space="preserve"> Sanctions should include the nature of the remedies available, the means by which they are obtained, and by whom (for example, government, local law enforcement, private right of action, etc.).  </w:t>
      </w:r>
    </w:p>
  </w:footnote>
  <w:footnote w:id="5">
    <w:p w14:paraId="0158445A" w14:textId="77777777" w:rsidR="00455F77" w:rsidRPr="009D7EDA" w:rsidRDefault="00455F77">
      <w:pPr>
        <w:pStyle w:val="FootnoteText"/>
        <w:rPr>
          <w:rFonts w:ascii="Arial" w:hAnsi="Arial" w:cs="Arial"/>
          <w:i/>
          <w:sz w:val="18"/>
          <w:szCs w:val="18"/>
        </w:rPr>
      </w:pPr>
      <w:r w:rsidRPr="009D7EDA">
        <w:rPr>
          <w:rStyle w:val="FootnoteReference"/>
          <w:rFonts w:ascii="Arial" w:hAnsi="Arial" w:cs="Arial"/>
          <w:i/>
          <w:sz w:val="18"/>
          <w:szCs w:val="18"/>
        </w:rPr>
        <w:footnoteRef/>
      </w:r>
      <w:r w:rsidRPr="009D7EDA">
        <w:rPr>
          <w:rFonts w:ascii="Arial" w:hAnsi="Arial" w:cs="Arial"/>
          <w:i/>
          <w:sz w:val="18"/>
          <w:szCs w:val="18"/>
        </w:rPr>
        <w:t xml:space="preserve"> Identify areas where the practice and the intent of the principle need further consideration; and identify the status of the economies’ practice, for example enacted, introduced, draft.  If your legislation, rule, code, framework or other privacy protection scheme is at the drafting or proposal stage and has not yet been enacted or implemented, please indicate here and provide any other useful comments."</w:t>
      </w:r>
    </w:p>
  </w:footnote>
  <w:footnote w:id="6">
    <w:p w14:paraId="60FA070C" w14:textId="473FD0B6" w:rsidR="00FE7E50" w:rsidRPr="001F5EB6" w:rsidRDefault="00FE7E50">
      <w:pPr>
        <w:pStyle w:val="FootnoteText"/>
        <w:rPr>
          <w:rFonts w:ascii="Arial" w:hAnsi="Arial" w:cs="Arial"/>
          <w:sz w:val="16"/>
          <w:szCs w:val="16"/>
        </w:rPr>
      </w:pPr>
      <w:r w:rsidRPr="001F5EB6">
        <w:rPr>
          <w:rStyle w:val="FootnoteReference"/>
          <w:rFonts w:ascii="Arial" w:hAnsi="Arial" w:cs="Arial"/>
          <w:sz w:val="16"/>
          <w:szCs w:val="16"/>
        </w:rPr>
        <w:footnoteRef/>
      </w:r>
      <w:r w:rsidRPr="001F5EB6">
        <w:rPr>
          <w:rFonts w:ascii="Arial" w:hAnsi="Arial" w:cs="Arial"/>
          <w:sz w:val="16"/>
          <w:szCs w:val="16"/>
        </w:rPr>
        <w:t xml:space="preserve"> </w:t>
      </w:r>
      <w:hyperlink r:id="rId1" w:anchor="b-1" w:history="1">
        <w:r w:rsidRPr="001F5EB6">
          <w:rPr>
            <w:rStyle w:val="Hyperlink"/>
            <w:rFonts w:ascii="Arial" w:hAnsi="Arial" w:cs="Arial"/>
            <w:sz w:val="16"/>
            <w:szCs w:val="16"/>
          </w:rPr>
          <w:t>https://www.consumerfinance.gov/rules-policy/regulations/1016/1/#b-1</w:t>
        </w:r>
      </w:hyperlink>
    </w:p>
  </w:footnote>
  <w:footnote w:id="7">
    <w:p w14:paraId="55382735" w14:textId="77777777" w:rsidR="006D377C" w:rsidRPr="007A6DA3" w:rsidRDefault="006D377C">
      <w:pPr>
        <w:pStyle w:val="FootnoteText"/>
        <w:rPr>
          <w:rFonts w:ascii="Arial" w:hAnsi="Arial" w:cs="Arial"/>
          <w:sz w:val="16"/>
          <w:szCs w:val="16"/>
        </w:rPr>
      </w:pPr>
      <w:r w:rsidRPr="007A6DA3">
        <w:rPr>
          <w:rStyle w:val="FootnoteReference"/>
          <w:rFonts w:ascii="Arial" w:hAnsi="Arial" w:cs="Arial"/>
          <w:sz w:val="16"/>
          <w:szCs w:val="16"/>
        </w:rPr>
        <w:footnoteRef/>
      </w:r>
      <w:r w:rsidRPr="007A6DA3">
        <w:rPr>
          <w:rFonts w:ascii="Arial" w:hAnsi="Arial" w:cs="Arial"/>
          <w:sz w:val="16"/>
          <w:szCs w:val="16"/>
        </w:rPr>
        <w:t xml:space="preserve"> </w:t>
      </w:r>
      <w:hyperlink r:id="rId2" w:history="1">
        <w:r w:rsidRPr="007A6DA3">
          <w:rPr>
            <w:rStyle w:val="Hyperlink"/>
            <w:rFonts w:ascii="Arial" w:hAnsi="Arial" w:cs="Arial"/>
            <w:sz w:val="16"/>
            <w:szCs w:val="16"/>
          </w:rPr>
          <w:t>https://www.ftc.gov/tips-advice/business-center/guidance/how-comply-privacy-consumer-financial-information-rule-gramm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E79D3"/>
    <w:multiLevelType w:val="hybridMultilevel"/>
    <w:tmpl w:val="B2AE3560"/>
    <w:lvl w:ilvl="0" w:tplc="95EC1F88">
      <w:start w:val="5"/>
      <w:numFmt w:val="decimal"/>
      <w:lvlText w:val="%1."/>
      <w:lvlJc w:val="left"/>
      <w:pPr>
        <w:tabs>
          <w:tab w:val="num" w:pos="720"/>
        </w:tabs>
        <w:ind w:left="720" w:hanging="360"/>
      </w:pPr>
      <w:rPr>
        <w:rFonts w:eastAsia="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063CD2"/>
    <w:multiLevelType w:val="hybridMultilevel"/>
    <w:tmpl w:val="62561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89464E"/>
    <w:multiLevelType w:val="hybridMultilevel"/>
    <w:tmpl w:val="D4DCBBC6"/>
    <w:lvl w:ilvl="0" w:tplc="F7BEFDEE">
      <w:start w:val="4"/>
      <w:numFmt w:val="decimal"/>
      <w:lvlText w:val="%1."/>
      <w:lvlJc w:val="left"/>
      <w:pPr>
        <w:tabs>
          <w:tab w:val="num" w:pos="720"/>
        </w:tabs>
        <w:ind w:left="720" w:hanging="360"/>
      </w:pPr>
      <w:rPr>
        <w:rFonts w:eastAsia="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AB5ABE"/>
    <w:multiLevelType w:val="hybridMultilevel"/>
    <w:tmpl w:val="0DB8AAF6"/>
    <w:lvl w:ilvl="0" w:tplc="43629610">
      <w:start w:val="1"/>
      <w:numFmt w:val="decimal"/>
      <w:lvlText w:val="%1."/>
      <w:lvlJc w:val="left"/>
      <w:pPr>
        <w:ind w:left="720" w:hanging="360"/>
      </w:pPr>
    </w:lvl>
    <w:lvl w:ilvl="1" w:tplc="4F944E32">
      <w:start w:val="1"/>
      <w:numFmt w:val="lowerLetter"/>
      <w:lvlText w:val="%2."/>
      <w:lvlJc w:val="left"/>
      <w:pPr>
        <w:ind w:left="1440" w:hanging="360"/>
      </w:pPr>
    </w:lvl>
    <w:lvl w:ilvl="2" w:tplc="278698C0">
      <w:start w:val="1"/>
      <w:numFmt w:val="lowerRoman"/>
      <w:lvlText w:val="%3."/>
      <w:lvlJc w:val="right"/>
      <w:pPr>
        <w:ind w:left="2160" w:hanging="180"/>
      </w:pPr>
    </w:lvl>
    <w:lvl w:ilvl="3" w:tplc="61C8A72C">
      <w:start w:val="1"/>
      <w:numFmt w:val="decimal"/>
      <w:lvlText w:val="%4."/>
      <w:lvlJc w:val="left"/>
      <w:pPr>
        <w:ind w:left="2880" w:hanging="360"/>
      </w:pPr>
    </w:lvl>
    <w:lvl w:ilvl="4" w:tplc="EE0E27EE">
      <w:start w:val="1"/>
      <w:numFmt w:val="lowerLetter"/>
      <w:lvlText w:val="%5."/>
      <w:lvlJc w:val="left"/>
      <w:pPr>
        <w:ind w:left="3600" w:hanging="360"/>
      </w:pPr>
    </w:lvl>
    <w:lvl w:ilvl="5" w:tplc="51BCF05C">
      <w:start w:val="1"/>
      <w:numFmt w:val="lowerRoman"/>
      <w:lvlText w:val="%6."/>
      <w:lvlJc w:val="right"/>
      <w:pPr>
        <w:ind w:left="4320" w:hanging="180"/>
      </w:pPr>
    </w:lvl>
    <w:lvl w:ilvl="6" w:tplc="B45818C2">
      <w:start w:val="1"/>
      <w:numFmt w:val="decimal"/>
      <w:lvlText w:val="%7."/>
      <w:lvlJc w:val="left"/>
      <w:pPr>
        <w:ind w:left="5040" w:hanging="360"/>
      </w:pPr>
    </w:lvl>
    <w:lvl w:ilvl="7" w:tplc="3604C886">
      <w:start w:val="1"/>
      <w:numFmt w:val="lowerLetter"/>
      <w:lvlText w:val="%8."/>
      <w:lvlJc w:val="left"/>
      <w:pPr>
        <w:ind w:left="5760" w:hanging="360"/>
      </w:pPr>
    </w:lvl>
    <w:lvl w:ilvl="8" w:tplc="5CEAD860">
      <w:start w:val="1"/>
      <w:numFmt w:val="lowerRoman"/>
      <w:lvlText w:val="%9."/>
      <w:lvlJc w:val="right"/>
      <w:pPr>
        <w:ind w:left="6480" w:hanging="180"/>
      </w:pPr>
    </w:lvl>
  </w:abstractNum>
  <w:abstractNum w:abstractNumId="4" w15:restartNumberingAfterBreak="0">
    <w:nsid w:val="360A4B3D"/>
    <w:multiLevelType w:val="hybridMultilevel"/>
    <w:tmpl w:val="3334A7D0"/>
    <w:name w:val="zzmpOutline||Outline|2|3|1|1|0|4||1|0|4||1|0|0||1|0|0||1|0|0||1|0|0||1|0|0||1|0|0||1|0|0||"/>
    <w:lvl w:ilvl="0" w:tplc="C9042C70">
      <w:start w:val="1"/>
      <w:numFmt w:val="upperRoman"/>
      <w:lvlRestart w:val="0"/>
      <w:pStyle w:val="OutlineL1"/>
      <w:lvlText w:val="%1."/>
      <w:lvlJc w:val="left"/>
      <w:pPr>
        <w:tabs>
          <w:tab w:val="num" w:pos="720"/>
        </w:tabs>
        <w:ind w:left="720" w:hanging="720"/>
      </w:pPr>
      <w:rPr>
        <w:rFonts w:ascii="Times New Roman" w:hAnsi="Times New Roman"/>
        <w:b w:val="0"/>
        <w:i w:val="0"/>
        <w:caps w:val="0"/>
        <w:smallCaps w:val="0"/>
        <w:color w:val="auto"/>
        <w:sz w:val="22"/>
        <w:u w:val="none"/>
      </w:rPr>
    </w:lvl>
    <w:lvl w:ilvl="1" w:tplc="21B0C43E">
      <w:start w:val="1"/>
      <w:numFmt w:val="upperLetter"/>
      <w:pStyle w:val="OutlineL2"/>
      <w:lvlText w:val="%2."/>
      <w:lvlJc w:val="left"/>
      <w:pPr>
        <w:tabs>
          <w:tab w:val="num" w:pos="1080"/>
        </w:tabs>
        <w:ind w:left="1123" w:hanging="403"/>
      </w:pPr>
      <w:rPr>
        <w:rFonts w:ascii="Times New Roman" w:hAnsi="Times New Roman"/>
        <w:b w:val="0"/>
        <w:i w:val="0"/>
        <w:caps w:val="0"/>
        <w:color w:val="auto"/>
        <w:sz w:val="22"/>
        <w:u w:val="none"/>
      </w:rPr>
    </w:lvl>
    <w:lvl w:ilvl="2" w:tplc="29A2B184">
      <w:start w:val="1"/>
      <w:numFmt w:val="decimal"/>
      <w:pStyle w:val="OutlineL3"/>
      <w:lvlText w:val="%3."/>
      <w:lvlJc w:val="left"/>
      <w:pPr>
        <w:tabs>
          <w:tab w:val="num" w:pos="1872"/>
        </w:tabs>
        <w:ind w:left="1872" w:hanging="432"/>
      </w:pPr>
      <w:rPr>
        <w:rFonts w:ascii="Times New Roman" w:hAnsi="Times New Roman"/>
        <w:b w:val="0"/>
        <w:i w:val="0"/>
        <w:caps w:val="0"/>
        <w:color w:val="auto"/>
        <w:sz w:val="22"/>
        <w:u w:val="none"/>
      </w:rPr>
    </w:lvl>
    <w:lvl w:ilvl="3" w:tplc="9EC213BC">
      <w:start w:val="1"/>
      <w:numFmt w:val="lowerLetter"/>
      <w:pStyle w:val="OutlineL4"/>
      <w:lvlText w:val="%4."/>
      <w:lvlJc w:val="left"/>
      <w:pPr>
        <w:tabs>
          <w:tab w:val="num" w:pos="2664"/>
        </w:tabs>
        <w:ind w:left="2578" w:hanging="634"/>
      </w:pPr>
      <w:rPr>
        <w:rFonts w:ascii="Times New Roman" w:hAnsi="Times New Roman"/>
        <w:b w:val="0"/>
        <w:i w:val="0"/>
        <w:caps w:val="0"/>
        <w:color w:val="auto"/>
        <w:sz w:val="22"/>
        <w:u w:val="none"/>
      </w:rPr>
    </w:lvl>
    <w:lvl w:ilvl="4" w:tplc="5E60FE88">
      <w:start w:val="1"/>
      <w:numFmt w:val="lowerRoman"/>
      <w:pStyle w:val="OutlineL5"/>
      <w:lvlText w:val="%5."/>
      <w:lvlJc w:val="left"/>
      <w:pPr>
        <w:tabs>
          <w:tab w:val="num" w:pos="1800"/>
        </w:tabs>
        <w:ind w:left="1800" w:hanging="360"/>
      </w:pPr>
      <w:rPr>
        <w:rFonts w:ascii="Times New Roman" w:hAnsi="Times New Roman"/>
        <w:b w:val="0"/>
        <w:i w:val="0"/>
        <w:caps w:val="0"/>
        <w:color w:val="auto"/>
        <w:sz w:val="22"/>
        <w:u w:val="none"/>
      </w:rPr>
    </w:lvl>
    <w:lvl w:ilvl="5" w:tplc="6E2AC4FA">
      <w:start w:val="1"/>
      <w:numFmt w:val="lowerLetter"/>
      <w:pStyle w:val="OutlineL6"/>
      <w:lvlText w:val="(%6)"/>
      <w:lvlJc w:val="left"/>
      <w:pPr>
        <w:tabs>
          <w:tab w:val="num" w:pos="2160"/>
        </w:tabs>
        <w:ind w:left="2160" w:hanging="360"/>
      </w:pPr>
      <w:rPr>
        <w:rFonts w:ascii="Times New Roman" w:hAnsi="Times New Roman"/>
        <w:b w:val="0"/>
        <w:i w:val="0"/>
        <w:caps w:val="0"/>
        <w:color w:val="auto"/>
        <w:sz w:val="22"/>
        <w:u w:val="none"/>
      </w:rPr>
    </w:lvl>
    <w:lvl w:ilvl="6" w:tplc="34608E02">
      <w:start w:val="1"/>
      <w:numFmt w:val="decimal"/>
      <w:pStyle w:val="OutlineL7"/>
      <w:lvlText w:val="(%7)"/>
      <w:lvlJc w:val="left"/>
      <w:pPr>
        <w:tabs>
          <w:tab w:val="num" w:pos="2520"/>
        </w:tabs>
        <w:ind w:left="2520" w:hanging="360"/>
      </w:pPr>
      <w:rPr>
        <w:rFonts w:ascii="Times New Roman" w:hAnsi="Times New Roman"/>
        <w:b w:val="0"/>
        <w:i w:val="0"/>
        <w:caps w:val="0"/>
        <w:color w:val="auto"/>
        <w:sz w:val="22"/>
        <w:u w:val="none"/>
      </w:rPr>
    </w:lvl>
    <w:lvl w:ilvl="7" w:tplc="6748C5A2">
      <w:start w:val="1"/>
      <w:numFmt w:val="lowerRoman"/>
      <w:pStyle w:val="OutlineL8"/>
      <w:lvlText w:val="%8)"/>
      <w:lvlJc w:val="left"/>
      <w:pPr>
        <w:tabs>
          <w:tab w:val="num" w:pos="5760"/>
        </w:tabs>
        <w:ind w:left="0" w:firstLine="5040"/>
      </w:pPr>
      <w:rPr>
        <w:rFonts w:ascii="Times New Roman" w:hAnsi="Times New Roman"/>
        <w:b w:val="0"/>
        <w:i w:val="0"/>
        <w:caps w:val="0"/>
        <w:color w:val="auto"/>
        <w:sz w:val="24"/>
        <w:u w:val="none"/>
      </w:rPr>
    </w:lvl>
    <w:lvl w:ilvl="8" w:tplc="94F4D862">
      <w:start w:val="1"/>
      <w:numFmt w:val="lowerLetter"/>
      <w:pStyle w:val="OutlineL9"/>
      <w:lvlText w:val="%9)"/>
      <w:lvlJc w:val="left"/>
      <w:pPr>
        <w:tabs>
          <w:tab w:val="num" w:pos="6480"/>
        </w:tabs>
        <w:ind w:left="0" w:firstLine="5760"/>
      </w:pPr>
      <w:rPr>
        <w:rFonts w:ascii="Times New Roman" w:hAnsi="Times New Roman"/>
        <w:b w:val="0"/>
        <w:i w:val="0"/>
        <w:caps w:val="0"/>
        <w:color w:val="auto"/>
        <w:sz w:val="24"/>
        <w:u w:val="none"/>
      </w:rPr>
    </w:lvl>
  </w:abstractNum>
  <w:abstractNum w:abstractNumId="5" w15:restartNumberingAfterBreak="0">
    <w:nsid w:val="387639A7"/>
    <w:multiLevelType w:val="hybridMultilevel"/>
    <w:tmpl w:val="129AF5C2"/>
    <w:lvl w:ilvl="0" w:tplc="D4E4EFB6">
      <w:start w:val="1"/>
      <w:numFmt w:val="decimal"/>
      <w:lvlText w:val="%1."/>
      <w:lvlJc w:val="left"/>
      <w:pPr>
        <w:ind w:left="720" w:hanging="360"/>
      </w:pPr>
    </w:lvl>
    <w:lvl w:ilvl="1" w:tplc="A8D0DE00">
      <w:start w:val="1"/>
      <w:numFmt w:val="lowerLetter"/>
      <w:lvlText w:val="%2."/>
      <w:lvlJc w:val="left"/>
      <w:pPr>
        <w:ind w:left="1440" w:hanging="360"/>
      </w:pPr>
    </w:lvl>
    <w:lvl w:ilvl="2" w:tplc="480C4840">
      <w:start w:val="1"/>
      <w:numFmt w:val="lowerRoman"/>
      <w:lvlText w:val="%3."/>
      <w:lvlJc w:val="right"/>
      <w:pPr>
        <w:ind w:left="2160" w:hanging="180"/>
      </w:pPr>
    </w:lvl>
    <w:lvl w:ilvl="3" w:tplc="1B04EEBE">
      <w:start w:val="1"/>
      <w:numFmt w:val="decimal"/>
      <w:lvlText w:val="%4."/>
      <w:lvlJc w:val="left"/>
      <w:pPr>
        <w:ind w:left="2880" w:hanging="360"/>
      </w:pPr>
    </w:lvl>
    <w:lvl w:ilvl="4" w:tplc="B7B059E8">
      <w:start w:val="1"/>
      <w:numFmt w:val="lowerLetter"/>
      <w:lvlText w:val="%5."/>
      <w:lvlJc w:val="left"/>
      <w:pPr>
        <w:ind w:left="3600" w:hanging="360"/>
      </w:pPr>
    </w:lvl>
    <w:lvl w:ilvl="5" w:tplc="A9A23FE0">
      <w:start w:val="1"/>
      <w:numFmt w:val="lowerRoman"/>
      <w:lvlText w:val="%6."/>
      <w:lvlJc w:val="right"/>
      <w:pPr>
        <w:ind w:left="4320" w:hanging="180"/>
      </w:pPr>
    </w:lvl>
    <w:lvl w:ilvl="6" w:tplc="CB3C7618">
      <w:start w:val="1"/>
      <w:numFmt w:val="decimal"/>
      <w:lvlText w:val="%7."/>
      <w:lvlJc w:val="left"/>
      <w:pPr>
        <w:ind w:left="5040" w:hanging="360"/>
      </w:pPr>
    </w:lvl>
    <w:lvl w:ilvl="7" w:tplc="F4C8610A">
      <w:start w:val="1"/>
      <w:numFmt w:val="lowerLetter"/>
      <w:lvlText w:val="%8."/>
      <w:lvlJc w:val="left"/>
      <w:pPr>
        <w:ind w:left="5760" w:hanging="360"/>
      </w:pPr>
    </w:lvl>
    <w:lvl w:ilvl="8" w:tplc="10FCE4F2">
      <w:start w:val="1"/>
      <w:numFmt w:val="lowerRoman"/>
      <w:lvlText w:val="%9."/>
      <w:lvlJc w:val="right"/>
      <w:pPr>
        <w:ind w:left="6480" w:hanging="180"/>
      </w:pPr>
    </w:lvl>
  </w:abstractNum>
  <w:abstractNum w:abstractNumId="6" w15:restartNumberingAfterBreak="0">
    <w:nsid w:val="3D3D098F"/>
    <w:multiLevelType w:val="hybridMultilevel"/>
    <w:tmpl w:val="1DB61DF2"/>
    <w:lvl w:ilvl="0" w:tplc="1E306F1E">
      <w:start w:val="1"/>
      <w:numFmt w:val="upperRoman"/>
      <w:lvlText w:val="%1."/>
      <w:lvlJc w:val="left"/>
      <w:pPr>
        <w:tabs>
          <w:tab w:val="num" w:pos="1080"/>
        </w:tabs>
        <w:ind w:left="1080" w:hanging="720"/>
      </w:pPr>
      <w:rPr>
        <w:rFonts w:hint="default"/>
      </w:rPr>
    </w:lvl>
    <w:lvl w:ilvl="1" w:tplc="1962111E">
      <w:start w:val="1"/>
      <w:numFmt w:val="lowerRoman"/>
      <w:lvlText w:val="%2."/>
      <w:lvlJc w:val="left"/>
      <w:pPr>
        <w:tabs>
          <w:tab w:val="num" w:pos="1800"/>
        </w:tabs>
        <w:ind w:left="1800" w:hanging="720"/>
      </w:pPr>
      <w:rPr>
        <w:rFonts w:ascii="Times New Roman" w:hAnsi="Times New Roman" w:cs="Times New Roman" w:hint="default"/>
        <w:i w:val="0"/>
        <w:sz w:val="24"/>
      </w:rPr>
    </w:lvl>
    <w:lvl w:ilvl="2" w:tplc="0FB6232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184C65"/>
    <w:multiLevelType w:val="hybridMultilevel"/>
    <w:tmpl w:val="2D0A54E8"/>
    <w:lvl w:ilvl="0" w:tplc="9CECA27A">
      <w:start w:val="1"/>
      <w:numFmt w:val="decimal"/>
      <w:lvlText w:val="%1."/>
      <w:lvlJc w:val="left"/>
      <w:pPr>
        <w:ind w:left="720" w:hanging="360"/>
      </w:pPr>
    </w:lvl>
    <w:lvl w:ilvl="1" w:tplc="C03AE934">
      <w:start w:val="1"/>
      <w:numFmt w:val="lowerLetter"/>
      <w:lvlText w:val="%2."/>
      <w:lvlJc w:val="left"/>
      <w:pPr>
        <w:ind w:left="1440" w:hanging="360"/>
      </w:pPr>
    </w:lvl>
    <w:lvl w:ilvl="2" w:tplc="156E8C1A">
      <w:start w:val="1"/>
      <w:numFmt w:val="lowerRoman"/>
      <w:lvlText w:val="%3."/>
      <w:lvlJc w:val="right"/>
      <w:pPr>
        <w:ind w:left="2160" w:hanging="180"/>
      </w:pPr>
    </w:lvl>
    <w:lvl w:ilvl="3" w:tplc="4C8283C6">
      <w:start w:val="1"/>
      <w:numFmt w:val="decimal"/>
      <w:lvlText w:val="%4."/>
      <w:lvlJc w:val="left"/>
      <w:pPr>
        <w:ind w:left="2880" w:hanging="360"/>
      </w:pPr>
    </w:lvl>
    <w:lvl w:ilvl="4" w:tplc="DDD49B1C">
      <w:start w:val="1"/>
      <w:numFmt w:val="lowerLetter"/>
      <w:lvlText w:val="%5."/>
      <w:lvlJc w:val="left"/>
      <w:pPr>
        <w:ind w:left="3600" w:hanging="360"/>
      </w:pPr>
    </w:lvl>
    <w:lvl w:ilvl="5" w:tplc="EFFC367A">
      <w:start w:val="1"/>
      <w:numFmt w:val="lowerRoman"/>
      <w:lvlText w:val="%6."/>
      <w:lvlJc w:val="right"/>
      <w:pPr>
        <w:ind w:left="4320" w:hanging="180"/>
      </w:pPr>
    </w:lvl>
    <w:lvl w:ilvl="6" w:tplc="54968C3A">
      <w:start w:val="1"/>
      <w:numFmt w:val="decimal"/>
      <w:lvlText w:val="%7."/>
      <w:lvlJc w:val="left"/>
      <w:pPr>
        <w:ind w:left="5040" w:hanging="360"/>
      </w:pPr>
    </w:lvl>
    <w:lvl w:ilvl="7" w:tplc="3344FF32">
      <w:start w:val="1"/>
      <w:numFmt w:val="lowerLetter"/>
      <w:lvlText w:val="%8."/>
      <w:lvlJc w:val="left"/>
      <w:pPr>
        <w:ind w:left="5760" w:hanging="360"/>
      </w:pPr>
    </w:lvl>
    <w:lvl w:ilvl="8" w:tplc="C1F45884">
      <w:start w:val="1"/>
      <w:numFmt w:val="lowerRoman"/>
      <w:lvlText w:val="%9."/>
      <w:lvlJc w:val="right"/>
      <w:pPr>
        <w:ind w:left="6480" w:hanging="180"/>
      </w:pPr>
    </w:lvl>
  </w:abstractNum>
  <w:abstractNum w:abstractNumId="8" w15:restartNumberingAfterBreak="0">
    <w:nsid w:val="3F8A4C00"/>
    <w:multiLevelType w:val="hybridMultilevel"/>
    <w:tmpl w:val="B28AD9CC"/>
    <w:lvl w:ilvl="0" w:tplc="1E306F1E">
      <w:start w:val="2"/>
      <w:numFmt w:val="upperLetter"/>
      <w:lvlText w:val="%1."/>
      <w:lvlJc w:val="left"/>
      <w:pPr>
        <w:tabs>
          <w:tab w:val="num" w:pos="1080"/>
        </w:tabs>
        <w:ind w:left="1080" w:hanging="360"/>
      </w:pPr>
      <w:rPr>
        <w:rFonts w:hint="default"/>
      </w:rPr>
    </w:lvl>
    <w:lvl w:ilvl="1" w:tplc="1962111E" w:tentative="1">
      <w:start w:val="1"/>
      <w:numFmt w:val="lowerLetter"/>
      <w:lvlText w:val="%2."/>
      <w:lvlJc w:val="left"/>
      <w:pPr>
        <w:tabs>
          <w:tab w:val="num" w:pos="1800"/>
        </w:tabs>
        <w:ind w:left="1800" w:hanging="360"/>
      </w:pPr>
    </w:lvl>
    <w:lvl w:ilvl="2" w:tplc="0FB62328"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225347B"/>
    <w:multiLevelType w:val="hybridMultilevel"/>
    <w:tmpl w:val="338E3B68"/>
    <w:lvl w:ilvl="0" w:tplc="5A50215A">
      <w:start w:val="1"/>
      <w:numFmt w:val="decimal"/>
      <w:lvlText w:val="%1."/>
      <w:lvlJc w:val="left"/>
      <w:pPr>
        <w:ind w:left="720" w:hanging="360"/>
      </w:pPr>
    </w:lvl>
    <w:lvl w:ilvl="1" w:tplc="F9084936">
      <w:start w:val="1"/>
      <w:numFmt w:val="lowerLetter"/>
      <w:lvlText w:val="%2."/>
      <w:lvlJc w:val="left"/>
      <w:pPr>
        <w:ind w:left="1440" w:hanging="360"/>
      </w:pPr>
    </w:lvl>
    <w:lvl w:ilvl="2" w:tplc="13A27A98">
      <w:start w:val="1"/>
      <w:numFmt w:val="lowerRoman"/>
      <w:lvlText w:val="%3."/>
      <w:lvlJc w:val="right"/>
      <w:pPr>
        <w:ind w:left="2160" w:hanging="180"/>
      </w:pPr>
    </w:lvl>
    <w:lvl w:ilvl="3" w:tplc="7A28DA3A">
      <w:start w:val="1"/>
      <w:numFmt w:val="decimal"/>
      <w:lvlText w:val="%4."/>
      <w:lvlJc w:val="left"/>
      <w:pPr>
        <w:ind w:left="2880" w:hanging="360"/>
      </w:pPr>
    </w:lvl>
    <w:lvl w:ilvl="4" w:tplc="93EAED88">
      <w:start w:val="1"/>
      <w:numFmt w:val="lowerLetter"/>
      <w:lvlText w:val="%5."/>
      <w:lvlJc w:val="left"/>
      <w:pPr>
        <w:ind w:left="3600" w:hanging="360"/>
      </w:pPr>
    </w:lvl>
    <w:lvl w:ilvl="5" w:tplc="161455BC">
      <w:start w:val="1"/>
      <w:numFmt w:val="lowerRoman"/>
      <w:lvlText w:val="%6."/>
      <w:lvlJc w:val="right"/>
      <w:pPr>
        <w:ind w:left="4320" w:hanging="180"/>
      </w:pPr>
    </w:lvl>
    <w:lvl w:ilvl="6" w:tplc="6D908A9C">
      <w:start w:val="1"/>
      <w:numFmt w:val="decimal"/>
      <w:lvlText w:val="%7."/>
      <w:lvlJc w:val="left"/>
      <w:pPr>
        <w:ind w:left="5040" w:hanging="360"/>
      </w:pPr>
    </w:lvl>
    <w:lvl w:ilvl="7" w:tplc="EB5A7DB2">
      <w:start w:val="1"/>
      <w:numFmt w:val="lowerLetter"/>
      <w:lvlText w:val="%8."/>
      <w:lvlJc w:val="left"/>
      <w:pPr>
        <w:ind w:left="5760" w:hanging="360"/>
      </w:pPr>
    </w:lvl>
    <w:lvl w:ilvl="8" w:tplc="95F0AC20">
      <w:start w:val="1"/>
      <w:numFmt w:val="lowerRoman"/>
      <w:lvlText w:val="%9."/>
      <w:lvlJc w:val="right"/>
      <w:pPr>
        <w:ind w:left="6480" w:hanging="180"/>
      </w:pPr>
    </w:lvl>
  </w:abstractNum>
  <w:abstractNum w:abstractNumId="10" w15:restartNumberingAfterBreak="0">
    <w:nsid w:val="458C6115"/>
    <w:multiLevelType w:val="hybridMultilevel"/>
    <w:tmpl w:val="9A7C2CCA"/>
    <w:lvl w:ilvl="0" w:tplc="195C3416">
      <w:start w:val="6"/>
      <w:numFmt w:val="decimal"/>
      <w:lvlText w:val="%1."/>
      <w:lvlJc w:val="left"/>
      <w:pPr>
        <w:tabs>
          <w:tab w:val="num" w:pos="720"/>
        </w:tabs>
        <w:ind w:left="720" w:hanging="360"/>
      </w:pPr>
      <w:rPr>
        <w:rFonts w:hint="default"/>
      </w:rPr>
    </w:lvl>
    <w:lvl w:ilvl="1" w:tplc="1962111E">
      <w:start w:val="1"/>
      <w:numFmt w:val="lowerLetter"/>
      <w:lvlText w:val="%2."/>
      <w:lvlJc w:val="left"/>
      <w:pPr>
        <w:tabs>
          <w:tab w:val="num" w:pos="1440"/>
        </w:tabs>
        <w:ind w:left="1440" w:hanging="360"/>
      </w:pPr>
    </w:lvl>
    <w:lvl w:ilvl="2" w:tplc="0FB6232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B15431"/>
    <w:multiLevelType w:val="hybridMultilevel"/>
    <w:tmpl w:val="15360098"/>
    <w:lvl w:ilvl="0" w:tplc="4B124D4E">
      <w:start w:val="3"/>
      <w:numFmt w:val="decimal"/>
      <w:lvlText w:val="%1."/>
      <w:lvlJc w:val="left"/>
      <w:pPr>
        <w:tabs>
          <w:tab w:val="num" w:pos="720"/>
        </w:tabs>
        <w:ind w:left="720" w:hanging="360"/>
      </w:pPr>
      <w:rPr>
        <w:rFonts w:eastAsia="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0861E1"/>
    <w:multiLevelType w:val="hybridMultilevel"/>
    <w:tmpl w:val="7316AC94"/>
    <w:lvl w:ilvl="0" w:tplc="8B409868">
      <w:start w:val="201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63B51"/>
    <w:multiLevelType w:val="hybridMultilevel"/>
    <w:tmpl w:val="19622C1E"/>
    <w:lvl w:ilvl="0" w:tplc="E176134C">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B0301"/>
    <w:multiLevelType w:val="hybridMultilevel"/>
    <w:tmpl w:val="7856E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A73095"/>
    <w:multiLevelType w:val="hybridMultilevel"/>
    <w:tmpl w:val="0AA472C8"/>
    <w:lvl w:ilvl="0" w:tplc="824E585E">
      <w:start w:val="1"/>
      <w:numFmt w:val="bullet"/>
      <w:pStyle w:val="Bullettext"/>
      <w:lvlText w:val=""/>
      <w:lvlJc w:val="left"/>
      <w:pPr>
        <w:tabs>
          <w:tab w:val="num" w:pos="720"/>
        </w:tabs>
        <w:ind w:left="720" w:hanging="360"/>
      </w:pPr>
      <w:rPr>
        <w:rFonts w:ascii="Wingdings" w:hAnsi="Wingdings" w:hint="default"/>
      </w:rPr>
    </w:lvl>
    <w:lvl w:ilvl="1" w:tplc="9EF00066">
      <w:start w:val="1"/>
      <w:numFmt w:val="bullet"/>
      <w:pStyle w:val="Bullettext2"/>
      <w:lvlText w:val="─"/>
      <w:lvlJc w:val="left"/>
      <w:pPr>
        <w:tabs>
          <w:tab w:val="num" w:pos="1080"/>
        </w:tabs>
        <w:ind w:left="1080" w:hanging="360"/>
      </w:pPr>
      <w:rPr>
        <w:rFonts w:ascii="Arial" w:hAnsi="Arial" w:hint="default"/>
      </w:rPr>
    </w:lvl>
    <w:lvl w:ilvl="2" w:tplc="B34CFBF0">
      <w:start w:val="1"/>
      <w:numFmt w:val="bullet"/>
      <w:lvlText w:val=""/>
      <w:lvlJc w:val="left"/>
      <w:pPr>
        <w:tabs>
          <w:tab w:val="num" w:pos="1440"/>
        </w:tabs>
        <w:ind w:left="1440" w:hanging="360"/>
      </w:pPr>
      <w:rPr>
        <w:rFonts w:ascii="Wingdings" w:hAnsi="Wingdings" w:hint="default"/>
      </w:rPr>
    </w:lvl>
    <w:lvl w:ilvl="3" w:tplc="ED7EB3B0">
      <w:start w:val="1"/>
      <w:numFmt w:val="bullet"/>
      <w:lvlText w:val="−"/>
      <w:lvlJc w:val="left"/>
      <w:pPr>
        <w:tabs>
          <w:tab w:val="num" w:pos="1800"/>
        </w:tabs>
        <w:ind w:left="1800" w:hanging="360"/>
      </w:pPr>
      <w:rPr>
        <w:rFonts w:ascii="Arial" w:hAnsi="Arial" w:hint="default"/>
      </w:rPr>
    </w:lvl>
    <w:lvl w:ilvl="4" w:tplc="1F28CD96">
      <w:start w:val="1"/>
      <w:numFmt w:val="bullet"/>
      <w:lvlText w:val="○"/>
      <w:lvlJc w:val="left"/>
      <w:pPr>
        <w:tabs>
          <w:tab w:val="num" w:pos="2160"/>
        </w:tabs>
        <w:ind w:left="2160" w:hanging="360"/>
      </w:pPr>
      <w:rPr>
        <w:rFonts w:ascii="Times New Roman" w:hAnsi="Times New Roman" w:cs="Times New Roman" w:hint="default"/>
      </w:rPr>
    </w:lvl>
    <w:lvl w:ilvl="5" w:tplc="87BEF150">
      <w:start w:val="1"/>
      <w:numFmt w:val="bullet"/>
      <w:lvlText w:val="-"/>
      <w:lvlJc w:val="left"/>
      <w:pPr>
        <w:tabs>
          <w:tab w:val="num" w:pos="2520"/>
        </w:tabs>
        <w:ind w:left="2520" w:hanging="360"/>
      </w:pPr>
      <w:rPr>
        <w:rFonts w:ascii="Arial" w:hAnsi="Arial" w:hint="default"/>
      </w:rPr>
    </w:lvl>
    <w:lvl w:ilvl="6" w:tplc="18862E72">
      <w:start w:val="1"/>
      <w:numFmt w:val="bullet"/>
      <w:lvlText w:val=""/>
      <w:lvlJc w:val="left"/>
      <w:pPr>
        <w:tabs>
          <w:tab w:val="num" w:pos="2880"/>
        </w:tabs>
        <w:ind w:left="2880" w:hanging="360"/>
      </w:pPr>
      <w:rPr>
        <w:rFonts w:ascii="Wingdings" w:hAnsi="Wingdings" w:hint="default"/>
      </w:rPr>
    </w:lvl>
    <w:lvl w:ilvl="7" w:tplc="57BA03F4">
      <w:start w:val="1"/>
      <w:numFmt w:val="bullet"/>
      <w:lvlText w:val="-"/>
      <w:lvlJc w:val="left"/>
      <w:pPr>
        <w:tabs>
          <w:tab w:val="num" w:pos="3240"/>
        </w:tabs>
        <w:ind w:left="3240" w:hanging="360"/>
      </w:pPr>
      <w:rPr>
        <w:rFonts w:ascii="Arial" w:hAnsi="Arial" w:hint="default"/>
      </w:rPr>
    </w:lvl>
    <w:lvl w:ilvl="8" w:tplc="2AECFD74">
      <w:start w:val="1"/>
      <w:numFmt w:val="bullet"/>
      <w:lvlText w:val=""/>
      <w:lvlJc w:val="left"/>
      <w:pPr>
        <w:tabs>
          <w:tab w:val="num" w:pos="3600"/>
        </w:tabs>
        <w:ind w:left="3600" w:hanging="360"/>
      </w:pPr>
      <w:rPr>
        <w:rFonts w:ascii="Wingdings 2" w:hAnsi="Wingdings 2" w:hint="default"/>
      </w:rPr>
    </w:lvl>
  </w:abstractNum>
  <w:abstractNum w:abstractNumId="16" w15:restartNumberingAfterBreak="0">
    <w:nsid w:val="74A77AF5"/>
    <w:multiLevelType w:val="hybridMultilevel"/>
    <w:tmpl w:val="BC1ACA60"/>
    <w:lvl w:ilvl="0" w:tplc="132A7184">
      <w:start w:val="1"/>
      <w:numFmt w:val="decimal"/>
      <w:lvlText w:val="%1."/>
      <w:lvlJc w:val="left"/>
      <w:pPr>
        <w:ind w:left="720" w:hanging="360"/>
      </w:pPr>
    </w:lvl>
    <w:lvl w:ilvl="1" w:tplc="36547F8C">
      <w:start w:val="1"/>
      <w:numFmt w:val="lowerLetter"/>
      <w:lvlText w:val="%2."/>
      <w:lvlJc w:val="left"/>
      <w:pPr>
        <w:ind w:left="1440" w:hanging="360"/>
      </w:pPr>
    </w:lvl>
    <w:lvl w:ilvl="2" w:tplc="9F0E70B4">
      <w:start w:val="1"/>
      <w:numFmt w:val="lowerRoman"/>
      <w:lvlText w:val="%3."/>
      <w:lvlJc w:val="right"/>
      <w:pPr>
        <w:ind w:left="2160" w:hanging="180"/>
      </w:pPr>
    </w:lvl>
    <w:lvl w:ilvl="3" w:tplc="3378E934">
      <w:start w:val="1"/>
      <w:numFmt w:val="decimal"/>
      <w:lvlText w:val="%4."/>
      <w:lvlJc w:val="left"/>
      <w:pPr>
        <w:ind w:left="2880" w:hanging="360"/>
      </w:pPr>
    </w:lvl>
    <w:lvl w:ilvl="4" w:tplc="13282B26">
      <w:start w:val="1"/>
      <w:numFmt w:val="lowerLetter"/>
      <w:lvlText w:val="%5."/>
      <w:lvlJc w:val="left"/>
      <w:pPr>
        <w:ind w:left="3600" w:hanging="360"/>
      </w:pPr>
    </w:lvl>
    <w:lvl w:ilvl="5" w:tplc="9E661F48">
      <w:start w:val="1"/>
      <w:numFmt w:val="lowerRoman"/>
      <w:lvlText w:val="%6."/>
      <w:lvlJc w:val="right"/>
      <w:pPr>
        <w:ind w:left="4320" w:hanging="180"/>
      </w:pPr>
    </w:lvl>
    <w:lvl w:ilvl="6" w:tplc="5F0E120A">
      <w:start w:val="1"/>
      <w:numFmt w:val="decimal"/>
      <w:lvlText w:val="%7."/>
      <w:lvlJc w:val="left"/>
      <w:pPr>
        <w:ind w:left="5040" w:hanging="360"/>
      </w:pPr>
    </w:lvl>
    <w:lvl w:ilvl="7" w:tplc="896215D2">
      <w:start w:val="1"/>
      <w:numFmt w:val="lowerLetter"/>
      <w:lvlText w:val="%8."/>
      <w:lvlJc w:val="left"/>
      <w:pPr>
        <w:ind w:left="5760" w:hanging="360"/>
      </w:pPr>
    </w:lvl>
    <w:lvl w:ilvl="8" w:tplc="92287754">
      <w:start w:val="1"/>
      <w:numFmt w:val="lowerRoman"/>
      <w:lvlText w:val="%9."/>
      <w:lvlJc w:val="right"/>
      <w:pPr>
        <w:ind w:left="6480" w:hanging="180"/>
      </w:pPr>
    </w:lvl>
  </w:abstractNum>
  <w:num w:numId="1">
    <w:abstractNumId w:val="7"/>
  </w:num>
  <w:num w:numId="2">
    <w:abstractNumId w:val="3"/>
  </w:num>
  <w:num w:numId="3">
    <w:abstractNumId w:val="9"/>
  </w:num>
  <w:num w:numId="4">
    <w:abstractNumId w:val="16"/>
  </w:num>
  <w:num w:numId="5">
    <w:abstractNumId w:val="5"/>
  </w:num>
  <w:num w:numId="6">
    <w:abstractNumId w:val="8"/>
  </w:num>
  <w:num w:numId="7">
    <w:abstractNumId w:val="10"/>
  </w:num>
  <w:num w:numId="8">
    <w:abstractNumId w:val="11"/>
  </w:num>
  <w:num w:numId="9">
    <w:abstractNumId w:val="15"/>
  </w:num>
  <w:num w:numId="10">
    <w:abstractNumId w:val="6"/>
  </w:num>
  <w:num w:numId="11">
    <w:abstractNumId w:val="6"/>
    <w:lvlOverride w:ilvl="0">
      <w:startOverride w:val="4"/>
    </w:lvlOverride>
  </w:num>
  <w:num w:numId="12">
    <w:abstractNumId w:val="0"/>
  </w:num>
  <w:num w:numId="13">
    <w:abstractNumId w:val="2"/>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0"/>
    <w:docVar w:name="MPDocID" w:val="::ODMA\PCDOCS\WASHINGTON DC\454069\4"/>
    <w:docVar w:name="NewDocStampType" w:val="22"/>
  </w:docVars>
  <w:rsids>
    <w:rsidRoot w:val="006770D4"/>
    <w:rsid w:val="00005B95"/>
    <w:rsid w:val="00010180"/>
    <w:rsid w:val="00010E63"/>
    <w:rsid w:val="00010F74"/>
    <w:rsid w:val="00011ED0"/>
    <w:rsid w:val="0001265E"/>
    <w:rsid w:val="0001271E"/>
    <w:rsid w:val="00020693"/>
    <w:rsid w:val="0002234D"/>
    <w:rsid w:val="00023B66"/>
    <w:rsid w:val="00024292"/>
    <w:rsid w:val="000272A6"/>
    <w:rsid w:val="0003034B"/>
    <w:rsid w:val="000345D6"/>
    <w:rsid w:val="00036129"/>
    <w:rsid w:val="00036FBB"/>
    <w:rsid w:val="00040087"/>
    <w:rsid w:val="00040A37"/>
    <w:rsid w:val="00042DC6"/>
    <w:rsid w:val="00044F87"/>
    <w:rsid w:val="0004793A"/>
    <w:rsid w:val="00053DE0"/>
    <w:rsid w:val="000552DF"/>
    <w:rsid w:val="00056AC5"/>
    <w:rsid w:val="00057446"/>
    <w:rsid w:val="00061F50"/>
    <w:rsid w:val="00063348"/>
    <w:rsid w:val="000657C5"/>
    <w:rsid w:val="000720F6"/>
    <w:rsid w:val="00073F64"/>
    <w:rsid w:val="000740F9"/>
    <w:rsid w:val="00081A5A"/>
    <w:rsid w:val="00082B9E"/>
    <w:rsid w:val="00086423"/>
    <w:rsid w:val="00087234"/>
    <w:rsid w:val="00094464"/>
    <w:rsid w:val="00095F39"/>
    <w:rsid w:val="000A070E"/>
    <w:rsid w:val="000A2753"/>
    <w:rsid w:val="000A2F52"/>
    <w:rsid w:val="000B4C7D"/>
    <w:rsid w:val="000B6A97"/>
    <w:rsid w:val="000B6FBB"/>
    <w:rsid w:val="000C216F"/>
    <w:rsid w:val="000C4CC6"/>
    <w:rsid w:val="000C577C"/>
    <w:rsid w:val="000D595B"/>
    <w:rsid w:val="000F0D58"/>
    <w:rsid w:val="000F150C"/>
    <w:rsid w:val="001014F0"/>
    <w:rsid w:val="00123D21"/>
    <w:rsid w:val="00123D92"/>
    <w:rsid w:val="00132B6D"/>
    <w:rsid w:val="001374A8"/>
    <w:rsid w:val="00137CAC"/>
    <w:rsid w:val="00140661"/>
    <w:rsid w:val="00142631"/>
    <w:rsid w:val="0014423A"/>
    <w:rsid w:val="00154AEE"/>
    <w:rsid w:val="00162C72"/>
    <w:rsid w:val="001631A8"/>
    <w:rsid w:val="0016518D"/>
    <w:rsid w:val="001670F6"/>
    <w:rsid w:val="00167C0C"/>
    <w:rsid w:val="0017294B"/>
    <w:rsid w:val="0017417A"/>
    <w:rsid w:val="0017516C"/>
    <w:rsid w:val="001761F1"/>
    <w:rsid w:val="00183210"/>
    <w:rsid w:val="0018512F"/>
    <w:rsid w:val="001859D0"/>
    <w:rsid w:val="001872E7"/>
    <w:rsid w:val="00192BEC"/>
    <w:rsid w:val="00193B08"/>
    <w:rsid w:val="00196166"/>
    <w:rsid w:val="001A01AD"/>
    <w:rsid w:val="001A0E04"/>
    <w:rsid w:val="001A72B2"/>
    <w:rsid w:val="001A73D9"/>
    <w:rsid w:val="001B01DC"/>
    <w:rsid w:val="001B1194"/>
    <w:rsid w:val="001B2DA4"/>
    <w:rsid w:val="001B66E0"/>
    <w:rsid w:val="001C0BDC"/>
    <w:rsid w:val="001C449E"/>
    <w:rsid w:val="001C481B"/>
    <w:rsid w:val="001C4C10"/>
    <w:rsid w:val="001D10CE"/>
    <w:rsid w:val="001E2D2F"/>
    <w:rsid w:val="001E6DD9"/>
    <w:rsid w:val="001F5EB6"/>
    <w:rsid w:val="001F7005"/>
    <w:rsid w:val="0020588C"/>
    <w:rsid w:val="00205E90"/>
    <w:rsid w:val="00207F6D"/>
    <w:rsid w:val="002114B3"/>
    <w:rsid w:val="00213FFA"/>
    <w:rsid w:val="0021481C"/>
    <w:rsid w:val="00221B3D"/>
    <w:rsid w:val="0023077E"/>
    <w:rsid w:val="0023619A"/>
    <w:rsid w:val="0024073D"/>
    <w:rsid w:val="00242EE2"/>
    <w:rsid w:val="00243F0A"/>
    <w:rsid w:val="00246612"/>
    <w:rsid w:val="002468E8"/>
    <w:rsid w:val="00246B06"/>
    <w:rsid w:val="00247788"/>
    <w:rsid w:val="002604A5"/>
    <w:rsid w:val="00262B5B"/>
    <w:rsid w:val="00263752"/>
    <w:rsid w:val="00263B02"/>
    <w:rsid w:val="002649E3"/>
    <w:rsid w:val="00267C60"/>
    <w:rsid w:val="00273CA6"/>
    <w:rsid w:val="0027408C"/>
    <w:rsid w:val="00274804"/>
    <w:rsid w:val="00275A3B"/>
    <w:rsid w:val="00283501"/>
    <w:rsid w:val="0028464E"/>
    <w:rsid w:val="00284694"/>
    <w:rsid w:val="00290DE8"/>
    <w:rsid w:val="00291D2A"/>
    <w:rsid w:val="00292360"/>
    <w:rsid w:val="002A40A3"/>
    <w:rsid w:val="002B4E90"/>
    <w:rsid w:val="002B5F43"/>
    <w:rsid w:val="002B76D1"/>
    <w:rsid w:val="002C2A20"/>
    <w:rsid w:val="002C53D0"/>
    <w:rsid w:val="002C5DB8"/>
    <w:rsid w:val="002D3B2B"/>
    <w:rsid w:val="002D545C"/>
    <w:rsid w:val="002D6C48"/>
    <w:rsid w:val="002D7087"/>
    <w:rsid w:val="002E021E"/>
    <w:rsid w:val="002E1911"/>
    <w:rsid w:val="002E2944"/>
    <w:rsid w:val="002E2D3C"/>
    <w:rsid w:val="002E63A5"/>
    <w:rsid w:val="002E7C2F"/>
    <w:rsid w:val="002F2BC1"/>
    <w:rsid w:val="002F6066"/>
    <w:rsid w:val="002F6EA0"/>
    <w:rsid w:val="00300324"/>
    <w:rsid w:val="00313FD2"/>
    <w:rsid w:val="0031422B"/>
    <w:rsid w:val="003255A6"/>
    <w:rsid w:val="00327813"/>
    <w:rsid w:val="00331A3C"/>
    <w:rsid w:val="00334466"/>
    <w:rsid w:val="00336475"/>
    <w:rsid w:val="003365CE"/>
    <w:rsid w:val="00350BB1"/>
    <w:rsid w:val="00351458"/>
    <w:rsid w:val="003541D4"/>
    <w:rsid w:val="003549A6"/>
    <w:rsid w:val="00354DC6"/>
    <w:rsid w:val="0035551C"/>
    <w:rsid w:val="00362274"/>
    <w:rsid w:val="003627AD"/>
    <w:rsid w:val="00370997"/>
    <w:rsid w:val="003739E4"/>
    <w:rsid w:val="00394CB9"/>
    <w:rsid w:val="003B1DDA"/>
    <w:rsid w:val="003B290E"/>
    <w:rsid w:val="003B3953"/>
    <w:rsid w:val="003B4378"/>
    <w:rsid w:val="003B5CA0"/>
    <w:rsid w:val="003B6BA9"/>
    <w:rsid w:val="003C40DE"/>
    <w:rsid w:val="003C52F8"/>
    <w:rsid w:val="003D4B44"/>
    <w:rsid w:val="003D6838"/>
    <w:rsid w:val="003E3BEC"/>
    <w:rsid w:val="003E6A96"/>
    <w:rsid w:val="003F1291"/>
    <w:rsid w:val="003F502F"/>
    <w:rsid w:val="003F51E1"/>
    <w:rsid w:val="00403010"/>
    <w:rsid w:val="0040343D"/>
    <w:rsid w:val="0040548A"/>
    <w:rsid w:val="0040617E"/>
    <w:rsid w:val="00406277"/>
    <w:rsid w:val="0041540D"/>
    <w:rsid w:val="00425BF2"/>
    <w:rsid w:val="00434386"/>
    <w:rsid w:val="00434AEE"/>
    <w:rsid w:val="00435A59"/>
    <w:rsid w:val="00450349"/>
    <w:rsid w:val="00455F77"/>
    <w:rsid w:val="00456B26"/>
    <w:rsid w:val="004649DA"/>
    <w:rsid w:val="00467957"/>
    <w:rsid w:val="004827D7"/>
    <w:rsid w:val="0048350B"/>
    <w:rsid w:val="00483CD2"/>
    <w:rsid w:val="00484EE2"/>
    <w:rsid w:val="004859FC"/>
    <w:rsid w:val="0048799B"/>
    <w:rsid w:val="00491D6F"/>
    <w:rsid w:val="00493524"/>
    <w:rsid w:val="004935F0"/>
    <w:rsid w:val="00494407"/>
    <w:rsid w:val="00494F11"/>
    <w:rsid w:val="0049595C"/>
    <w:rsid w:val="004968CD"/>
    <w:rsid w:val="004A25A4"/>
    <w:rsid w:val="004A7AC5"/>
    <w:rsid w:val="004B2DCC"/>
    <w:rsid w:val="004B405A"/>
    <w:rsid w:val="004B4DD9"/>
    <w:rsid w:val="004C1F6F"/>
    <w:rsid w:val="004C6B83"/>
    <w:rsid w:val="004D0C42"/>
    <w:rsid w:val="004D0DD0"/>
    <w:rsid w:val="004D343D"/>
    <w:rsid w:val="004D6EEB"/>
    <w:rsid w:val="004D7B86"/>
    <w:rsid w:val="004E3626"/>
    <w:rsid w:val="004E38FF"/>
    <w:rsid w:val="004E4C99"/>
    <w:rsid w:val="004F0B15"/>
    <w:rsid w:val="004F1995"/>
    <w:rsid w:val="004F4C17"/>
    <w:rsid w:val="00500024"/>
    <w:rsid w:val="00506075"/>
    <w:rsid w:val="00506C18"/>
    <w:rsid w:val="00506F44"/>
    <w:rsid w:val="00507AED"/>
    <w:rsid w:val="005158F5"/>
    <w:rsid w:val="00520500"/>
    <w:rsid w:val="005236F7"/>
    <w:rsid w:val="00525E6D"/>
    <w:rsid w:val="005326A2"/>
    <w:rsid w:val="00536843"/>
    <w:rsid w:val="00542551"/>
    <w:rsid w:val="00544F75"/>
    <w:rsid w:val="00545A46"/>
    <w:rsid w:val="00545A53"/>
    <w:rsid w:val="00552E66"/>
    <w:rsid w:val="005536BC"/>
    <w:rsid w:val="00554CB8"/>
    <w:rsid w:val="00562CBB"/>
    <w:rsid w:val="00566083"/>
    <w:rsid w:val="005669C7"/>
    <w:rsid w:val="005675CC"/>
    <w:rsid w:val="005717EB"/>
    <w:rsid w:val="00572383"/>
    <w:rsid w:val="005733B7"/>
    <w:rsid w:val="005771D2"/>
    <w:rsid w:val="00585E24"/>
    <w:rsid w:val="0058715F"/>
    <w:rsid w:val="00592D7B"/>
    <w:rsid w:val="005944B6"/>
    <w:rsid w:val="00596F96"/>
    <w:rsid w:val="005A38B0"/>
    <w:rsid w:val="005A7560"/>
    <w:rsid w:val="005A7DBB"/>
    <w:rsid w:val="005B1BFF"/>
    <w:rsid w:val="005B3A32"/>
    <w:rsid w:val="005B4951"/>
    <w:rsid w:val="005B78BD"/>
    <w:rsid w:val="005C3172"/>
    <w:rsid w:val="005C6579"/>
    <w:rsid w:val="005D0E88"/>
    <w:rsid w:val="005E13D5"/>
    <w:rsid w:val="005E5D61"/>
    <w:rsid w:val="005F092B"/>
    <w:rsid w:val="005F0FCB"/>
    <w:rsid w:val="005F3D1B"/>
    <w:rsid w:val="005F5D39"/>
    <w:rsid w:val="00607036"/>
    <w:rsid w:val="00607135"/>
    <w:rsid w:val="00611C2D"/>
    <w:rsid w:val="00613C17"/>
    <w:rsid w:val="00615D4E"/>
    <w:rsid w:val="00617E3D"/>
    <w:rsid w:val="00621362"/>
    <w:rsid w:val="0062640F"/>
    <w:rsid w:val="00626D6E"/>
    <w:rsid w:val="00640FA4"/>
    <w:rsid w:val="0064379C"/>
    <w:rsid w:val="00645EB5"/>
    <w:rsid w:val="00646949"/>
    <w:rsid w:val="006474DE"/>
    <w:rsid w:val="00654CB6"/>
    <w:rsid w:val="006610C1"/>
    <w:rsid w:val="006657B6"/>
    <w:rsid w:val="00673C2E"/>
    <w:rsid w:val="006770D4"/>
    <w:rsid w:val="00680684"/>
    <w:rsid w:val="0069264A"/>
    <w:rsid w:val="00692D03"/>
    <w:rsid w:val="006A2A02"/>
    <w:rsid w:val="006B1FC5"/>
    <w:rsid w:val="006B3EA0"/>
    <w:rsid w:val="006B79EA"/>
    <w:rsid w:val="006D146F"/>
    <w:rsid w:val="006D1FFA"/>
    <w:rsid w:val="006D377C"/>
    <w:rsid w:val="006D4DBC"/>
    <w:rsid w:val="006E210E"/>
    <w:rsid w:val="006E5468"/>
    <w:rsid w:val="006E54EA"/>
    <w:rsid w:val="006E6B17"/>
    <w:rsid w:val="006E6DFF"/>
    <w:rsid w:val="006F082F"/>
    <w:rsid w:val="00700D4C"/>
    <w:rsid w:val="00713AFB"/>
    <w:rsid w:val="00714802"/>
    <w:rsid w:val="00714D2C"/>
    <w:rsid w:val="00724FBD"/>
    <w:rsid w:val="00727F4A"/>
    <w:rsid w:val="0073014E"/>
    <w:rsid w:val="007314FA"/>
    <w:rsid w:val="00731902"/>
    <w:rsid w:val="00746882"/>
    <w:rsid w:val="00746A5E"/>
    <w:rsid w:val="00751198"/>
    <w:rsid w:val="0075136E"/>
    <w:rsid w:val="0075278D"/>
    <w:rsid w:val="007553C0"/>
    <w:rsid w:val="00760BDF"/>
    <w:rsid w:val="00775CEF"/>
    <w:rsid w:val="00781CA3"/>
    <w:rsid w:val="00783200"/>
    <w:rsid w:val="0078636E"/>
    <w:rsid w:val="007915D7"/>
    <w:rsid w:val="00793462"/>
    <w:rsid w:val="007A0492"/>
    <w:rsid w:val="007A5541"/>
    <w:rsid w:val="007A5ADF"/>
    <w:rsid w:val="007A6DA3"/>
    <w:rsid w:val="007A7588"/>
    <w:rsid w:val="007B2D2C"/>
    <w:rsid w:val="007B68C3"/>
    <w:rsid w:val="007C3822"/>
    <w:rsid w:val="007C7000"/>
    <w:rsid w:val="007D36AB"/>
    <w:rsid w:val="007E2627"/>
    <w:rsid w:val="007E3109"/>
    <w:rsid w:val="007E7768"/>
    <w:rsid w:val="007F472C"/>
    <w:rsid w:val="007F6C80"/>
    <w:rsid w:val="00800F7B"/>
    <w:rsid w:val="00812A21"/>
    <w:rsid w:val="00813A4F"/>
    <w:rsid w:val="00813C5B"/>
    <w:rsid w:val="00815228"/>
    <w:rsid w:val="008152D8"/>
    <w:rsid w:val="00824704"/>
    <w:rsid w:val="00831B32"/>
    <w:rsid w:val="00836142"/>
    <w:rsid w:val="00837AAC"/>
    <w:rsid w:val="00842CE5"/>
    <w:rsid w:val="00843C23"/>
    <w:rsid w:val="008529F8"/>
    <w:rsid w:val="008538B6"/>
    <w:rsid w:val="00854457"/>
    <w:rsid w:val="00855E37"/>
    <w:rsid w:val="00860B32"/>
    <w:rsid w:val="008625CB"/>
    <w:rsid w:val="0086273C"/>
    <w:rsid w:val="00863D13"/>
    <w:rsid w:val="00864F08"/>
    <w:rsid w:val="00865A64"/>
    <w:rsid w:val="0086731A"/>
    <w:rsid w:val="008744C0"/>
    <w:rsid w:val="00880C4E"/>
    <w:rsid w:val="00880DB4"/>
    <w:rsid w:val="00886789"/>
    <w:rsid w:val="00886DCA"/>
    <w:rsid w:val="00896259"/>
    <w:rsid w:val="00897A80"/>
    <w:rsid w:val="008A5CD2"/>
    <w:rsid w:val="008B2F1D"/>
    <w:rsid w:val="008B57A9"/>
    <w:rsid w:val="008B5BE3"/>
    <w:rsid w:val="008B5FED"/>
    <w:rsid w:val="008B622D"/>
    <w:rsid w:val="008B6453"/>
    <w:rsid w:val="008C26E4"/>
    <w:rsid w:val="008C4CF5"/>
    <w:rsid w:val="008D028A"/>
    <w:rsid w:val="008E1E73"/>
    <w:rsid w:val="008E2DD5"/>
    <w:rsid w:val="008E38F1"/>
    <w:rsid w:val="008E5499"/>
    <w:rsid w:val="008E55AD"/>
    <w:rsid w:val="008E5F1B"/>
    <w:rsid w:val="008E70C1"/>
    <w:rsid w:val="008E74DA"/>
    <w:rsid w:val="008F25A3"/>
    <w:rsid w:val="008F35C5"/>
    <w:rsid w:val="008F8692"/>
    <w:rsid w:val="00901804"/>
    <w:rsid w:val="009048F9"/>
    <w:rsid w:val="00905FDB"/>
    <w:rsid w:val="00907F75"/>
    <w:rsid w:val="00912553"/>
    <w:rsid w:val="00914F27"/>
    <w:rsid w:val="009309F4"/>
    <w:rsid w:val="0093491F"/>
    <w:rsid w:val="009408B1"/>
    <w:rsid w:val="00940A5B"/>
    <w:rsid w:val="009429E1"/>
    <w:rsid w:val="009430BB"/>
    <w:rsid w:val="00946CFF"/>
    <w:rsid w:val="009514B0"/>
    <w:rsid w:val="009569AB"/>
    <w:rsid w:val="00967772"/>
    <w:rsid w:val="009763A7"/>
    <w:rsid w:val="009770ED"/>
    <w:rsid w:val="00985560"/>
    <w:rsid w:val="00986933"/>
    <w:rsid w:val="00986B94"/>
    <w:rsid w:val="00990865"/>
    <w:rsid w:val="009A0C3C"/>
    <w:rsid w:val="009A15D4"/>
    <w:rsid w:val="009A6566"/>
    <w:rsid w:val="009A7ADC"/>
    <w:rsid w:val="009B7A83"/>
    <w:rsid w:val="009C1B44"/>
    <w:rsid w:val="009C34E3"/>
    <w:rsid w:val="009C5F42"/>
    <w:rsid w:val="009D224D"/>
    <w:rsid w:val="009D23DF"/>
    <w:rsid w:val="009D743D"/>
    <w:rsid w:val="009D7EDA"/>
    <w:rsid w:val="009E2C25"/>
    <w:rsid w:val="009E3065"/>
    <w:rsid w:val="009E3541"/>
    <w:rsid w:val="009E4283"/>
    <w:rsid w:val="009E71D5"/>
    <w:rsid w:val="009E7DEA"/>
    <w:rsid w:val="009F3387"/>
    <w:rsid w:val="009F3BCE"/>
    <w:rsid w:val="009F6438"/>
    <w:rsid w:val="009F6C43"/>
    <w:rsid w:val="00A0182B"/>
    <w:rsid w:val="00A02751"/>
    <w:rsid w:val="00A0606C"/>
    <w:rsid w:val="00A10A4C"/>
    <w:rsid w:val="00A115F1"/>
    <w:rsid w:val="00A13D66"/>
    <w:rsid w:val="00A1698D"/>
    <w:rsid w:val="00A1AF9D"/>
    <w:rsid w:val="00A20759"/>
    <w:rsid w:val="00A26F1B"/>
    <w:rsid w:val="00A330E3"/>
    <w:rsid w:val="00A3325E"/>
    <w:rsid w:val="00A35EE8"/>
    <w:rsid w:val="00A41572"/>
    <w:rsid w:val="00A42672"/>
    <w:rsid w:val="00A42703"/>
    <w:rsid w:val="00A42E9F"/>
    <w:rsid w:val="00A4305A"/>
    <w:rsid w:val="00A43EDC"/>
    <w:rsid w:val="00A44797"/>
    <w:rsid w:val="00A47D06"/>
    <w:rsid w:val="00A50770"/>
    <w:rsid w:val="00A52B57"/>
    <w:rsid w:val="00A53951"/>
    <w:rsid w:val="00A566B2"/>
    <w:rsid w:val="00A6707F"/>
    <w:rsid w:val="00A71E0D"/>
    <w:rsid w:val="00A729D7"/>
    <w:rsid w:val="00A74FD8"/>
    <w:rsid w:val="00A75A76"/>
    <w:rsid w:val="00A83FFC"/>
    <w:rsid w:val="00A860D2"/>
    <w:rsid w:val="00A941DE"/>
    <w:rsid w:val="00A972B5"/>
    <w:rsid w:val="00AA2168"/>
    <w:rsid w:val="00AA6224"/>
    <w:rsid w:val="00AB274D"/>
    <w:rsid w:val="00AB27D9"/>
    <w:rsid w:val="00AB535B"/>
    <w:rsid w:val="00AC72ED"/>
    <w:rsid w:val="00AD06E2"/>
    <w:rsid w:val="00AD544A"/>
    <w:rsid w:val="00AE18AD"/>
    <w:rsid w:val="00AE194B"/>
    <w:rsid w:val="00AE4FF0"/>
    <w:rsid w:val="00AE71ED"/>
    <w:rsid w:val="00AE738A"/>
    <w:rsid w:val="00AF09B2"/>
    <w:rsid w:val="00B000A6"/>
    <w:rsid w:val="00B05034"/>
    <w:rsid w:val="00B06269"/>
    <w:rsid w:val="00B103DB"/>
    <w:rsid w:val="00B10938"/>
    <w:rsid w:val="00B12F5E"/>
    <w:rsid w:val="00B16C9F"/>
    <w:rsid w:val="00B21060"/>
    <w:rsid w:val="00B226D3"/>
    <w:rsid w:val="00B22FB9"/>
    <w:rsid w:val="00B25AAE"/>
    <w:rsid w:val="00B25BA7"/>
    <w:rsid w:val="00B34535"/>
    <w:rsid w:val="00B34DA8"/>
    <w:rsid w:val="00B436B2"/>
    <w:rsid w:val="00B45CFA"/>
    <w:rsid w:val="00B47B5A"/>
    <w:rsid w:val="00B56F2D"/>
    <w:rsid w:val="00B57B6E"/>
    <w:rsid w:val="00B608F0"/>
    <w:rsid w:val="00B6469C"/>
    <w:rsid w:val="00B7366D"/>
    <w:rsid w:val="00B73CB9"/>
    <w:rsid w:val="00B744C3"/>
    <w:rsid w:val="00B8769B"/>
    <w:rsid w:val="00B9702C"/>
    <w:rsid w:val="00BA1BA4"/>
    <w:rsid w:val="00BA277B"/>
    <w:rsid w:val="00BA4981"/>
    <w:rsid w:val="00BB05EB"/>
    <w:rsid w:val="00BB3697"/>
    <w:rsid w:val="00BB5CE3"/>
    <w:rsid w:val="00BC4D51"/>
    <w:rsid w:val="00BC72CB"/>
    <w:rsid w:val="00BD1BC6"/>
    <w:rsid w:val="00BD2151"/>
    <w:rsid w:val="00BD2F28"/>
    <w:rsid w:val="00BD49AC"/>
    <w:rsid w:val="00BD4B83"/>
    <w:rsid w:val="00BD5B7B"/>
    <w:rsid w:val="00BD6CDC"/>
    <w:rsid w:val="00BE5AD4"/>
    <w:rsid w:val="00BE7AC9"/>
    <w:rsid w:val="00BF0395"/>
    <w:rsid w:val="00BF2669"/>
    <w:rsid w:val="00BF3817"/>
    <w:rsid w:val="00BF3A9D"/>
    <w:rsid w:val="00BF65B8"/>
    <w:rsid w:val="00BF6D2A"/>
    <w:rsid w:val="00C06B15"/>
    <w:rsid w:val="00C072DA"/>
    <w:rsid w:val="00C117AD"/>
    <w:rsid w:val="00C12829"/>
    <w:rsid w:val="00C175FD"/>
    <w:rsid w:val="00C20165"/>
    <w:rsid w:val="00C20AA3"/>
    <w:rsid w:val="00C24DFD"/>
    <w:rsid w:val="00C26DA1"/>
    <w:rsid w:val="00C3056C"/>
    <w:rsid w:val="00C30C42"/>
    <w:rsid w:val="00C40CF3"/>
    <w:rsid w:val="00C45A2B"/>
    <w:rsid w:val="00C4722F"/>
    <w:rsid w:val="00C47C5A"/>
    <w:rsid w:val="00C47ECF"/>
    <w:rsid w:val="00C504B8"/>
    <w:rsid w:val="00C50AEF"/>
    <w:rsid w:val="00C5243F"/>
    <w:rsid w:val="00C60060"/>
    <w:rsid w:val="00C6137B"/>
    <w:rsid w:val="00C7045C"/>
    <w:rsid w:val="00C72D8D"/>
    <w:rsid w:val="00C75638"/>
    <w:rsid w:val="00C80960"/>
    <w:rsid w:val="00C82C85"/>
    <w:rsid w:val="00C83285"/>
    <w:rsid w:val="00C84A4C"/>
    <w:rsid w:val="00C90A52"/>
    <w:rsid w:val="00C9520B"/>
    <w:rsid w:val="00C96EAC"/>
    <w:rsid w:val="00CA3A08"/>
    <w:rsid w:val="00CA5D6E"/>
    <w:rsid w:val="00CA6036"/>
    <w:rsid w:val="00CA6874"/>
    <w:rsid w:val="00CB291A"/>
    <w:rsid w:val="00CB439C"/>
    <w:rsid w:val="00CB7C2B"/>
    <w:rsid w:val="00CC426E"/>
    <w:rsid w:val="00CC5FD5"/>
    <w:rsid w:val="00CC760F"/>
    <w:rsid w:val="00CD2D02"/>
    <w:rsid w:val="00CD3D52"/>
    <w:rsid w:val="00CD402D"/>
    <w:rsid w:val="00CD7963"/>
    <w:rsid w:val="00CE301C"/>
    <w:rsid w:val="00CE4E92"/>
    <w:rsid w:val="00CE52FB"/>
    <w:rsid w:val="00CE69BA"/>
    <w:rsid w:val="00CF3615"/>
    <w:rsid w:val="00CF5B80"/>
    <w:rsid w:val="00CF5F65"/>
    <w:rsid w:val="00CF77DC"/>
    <w:rsid w:val="00D003B4"/>
    <w:rsid w:val="00D012A2"/>
    <w:rsid w:val="00D02A49"/>
    <w:rsid w:val="00D03A01"/>
    <w:rsid w:val="00D04B8A"/>
    <w:rsid w:val="00D055FD"/>
    <w:rsid w:val="00D06201"/>
    <w:rsid w:val="00D128CF"/>
    <w:rsid w:val="00D12956"/>
    <w:rsid w:val="00D13478"/>
    <w:rsid w:val="00D1404C"/>
    <w:rsid w:val="00D144A8"/>
    <w:rsid w:val="00D203FE"/>
    <w:rsid w:val="00D20ACA"/>
    <w:rsid w:val="00D23388"/>
    <w:rsid w:val="00D314F3"/>
    <w:rsid w:val="00D4245C"/>
    <w:rsid w:val="00D46920"/>
    <w:rsid w:val="00D51A73"/>
    <w:rsid w:val="00D537EB"/>
    <w:rsid w:val="00D544C2"/>
    <w:rsid w:val="00D54F2A"/>
    <w:rsid w:val="00D70808"/>
    <w:rsid w:val="00D70908"/>
    <w:rsid w:val="00D70B78"/>
    <w:rsid w:val="00D746D8"/>
    <w:rsid w:val="00D7529E"/>
    <w:rsid w:val="00D75B4A"/>
    <w:rsid w:val="00D77459"/>
    <w:rsid w:val="00D81E4B"/>
    <w:rsid w:val="00D83C0B"/>
    <w:rsid w:val="00D857C5"/>
    <w:rsid w:val="00D97782"/>
    <w:rsid w:val="00DA1FF9"/>
    <w:rsid w:val="00DA3516"/>
    <w:rsid w:val="00DC3E9E"/>
    <w:rsid w:val="00DD12BE"/>
    <w:rsid w:val="00DD46CA"/>
    <w:rsid w:val="00DD5264"/>
    <w:rsid w:val="00DD7D7F"/>
    <w:rsid w:val="00DE2E20"/>
    <w:rsid w:val="00DF48AA"/>
    <w:rsid w:val="00DF56F5"/>
    <w:rsid w:val="00E01347"/>
    <w:rsid w:val="00E015CD"/>
    <w:rsid w:val="00E02B90"/>
    <w:rsid w:val="00E10441"/>
    <w:rsid w:val="00E10DB8"/>
    <w:rsid w:val="00E13318"/>
    <w:rsid w:val="00E16A13"/>
    <w:rsid w:val="00E17ADE"/>
    <w:rsid w:val="00E20BBB"/>
    <w:rsid w:val="00E20DAD"/>
    <w:rsid w:val="00E26E62"/>
    <w:rsid w:val="00E279BE"/>
    <w:rsid w:val="00E32004"/>
    <w:rsid w:val="00E3235D"/>
    <w:rsid w:val="00E367BE"/>
    <w:rsid w:val="00E40458"/>
    <w:rsid w:val="00E410A4"/>
    <w:rsid w:val="00E42C21"/>
    <w:rsid w:val="00E43472"/>
    <w:rsid w:val="00E51F3C"/>
    <w:rsid w:val="00E539BE"/>
    <w:rsid w:val="00E53CDF"/>
    <w:rsid w:val="00E56804"/>
    <w:rsid w:val="00E60002"/>
    <w:rsid w:val="00E60956"/>
    <w:rsid w:val="00E61ED1"/>
    <w:rsid w:val="00E64E35"/>
    <w:rsid w:val="00E66959"/>
    <w:rsid w:val="00E719EA"/>
    <w:rsid w:val="00E73BFA"/>
    <w:rsid w:val="00E818DB"/>
    <w:rsid w:val="00E84C40"/>
    <w:rsid w:val="00E94964"/>
    <w:rsid w:val="00EA2AE5"/>
    <w:rsid w:val="00EB2B04"/>
    <w:rsid w:val="00EB2F95"/>
    <w:rsid w:val="00EB3C15"/>
    <w:rsid w:val="00EC144B"/>
    <w:rsid w:val="00EC4D8F"/>
    <w:rsid w:val="00EC5FA4"/>
    <w:rsid w:val="00ED5F9B"/>
    <w:rsid w:val="00EF26BF"/>
    <w:rsid w:val="00EF5884"/>
    <w:rsid w:val="00EF72C1"/>
    <w:rsid w:val="00EF7E7F"/>
    <w:rsid w:val="00F00D44"/>
    <w:rsid w:val="00F01EC7"/>
    <w:rsid w:val="00F04E21"/>
    <w:rsid w:val="00F11903"/>
    <w:rsid w:val="00F12FE9"/>
    <w:rsid w:val="00F13CD6"/>
    <w:rsid w:val="00F206A6"/>
    <w:rsid w:val="00F23862"/>
    <w:rsid w:val="00F25B35"/>
    <w:rsid w:val="00F30EA0"/>
    <w:rsid w:val="00F31BD4"/>
    <w:rsid w:val="00F31D97"/>
    <w:rsid w:val="00F410D2"/>
    <w:rsid w:val="00F43621"/>
    <w:rsid w:val="00F51D5E"/>
    <w:rsid w:val="00F52590"/>
    <w:rsid w:val="00F529DB"/>
    <w:rsid w:val="00F63DB4"/>
    <w:rsid w:val="00F654FE"/>
    <w:rsid w:val="00F824B4"/>
    <w:rsid w:val="00F8321E"/>
    <w:rsid w:val="00F8751B"/>
    <w:rsid w:val="00F905A4"/>
    <w:rsid w:val="00F92261"/>
    <w:rsid w:val="00F922BC"/>
    <w:rsid w:val="00F9252C"/>
    <w:rsid w:val="00F92F8F"/>
    <w:rsid w:val="00F97AD8"/>
    <w:rsid w:val="00FA2B4D"/>
    <w:rsid w:val="00FA2BF9"/>
    <w:rsid w:val="00FA3C4F"/>
    <w:rsid w:val="00FB6DD2"/>
    <w:rsid w:val="00FC01D1"/>
    <w:rsid w:val="00FC10A1"/>
    <w:rsid w:val="00FC3C7D"/>
    <w:rsid w:val="00FD0C39"/>
    <w:rsid w:val="00FD34B2"/>
    <w:rsid w:val="00FD6035"/>
    <w:rsid w:val="00FE6BFE"/>
    <w:rsid w:val="00FE727C"/>
    <w:rsid w:val="00FE7C5C"/>
    <w:rsid w:val="00FE7E50"/>
    <w:rsid w:val="00FF4D16"/>
    <w:rsid w:val="00FF727A"/>
    <w:rsid w:val="01D97573"/>
    <w:rsid w:val="03DFBCB6"/>
    <w:rsid w:val="048D43E2"/>
    <w:rsid w:val="056BBEA6"/>
    <w:rsid w:val="061C0EDD"/>
    <w:rsid w:val="062EEB0C"/>
    <w:rsid w:val="063F3479"/>
    <w:rsid w:val="06F4A4DB"/>
    <w:rsid w:val="073DD609"/>
    <w:rsid w:val="0786E249"/>
    <w:rsid w:val="0845D92F"/>
    <w:rsid w:val="097FF25B"/>
    <w:rsid w:val="0A2D4448"/>
    <w:rsid w:val="0A80D963"/>
    <w:rsid w:val="0CFC69A6"/>
    <w:rsid w:val="0D35452A"/>
    <w:rsid w:val="0E3F81D3"/>
    <w:rsid w:val="0E810D33"/>
    <w:rsid w:val="0F58736D"/>
    <w:rsid w:val="11791B00"/>
    <w:rsid w:val="12D9A75F"/>
    <w:rsid w:val="132EEBC3"/>
    <w:rsid w:val="135140A7"/>
    <w:rsid w:val="139028C4"/>
    <w:rsid w:val="13E5E1E9"/>
    <w:rsid w:val="14DDBE5B"/>
    <w:rsid w:val="1583CE74"/>
    <w:rsid w:val="1598D289"/>
    <w:rsid w:val="15C53053"/>
    <w:rsid w:val="15CDC63D"/>
    <w:rsid w:val="178F4FB6"/>
    <w:rsid w:val="17CB37D8"/>
    <w:rsid w:val="18E146F8"/>
    <w:rsid w:val="1B79DAC5"/>
    <w:rsid w:val="1C0EE453"/>
    <w:rsid w:val="1C1BE269"/>
    <w:rsid w:val="1C517666"/>
    <w:rsid w:val="1C7388A0"/>
    <w:rsid w:val="1C8B928D"/>
    <w:rsid w:val="1D67EDF3"/>
    <w:rsid w:val="1DEA395B"/>
    <w:rsid w:val="1EEFEEFE"/>
    <w:rsid w:val="20050319"/>
    <w:rsid w:val="203803C1"/>
    <w:rsid w:val="2063BD80"/>
    <w:rsid w:val="22062CE2"/>
    <w:rsid w:val="2219CC7B"/>
    <w:rsid w:val="233CD939"/>
    <w:rsid w:val="2478AF9D"/>
    <w:rsid w:val="2489A4C3"/>
    <w:rsid w:val="25559898"/>
    <w:rsid w:val="26CD888F"/>
    <w:rsid w:val="2955D168"/>
    <w:rsid w:val="2A3F019D"/>
    <w:rsid w:val="2A55CE9B"/>
    <w:rsid w:val="2B4E54BC"/>
    <w:rsid w:val="2B735D4A"/>
    <w:rsid w:val="2BC3A5EA"/>
    <w:rsid w:val="2C228A8C"/>
    <w:rsid w:val="2D5C0EF6"/>
    <w:rsid w:val="2D6CAEE6"/>
    <w:rsid w:val="2E28702C"/>
    <w:rsid w:val="2E623424"/>
    <w:rsid w:val="2ECD8617"/>
    <w:rsid w:val="2FE9B963"/>
    <w:rsid w:val="3088F34C"/>
    <w:rsid w:val="310DF885"/>
    <w:rsid w:val="31C658F0"/>
    <w:rsid w:val="322A5B2C"/>
    <w:rsid w:val="331B47E1"/>
    <w:rsid w:val="33388BCA"/>
    <w:rsid w:val="33A2A637"/>
    <w:rsid w:val="350A5C1B"/>
    <w:rsid w:val="353ADB09"/>
    <w:rsid w:val="363D6904"/>
    <w:rsid w:val="36606637"/>
    <w:rsid w:val="37BF8C2E"/>
    <w:rsid w:val="380B7DE8"/>
    <w:rsid w:val="38FA0C97"/>
    <w:rsid w:val="390B874C"/>
    <w:rsid w:val="39139C9D"/>
    <w:rsid w:val="39E13250"/>
    <w:rsid w:val="3A0AED55"/>
    <w:rsid w:val="3A302240"/>
    <w:rsid w:val="3A401239"/>
    <w:rsid w:val="3C0A7F00"/>
    <w:rsid w:val="3C640608"/>
    <w:rsid w:val="3C6911F7"/>
    <w:rsid w:val="3DF30037"/>
    <w:rsid w:val="3EBB1A9C"/>
    <w:rsid w:val="3F0060E6"/>
    <w:rsid w:val="3F4A6931"/>
    <w:rsid w:val="3F578FC6"/>
    <w:rsid w:val="3F76F8D3"/>
    <w:rsid w:val="3FE7EBE4"/>
    <w:rsid w:val="404E847F"/>
    <w:rsid w:val="407FE9B6"/>
    <w:rsid w:val="40939EF9"/>
    <w:rsid w:val="41763481"/>
    <w:rsid w:val="41BD429B"/>
    <w:rsid w:val="422E4C86"/>
    <w:rsid w:val="42F6D726"/>
    <w:rsid w:val="4373F759"/>
    <w:rsid w:val="43E3C166"/>
    <w:rsid w:val="43EA66A0"/>
    <w:rsid w:val="43F77501"/>
    <w:rsid w:val="449E1694"/>
    <w:rsid w:val="4621A714"/>
    <w:rsid w:val="46757375"/>
    <w:rsid w:val="4729C704"/>
    <w:rsid w:val="480EDA9A"/>
    <w:rsid w:val="48E549AF"/>
    <w:rsid w:val="48F2F3DB"/>
    <w:rsid w:val="4973DDFF"/>
    <w:rsid w:val="49DC3E68"/>
    <w:rsid w:val="4A903D54"/>
    <w:rsid w:val="4B21B207"/>
    <w:rsid w:val="4B417155"/>
    <w:rsid w:val="4C1CEA71"/>
    <w:rsid w:val="4C855548"/>
    <w:rsid w:val="4C8B0BE9"/>
    <w:rsid w:val="4CAD468F"/>
    <w:rsid w:val="4E15C271"/>
    <w:rsid w:val="4EA6F9AC"/>
    <w:rsid w:val="4EEBB78E"/>
    <w:rsid w:val="4F397E98"/>
    <w:rsid w:val="52081766"/>
    <w:rsid w:val="52384E54"/>
    <w:rsid w:val="536C9E4C"/>
    <w:rsid w:val="546480A5"/>
    <w:rsid w:val="556C07BB"/>
    <w:rsid w:val="561309BB"/>
    <w:rsid w:val="57F2DB8A"/>
    <w:rsid w:val="584518EE"/>
    <w:rsid w:val="588C2382"/>
    <w:rsid w:val="58D3B879"/>
    <w:rsid w:val="5C5157DC"/>
    <w:rsid w:val="5D75E820"/>
    <w:rsid w:val="5D950F62"/>
    <w:rsid w:val="5E2F17F9"/>
    <w:rsid w:val="5F06CE35"/>
    <w:rsid w:val="60221B85"/>
    <w:rsid w:val="60620F17"/>
    <w:rsid w:val="60754F6E"/>
    <w:rsid w:val="60C72D61"/>
    <w:rsid w:val="62DED5AC"/>
    <w:rsid w:val="6334D9E2"/>
    <w:rsid w:val="6361B729"/>
    <w:rsid w:val="650A73FC"/>
    <w:rsid w:val="654CFF3C"/>
    <w:rsid w:val="6614F8EC"/>
    <w:rsid w:val="6688088A"/>
    <w:rsid w:val="66B348CF"/>
    <w:rsid w:val="68532538"/>
    <w:rsid w:val="68749499"/>
    <w:rsid w:val="68AFAAAC"/>
    <w:rsid w:val="68B86B20"/>
    <w:rsid w:val="69475031"/>
    <w:rsid w:val="6C774F7B"/>
    <w:rsid w:val="6C7DAED8"/>
    <w:rsid w:val="6C9CB9E1"/>
    <w:rsid w:val="6CE35072"/>
    <w:rsid w:val="6D9AB42F"/>
    <w:rsid w:val="6FC23DE1"/>
    <w:rsid w:val="706B3E21"/>
    <w:rsid w:val="7073B734"/>
    <w:rsid w:val="70AF90D0"/>
    <w:rsid w:val="735CAE14"/>
    <w:rsid w:val="741CDF73"/>
    <w:rsid w:val="747E117E"/>
    <w:rsid w:val="7486BCBF"/>
    <w:rsid w:val="74DAAF0F"/>
    <w:rsid w:val="74F87E75"/>
    <w:rsid w:val="75609B56"/>
    <w:rsid w:val="76145AB9"/>
    <w:rsid w:val="76228D20"/>
    <w:rsid w:val="77984834"/>
    <w:rsid w:val="7829C42C"/>
    <w:rsid w:val="788E61F3"/>
    <w:rsid w:val="78AC1841"/>
    <w:rsid w:val="78DEE2EE"/>
    <w:rsid w:val="78F2A655"/>
    <w:rsid w:val="79FBD31B"/>
    <w:rsid w:val="7A72F89A"/>
    <w:rsid w:val="7AE3513A"/>
    <w:rsid w:val="7AE518F3"/>
    <w:rsid w:val="7B6F7A53"/>
    <w:rsid w:val="7B97C6D0"/>
    <w:rsid w:val="7C7ED102"/>
    <w:rsid w:val="7E89D0AB"/>
    <w:rsid w:val="7EB626D0"/>
    <w:rsid w:val="7F1DF6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CC0A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453"/>
    <w:rPr>
      <w:sz w:val="24"/>
      <w:szCs w:val="24"/>
      <w:lang w:eastAsia="en-US"/>
    </w:rPr>
  </w:style>
  <w:style w:type="paragraph" w:styleId="Heading1">
    <w:name w:val="heading 1"/>
    <w:basedOn w:val="Normal"/>
    <w:next w:val="Normal"/>
    <w:qFormat/>
    <w:pPr>
      <w:keepNext/>
      <w:widowControl w:val="0"/>
      <w:outlineLvl w:val="0"/>
    </w:pPr>
    <w:rPr>
      <w:b/>
      <w:szCs w:val="20"/>
    </w:rPr>
  </w:style>
  <w:style w:type="paragraph" w:styleId="Heading2">
    <w:name w:val="heading 2"/>
    <w:basedOn w:val="Normal"/>
    <w:next w:val="Normal"/>
    <w:qFormat/>
    <w:pPr>
      <w:keepNext/>
      <w:adjustRightInd w:val="0"/>
      <w:jc w:val="right"/>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Normal"/>
    <w:pPr>
      <w:numPr>
        <w:numId w:val="9"/>
      </w:numPr>
      <w:spacing w:before="240"/>
    </w:pPr>
  </w:style>
  <w:style w:type="paragraph" w:customStyle="1" w:styleId="Bullettext2">
    <w:name w:val="Bullet text 2"/>
    <w:basedOn w:val="Normal"/>
    <w:pPr>
      <w:numPr>
        <w:ilvl w:val="1"/>
        <w:numId w:val="9"/>
      </w:numPr>
    </w:pPr>
  </w:style>
  <w:style w:type="paragraph" w:styleId="NormalWeb">
    <w:name w:val="Normal (Web)"/>
    <w:basedOn w:val="Normal"/>
    <w:pPr>
      <w:autoSpaceDE w:val="0"/>
      <w:autoSpaceDN w:val="0"/>
      <w:spacing w:before="100" w:after="100"/>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qFormat/>
    <w:rPr>
      <w:b/>
      <w:bCs/>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rPr>
      <w:strike w:val="0"/>
      <w:dstrike w:val="0"/>
      <w:color w:val="000080"/>
      <w:u w:val="none"/>
      <w:effect w:val="non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pPr>
    <w:rPr>
      <w:rFonts w:eastAsia="SimSun"/>
      <w:sz w:val="22"/>
      <w:szCs w:val="22"/>
    </w:rPr>
  </w:style>
  <w:style w:type="paragraph" w:customStyle="1" w:styleId="OutlineL1">
    <w:name w:val="Outline_L1"/>
    <w:basedOn w:val="Normal"/>
    <w:next w:val="BodyText"/>
    <w:pPr>
      <w:numPr>
        <w:numId w:val="14"/>
      </w:numPr>
      <w:spacing w:after="240"/>
      <w:outlineLvl w:val="0"/>
    </w:pPr>
    <w:rPr>
      <w:rFonts w:eastAsia="Times New Roman"/>
      <w:sz w:val="22"/>
      <w:szCs w:val="20"/>
    </w:rPr>
  </w:style>
  <w:style w:type="paragraph" w:customStyle="1" w:styleId="OutlineL2">
    <w:name w:val="Outline_L2"/>
    <w:basedOn w:val="OutlineL1"/>
    <w:next w:val="BodyText"/>
    <w:autoRedefine/>
    <w:pPr>
      <w:numPr>
        <w:ilvl w:val="1"/>
      </w:numPr>
      <w:tabs>
        <w:tab w:val="clear" w:pos="1080"/>
        <w:tab w:val="num" w:pos="1122"/>
      </w:tabs>
      <w:outlineLvl w:val="1"/>
    </w:pPr>
  </w:style>
  <w:style w:type="paragraph" w:customStyle="1" w:styleId="OutlineL3">
    <w:name w:val="Outline_L3"/>
    <w:basedOn w:val="OutlineL2"/>
    <w:next w:val="BodyText"/>
    <w:pPr>
      <w:numPr>
        <w:ilvl w:val="2"/>
      </w:numPr>
      <w:tabs>
        <w:tab w:val="clear" w:pos="1872"/>
        <w:tab w:val="num" w:pos="1496"/>
      </w:tabs>
      <w:ind w:left="1496" w:hanging="374"/>
      <w:outlineLvl w:val="2"/>
    </w:pPr>
  </w:style>
  <w:style w:type="paragraph" w:customStyle="1" w:styleId="OutlineL4">
    <w:name w:val="Outline_L4"/>
    <w:basedOn w:val="OutlineL3"/>
    <w:next w:val="BodyText"/>
    <w:pPr>
      <w:numPr>
        <w:ilvl w:val="3"/>
      </w:numPr>
      <w:tabs>
        <w:tab w:val="clear" w:pos="2664"/>
        <w:tab w:val="num" w:pos="1870"/>
      </w:tabs>
      <w:ind w:left="1870" w:hanging="374"/>
      <w:outlineLvl w:val="3"/>
    </w:pPr>
  </w:style>
  <w:style w:type="paragraph" w:customStyle="1" w:styleId="OutlineL5">
    <w:name w:val="Outline_L5"/>
    <w:basedOn w:val="OutlineL4"/>
    <w:next w:val="BodyText"/>
    <w:pPr>
      <w:numPr>
        <w:ilvl w:val="4"/>
      </w:numPr>
      <w:tabs>
        <w:tab w:val="clear" w:pos="1800"/>
        <w:tab w:val="num" w:pos="2244"/>
      </w:tabs>
      <w:ind w:left="2244" w:hanging="374"/>
      <w:outlineLvl w:val="4"/>
    </w:pPr>
  </w:style>
  <w:style w:type="paragraph" w:customStyle="1" w:styleId="OutlineL6">
    <w:name w:val="Outline_L6"/>
    <w:basedOn w:val="OutlineL5"/>
    <w:next w:val="BodyText"/>
    <w:pPr>
      <w:numPr>
        <w:ilvl w:val="5"/>
      </w:numPr>
      <w:tabs>
        <w:tab w:val="clear" w:pos="2160"/>
      </w:tabs>
      <w:ind w:left="2805" w:hanging="561"/>
      <w:outlineLvl w:val="5"/>
    </w:pPr>
  </w:style>
  <w:style w:type="paragraph" w:customStyle="1" w:styleId="OutlineL7">
    <w:name w:val="Outline_L7"/>
    <w:basedOn w:val="OutlineL6"/>
    <w:next w:val="BodyText"/>
    <w:pPr>
      <w:numPr>
        <w:ilvl w:val="6"/>
      </w:numPr>
      <w:tabs>
        <w:tab w:val="clear" w:pos="2520"/>
      </w:tabs>
      <w:ind w:left="3366" w:hanging="561"/>
      <w:outlineLvl w:val="6"/>
    </w:pPr>
  </w:style>
  <w:style w:type="paragraph" w:customStyle="1" w:styleId="OutlineL8">
    <w:name w:val="Outline_L8"/>
    <w:basedOn w:val="OutlineL7"/>
    <w:next w:val="BodyText"/>
    <w:pPr>
      <w:numPr>
        <w:ilvl w:val="7"/>
      </w:numPr>
      <w:outlineLvl w:val="7"/>
    </w:pPr>
    <w:rPr>
      <w:sz w:val="24"/>
    </w:rPr>
  </w:style>
  <w:style w:type="paragraph" w:customStyle="1" w:styleId="OutlineL9">
    <w:name w:val="Outline_L9"/>
    <w:basedOn w:val="OutlineL8"/>
    <w:next w:val="BodyText"/>
    <w:pPr>
      <w:numPr>
        <w:ilvl w:val="8"/>
      </w:numPr>
      <w:outlineLvl w:val="8"/>
    </w:pPr>
  </w:style>
  <w:style w:type="paragraph" w:styleId="Revision">
    <w:name w:val="Revision"/>
    <w:hidden/>
    <w:uiPriority w:val="99"/>
    <w:semiHidden/>
    <w:rsid w:val="009D7EDA"/>
    <w:rPr>
      <w:sz w:val="24"/>
      <w:szCs w:val="24"/>
      <w:lang w:eastAsia="en-US"/>
    </w:rPr>
  </w:style>
  <w:style w:type="character" w:styleId="CommentReference">
    <w:name w:val="annotation reference"/>
    <w:rsid w:val="009D7EDA"/>
    <w:rPr>
      <w:sz w:val="16"/>
      <w:szCs w:val="16"/>
    </w:rPr>
  </w:style>
  <w:style w:type="paragraph" w:styleId="CommentText">
    <w:name w:val="annotation text"/>
    <w:basedOn w:val="Normal"/>
    <w:link w:val="CommentTextChar"/>
    <w:rsid w:val="009D7EDA"/>
    <w:rPr>
      <w:sz w:val="20"/>
      <w:szCs w:val="20"/>
    </w:rPr>
  </w:style>
  <w:style w:type="character" w:customStyle="1" w:styleId="CommentTextChar">
    <w:name w:val="Comment Text Char"/>
    <w:basedOn w:val="DefaultParagraphFont"/>
    <w:link w:val="CommentText"/>
    <w:rsid w:val="009D7EDA"/>
  </w:style>
  <w:style w:type="paragraph" w:styleId="CommentSubject">
    <w:name w:val="annotation subject"/>
    <w:basedOn w:val="CommentText"/>
    <w:next w:val="CommentText"/>
    <w:link w:val="CommentSubjectChar"/>
    <w:rsid w:val="009D7EDA"/>
    <w:rPr>
      <w:b/>
      <w:bCs/>
    </w:rPr>
  </w:style>
  <w:style w:type="character" w:customStyle="1" w:styleId="CommentSubjectChar">
    <w:name w:val="Comment Subject Char"/>
    <w:link w:val="CommentSubject"/>
    <w:rsid w:val="009D7EDA"/>
    <w:rPr>
      <w:b/>
      <w:bCs/>
    </w:rPr>
  </w:style>
  <w:style w:type="character" w:styleId="UnresolvedMention">
    <w:name w:val="Unresolved Mention"/>
    <w:uiPriority w:val="99"/>
    <w:unhideWhenUsed/>
    <w:rsid w:val="00D003B4"/>
    <w:rPr>
      <w:color w:val="605E5C"/>
      <w:shd w:val="clear" w:color="auto" w:fill="E1DFDD"/>
    </w:rPr>
  </w:style>
  <w:style w:type="character" w:styleId="Mention">
    <w:name w:val="Mention"/>
    <w:basedOn w:val="DefaultParagraphFont"/>
    <w:uiPriority w:val="99"/>
    <w:unhideWhenUsed/>
    <w:rsid w:val="00F00D44"/>
    <w:rPr>
      <w:color w:val="2B579A"/>
      <w:shd w:val="clear" w:color="auto" w:fill="E1DFDD"/>
    </w:rPr>
  </w:style>
  <w:style w:type="paragraph" w:styleId="ListParagraph">
    <w:name w:val="List Paragraph"/>
    <w:basedOn w:val="Normal"/>
    <w:uiPriority w:val="34"/>
    <w:qFormat/>
    <w:rsid w:val="00BF6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22939">
      <w:bodyDiv w:val="1"/>
      <w:marLeft w:val="0"/>
      <w:marRight w:val="0"/>
      <w:marTop w:val="0"/>
      <w:marBottom w:val="0"/>
      <w:divBdr>
        <w:top w:val="none" w:sz="0" w:space="0" w:color="auto"/>
        <w:left w:val="none" w:sz="0" w:space="0" w:color="auto"/>
        <w:bottom w:val="none" w:sz="0" w:space="0" w:color="auto"/>
        <w:right w:val="none" w:sz="0" w:space="0" w:color="auto"/>
      </w:divBdr>
    </w:div>
    <w:div w:id="79186182">
      <w:bodyDiv w:val="1"/>
      <w:marLeft w:val="0"/>
      <w:marRight w:val="0"/>
      <w:marTop w:val="0"/>
      <w:marBottom w:val="0"/>
      <w:divBdr>
        <w:top w:val="none" w:sz="0" w:space="0" w:color="auto"/>
        <w:left w:val="none" w:sz="0" w:space="0" w:color="auto"/>
        <w:bottom w:val="none" w:sz="0" w:space="0" w:color="auto"/>
        <w:right w:val="none" w:sz="0" w:space="0" w:color="auto"/>
      </w:divBdr>
    </w:div>
    <w:div w:id="673188369">
      <w:bodyDiv w:val="1"/>
      <w:marLeft w:val="0"/>
      <w:marRight w:val="0"/>
      <w:marTop w:val="0"/>
      <w:marBottom w:val="0"/>
      <w:divBdr>
        <w:top w:val="none" w:sz="0" w:space="0" w:color="auto"/>
        <w:left w:val="none" w:sz="0" w:space="0" w:color="auto"/>
        <w:bottom w:val="none" w:sz="0" w:space="0" w:color="auto"/>
        <w:right w:val="none" w:sz="0" w:space="0" w:color="auto"/>
      </w:divBdr>
    </w:div>
    <w:div w:id="1402099372">
      <w:bodyDiv w:val="1"/>
      <w:marLeft w:val="0"/>
      <w:marRight w:val="0"/>
      <w:marTop w:val="0"/>
      <w:marBottom w:val="0"/>
      <w:divBdr>
        <w:top w:val="none" w:sz="0" w:space="0" w:color="auto"/>
        <w:left w:val="none" w:sz="0" w:space="0" w:color="auto"/>
        <w:bottom w:val="none" w:sz="0" w:space="0" w:color="auto"/>
        <w:right w:val="none" w:sz="0" w:space="0" w:color="auto"/>
      </w:divBdr>
    </w:div>
    <w:div w:id="191450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ftc.gov/tips-advice/business-center/guidance/how-comply-privacy-consumer-financial-information-rule-gramm" TargetMode="External"/><Relationship Id="rId1" Type="http://schemas.openxmlformats.org/officeDocument/2006/relationships/hyperlink" Target="https://www.consumerfinance.gov/rules-policy/regulations/1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AD875-FC85-4151-A22B-EB4D2E83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8375</Words>
  <Characters>46996</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2021-09-08T14:01:00Z</dcterms:created>
  <dcterms:modified xsi:type="dcterms:W3CDTF">2021-09-08T14:01:00Z</dcterms:modified>
</cp:coreProperties>
</file>