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1F7AC" w14:textId="77777777" w:rsidR="00963DC2" w:rsidRPr="00A1425D" w:rsidRDefault="00092426" w:rsidP="00525E47">
      <w:pPr>
        <w:pStyle w:val="Encabezado"/>
        <w:adjustRightInd w:val="0"/>
        <w:snapToGrid w:val="0"/>
        <w:jc w:val="center"/>
        <w:rPr>
          <w:rFonts w:eastAsia="??"/>
        </w:rPr>
      </w:pPr>
      <w:r>
        <w:rPr>
          <w:noProof/>
          <w:lang w:val="es-CL" w:eastAsia="es-CL"/>
        </w:rPr>
        <w:drawing>
          <wp:inline distT="0" distB="0" distL="0" distR="0" wp14:anchorId="26A22B2B" wp14:editId="365EE0DF">
            <wp:extent cx="1828800" cy="1066800"/>
            <wp:effectExtent l="0" t="0" r="0" b="0"/>
            <wp:docPr id="5" name="Picture 4"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EC logo_vertical x2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inline>
        </w:drawing>
      </w:r>
    </w:p>
    <w:p w14:paraId="67675720" w14:textId="77777777" w:rsidR="00963DC2" w:rsidRDefault="00963DC2" w:rsidP="00877F56">
      <w:pPr>
        <w:pStyle w:val="Encabezado"/>
        <w:adjustRightInd w:val="0"/>
        <w:snapToGrid w:val="0"/>
        <w:jc w:val="both"/>
        <w:rPr>
          <w:noProof/>
        </w:rPr>
      </w:pPr>
      <w:r>
        <w:rPr>
          <w:noProof/>
        </w:rPr>
        <w:t>__________________________________________________________________________________</w:t>
      </w:r>
    </w:p>
    <w:p w14:paraId="02865812" w14:textId="77777777" w:rsidR="00963DC2" w:rsidRPr="00EF1591" w:rsidRDefault="00963DC2" w:rsidP="00877F56">
      <w:pPr>
        <w:adjustRightInd w:val="0"/>
        <w:snapToGrid w:val="0"/>
        <w:spacing w:after="0" w:line="240" w:lineRule="auto"/>
        <w:jc w:val="both"/>
        <w:rPr>
          <w:rFonts w:ascii="Arial" w:hAnsi="Arial" w:cs="Arial"/>
          <w:color w:val="C00000"/>
          <w:sz w:val="28"/>
          <w:szCs w:val="28"/>
        </w:rPr>
      </w:pPr>
    </w:p>
    <w:p w14:paraId="76ED5E29" w14:textId="77777777" w:rsidR="00963DC2" w:rsidRPr="00442380" w:rsidRDefault="00963DC2" w:rsidP="00877F56">
      <w:pPr>
        <w:adjustRightInd w:val="0"/>
        <w:snapToGrid w:val="0"/>
        <w:spacing w:after="0" w:line="240" w:lineRule="auto"/>
        <w:jc w:val="both"/>
        <w:rPr>
          <w:rFonts w:ascii="Arial" w:hAnsi="Arial" w:cs="Arial"/>
          <w:sz w:val="28"/>
          <w:szCs w:val="28"/>
        </w:rPr>
      </w:pPr>
    </w:p>
    <w:p w14:paraId="0B4250DF" w14:textId="77777777" w:rsidR="00963DC2" w:rsidRPr="00442380" w:rsidRDefault="00963DC2" w:rsidP="00877F56">
      <w:pPr>
        <w:adjustRightInd w:val="0"/>
        <w:snapToGrid w:val="0"/>
        <w:spacing w:after="0" w:line="240" w:lineRule="auto"/>
        <w:jc w:val="both"/>
        <w:rPr>
          <w:rFonts w:ascii="Arial" w:eastAsia="??" w:hAnsi="Arial" w:cs="Arial"/>
          <w:b/>
          <w:sz w:val="28"/>
          <w:szCs w:val="28"/>
        </w:rPr>
      </w:pPr>
    </w:p>
    <w:p w14:paraId="0A253CE1" w14:textId="77777777" w:rsidR="00963DC2" w:rsidRPr="00442380" w:rsidRDefault="00963DC2" w:rsidP="00877F56">
      <w:pPr>
        <w:adjustRightInd w:val="0"/>
        <w:snapToGrid w:val="0"/>
        <w:spacing w:after="0" w:line="240" w:lineRule="auto"/>
        <w:jc w:val="both"/>
        <w:rPr>
          <w:rFonts w:ascii="Arial" w:eastAsia="??" w:hAnsi="Arial" w:cs="Arial"/>
          <w:b/>
          <w:sz w:val="28"/>
          <w:szCs w:val="28"/>
        </w:rPr>
      </w:pPr>
    </w:p>
    <w:p w14:paraId="519D2A40" w14:textId="77777777" w:rsidR="00963DC2" w:rsidRPr="00442380" w:rsidRDefault="00963DC2" w:rsidP="00877F56">
      <w:pPr>
        <w:adjustRightInd w:val="0"/>
        <w:snapToGrid w:val="0"/>
        <w:spacing w:after="0" w:line="240" w:lineRule="auto"/>
        <w:jc w:val="both"/>
        <w:rPr>
          <w:rFonts w:ascii="Arial" w:eastAsia="??" w:hAnsi="Arial" w:cs="Arial"/>
          <w:b/>
          <w:sz w:val="28"/>
          <w:szCs w:val="28"/>
        </w:rPr>
      </w:pPr>
    </w:p>
    <w:p w14:paraId="156AC107" w14:textId="3F648AC8" w:rsidR="00963DC2" w:rsidRDefault="00963DC2" w:rsidP="00525E47">
      <w:pPr>
        <w:pStyle w:val="Ttulo3"/>
        <w:adjustRightInd w:val="0"/>
        <w:snapToGrid w:val="0"/>
        <w:rPr>
          <w:rFonts w:ascii="Arial" w:hAnsi="Arial" w:cs="Arial"/>
        </w:rPr>
      </w:pPr>
      <w:r w:rsidRPr="00580CB4">
        <w:rPr>
          <w:rFonts w:ascii="Arial" w:hAnsi="Arial" w:cs="Arial"/>
        </w:rPr>
        <w:t>APEC Consolidated Counter-Terrorism a</w:t>
      </w:r>
      <w:r>
        <w:rPr>
          <w:rFonts w:ascii="Arial" w:hAnsi="Arial" w:cs="Arial"/>
        </w:rPr>
        <w:t>nd Secure Trade Strategy</w:t>
      </w:r>
    </w:p>
    <w:p w14:paraId="6D3A7D6C" w14:textId="77777777" w:rsidR="00051CE0" w:rsidRPr="00051CE0" w:rsidRDefault="00051CE0" w:rsidP="00051CE0">
      <w:pPr>
        <w:rPr>
          <w:lang w:val="en-AU" w:eastAsia="zh-CN" w:bidi="th-TH"/>
        </w:rPr>
      </w:pPr>
    </w:p>
    <w:p w14:paraId="3B7BF2F9" w14:textId="1F1B195D" w:rsidR="00963DC2" w:rsidRPr="00051CE0" w:rsidRDefault="00B71C38" w:rsidP="00051CE0">
      <w:pPr>
        <w:adjustRightInd w:val="0"/>
        <w:snapToGrid w:val="0"/>
        <w:spacing w:after="0" w:line="240" w:lineRule="auto"/>
        <w:jc w:val="center"/>
        <w:rPr>
          <w:rFonts w:ascii="Arial" w:eastAsia="??" w:hAnsi="Arial" w:cs="Arial"/>
          <w:sz w:val="24"/>
          <w:szCs w:val="28"/>
        </w:rPr>
      </w:pPr>
      <w:r>
        <w:rPr>
          <w:rFonts w:ascii="Arial" w:eastAsia="??" w:hAnsi="Arial" w:cs="Arial"/>
          <w:sz w:val="24"/>
          <w:szCs w:val="28"/>
        </w:rPr>
        <w:t>Updated</w:t>
      </w:r>
      <w:r w:rsidR="00051CE0" w:rsidRPr="00051CE0">
        <w:rPr>
          <w:rFonts w:ascii="Arial" w:eastAsia="??" w:hAnsi="Arial" w:cs="Arial"/>
          <w:sz w:val="24"/>
          <w:szCs w:val="28"/>
        </w:rPr>
        <w:t xml:space="preserve"> </w:t>
      </w:r>
      <w:r w:rsidR="00E35AAC">
        <w:rPr>
          <w:rFonts w:ascii="Arial" w:eastAsia="??" w:hAnsi="Arial" w:cs="Arial"/>
          <w:sz w:val="24"/>
          <w:szCs w:val="28"/>
        </w:rPr>
        <w:t xml:space="preserve">21 September </w:t>
      </w:r>
      <w:r w:rsidR="00051CE0" w:rsidRPr="00051CE0">
        <w:rPr>
          <w:rFonts w:ascii="Arial" w:eastAsia="??" w:hAnsi="Arial" w:cs="Arial"/>
          <w:sz w:val="24"/>
          <w:szCs w:val="28"/>
        </w:rPr>
        <w:t>201</w:t>
      </w:r>
      <w:r w:rsidR="00E35AAC">
        <w:rPr>
          <w:rFonts w:ascii="Arial" w:eastAsia="??" w:hAnsi="Arial" w:cs="Arial"/>
          <w:sz w:val="24"/>
          <w:szCs w:val="28"/>
        </w:rPr>
        <w:t>9</w:t>
      </w:r>
    </w:p>
    <w:p w14:paraId="1D251499" w14:textId="77777777" w:rsidR="0045341C" w:rsidRPr="00442380" w:rsidRDefault="0045341C" w:rsidP="00877F56">
      <w:pPr>
        <w:adjustRightInd w:val="0"/>
        <w:snapToGrid w:val="0"/>
        <w:spacing w:after="0" w:line="240" w:lineRule="auto"/>
        <w:jc w:val="both"/>
        <w:rPr>
          <w:rFonts w:ascii="Arial" w:eastAsia="??" w:hAnsi="Arial" w:cs="Arial"/>
          <w:sz w:val="28"/>
          <w:szCs w:val="28"/>
        </w:rPr>
      </w:pPr>
    </w:p>
    <w:p w14:paraId="71BB401B"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379741E5"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40C7D239"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4CD89AFD"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2CBEC449"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2D7CFF56"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2F5C3F6A"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00F98FB1" w14:textId="77777777" w:rsidR="00963DC2" w:rsidRPr="00442380" w:rsidRDefault="00963DC2" w:rsidP="00877F56">
      <w:pPr>
        <w:pStyle w:val="Encabezado"/>
        <w:tabs>
          <w:tab w:val="left" w:pos="851"/>
          <w:tab w:val="left" w:pos="6237"/>
        </w:tabs>
        <w:adjustRightInd w:val="0"/>
        <w:snapToGrid w:val="0"/>
        <w:jc w:val="both"/>
        <w:rPr>
          <w:rFonts w:ascii="Arial" w:hAnsi="Arial" w:cs="Arial"/>
          <w:sz w:val="28"/>
          <w:szCs w:val="28"/>
        </w:rPr>
      </w:pPr>
    </w:p>
    <w:p w14:paraId="010A260A" w14:textId="77777777" w:rsidR="00963DC2" w:rsidRDefault="00963DC2" w:rsidP="00877F56">
      <w:pPr>
        <w:pStyle w:val="Encabezado"/>
        <w:tabs>
          <w:tab w:val="left" w:pos="851"/>
          <w:tab w:val="left" w:pos="6237"/>
        </w:tabs>
        <w:adjustRightInd w:val="0"/>
        <w:snapToGrid w:val="0"/>
        <w:jc w:val="both"/>
        <w:rPr>
          <w:rFonts w:ascii="Arial" w:hAnsi="Arial" w:cs="Arial"/>
          <w:sz w:val="28"/>
          <w:szCs w:val="28"/>
        </w:rPr>
      </w:pPr>
    </w:p>
    <w:p w14:paraId="7D61EB9A" w14:textId="77777777" w:rsidR="00076CDC" w:rsidRDefault="00076CDC" w:rsidP="00877F56">
      <w:pPr>
        <w:pStyle w:val="Encabezado"/>
        <w:tabs>
          <w:tab w:val="left" w:pos="851"/>
          <w:tab w:val="left" w:pos="6237"/>
        </w:tabs>
        <w:adjustRightInd w:val="0"/>
        <w:snapToGrid w:val="0"/>
        <w:jc w:val="both"/>
        <w:rPr>
          <w:rFonts w:ascii="Arial" w:hAnsi="Arial" w:cs="Arial"/>
          <w:sz w:val="28"/>
          <w:szCs w:val="28"/>
        </w:rPr>
      </w:pPr>
    </w:p>
    <w:p w14:paraId="30987176" w14:textId="77777777" w:rsidR="00076CDC" w:rsidRDefault="00076CDC" w:rsidP="00877F56">
      <w:pPr>
        <w:pStyle w:val="Encabezado"/>
        <w:tabs>
          <w:tab w:val="left" w:pos="851"/>
          <w:tab w:val="left" w:pos="6237"/>
        </w:tabs>
        <w:adjustRightInd w:val="0"/>
        <w:snapToGrid w:val="0"/>
        <w:jc w:val="both"/>
        <w:rPr>
          <w:rFonts w:ascii="Arial" w:hAnsi="Arial" w:cs="Arial"/>
          <w:sz w:val="28"/>
          <w:szCs w:val="28"/>
        </w:rPr>
      </w:pPr>
    </w:p>
    <w:p w14:paraId="6345866B" w14:textId="77777777" w:rsidR="00963DC2" w:rsidRPr="00442380" w:rsidRDefault="00963DC2" w:rsidP="00525E47">
      <w:pPr>
        <w:pStyle w:val="Encabezado"/>
        <w:tabs>
          <w:tab w:val="left" w:pos="851"/>
          <w:tab w:val="left" w:pos="6237"/>
        </w:tabs>
        <w:adjustRightInd w:val="0"/>
        <w:snapToGrid w:val="0"/>
        <w:jc w:val="both"/>
        <w:rPr>
          <w:rFonts w:ascii="Arial" w:hAnsi="Arial" w:cs="Arial"/>
          <w:sz w:val="28"/>
          <w:szCs w:val="28"/>
        </w:rPr>
      </w:pPr>
    </w:p>
    <w:p w14:paraId="6C569B10" w14:textId="77777777" w:rsidR="00963DC2" w:rsidRDefault="00963DC2" w:rsidP="00877F56">
      <w:pPr>
        <w:pStyle w:val="Encabezado"/>
        <w:tabs>
          <w:tab w:val="left" w:pos="851"/>
          <w:tab w:val="left" w:pos="6237"/>
        </w:tabs>
        <w:adjustRightInd w:val="0"/>
        <w:snapToGrid w:val="0"/>
        <w:jc w:val="both"/>
        <w:rPr>
          <w:rFonts w:ascii="Arial" w:hAnsi="Arial" w:cs="Arial"/>
          <w:sz w:val="6"/>
          <w:szCs w:val="6"/>
        </w:rPr>
      </w:pPr>
    </w:p>
    <w:p w14:paraId="5187A98D" w14:textId="77777777" w:rsidR="00BF2926" w:rsidRDefault="00BF2926" w:rsidP="00877F56">
      <w:pPr>
        <w:spacing w:after="0"/>
        <w:jc w:val="both"/>
        <w:outlineLvl w:val="0"/>
      </w:pPr>
    </w:p>
    <w:p w14:paraId="5C80600F" w14:textId="77777777" w:rsidR="00BF2926" w:rsidRDefault="00BF2926" w:rsidP="00877F56">
      <w:pPr>
        <w:spacing w:after="0"/>
        <w:jc w:val="both"/>
        <w:outlineLvl w:val="0"/>
      </w:pPr>
    </w:p>
    <w:p w14:paraId="43F2177C" w14:textId="77777777" w:rsidR="00BF2926" w:rsidRDefault="00BF2926" w:rsidP="00877F56">
      <w:pPr>
        <w:spacing w:after="0"/>
        <w:jc w:val="both"/>
        <w:outlineLvl w:val="0"/>
      </w:pPr>
    </w:p>
    <w:p w14:paraId="397BC970" w14:textId="77777777" w:rsidR="00D86446" w:rsidRDefault="00D86446" w:rsidP="00877F56">
      <w:pPr>
        <w:spacing w:after="0"/>
        <w:jc w:val="both"/>
        <w:outlineLvl w:val="0"/>
      </w:pPr>
    </w:p>
    <w:p w14:paraId="5CEB9BE9" w14:textId="77777777" w:rsidR="0045341C" w:rsidRDefault="0045341C" w:rsidP="00877F56">
      <w:pPr>
        <w:spacing w:after="0"/>
        <w:jc w:val="both"/>
        <w:outlineLvl w:val="0"/>
      </w:pPr>
    </w:p>
    <w:p w14:paraId="55C92BC2" w14:textId="77777777" w:rsidR="0045341C" w:rsidRDefault="0045341C" w:rsidP="00877F56">
      <w:pPr>
        <w:spacing w:after="0"/>
        <w:jc w:val="both"/>
        <w:outlineLvl w:val="0"/>
      </w:pPr>
    </w:p>
    <w:p w14:paraId="21A0A3D2" w14:textId="77777777" w:rsidR="0045341C" w:rsidRDefault="0045341C" w:rsidP="00877F56">
      <w:pPr>
        <w:spacing w:after="0"/>
        <w:jc w:val="both"/>
        <w:outlineLvl w:val="0"/>
      </w:pPr>
    </w:p>
    <w:p w14:paraId="2AB969CF" w14:textId="77777777" w:rsidR="0045341C" w:rsidRDefault="0045341C" w:rsidP="00877F56">
      <w:pPr>
        <w:spacing w:after="0"/>
        <w:jc w:val="both"/>
        <w:outlineLvl w:val="0"/>
      </w:pPr>
    </w:p>
    <w:p w14:paraId="261CFEB8" w14:textId="49ACF47D" w:rsidR="0045341C" w:rsidRDefault="0045341C" w:rsidP="00877F56">
      <w:pPr>
        <w:spacing w:after="0"/>
        <w:jc w:val="both"/>
        <w:outlineLvl w:val="0"/>
      </w:pPr>
    </w:p>
    <w:p w14:paraId="0B2C3595" w14:textId="48414958" w:rsidR="00877F56" w:rsidRDefault="00877F56" w:rsidP="00877F56">
      <w:pPr>
        <w:spacing w:after="0"/>
        <w:jc w:val="both"/>
        <w:outlineLvl w:val="0"/>
      </w:pPr>
    </w:p>
    <w:p w14:paraId="0BA79B40" w14:textId="0A3C47D9" w:rsidR="00877F56" w:rsidRDefault="00877F56" w:rsidP="00877F56">
      <w:pPr>
        <w:spacing w:after="0"/>
        <w:jc w:val="both"/>
        <w:outlineLvl w:val="0"/>
      </w:pPr>
    </w:p>
    <w:p w14:paraId="459D0302" w14:textId="29EEEAFF" w:rsidR="00877F56" w:rsidRDefault="00877F56" w:rsidP="00877F56">
      <w:pPr>
        <w:spacing w:after="0"/>
        <w:jc w:val="both"/>
        <w:outlineLvl w:val="0"/>
      </w:pPr>
    </w:p>
    <w:p w14:paraId="4DB9FBC6" w14:textId="77777777" w:rsidR="00877F56" w:rsidRDefault="00877F56" w:rsidP="00877F56">
      <w:pPr>
        <w:spacing w:after="0"/>
        <w:jc w:val="both"/>
        <w:outlineLvl w:val="0"/>
      </w:pPr>
    </w:p>
    <w:p w14:paraId="4164AE7D" w14:textId="77777777" w:rsidR="0045341C" w:rsidRDefault="0045341C" w:rsidP="00877F56">
      <w:pPr>
        <w:spacing w:after="0"/>
        <w:jc w:val="both"/>
        <w:outlineLvl w:val="0"/>
      </w:pPr>
    </w:p>
    <w:p w14:paraId="51E17310" w14:textId="01FB5D9B" w:rsidR="00A23FBF" w:rsidRDefault="00A93E9C" w:rsidP="00525E47">
      <w:pPr>
        <w:spacing w:after="0"/>
        <w:jc w:val="right"/>
        <w:outlineLvl w:val="0"/>
      </w:pPr>
      <w:r>
        <w:lastRenderedPageBreak/>
        <w:t>Endorsed by CTWG</w:t>
      </w:r>
    </w:p>
    <w:p w14:paraId="0E7B6D99" w14:textId="77777777" w:rsidR="00A23FBF" w:rsidRDefault="00A23FBF" w:rsidP="00525E47">
      <w:pPr>
        <w:spacing w:after="0"/>
        <w:jc w:val="both"/>
        <w:outlineLvl w:val="0"/>
      </w:pPr>
    </w:p>
    <w:p w14:paraId="299F7BE8" w14:textId="4B86D808" w:rsidR="00EE1A23" w:rsidRPr="00A2494C" w:rsidRDefault="00A23FBF" w:rsidP="00525E47">
      <w:pPr>
        <w:spacing w:after="0"/>
        <w:jc w:val="center"/>
        <w:outlineLvl w:val="0"/>
        <w:rPr>
          <w:rFonts w:ascii="Arial" w:hAnsi="Arial" w:cs="Arial"/>
          <w:b/>
          <w:sz w:val="20"/>
          <w:szCs w:val="20"/>
        </w:rPr>
      </w:pPr>
      <w:r>
        <w:rPr>
          <w:rFonts w:ascii="Arial" w:hAnsi="Arial" w:cs="Arial"/>
          <w:b/>
          <w:sz w:val="20"/>
          <w:szCs w:val="20"/>
        </w:rPr>
        <w:t xml:space="preserve">Updated </w:t>
      </w:r>
      <w:r w:rsidR="00EE1A23" w:rsidRPr="00A2494C">
        <w:rPr>
          <w:rFonts w:ascii="Arial" w:hAnsi="Arial" w:cs="Arial"/>
          <w:b/>
          <w:sz w:val="20"/>
          <w:szCs w:val="20"/>
        </w:rPr>
        <w:t>APEC Consolidated Counter-Terrorism and Secure Trade Strategy</w:t>
      </w:r>
    </w:p>
    <w:p w14:paraId="66614241" w14:textId="77777777" w:rsidR="00EE1A23" w:rsidRPr="00A2494C" w:rsidRDefault="00EE1A23" w:rsidP="00525E47">
      <w:pPr>
        <w:spacing w:after="0"/>
        <w:jc w:val="both"/>
        <w:rPr>
          <w:rFonts w:ascii="Arial" w:hAnsi="Arial" w:cs="Arial"/>
          <w:b/>
          <w:sz w:val="20"/>
          <w:szCs w:val="20"/>
          <w:u w:val="single"/>
        </w:rPr>
      </w:pPr>
    </w:p>
    <w:p w14:paraId="3C37A2B0" w14:textId="77777777" w:rsidR="00EE1A23" w:rsidRPr="00A2494C" w:rsidRDefault="00EE1A23" w:rsidP="00525E47">
      <w:pPr>
        <w:pStyle w:val="ColorfulList-Accent11"/>
        <w:numPr>
          <w:ilvl w:val="0"/>
          <w:numId w:val="6"/>
        </w:numPr>
        <w:spacing w:after="0"/>
        <w:ind w:left="360"/>
        <w:jc w:val="both"/>
        <w:rPr>
          <w:rFonts w:ascii="Arial" w:hAnsi="Arial" w:cs="Arial"/>
          <w:b/>
          <w:sz w:val="20"/>
          <w:szCs w:val="20"/>
          <w:u w:val="single"/>
        </w:rPr>
      </w:pPr>
      <w:r w:rsidRPr="00A2494C">
        <w:rPr>
          <w:rFonts w:ascii="Arial" w:hAnsi="Arial" w:cs="Arial"/>
          <w:b/>
          <w:sz w:val="20"/>
          <w:szCs w:val="20"/>
          <w:u w:val="single"/>
        </w:rPr>
        <w:t>Overview</w:t>
      </w:r>
    </w:p>
    <w:p w14:paraId="3D690311" w14:textId="77777777" w:rsidR="00EE1A23" w:rsidRPr="00A2494C" w:rsidRDefault="00EE1A23" w:rsidP="00525E47">
      <w:pPr>
        <w:spacing w:after="0"/>
        <w:jc w:val="both"/>
        <w:rPr>
          <w:rStyle w:val="bodytext1"/>
          <w:sz w:val="20"/>
          <w:szCs w:val="20"/>
        </w:rPr>
      </w:pPr>
    </w:p>
    <w:p w14:paraId="00A787CF" w14:textId="77777777" w:rsidR="00EE1A23" w:rsidRPr="00A2494C" w:rsidRDefault="00EE1A23" w:rsidP="00525E47">
      <w:pPr>
        <w:spacing w:after="0" w:line="240" w:lineRule="auto"/>
        <w:jc w:val="both"/>
        <w:rPr>
          <w:rStyle w:val="bodytext1"/>
          <w:sz w:val="20"/>
          <w:szCs w:val="20"/>
        </w:rPr>
      </w:pPr>
      <w:r w:rsidRPr="00A2494C">
        <w:rPr>
          <w:rStyle w:val="bodytext1"/>
          <w:sz w:val="20"/>
          <w:szCs w:val="20"/>
        </w:rPr>
        <w:t xml:space="preserve">APEC economies recognize that creating a secure environment for economic activity is essential for fostering regional growth and prosperity.  Terrorist activities – whether direct attacks against economies or the misuse of financial and commercial systems to fund and carry out such actions – </w:t>
      </w:r>
      <w:r w:rsidR="00757D94" w:rsidRPr="00A2494C">
        <w:rPr>
          <w:rStyle w:val="bodytext1"/>
          <w:sz w:val="20"/>
          <w:szCs w:val="20"/>
        </w:rPr>
        <w:t xml:space="preserve">can </w:t>
      </w:r>
      <w:r w:rsidRPr="00A2494C">
        <w:rPr>
          <w:rStyle w:val="bodytext1"/>
          <w:sz w:val="20"/>
          <w:szCs w:val="20"/>
        </w:rPr>
        <w:t xml:space="preserve">threaten citizens’ economic and physical well-being by disrupting trade and travel, reducing economic productivity, and undermining public confidence in economic institutions in the region.  </w:t>
      </w:r>
    </w:p>
    <w:p w14:paraId="3611C181" w14:textId="77777777" w:rsidR="00EE1A23" w:rsidRPr="00A23FBF" w:rsidRDefault="00EE1A23" w:rsidP="00525E47">
      <w:pPr>
        <w:spacing w:after="0" w:line="240" w:lineRule="auto"/>
        <w:jc w:val="both"/>
        <w:rPr>
          <w:rStyle w:val="bodytext1"/>
          <w:color w:val="auto"/>
          <w:sz w:val="20"/>
          <w:szCs w:val="20"/>
        </w:rPr>
      </w:pPr>
    </w:p>
    <w:p w14:paraId="62393945" w14:textId="7E19B10F" w:rsidR="00EE1A23" w:rsidRPr="00A23FBF" w:rsidRDefault="00EE1A23" w:rsidP="00525E47">
      <w:pPr>
        <w:spacing w:after="0" w:line="240" w:lineRule="auto"/>
        <w:jc w:val="both"/>
        <w:rPr>
          <w:rStyle w:val="bodytext1"/>
          <w:color w:val="auto"/>
          <w:sz w:val="20"/>
          <w:szCs w:val="20"/>
        </w:rPr>
      </w:pPr>
      <w:r w:rsidRPr="00A23FBF">
        <w:rPr>
          <w:rStyle w:val="bodytext1"/>
          <w:color w:val="auto"/>
          <w:sz w:val="20"/>
          <w:szCs w:val="20"/>
        </w:rPr>
        <w:t>Since 2001, APEC has played a valuable and constructive role in helping to protect the economic systems of the Asia-Pacific region from attack, disruption, and misuse – a role that was further enshrined in 2010 within the APEC Leaders’ Growth Strategy.  APEC’s work to address counter-terrorism and secure trade is dispersed across a number of APEC sub-fora, which include</w:t>
      </w:r>
      <w:r w:rsidR="00051CE0">
        <w:rPr>
          <w:rStyle w:val="bodytext1"/>
          <w:color w:val="auto"/>
          <w:sz w:val="20"/>
          <w:szCs w:val="20"/>
        </w:rPr>
        <w:t>,</w:t>
      </w:r>
      <w:r w:rsidRPr="00A23FBF">
        <w:rPr>
          <w:rStyle w:val="bodytext1"/>
          <w:color w:val="auto"/>
          <w:sz w:val="20"/>
          <w:szCs w:val="20"/>
        </w:rPr>
        <w:t xml:space="preserve"> but are not limited to</w:t>
      </w:r>
      <w:r w:rsidR="00051CE0">
        <w:rPr>
          <w:rStyle w:val="bodytext1"/>
          <w:color w:val="auto"/>
          <w:sz w:val="20"/>
          <w:szCs w:val="20"/>
        </w:rPr>
        <w:t>,</w:t>
      </w:r>
      <w:r w:rsidRPr="00A23FBF">
        <w:rPr>
          <w:rStyle w:val="bodytext1"/>
          <w:color w:val="auto"/>
          <w:sz w:val="20"/>
          <w:szCs w:val="20"/>
        </w:rPr>
        <w:t xml:space="preserve"> the Counter-Terrorism </w:t>
      </w:r>
      <w:r w:rsidR="004D69F6" w:rsidRPr="00A23FBF">
        <w:rPr>
          <w:rStyle w:val="bodytext1"/>
          <w:color w:val="auto"/>
          <w:sz w:val="20"/>
          <w:szCs w:val="20"/>
        </w:rPr>
        <w:t>Working Group</w:t>
      </w:r>
      <w:r w:rsidR="00FB17AC" w:rsidRPr="00A23FBF">
        <w:rPr>
          <w:rStyle w:val="bodytext1"/>
          <w:color w:val="auto"/>
          <w:sz w:val="20"/>
          <w:szCs w:val="20"/>
        </w:rPr>
        <w:t xml:space="preserve"> </w:t>
      </w:r>
      <w:r w:rsidRPr="00A23FBF">
        <w:rPr>
          <w:rStyle w:val="bodytext1"/>
          <w:color w:val="auto"/>
          <w:sz w:val="20"/>
          <w:szCs w:val="20"/>
        </w:rPr>
        <w:t>(CT</w:t>
      </w:r>
      <w:r w:rsidR="004D69F6" w:rsidRPr="00A23FBF">
        <w:rPr>
          <w:rStyle w:val="bodytext1"/>
          <w:color w:val="auto"/>
          <w:sz w:val="20"/>
          <w:szCs w:val="20"/>
        </w:rPr>
        <w:t>WG</w:t>
      </w:r>
      <w:r w:rsidRPr="00A23FBF">
        <w:rPr>
          <w:rStyle w:val="bodytext1"/>
          <w:color w:val="auto"/>
          <w:sz w:val="20"/>
          <w:szCs w:val="20"/>
        </w:rPr>
        <w:t>)</w:t>
      </w:r>
      <w:r w:rsidR="00FB17AC" w:rsidRPr="00A23FBF">
        <w:rPr>
          <w:rStyle w:val="Refdenotaalpie"/>
          <w:rFonts w:ascii="Arial" w:hAnsi="Arial" w:cs="Arial"/>
          <w:sz w:val="20"/>
          <w:szCs w:val="20"/>
        </w:rPr>
        <w:footnoteReference w:id="2"/>
      </w:r>
      <w:r w:rsidRPr="00A23FBF">
        <w:rPr>
          <w:rStyle w:val="bodytext1"/>
          <w:color w:val="auto"/>
          <w:sz w:val="20"/>
          <w:szCs w:val="20"/>
        </w:rPr>
        <w:t xml:space="preserve">, the Transportation Working Group (TPTWG), the Subcommittee on Customs Procedures (SCCP), the </w:t>
      </w:r>
      <w:r w:rsidR="004C2EC9" w:rsidRPr="00A23FBF">
        <w:rPr>
          <w:rStyle w:val="bodytext1"/>
          <w:color w:val="auto"/>
          <w:sz w:val="20"/>
          <w:szCs w:val="20"/>
        </w:rPr>
        <w:t xml:space="preserve">Business Mobility Group (BMG), </w:t>
      </w:r>
      <w:r w:rsidRPr="00A23FBF">
        <w:rPr>
          <w:rStyle w:val="bodytext1"/>
          <w:color w:val="auto"/>
          <w:sz w:val="20"/>
          <w:szCs w:val="20"/>
        </w:rPr>
        <w:t>the Telecommunications and Information Working Group (TEL)</w:t>
      </w:r>
      <w:r w:rsidR="00C92A4F" w:rsidRPr="00A23FBF">
        <w:rPr>
          <w:rStyle w:val="bodytext1"/>
          <w:color w:val="auto"/>
          <w:sz w:val="20"/>
          <w:szCs w:val="20"/>
        </w:rPr>
        <w:t>, the Emergency Preparedness Working Group</w:t>
      </w:r>
      <w:r w:rsidR="004C2EC9" w:rsidRPr="00A23FBF">
        <w:rPr>
          <w:rStyle w:val="bodytext1"/>
          <w:color w:val="auto"/>
          <w:sz w:val="20"/>
          <w:szCs w:val="20"/>
        </w:rPr>
        <w:t xml:space="preserve"> (EPWG)</w:t>
      </w:r>
      <w:r w:rsidR="00C92A4F" w:rsidRPr="00A23FBF">
        <w:rPr>
          <w:rStyle w:val="bodytext1"/>
          <w:color w:val="auto"/>
          <w:sz w:val="20"/>
          <w:szCs w:val="20"/>
        </w:rPr>
        <w:t>, and the Tourism Working Group (TWG)</w:t>
      </w:r>
      <w:r w:rsidRPr="00A23FBF">
        <w:rPr>
          <w:rStyle w:val="bodytext1"/>
          <w:color w:val="auto"/>
          <w:sz w:val="20"/>
          <w:szCs w:val="20"/>
        </w:rPr>
        <w:t>.</w:t>
      </w:r>
    </w:p>
    <w:p w14:paraId="4856F557" w14:textId="77777777" w:rsidR="00EE1A23" w:rsidRPr="00A2494C" w:rsidRDefault="00EE1A23" w:rsidP="00525E47">
      <w:pPr>
        <w:spacing w:after="0" w:line="240" w:lineRule="auto"/>
        <w:jc w:val="both"/>
        <w:rPr>
          <w:rStyle w:val="bodytext1"/>
          <w:sz w:val="20"/>
          <w:szCs w:val="20"/>
        </w:rPr>
      </w:pPr>
    </w:p>
    <w:p w14:paraId="4B0EEC50" w14:textId="349CAB84" w:rsidR="001F5E6D" w:rsidRPr="0072005C" w:rsidRDefault="001F5E6D" w:rsidP="00525E47">
      <w:pPr>
        <w:pStyle w:val="Prrafodelista"/>
        <w:spacing w:after="0" w:line="240" w:lineRule="auto"/>
        <w:ind w:left="0"/>
        <w:jc w:val="both"/>
        <w:rPr>
          <w:rStyle w:val="bodytext1"/>
          <w:color w:val="auto"/>
          <w:sz w:val="20"/>
          <w:szCs w:val="20"/>
          <w:lang w:val="en-US"/>
        </w:rPr>
      </w:pPr>
      <w:r w:rsidRPr="0072005C">
        <w:rPr>
          <w:rStyle w:val="bodytext1"/>
          <w:color w:val="auto"/>
          <w:sz w:val="20"/>
          <w:szCs w:val="20"/>
          <w:lang w:val="en-US"/>
        </w:rPr>
        <w:t xml:space="preserve">APEC </w:t>
      </w:r>
      <w:r w:rsidR="00A23FBF" w:rsidRPr="0072005C">
        <w:rPr>
          <w:rStyle w:val="bodytext1"/>
          <w:color w:val="auto"/>
          <w:sz w:val="20"/>
          <w:szCs w:val="20"/>
          <w:lang w:val="en-US"/>
        </w:rPr>
        <w:t xml:space="preserve">Economic </w:t>
      </w:r>
      <w:r w:rsidRPr="0072005C">
        <w:rPr>
          <w:rStyle w:val="bodytext1"/>
          <w:color w:val="auto"/>
          <w:sz w:val="20"/>
          <w:szCs w:val="20"/>
          <w:lang w:val="en-US"/>
        </w:rPr>
        <w:t>Leaders have recognised the continuing threat of terrorism in the Asia-Pacific region</w:t>
      </w:r>
      <w:r w:rsidR="00051CE0">
        <w:rPr>
          <w:rStyle w:val="bodytext1"/>
          <w:color w:val="auto"/>
          <w:sz w:val="20"/>
          <w:szCs w:val="20"/>
          <w:lang w:val="en-US"/>
        </w:rPr>
        <w:t>,</w:t>
      </w:r>
      <w:r w:rsidR="00EC03F8" w:rsidRPr="0072005C">
        <w:rPr>
          <w:rStyle w:val="bodytext1"/>
          <w:color w:val="auto"/>
          <w:sz w:val="20"/>
          <w:szCs w:val="20"/>
          <w:lang w:val="en-US"/>
        </w:rPr>
        <w:t xml:space="preserve"> including</w:t>
      </w:r>
      <w:r w:rsidR="00FD2F26" w:rsidRPr="0072005C">
        <w:rPr>
          <w:rStyle w:val="bodytext1"/>
          <w:color w:val="auto"/>
          <w:sz w:val="20"/>
          <w:szCs w:val="20"/>
          <w:lang w:val="en-US"/>
        </w:rPr>
        <w:t xml:space="preserve"> from</w:t>
      </w:r>
      <w:r w:rsidR="00EC03F8" w:rsidRPr="0072005C">
        <w:rPr>
          <w:rStyle w:val="bodytext1"/>
          <w:color w:val="auto"/>
          <w:sz w:val="20"/>
          <w:szCs w:val="20"/>
          <w:lang w:val="en-US"/>
        </w:rPr>
        <w:t xml:space="preserve"> </w:t>
      </w:r>
      <w:r w:rsidR="00EC03F8" w:rsidRPr="0072005C">
        <w:rPr>
          <w:rStyle w:val="bodytext1"/>
          <w:color w:val="auto"/>
          <w:sz w:val="20"/>
          <w:szCs w:val="20"/>
        </w:rPr>
        <w:t>ISIL, Al-Qaida</w:t>
      </w:r>
      <w:r w:rsidR="00051CE0" w:rsidRPr="00A5077E">
        <w:rPr>
          <w:rStyle w:val="bodytext1"/>
          <w:color w:val="auto"/>
          <w:sz w:val="20"/>
          <w:szCs w:val="20"/>
          <w:lang w:val="en-US"/>
        </w:rPr>
        <w:t>,</w:t>
      </w:r>
      <w:r w:rsidR="00EC03F8" w:rsidRPr="0072005C">
        <w:rPr>
          <w:rStyle w:val="bodytext1"/>
          <w:color w:val="auto"/>
          <w:sz w:val="20"/>
          <w:szCs w:val="20"/>
        </w:rPr>
        <w:t xml:space="preserve"> and other terrorist groups, </w:t>
      </w:r>
      <w:r w:rsidR="00FD2F26" w:rsidRPr="0072005C">
        <w:rPr>
          <w:rStyle w:val="bodytext1"/>
          <w:color w:val="auto"/>
          <w:sz w:val="20"/>
          <w:szCs w:val="20"/>
          <w:lang w:val="en-AU"/>
        </w:rPr>
        <w:t xml:space="preserve">plus </w:t>
      </w:r>
      <w:r w:rsidR="00EC03F8" w:rsidRPr="0072005C">
        <w:rPr>
          <w:rStyle w:val="bodytext1"/>
          <w:color w:val="auto"/>
          <w:sz w:val="20"/>
          <w:szCs w:val="20"/>
        </w:rPr>
        <w:t>foreign terrorist fighters,</w:t>
      </w:r>
      <w:r w:rsidRPr="0072005C">
        <w:rPr>
          <w:rStyle w:val="bodytext1"/>
          <w:color w:val="auto"/>
          <w:sz w:val="20"/>
          <w:szCs w:val="20"/>
          <w:lang w:val="en-US"/>
        </w:rPr>
        <w:t xml:space="preserve"> and the importance of mitigating this threat to achieve APEC’s vision and objectives.</w:t>
      </w:r>
      <w:r w:rsidR="00DA77C0" w:rsidRPr="0072005C">
        <w:rPr>
          <w:rStyle w:val="bodytext1"/>
          <w:color w:val="auto"/>
          <w:sz w:val="20"/>
          <w:szCs w:val="20"/>
          <w:lang w:val="en-US"/>
        </w:rPr>
        <w:t xml:space="preserve"> </w:t>
      </w:r>
      <w:r w:rsidRPr="0072005C">
        <w:rPr>
          <w:rStyle w:val="bodytext1"/>
          <w:color w:val="auto"/>
          <w:sz w:val="20"/>
          <w:szCs w:val="20"/>
          <w:lang w:val="en-US"/>
        </w:rPr>
        <w:t xml:space="preserve">APEC </w:t>
      </w:r>
      <w:r w:rsidR="00A23FBF" w:rsidRPr="0072005C">
        <w:rPr>
          <w:rStyle w:val="bodytext1"/>
          <w:color w:val="auto"/>
          <w:sz w:val="20"/>
          <w:szCs w:val="20"/>
          <w:lang w:val="en-US"/>
        </w:rPr>
        <w:t xml:space="preserve">Economic </w:t>
      </w:r>
      <w:r w:rsidRPr="0072005C">
        <w:rPr>
          <w:rStyle w:val="bodytext1"/>
          <w:color w:val="auto"/>
          <w:sz w:val="20"/>
          <w:szCs w:val="20"/>
          <w:lang w:val="en-US"/>
        </w:rPr>
        <w:t>Leaders have committed their economies, through successive Leaders</w:t>
      </w:r>
      <w:r w:rsidR="00051CE0">
        <w:rPr>
          <w:rStyle w:val="bodytext1"/>
          <w:color w:val="auto"/>
          <w:sz w:val="20"/>
          <w:szCs w:val="20"/>
          <w:lang w:val="en-US"/>
        </w:rPr>
        <w:t>’</w:t>
      </w:r>
      <w:r w:rsidRPr="0072005C">
        <w:rPr>
          <w:rStyle w:val="bodytext1"/>
          <w:color w:val="auto"/>
          <w:sz w:val="20"/>
          <w:szCs w:val="20"/>
          <w:lang w:val="en-US"/>
        </w:rPr>
        <w:t xml:space="preserve"> Declarations and Ministerial Statements, to continue to implement the APEC Consolidated Counter-Terrorism and Secure Trade Strategy by jointly taking action and sharing best practices in the Strategy’s four cross-cutting areas: secure supply chains, secure travel, secure finance, and secure infrastructure.</w:t>
      </w:r>
    </w:p>
    <w:p w14:paraId="168C8D82" w14:textId="77777777" w:rsidR="001F5E6D" w:rsidRPr="003170AA" w:rsidRDefault="001F5E6D">
      <w:pPr>
        <w:pStyle w:val="Prrafodelista"/>
        <w:spacing w:after="0" w:line="240" w:lineRule="auto"/>
        <w:ind w:left="0"/>
        <w:jc w:val="both"/>
        <w:rPr>
          <w:rStyle w:val="bodytext1"/>
          <w:sz w:val="20"/>
          <w:szCs w:val="20"/>
          <w:lang w:val="en-US"/>
        </w:rPr>
      </w:pPr>
    </w:p>
    <w:p w14:paraId="291D82E7" w14:textId="7459C55F" w:rsidR="00EE1A23" w:rsidRPr="0072005C" w:rsidRDefault="00EE1A23">
      <w:pPr>
        <w:pStyle w:val="Prrafodelista"/>
        <w:spacing w:after="0" w:line="240" w:lineRule="auto"/>
        <w:ind w:left="0"/>
        <w:jc w:val="both"/>
        <w:rPr>
          <w:rStyle w:val="bodytext1"/>
          <w:color w:val="auto"/>
          <w:sz w:val="20"/>
          <w:szCs w:val="20"/>
        </w:rPr>
      </w:pPr>
      <w:r w:rsidRPr="0072005C">
        <w:rPr>
          <w:rStyle w:val="bodytext1"/>
          <w:color w:val="auto"/>
          <w:sz w:val="20"/>
          <w:szCs w:val="20"/>
        </w:rPr>
        <w:t xml:space="preserve">From a counter-terrorism and human security perspective, APEC is well positioned to </w:t>
      </w:r>
      <w:r w:rsidR="00EC03F8" w:rsidRPr="0072005C">
        <w:rPr>
          <w:rStyle w:val="bodytext1"/>
          <w:color w:val="auto"/>
          <w:sz w:val="20"/>
          <w:szCs w:val="20"/>
          <w:lang w:val="en-AU"/>
        </w:rPr>
        <w:t xml:space="preserve">further consolidate </w:t>
      </w:r>
      <w:r w:rsidR="00DA77C0" w:rsidRPr="0072005C">
        <w:rPr>
          <w:rStyle w:val="bodytext1"/>
          <w:color w:val="auto"/>
          <w:sz w:val="20"/>
          <w:szCs w:val="20"/>
          <w:lang w:val="en-AU"/>
        </w:rPr>
        <w:t xml:space="preserve">its </w:t>
      </w:r>
      <w:r w:rsidR="00EC03F8" w:rsidRPr="0072005C">
        <w:rPr>
          <w:rStyle w:val="bodytext1"/>
          <w:color w:val="auto"/>
          <w:sz w:val="20"/>
          <w:szCs w:val="20"/>
          <w:lang w:val="en-AU"/>
        </w:rPr>
        <w:t xml:space="preserve">counter terrorism efforts and </w:t>
      </w:r>
      <w:r w:rsidR="00C26DA6" w:rsidRPr="0072005C">
        <w:rPr>
          <w:rStyle w:val="bodytext1"/>
          <w:color w:val="auto"/>
          <w:sz w:val="20"/>
          <w:szCs w:val="20"/>
        </w:rPr>
        <w:t>promote security measures</w:t>
      </w:r>
      <w:r w:rsidRPr="0072005C">
        <w:rPr>
          <w:rStyle w:val="bodytext1"/>
          <w:color w:val="auto"/>
          <w:sz w:val="20"/>
          <w:szCs w:val="20"/>
        </w:rPr>
        <w:t xml:space="preserve">. Many of the representatives that participate in its expert groups face the dual responsibility of facilitating and regulating commerce on one hand, while also safeguarding it from threats on the other.  </w:t>
      </w:r>
    </w:p>
    <w:p w14:paraId="6C33A71D" w14:textId="77777777" w:rsidR="00EE1A23" w:rsidRPr="00A2494C" w:rsidRDefault="00EE1A23" w:rsidP="00525E47">
      <w:pPr>
        <w:spacing w:after="0" w:line="240" w:lineRule="auto"/>
        <w:jc w:val="both"/>
        <w:rPr>
          <w:rStyle w:val="bodytext1"/>
          <w:sz w:val="20"/>
          <w:szCs w:val="20"/>
        </w:rPr>
      </w:pPr>
    </w:p>
    <w:p w14:paraId="149F0384" w14:textId="79DB891D" w:rsidR="00EE1A23" w:rsidRPr="0072005C" w:rsidRDefault="00EE1A23" w:rsidP="00525E47">
      <w:pPr>
        <w:spacing w:after="0" w:line="240" w:lineRule="auto"/>
        <w:jc w:val="both"/>
        <w:rPr>
          <w:rStyle w:val="bodytext1"/>
          <w:color w:val="auto"/>
          <w:sz w:val="20"/>
          <w:szCs w:val="20"/>
        </w:rPr>
      </w:pPr>
      <w:r w:rsidRPr="0072005C">
        <w:rPr>
          <w:rStyle w:val="bodytext1"/>
          <w:color w:val="auto"/>
          <w:sz w:val="20"/>
          <w:szCs w:val="20"/>
        </w:rPr>
        <w:t>Specifically, APEC provides member economies with opportunities for regionally-tailored capacity building, information-sharing, and collaboration in addressing threats to economic growth</w:t>
      </w:r>
      <w:r w:rsidR="00051CE0">
        <w:rPr>
          <w:rStyle w:val="bodytext1"/>
          <w:color w:val="auto"/>
          <w:sz w:val="20"/>
          <w:szCs w:val="20"/>
        </w:rPr>
        <w:t>,</w:t>
      </w:r>
      <w:r w:rsidRPr="0072005C">
        <w:rPr>
          <w:rStyle w:val="bodytext1"/>
          <w:color w:val="auto"/>
          <w:sz w:val="20"/>
          <w:szCs w:val="20"/>
        </w:rPr>
        <w:t xml:space="preserve"> while working closely with the private sector and other multilateral organizations.  This work includes efforts to mitigate risks to transportation, the supply chain, and the financial system, without compromising the flow of legitimate </w:t>
      </w:r>
      <w:r w:rsidR="007020C0" w:rsidRPr="0072005C">
        <w:rPr>
          <w:rStyle w:val="bodytext1"/>
          <w:color w:val="auto"/>
          <w:sz w:val="20"/>
          <w:szCs w:val="20"/>
        </w:rPr>
        <w:t>trade and travel</w:t>
      </w:r>
      <w:r w:rsidRPr="0072005C">
        <w:rPr>
          <w:rStyle w:val="bodytext1"/>
          <w:color w:val="auto"/>
          <w:sz w:val="20"/>
          <w:szCs w:val="20"/>
        </w:rPr>
        <w:t xml:space="preserve">.  </w:t>
      </w:r>
    </w:p>
    <w:p w14:paraId="33569BB9" w14:textId="77777777" w:rsidR="00EE1A23" w:rsidRPr="00A2494C" w:rsidRDefault="00EE1A23" w:rsidP="00525E47">
      <w:pPr>
        <w:spacing w:after="0" w:line="240" w:lineRule="auto"/>
        <w:jc w:val="both"/>
        <w:rPr>
          <w:rStyle w:val="bodytext1"/>
          <w:sz w:val="20"/>
          <w:szCs w:val="20"/>
        </w:rPr>
      </w:pPr>
    </w:p>
    <w:p w14:paraId="1CA0C799" w14:textId="65935EA2" w:rsidR="00EE1A23" w:rsidRPr="00A2494C" w:rsidRDefault="00EE1A23" w:rsidP="00525E47">
      <w:pPr>
        <w:spacing w:after="0" w:line="240" w:lineRule="auto"/>
        <w:jc w:val="both"/>
        <w:rPr>
          <w:rStyle w:val="bodytext1"/>
          <w:sz w:val="20"/>
          <w:szCs w:val="20"/>
        </w:rPr>
      </w:pPr>
      <w:r w:rsidRPr="00A2494C">
        <w:rPr>
          <w:rStyle w:val="bodytext1"/>
          <w:b/>
          <w:i/>
          <w:sz w:val="20"/>
          <w:szCs w:val="20"/>
        </w:rPr>
        <w:t>Objectives</w:t>
      </w:r>
      <w:r w:rsidRPr="00A2494C">
        <w:rPr>
          <w:rStyle w:val="bodytext1"/>
          <w:b/>
          <w:sz w:val="20"/>
          <w:szCs w:val="20"/>
        </w:rPr>
        <w:t xml:space="preserve">. </w:t>
      </w:r>
      <w:r w:rsidRPr="00A2494C">
        <w:rPr>
          <w:rStyle w:val="bodytext1"/>
          <w:sz w:val="20"/>
          <w:szCs w:val="20"/>
        </w:rPr>
        <w:t xml:space="preserve">This Strategy outlines a vision for APEC’s counter-terrorism and secure trade efforts over </w:t>
      </w:r>
      <w:r w:rsidR="009829EA" w:rsidRPr="00A2494C">
        <w:rPr>
          <w:rStyle w:val="bodytext1"/>
          <w:sz w:val="20"/>
          <w:szCs w:val="20"/>
        </w:rPr>
        <w:t xml:space="preserve">at least </w:t>
      </w:r>
      <w:r w:rsidRPr="00A2494C">
        <w:rPr>
          <w:rStyle w:val="bodytext1"/>
          <w:sz w:val="20"/>
          <w:szCs w:val="20"/>
        </w:rPr>
        <w:t>the next five years</w:t>
      </w:r>
      <w:r w:rsidR="009829EA" w:rsidRPr="00A2494C">
        <w:rPr>
          <w:rStyle w:val="bodytext1"/>
          <w:sz w:val="20"/>
          <w:szCs w:val="20"/>
        </w:rPr>
        <w:t>, subject to periodic review</w:t>
      </w:r>
      <w:r w:rsidRPr="00A2494C">
        <w:rPr>
          <w:rStyle w:val="bodytext1"/>
          <w:sz w:val="20"/>
          <w:szCs w:val="20"/>
        </w:rPr>
        <w:t xml:space="preserve">.  In particular, the </w:t>
      </w:r>
      <w:r w:rsidR="00051CE0">
        <w:rPr>
          <w:rStyle w:val="bodytext1"/>
          <w:sz w:val="20"/>
          <w:szCs w:val="20"/>
        </w:rPr>
        <w:t>S</w:t>
      </w:r>
      <w:r w:rsidRPr="00A2494C">
        <w:rPr>
          <w:rStyle w:val="bodytext1"/>
          <w:sz w:val="20"/>
          <w:szCs w:val="20"/>
        </w:rPr>
        <w:t xml:space="preserve">trategy seeks to articulate a common APEC strategic framework from which economies can pursue an integrated approach to counter-terrorism and secure trade issues within APEC’s broader economic agenda. It also outlines a mechanism for closer collaboration among APEC sub-fora to best utilize the expertise distributed across these groups, as well as with other multilateral organizations and the private sector.  Finally, the Strategy seeks to facilitate the development of capacity-building initiatives to address key gaps and challenges, </w:t>
      </w:r>
      <w:r w:rsidR="00AE0DDE" w:rsidRPr="00A2494C">
        <w:rPr>
          <w:rStyle w:val="bodytext1"/>
          <w:sz w:val="20"/>
          <w:szCs w:val="20"/>
        </w:rPr>
        <w:t>strengthen the security of regional commerce</w:t>
      </w:r>
      <w:r w:rsidRPr="00A2494C">
        <w:rPr>
          <w:rStyle w:val="bodytext1"/>
          <w:sz w:val="20"/>
          <w:szCs w:val="20"/>
        </w:rPr>
        <w:t xml:space="preserve">, and enhance member economies’ counter-terrorism capabilities. Such efforts will remain consistent with APEC’s voluntary principles and with broader efforts at the global level. </w:t>
      </w:r>
    </w:p>
    <w:p w14:paraId="5F1605AF" w14:textId="77777777" w:rsidR="00EE1A23" w:rsidRPr="00A2494C" w:rsidRDefault="00EE1A23" w:rsidP="00525E47">
      <w:pPr>
        <w:spacing w:after="0" w:line="23" w:lineRule="atLeast"/>
        <w:jc w:val="both"/>
        <w:rPr>
          <w:rStyle w:val="bodytext1"/>
          <w:sz w:val="20"/>
          <w:szCs w:val="20"/>
        </w:rPr>
      </w:pPr>
    </w:p>
    <w:p w14:paraId="6AE4E0E4" w14:textId="767933D1" w:rsidR="00EE1A23" w:rsidRPr="0072005C" w:rsidRDefault="00EE1A23" w:rsidP="00525E47">
      <w:pPr>
        <w:spacing w:after="0" w:line="23" w:lineRule="atLeast"/>
        <w:jc w:val="both"/>
        <w:rPr>
          <w:rStyle w:val="bodytext1"/>
          <w:color w:val="auto"/>
          <w:sz w:val="20"/>
          <w:szCs w:val="20"/>
        </w:rPr>
      </w:pPr>
      <w:r w:rsidRPr="0072005C">
        <w:rPr>
          <w:rStyle w:val="bodytext1"/>
          <w:color w:val="auto"/>
          <w:sz w:val="20"/>
          <w:szCs w:val="20"/>
        </w:rPr>
        <w:t xml:space="preserve">The Strategy builds upon current efforts in such areas as transportation security (including maritime, aviation, and surface transportation), supply chain security and trade recovery, customs and border </w:t>
      </w:r>
      <w:r w:rsidRPr="0072005C">
        <w:rPr>
          <w:rStyle w:val="bodytext1"/>
          <w:color w:val="auto"/>
          <w:sz w:val="20"/>
          <w:szCs w:val="20"/>
        </w:rPr>
        <w:lastRenderedPageBreak/>
        <w:t>security, anti-money laundering and counter-terrorism financ</w:t>
      </w:r>
      <w:r w:rsidR="00DA2763">
        <w:rPr>
          <w:rStyle w:val="bodytext1"/>
          <w:color w:val="auto"/>
          <w:sz w:val="20"/>
          <w:szCs w:val="20"/>
        </w:rPr>
        <w:t>ing</w:t>
      </w:r>
      <w:r w:rsidRPr="0072005C">
        <w:rPr>
          <w:rStyle w:val="bodytext1"/>
          <w:color w:val="auto"/>
          <w:sz w:val="20"/>
          <w:szCs w:val="20"/>
        </w:rPr>
        <w:t>, cyber-security, and protecting critical infrastructure</w:t>
      </w:r>
      <w:r w:rsidR="002B2960" w:rsidRPr="0072005C">
        <w:rPr>
          <w:rStyle w:val="bodytext1"/>
          <w:color w:val="auto"/>
          <w:sz w:val="20"/>
          <w:szCs w:val="20"/>
        </w:rPr>
        <w:t xml:space="preserve"> and soft targets</w:t>
      </w:r>
      <w:r w:rsidRPr="0072005C">
        <w:rPr>
          <w:rStyle w:val="bodytext1"/>
          <w:color w:val="auto"/>
          <w:sz w:val="20"/>
          <w:szCs w:val="20"/>
        </w:rPr>
        <w:t xml:space="preserve">.  </w:t>
      </w:r>
    </w:p>
    <w:p w14:paraId="69946E41" w14:textId="77777777" w:rsidR="00EE1A23" w:rsidRPr="00A2494C" w:rsidRDefault="00EE1A23" w:rsidP="00525E47">
      <w:pPr>
        <w:spacing w:after="0" w:line="23" w:lineRule="atLeast"/>
        <w:jc w:val="both"/>
        <w:rPr>
          <w:rStyle w:val="bodytext1"/>
          <w:sz w:val="20"/>
          <w:szCs w:val="20"/>
        </w:rPr>
      </w:pPr>
    </w:p>
    <w:p w14:paraId="7E56B550" w14:textId="77777777" w:rsidR="00EE1A23" w:rsidRPr="00A2494C" w:rsidRDefault="00EE1A23" w:rsidP="00525E47">
      <w:pPr>
        <w:spacing w:after="0" w:line="23" w:lineRule="atLeast"/>
        <w:jc w:val="both"/>
        <w:rPr>
          <w:rStyle w:val="bodytext1"/>
          <w:sz w:val="20"/>
          <w:szCs w:val="20"/>
        </w:rPr>
      </w:pPr>
      <w:r w:rsidRPr="00A2494C">
        <w:rPr>
          <w:rStyle w:val="bodytext1"/>
          <w:b/>
          <w:i/>
          <w:sz w:val="20"/>
          <w:szCs w:val="20"/>
        </w:rPr>
        <w:t>APEC’s Work in Counter-Terrorism and Secure Trade</w:t>
      </w:r>
      <w:r w:rsidRPr="00A2494C">
        <w:rPr>
          <w:rStyle w:val="bodytext1"/>
          <w:b/>
          <w:sz w:val="20"/>
          <w:szCs w:val="20"/>
        </w:rPr>
        <w:t>.</w:t>
      </w:r>
      <w:r w:rsidRPr="00A2494C">
        <w:rPr>
          <w:rStyle w:val="bodytext1"/>
          <w:sz w:val="20"/>
          <w:szCs w:val="20"/>
        </w:rPr>
        <w:t xml:space="preserve">  Consistent with its core economic mission, APEC’s efforts on counter-terrorism and secure trade are structured around three fundamental pillars:</w:t>
      </w:r>
    </w:p>
    <w:p w14:paraId="5F76A802" w14:textId="77777777" w:rsidR="00EE1A23" w:rsidRPr="00A2494C" w:rsidRDefault="00EE1A23" w:rsidP="00525E47">
      <w:pPr>
        <w:spacing w:after="0" w:line="23" w:lineRule="atLeast"/>
        <w:jc w:val="both"/>
        <w:rPr>
          <w:rStyle w:val="bodytext1"/>
          <w:sz w:val="20"/>
          <w:szCs w:val="20"/>
        </w:rPr>
      </w:pPr>
    </w:p>
    <w:p w14:paraId="66184EEF" w14:textId="77777777"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u w:val="single"/>
        </w:rPr>
        <w:t>Security</w:t>
      </w:r>
      <w:r w:rsidRPr="00A2494C">
        <w:rPr>
          <w:rStyle w:val="bodytext1"/>
          <w:b/>
          <w:sz w:val="20"/>
          <w:szCs w:val="20"/>
        </w:rPr>
        <w:t>:</w:t>
      </w:r>
      <w:r w:rsidRPr="00A2494C">
        <w:rPr>
          <w:rStyle w:val="bodytext1"/>
          <w:sz w:val="20"/>
          <w:szCs w:val="20"/>
        </w:rPr>
        <w:t xml:space="preserve">  To prevent and protect against attack, disruption, and misuse of the region’s supply chains, travel systems, financial systems, and infrastructure. </w:t>
      </w:r>
    </w:p>
    <w:p w14:paraId="4D990A7A" w14:textId="77777777" w:rsidR="00EE1A23" w:rsidRPr="00A2494C" w:rsidRDefault="00EE1A23" w:rsidP="00525E47">
      <w:pPr>
        <w:spacing w:after="0" w:line="23" w:lineRule="atLeast"/>
        <w:jc w:val="both"/>
        <w:rPr>
          <w:rStyle w:val="bodytext1"/>
          <w:sz w:val="20"/>
          <w:szCs w:val="20"/>
        </w:rPr>
      </w:pPr>
    </w:p>
    <w:p w14:paraId="0333DA7E" w14:textId="77777777"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u w:val="single"/>
        </w:rPr>
        <w:t>Efficiency</w:t>
      </w:r>
      <w:r w:rsidRPr="00A2494C">
        <w:rPr>
          <w:rStyle w:val="bodytext1"/>
          <w:b/>
          <w:sz w:val="20"/>
          <w:szCs w:val="20"/>
        </w:rPr>
        <w:t>:</w:t>
      </w:r>
      <w:r w:rsidRPr="00A2494C">
        <w:rPr>
          <w:rStyle w:val="bodytext1"/>
          <w:sz w:val="20"/>
          <w:szCs w:val="20"/>
        </w:rPr>
        <w:t xml:space="preserve">  To ensure that security efforts do not compromise, or have minimal impact on, the flow of legitimate trade and travel. APEC is particularly focused on promoting effective, balanced, and well-structured security programs and practices that both facilitate and secure regional commerce. </w:t>
      </w:r>
    </w:p>
    <w:p w14:paraId="7751C406" w14:textId="77777777" w:rsidR="00EE1A23" w:rsidRPr="00A2494C" w:rsidRDefault="00EE1A23" w:rsidP="00525E47">
      <w:pPr>
        <w:spacing w:after="0" w:line="23" w:lineRule="atLeast"/>
        <w:jc w:val="both"/>
        <w:rPr>
          <w:rStyle w:val="bodytext1"/>
          <w:sz w:val="20"/>
          <w:szCs w:val="20"/>
        </w:rPr>
      </w:pPr>
    </w:p>
    <w:p w14:paraId="16DA197D" w14:textId="77777777"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u w:val="single"/>
        </w:rPr>
        <w:t>Resilience</w:t>
      </w:r>
      <w:r w:rsidRPr="00A2494C">
        <w:rPr>
          <w:rStyle w:val="bodytext1"/>
          <w:b/>
          <w:sz w:val="20"/>
          <w:szCs w:val="20"/>
        </w:rPr>
        <w:t>:</w:t>
      </w:r>
      <w:r w:rsidRPr="00A2494C">
        <w:rPr>
          <w:rStyle w:val="bodytext1"/>
          <w:sz w:val="20"/>
          <w:szCs w:val="20"/>
        </w:rPr>
        <w:t xml:space="preserve">  To enable effective response and recovery of commerce in the wake of disruptions. APEC must not only strive to enhance preparedness, but also build on efforts aimed at the expeditious recovery of trade and restoration of vital infrastructure to ensure the continuity of economic activity in the APEC region.</w:t>
      </w:r>
    </w:p>
    <w:p w14:paraId="48108BD4" w14:textId="77777777" w:rsidR="00EE1A23" w:rsidRPr="00A2494C" w:rsidRDefault="00EE1A23" w:rsidP="00525E47">
      <w:pPr>
        <w:spacing w:after="0" w:line="23" w:lineRule="atLeast"/>
        <w:jc w:val="both"/>
        <w:rPr>
          <w:rStyle w:val="bodytext1"/>
          <w:sz w:val="20"/>
          <w:szCs w:val="20"/>
        </w:rPr>
      </w:pPr>
    </w:p>
    <w:p w14:paraId="3DD11F6E" w14:textId="77777777" w:rsidR="00EE1A23" w:rsidRPr="00A2494C" w:rsidRDefault="00EE1A23" w:rsidP="00525E47">
      <w:pPr>
        <w:spacing w:after="0" w:line="23" w:lineRule="atLeast"/>
        <w:jc w:val="both"/>
        <w:rPr>
          <w:rStyle w:val="bodytext1"/>
          <w:sz w:val="20"/>
          <w:szCs w:val="20"/>
        </w:rPr>
      </w:pPr>
      <w:r w:rsidRPr="00A2494C">
        <w:rPr>
          <w:rStyle w:val="bodytext1"/>
          <w:sz w:val="20"/>
          <w:szCs w:val="20"/>
        </w:rPr>
        <w:t xml:space="preserve">In practical terms, APEC’s work on these three strategic pillars can be categorized into the following cross-cutting activity areas, all of which are tied to key aspects of the regional economy: </w:t>
      </w:r>
    </w:p>
    <w:p w14:paraId="1AAF8984" w14:textId="77777777" w:rsidR="00EE1A23" w:rsidRPr="00A2494C" w:rsidRDefault="00EE1A23" w:rsidP="00525E47">
      <w:pPr>
        <w:spacing w:after="0" w:line="23" w:lineRule="atLeast"/>
        <w:jc w:val="both"/>
        <w:rPr>
          <w:rStyle w:val="bodytext1"/>
          <w:sz w:val="20"/>
          <w:szCs w:val="20"/>
        </w:rPr>
      </w:pPr>
    </w:p>
    <w:p w14:paraId="5B3B5C87" w14:textId="5A57A6F2"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rPr>
        <w:t>Secure Supply Chains</w:t>
      </w:r>
      <w:r w:rsidR="00661E01">
        <w:rPr>
          <w:rStyle w:val="bodytext1"/>
          <w:b/>
          <w:sz w:val="20"/>
          <w:szCs w:val="20"/>
        </w:rPr>
        <w:t xml:space="preserve">. </w:t>
      </w:r>
      <w:r w:rsidRPr="00A2494C">
        <w:rPr>
          <w:rStyle w:val="bodytext1"/>
          <w:sz w:val="20"/>
          <w:szCs w:val="20"/>
        </w:rPr>
        <w:t xml:space="preserve">Provide for the secure, efficient, and resilient movement of goods throughout the region; </w:t>
      </w:r>
    </w:p>
    <w:p w14:paraId="0F597D24" w14:textId="14BA653B"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rPr>
        <w:t>Secure Travel</w:t>
      </w:r>
      <w:r w:rsidR="00661E01">
        <w:rPr>
          <w:rStyle w:val="bodytext1"/>
          <w:b/>
          <w:sz w:val="20"/>
          <w:szCs w:val="20"/>
        </w:rPr>
        <w:t xml:space="preserve">. </w:t>
      </w:r>
      <w:r w:rsidRPr="00A2494C">
        <w:rPr>
          <w:rStyle w:val="bodytext1"/>
          <w:sz w:val="20"/>
          <w:szCs w:val="20"/>
        </w:rPr>
        <w:t xml:space="preserve">Provide for the secure, efficient, and resilient movement of travelers across the region; </w:t>
      </w:r>
    </w:p>
    <w:p w14:paraId="7722763D" w14:textId="583660A3"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rPr>
        <w:t>Secure Finance</w:t>
      </w:r>
      <w:r w:rsidR="00661E01">
        <w:rPr>
          <w:rStyle w:val="bodytext1"/>
          <w:b/>
          <w:sz w:val="20"/>
          <w:szCs w:val="20"/>
        </w:rPr>
        <w:t xml:space="preserve">. </w:t>
      </w:r>
      <w:r w:rsidRPr="00A2494C">
        <w:rPr>
          <w:rStyle w:val="bodytext1"/>
          <w:sz w:val="20"/>
          <w:szCs w:val="20"/>
        </w:rPr>
        <w:t>Protect against the flow of finance for use in terrorist and associated illicit activities, and secure financial institutions against</w:t>
      </w:r>
      <w:r w:rsidR="0095254B">
        <w:rPr>
          <w:rStyle w:val="bodytext1"/>
          <w:sz w:val="20"/>
          <w:szCs w:val="20"/>
        </w:rPr>
        <w:t xml:space="preserve"> knowingly or unknowingly becoming complicit in</w:t>
      </w:r>
      <w:r w:rsidRPr="00A2494C">
        <w:rPr>
          <w:rStyle w:val="bodytext1"/>
          <w:sz w:val="20"/>
          <w:szCs w:val="20"/>
        </w:rPr>
        <w:t xml:space="preserve"> such activities; and </w:t>
      </w:r>
    </w:p>
    <w:p w14:paraId="001EE9CA" w14:textId="16DA95DF" w:rsidR="00EE1A23" w:rsidRPr="00A2494C" w:rsidRDefault="00EE1A23" w:rsidP="00661E01">
      <w:pPr>
        <w:pStyle w:val="ColorfulList-Accent11"/>
        <w:numPr>
          <w:ilvl w:val="0"/>
          <w:numId w:val="14"/>
        </w:numPr>
        <w:spacing w:after="0" w:line="23" w:lineRule="atLeast"/>
        <w:ind w:left="284" w:hanging="142"/>
        <w:jc w:val="both"/>
        <w:rPr>
          <w:rStyle w:val="bodytext1"/>
          <w:sz w:val="20"/>
          <w:szCs w:val="20"/>
        </w:rPr>
      </w:pPr>
      <w:r w:rsidRPr="00A2494C">
        <w:rPr>
          <w:rStyle w:val="bodytext1"/>
          <w:b/>
          <w:sz w:val="20"/>
          <w:szCs w:val="20"/>
        </w:rPr>
        <w:t>Secure Infrastructure</w:t>
      </w:r>
      <w:r w:rsidR="00661E01">
        <w:rPr>
          <w:rStyle w:val="bodytext1"/>
          <w:b/>
          <w:sz w:val="20"/>
          <w:szCs w:val="20"/>
        </w:rPr>
        <w:t xml:space="preserve">. </w:t>
      </w:r>
      <w:r w:rsidRPr="00A2494C">
        <w:rPr>
          <w:rStyle w:val="bodytext1"/>
          <w:sz w:val="20"/>
          <w:szCs w:val="20"/>
        </w:rPr>
        <w:t xml:space="preserve">Ensure the security and resilience of critical infrastructure, which supports and enables economic activity across the APEC region. </w:t>
      </w:r>
    </w:p>
    <w:p w14:paraId="3CFBA5F4" w14:textId="77777777" w:rsidR="00EE1A23" w:rsidRPr="00A2494C" w:rsidRDefault="00EE1A23" w:rsidP="00525E47">
      <w:pPr>
        <w:spacing w:after="0" w:line="23" w:lineRule="atLeast"/>
        <w:jc w:val="both"/>
        <w:rPr>
          <w:rStyle w:val="bodytext1"/>
          <w:sz w:val="20"/>
          <w:szCs w:val="20"/>
        </w:rPr>
      </w:pPr>
    </w:p>
    <w:p w14:paraId="1D1A44A1" w14:textId="77777777" w:rsidR="00EE1A23" w:rsidRPr="0072005C" w:rsidRDefault="00EE1A23" w:rsidP="00525E47">
      <w:pPr>
        <w:spacing w:after="0" w:line="23" w:lineRule="atLeast"/>
        <w:jc w:val="both"/>
        <w:rPr>
          <w:rStyle w:val="bodytext1"/>
          <w:color w:val="auto"/>
          <w:sz w:val="20"/>
          <w:szCs w:val="20"/>
        </w:rPr>
      </w:pPr>
      <w:r w:rsidRPr="0072005C">
        <w:rPr>
          <w:rStyle w:val="bodytext1"/>
          <w:b/>
          <w:i/>
          <w:color w:val="auto"/>
          <w:sz w:val="20"/>
          <w:szCs w:val="20"/>
        </w:rPr>
        <w:t>Vision</w:t>
      </w:r>
      <w:r w:rsidRPr="0072005C">
        <w:rPr>
          <w:rStyle w:val="bodytext1"/>
          <w:b/>
          <w:color w:val="auto"/>
          <w:sz w:val="20"/>
          <w:szCs w:val="20"/>
        </w:rPr>
        <w:t>.</w:t>
      </w:r>
      <w:r w:rsidRPr="0072005C">
        <w:rPr>
          <w:rStyle w:val="bodytext1"/>
          <w:color w:val="auto"/>
          <w:sz w:val="20"/>
          <w:szCs w:val="20"/>
        </w:rPr>
        <w:t xml:space="preserve">  Moving forward, the relevant APEC sub-fora will undertake a comprehensive, integrated approach </w:t>
      </w:r>
      <w:r w:rsidRPr="0072005C">
        <w:rPr>
          <w:rFonts w:ascii="Arial" w:eastAsia="Times New Roman" w:hAnsi="Arial" w:cs="Arial"/>
          <w:sz w:val="20"/>
          <w:szCs w:val="20"/>
        </w:rPr>
        <w:t>to enhance member economies’ ability to protect their economic systems and infrastructure from misuse, attack and disruption</w:t>
      </w:r>
      <w:r w:rsidRPr="0072005C">
        <w:rPr>
          <w:rStyle w:val="bodytext1"/>
          <w:color w:val="auto"/>
          <w:sz w:val="20"/>
          <w:szCs w:val="20"/>
        </w:rPr>
        <w:t>. The core tenets of this approach are:</w:t>
      </w:r>
    </w:p>
    <w:p w14:paraId="13C7A530" w14:textId="77777777" w:rsidR="00EE1A23" w:rsidRPr="0072005C" w:rsidRDefault="00EE1A23" w:rsidP="00525E47">
      <w:pPr>
        <w:spacing w:after="0" w:line="23" w:lineRule="atLeast"/>
        <w:jc w:val="both"/>
        <w:rPr>
          <w:rStyle w:val="bodytext1"/>
          <w:b/>
          <w:color w:val="auto"/>
          <w:sz w:val="20"/>
          <w:szCs w:val="20"/>
        </w:rPr>
      </w:pPr>
    </w:p>
    <w:p w14:paraId="6D18EDF6" w14:textId="77777777" w:rsidR="00EE1A23" w:rsidRPr="0072005C" w:rsidRDefault="00EE1A23" w:rsidP="00661E01">
      <w:pPr>
        <w:pStyle w:val="ColorfulList-Accent11"/>
        <w:numPr>
          <w:ilvl w:val="0"/>
          <w:numId w:val="14"/>
        </w:numPr>
        <w:spacing w:after="0" w:line="23" w:lineRule="atLeast"/>
        <w:ind w:left="284" w:hanging="142"/>
        <w:jc w:val="both"/>
        <w:rPr>
          <w:rStyle w:val="bodytext1"/>
          <w:color w:val="auto"/>
          <w:sz w:val="20"/>
          <w:szCs w:val="20"/>
        </w:rPr>
      </w:pPr>
      <w:r w:rsidRPr="0072005C">
        <w:rPr>
          <w:rStyle w:val="bodytext1"/>
          <w:color w:val="auto"/>
          <w:sz w:val="20"/>
          <w:szCs w:val="20"/>
        </w:rPr>
        <w:t xml:space="preserve">Identifying key counter-terrorism and secure trade challenges facing APEC economies; </w:t>
      </w:r>
    </w:p>
    <w:p w14:paraId="706DFA2A" w14:textId="77777777" w:rsidR="00EE1A23" w:rsidRPr="0072005C" w:rsidRDefault="00EE1A23" w:rsidP="00661E01">
      <w:pPr>
        <w:pStyle w:val="ColorfulList-Accent11"/>
        <w:numPr>
          <w:ilvl w:val="0"/>
          <w:numId w:val="14"/>
        </w:numPr>
        <w:spacing w:after="0" w:line="23" w:lineRule="atLeast"/>
        <w:ind w:left="284" w:hanging="142"/>
        <w:jc w:val="both"/>
        <w:rPr>
          <w:rStyle w:val="bodytext1"/>
          <w:color w:val="auto"/>
          <w:sz w:val="20"/>
          <w:szCs w:val="20"/>
        </w:rPr>
      </w:pPr>
      <w:r w:rsidRPr="0072005C">
        <w:rPr>
          <w:rStyle w:val="bodytext1"/>
          <w:color w:val="auto"/>
          <w:sz w:val="20"/>
          <w:szCs w:val="20"/>
        </w:rPr>
        <w:t xml:space="preserve">Building capacity </w:t>
      </w:r>
      <w:r w:rsidR="005B6D18" w:rsidRPr="0072005C">
        <w:rPr>
          <w:rStyle w:val="bodytext1"/>
          <w:color w:val="auto"/>
          <w:sz w:val="20"/>
          <w:szCs w:val="20"/>
        </w:rPr>
        <w:t xml:space="preserve">and resilience </w:t>
      </w:r>
      <w:r w:rsidRPr="0072005C">
        <w:rPr>
          <w:rStyle w:val="bodytext1"/>
          <w:color w:val="auto"/>
          <w:sz w:val="20"/>
          <w:szCs w:val="20"/>
        </w:rPr>
        <w:t xml:space="preserve">in ways that serve to both secure and facilitate regional commerce, taking into account differing capacities across the region; </w:t>
      </w:r>
    </w:p>
    <w:p w14:paraId="46230A94" w14:textId="77777777" w:rsidR="00EE1A23" w:rsidRPr="0072005C" w:rsidRDefault="00EE1A23" w:rsidP="00661E01">
      <w:pPr>
        <w:pStyle w:val="ColorfulList-Accent11"/>
        <w:numPr>
          <w:ilvl w:val="0"/>
          <w:numId w:val="14"/>
        </w:numPr>
        <w:spacing w:after="0" w:line="23" w:lineRule="atLeast"/>
        <w:ind w:left="284" w:hanging="142"/>
        <w:jc w:val="both"/>
        <w:rPr>
          <w:rStyle w:val="bodytext1"/>
          <w:color w:val="auto"/>
          <w:sz w:val="20"/>
          <w:szCs w:val="20"/>
        </w:rPr>
      </w:pPr>
      <w:r w:rsidRPr="0072005C">
        <w:rPr>
          <w:rStyle w:val="bodytext1"/>
          <w:color w:val="auto"/>
          <w:sz w:val="20"/>
          <w:szCs w:val="20"/>
        </w:rPr>
        <w:t>Fostering whole-of-government approaches within APEC economies, as well as enhancing cooperation and coordination among economies</w:t>
      </w:r>
      <w:r w:rsidR="0047377F" w:rsidRPr="0072005C">
        <w:rPr>
          <w:rStyle w:val="bodytext1"/>
          <w:color w:val="auto"/>
          <w:sz w:val="20"/>
          <w:szCs w:val="20"/>
        </w:rPr>
        <w:t xml:space="preserve"> and relevant APEC sub-fora</w:t>
      </w:r>
      <w:r w:rsidRPr="0072005C">
        <w:rPr>
          <w:rStyle w:val="bodytext1"/>
          <w:color w:val="auto"/>
          <w:sz w:val="20"/>
          <w:szCs w:val="20"/>
        </w:rPr>
        <w:t>;</w:t>
      </w:r>
    </w:p>
    <w:p w14:paraId="4959AA34" w14:textId="77777777" w:rsidR="00EE1A23" w:rsidRPr="0072005C" w:rsidRDefault="00EE1A23" w:rsidP="00661E01">
      <w:pPr>
        <w:pStyle w:val="ColorfulList-Accent11"/>
        <w:numPr>
          <w:ilvl w:val="0"/>
          <w:numId w:val="14"/>
        </w:numPr>
        <w:spacing w:after="0" w:line="23" w:lineRule="atLeast"/>
        <w:ind w:left="284" w:hanging="142"/>
        <w:jc w:val="both"/>
        <w:rPr>
          <w:rStyle w:val="bodytext1"/>
          <w:color w:val="auto"/>
          <w:sz w:val="20"/>
          <w:szCs w:val="20"/>
        </w:rPr>
      </w:pPr>
      <w:r w:rsidRPr="0072005C">
        <w:rPr>
          <w:rStyle w:val="bodytext1"/>
          <w:color w:val="auto"/>
          <w:sz w:val="20"/>
          <w:szCs w:val="20"/>
        </w:rPr>
        <w:t>Ensuring comprehensive and mutually reinforcing efforts across all modes of transportation (air, sea, and land), while taking into account the inherent differences between those modes; and</w:t>
      </w:r>
    </w:p>
    <w:p w14:paraId="0FE36FF3" w14:textId="77777777" w:rsidR="00EE1A23" w:rsidRPr="0072005C" w:rsidRDefault="004A67BF" w:rsidP="00661E01">
      <w:pPr>
        <w:pStyle w:val="ColorfulList-Accent11"/>
        <w:numPr>
          <w:ilvl w:val="0"/>
          <w:numId w:val="14"/>
        </w:numPr>
        <w:spacing w:after="0" w:line="23" w:lineRule="atLeast"/>
        <w:ind w:left="284" w:hanging="142"/>
        <w:jc w:val="both"/>
        <w:rPr>
          <w:rStyle w:val="bodytext1"/>
          <w:color w:val="auto"/>
          <w:sz w:val="20"/>
          <w:szCs w:val="20"/>
        </w:rPr>
      </w:pPr>
      <w:r w:rsidRPr="0072005C">
        <w:rPr>
          <w:rStyle w:val="bodytext1"/>
          <w:color w:val="auto"/>
          <w:sz w:val="20"/>
          <w:szCs w:val="20"/>
        </w:rPr>
        <w:t>Enhancing intra-APEC cooperation and s</w:t>
      </w:r>
      <w:r w:rsidR="00EE1A23" w:rsidRPr="0072005C">
        <w:rPr>
          <w:rStyle w:val="bodytext1"/>
          <w:color w:val="auto"/>
          <w:sz w:val="20"/>
          <w:szCs w:val="20"/>
        </w:rPr>
        <w:t>trengthening cooperation with the private sector and with relevant multilateral organizations.</w:t>
      </w:r>
    </w:p>
    <w:p w14:paraId="234A75B3" w14:textId="77777777" w:rsidR="00EE1A23" w:rsidRDefault="00EE1A23" w:rsidP="00525E47">
      <w:pPr>
        <w:spacing w:after="0" w:line="23" w:lineRule="atLeast"/>
        <w:jc w:val="both"/>
        <w:rPr>
          <w:rStyle w:val="bodytext1"/>
          <w:sz w:val="20"/>
          <w:szCs w:val="20"/>
        </w:rPr>
      </w:pPr>
    </w:p>
    <w:p w14:paraId="2AA89A71" w14:textId="4A2CBE05" w:rsidR="00EE1A23" w:rsidRPr="00A2494C" w:rsidRDefault="00EE1A23" w:rsidP="00525E47">
      <w:pPr>
        <w:pStyle w:val="ColorfulList-Accent11"/>
        <w:numPr>
          <w:ilvl w:val="0"/>
          <w:numId w:val="6"/>
        </w:numPr>
        <w:spacing w:after="0" w:line="23" w:lineRule="atLeast"/>
        <w:ind w:left="360"/>
        <w:jc w:val="both"/>
        <w:rPr>
          <w:rFonts w:ascii="Arial" w:hAnsi="Arial" w:cs="Arial"/>
          <w:b/>
          <w:sz w:val="20"/>
          <w:szCs w:val="20"/>
          <w:u w:val="single"/>
        </w:rPr>
      </w:pPr>
      <w:r w:rsidRPr="00A2494C">
        <w:rPr>
          <w:rFonts w:ascii="Arial" w:hAnsi="Arial" w:cs="Arial"/>
          <w:b/>
          <w:sz w:val="20"/>
          <w:szCs w:val="20"/>
          <w:u w:val="single"/>
        </w:rPr>
        <w:t xml:space="preserve">Moving Forward: A Strategy for APEC Efforts on Counter-Terrorism and Secure Trade </w:t>
      </w:r>
    </w:p>
    <w:p w14:paraId="2139AA55" w14:textId="77777777" w:rsidR="00D86446" w:rsidRDefault="00D86446" w:rsidP="00525E47">
      <w:pPr>
        <w:spacing w:after="0" w:line="23" w:lineRule="atLeast"/>
        <w:jc w:val="both"/>
        <w:rPr>
          <w:rStyle w:val="bodytext1"/>
          <w:sz w:val="20"/>
          <w:szCs w:val="20"/>
        </w:rPr>
      </w:pPr>
    </w:p>
    <w:p w14:paraId="3C484B15" w14:textId="13EA70D6" w:rsidR="00EE1A23" w:rsidRPr="00A2494C" w:rsidRDefault="00EE1A23" w:rsidP="00525E47">
      <w:pPr>
        <w:spacing w:after="0" w:line="23" w:lineRule="atLeast"/>
        <w:jc w:val="both"/>
        <w:rPr>
          <w:rStyle w:val="bodytext1"/>
          <w:b/>
          <w:color w:val="auto"/>
          <w:sz w:val="20"/>
          <w:szCs w:val="20"/>
        </w:rPr>
      </w:pPr>
      <w:r w:rsidRPr="00A2494C">
        <w:rPr>
          <w:rStyle w:val="bodytext1"/>
          <w:sz w:val="20"/>
          <w:szCs w:val="20"/>
        </w:rPr>
        <w:t xml:space="preserve">APEC sub-fora will </w:t>
      </w:r>
      <w:r w:rsidR="0049249F" w:rsidRPr="0072005C">
        <w:rPr>
          <w:rStyle w:val="bodytext1"/>
          <w:color w:val="auto"/>
          <w:sz w:val="20"/>
          <w:szCs w:val="20"/>
        </w:rPr>
        <w:t xml:space="preserve">continue to </w:t>
      </w:r>
      <w:r w:rsidRPr="00A2494C">
        <w:rPr>
          <w:rStyle w:val="bodytext1"/>
          <w:sz w:val="20"/>
          <w:szCs w:val="20"/>
        </w:rPr>
        <w:t xml:space="preserve">collaborate on a comprehensive and integrated approach to address counter-terrorism and secure trade matters, reflecting the wide-ranging and cross-cutting nature of this challenge. They will leverage APEC’s expertise and track record in promoting regional implementation of international standards and as an incubator of new approaches to securing regional supply chains, travel, finance, and critical infrastructure. In doing so, they will ensure that APEC efforts are consistent with the three fundamental pillars of this strategy: security, efficiency, and resilience.     </w:t>
      </w:r>
    </w:p>
    <w:p w14:paraId="3C75340E" w14:textId="77777777" w:rsidR="00EE1A23" w:rsidRPr="00A2494C" w:rsidRDefault="00EE1A23" w:rsidP="00525E47">
      <w:pPr>
        <w:spacing w:after="0" w:line="23" w:lineRule="atLeast"/>
        <w:ind w:left="720"/>
        <w:jc w:val="both"/>
        <w:rPr>
          <w:rFonts w:ascii="Arial" w:hAnsi="Arial" w:cs="Arial"/>
          <w:sz w:val="20"/>
          <w:szCs w:val="20"/>
        </w:rPr>
      </w:pPr>
    </w:p>
    <w:p w14:paraId="775AC53D" w14:textId="7DC9F9AF" w:rsidR="00EE1A23" w:rsidRPr="00665B81" w:rsidRDefault="00EE1A23" w:rsidP="00F51E34">
      <w:pPr>
        <w:pStyle w:val="ColorfulList-Accent11"/>
        <w:adjustRightInd w:val="0"/>
        <w:snapToGrid w:val="0"/>
        <w:spacing w:after="0" w:line="240" w:lineRule="auto"/>
        <w:ind w:left="0" w:right="-43"/>
        <w:jc w:val="both"/>
        <w:rPr>
          <w:rFonts w:ascii="Arial" w:hAnsi="Arial" w:cs="Arial"/>
          <w:sz w:val="20"/>
          <w:szCs w:val="20"/>
        </w:rPr>
      </w:pPr>
      <w:r w:rsidRPr="00665B81">
        <w:rPr>
          <w:rFonts w:ascii="Arial" w:hAnsi="Arial" w:cs="Arial"/>
          <w:sz w:val="20"/>
          <w:szCs w:val="20"/>
        </w:rPr>
        <w:t>To further these efforts, the CT</w:t>
      </w:r>
      <w:r w:rsidR="003C5356" w:rsidRPr="00665B81">
        <w:rPr>
          <w:rFonts w:ascii="Arial" w:hAnsi="Arial" w:cs="Arial"/>
          <w:sz w:val="20"/>
          <w:szCs w:val="20"/>
        </w:rPr>
        <w:t>WG</w:t>
      </w:r>
      <w:r w:rsidRPr="00665B81">
        <w:rPr>
          <w:rFonts w:ascii="Arial" w:hAnsi="Arial" w:cs="Arial"/>
          <w:sz w:val="20"/>
          <w:szCs w:val="20"/>
        </w:rPr>
        <w:t xml:space="preserve"> will enhance its role as a </w:t>
      </w:r>
      <w:r w:rsidR="009829EA" w:rsidRPr="00665B81">
        <w:rPr>
          <w:rFonts w:ascii="Arial" w:hAnsi="Arial" w:cs="Arial"/>
          <w:sz w:val="20"/>
          <w:szCs w:val="20"/>
        </w:rPr>
        <w:t xml:space="preserve">promoter and </w:t>
      </w:r>
      <w:r w:rsidRPr="00665B81">
        <w:rPr>
          <w:rFonts w:ascii="Arial" w:hAnsi="Arial" w:cs="Arial"/>
          <w:sz w:val="20"/>
          <w:szCs w:val="20"/>
        </w:rPr>
        <w:t xml:space="preserve">facilitator of </w:t>
      </w:r>
      <w:r w:rsidR="009829EA" w:rsidRPr="00665B81">
        <w:rPr>
          <w:rFonts w:ascii="Arial" w:hAnsi="Arial" w:cs="Arial"/>
          <w:sz w:val="20"/>
          <w:szCs w:val="20"/>
        </w:rPr>
        <w:t xml:space="preserve">cooperation to </w:t>
      </w:r>
      <w:r w:rsidRPr="00665B81">
        <w:rPr>
          <w:rFonts w:ascii="Arial" w:hAnsi="Arial" w:cs="Arial"/>
          <w:sz w:val="20"/>
          <w:szCs w:val="20"/>
        </w:rPr>
        <w:t>counter</w:t>
      </w:r>
      <w:r w:rsidR="009829EA" w:rsidRPr="00665B81">
        <w:rPr>
          <w:rFonts w:ascii="Arial" w:hAnsi="Arial" w:cs="Arial"/>
          <w:sz w:val="20"/>
          <w:szCs w:val="20"/>
        </w:rPr>
        <w:t xml:space="preserve"> </w:t>
      </w:r>
      <w:r w:rsidRPr="00665B81">
        <w:rPr>
          <w:rFonts w:ascii="Arial" w:hAnsi="Arial" w:cs="Arial"/>
          <w:sz w:val="20"/>
          <w:szCs w:val="20"/>
        </w:rPr>
        <w:t xml:space="preserve">terrorism and secure </w:t>
      </w:r>
      <w:r w:rsidR="009829EA" w:rsidRPr="00665B81">
        <w:rPr>
          <w:rFonts w:ascii="Arial" w:hAnsi="Arial" w:cs="Arial"/>
          <w:sz w:val="20"/>
          <w:szCs w:val="20"/>
        </w:rPr>
        <w:t>regional commerce</w:t>
      </w:r>
      <w:r w:rsidRPr="00665B81">
        <w:rPr>
          <w:rFonts w:ascii="Arial" w:hAnsi="Arial" w:cs="Arial"/>
          <w:sz w:val="20"/>
          <w:szCs w:val="20"/>
        </w:rPr>
        <w:t xml:space="preserve"> within APEC. It will work closely with relevant sub-fora to identify current and emerging challenges facing the region, and areas where sub-foras</w:t>
      </w:r>
      <w:r w:rsidR="006C2D16" w:rsidRPr="00665B81">
        <w:rPr>
          <w:rFonts w:ascii="Arial" w:hAnsi="Arial" w:cs="Arial"/>
          <w:sz w:val="20"/>
          <w:szCs w:val="20"/>
        </w:rPr>
        <w:t>’</w:t>
      </w:r>
      <w:r w:rsidRPr="00665B81">
        <w:rPr>
          <w:rFonts w:ascii="Arial" w:hAnsi="Arial" w:cs="Arial"/>
          <w:sz w:val="20"/>
          <w:szCs w:val="20"/>
        </w:rPr>
        <w:t xml:space="preserve"> interests and efforts converge. The CT</w:t>
      </w:r>
      <w:r w:rsidR="003C5356" w:rsidRPr="00665B81">
        <w:rPr>
          <w:rFonts w:ascii="Arial" w:hAnsi="Arial" w:cs="Arial"/>
          <w:sz w:val="20"/>
          <w:szCs w:val="20"/>
        </w:rPr>
        <w:t>WG</w:t>
      </w:r>
      <w:r w:rsidRPr="00665B81">
        <w:rPr>
          <w:rFonts w:ascii="Arial" w:hAnsi="Arial" w:cs="Arial"/>
          <w:sz w:val="20"/>
          <w:szCs w:val="20"/>
        </w:rPr>
        <w:t xml:space="preserve"> will continue </w:t>
      </w:r>
      <w:r w:rsidR="00AE0DDE" w:rsidRPr="00665B81">
        <w:rPr>
          <w:rFonts w:ascii="Arial" w:hAnsi="Arial" w:cs="Arial"/>
          <w:sz w:val="20"/>
          <w:szCs w:val="20"/>
        </w:rPr>
        <w:t xml:space="preserve">to </w:t>
      </w:r>
      <w:r w:rsidRPr="00665B81">
        <w:rPr>
          <w:rFonts w:ascii="Arial" w:hAnsi="Arial" w:cs="Arial"/>
          <w:sz w:val="20"/>
          <w:szCs w:val="20"/>
        </w:rPr>
        <w:t xml:space="preserve">lead efforts to </w:t>
      </w:r>
      <w:r w:rsidR="00BA175E" w:rsidRPr="00665B81">
        <w:rPr>
          <w:rFonts w:ascii="Arial" w:hAnsi="Arial" w:cs="Arial"/>
          <w:sz w:val="20"/>
          <w:szCs w:val="20"/>
        </w:rPr>
        <w:t xml:space="preserve">identify </w:t>
      </w:r>
      <w:r w:rsidRPr="00665B81">
        <w:rPr>
          <w:rFonts w:ascii="Arial" w:hAnsi="Arial" w:cs="Arial"/>
          <w:sz w:val="20"/>
          <w:szCs w:val="20"/>
        </w:rPr>
        <w:t xml:space="preserve">counter-terrorism </w:t>
      </w:r>
      <w:r w:rsidR="00BA175E" w:rsidRPr="00665B81">
        <w:rPr>
          <w:rFonts w:ascii="Arial" w:hAnsi="Arial" w:cs="Arial"/>
          <w:sz w:val="20"/>
          <w:szCs w:val="20"/>
        </w:rPr>
        <w:t>challenges and opportunities in the AP</w:t>
      </w:r>
      <w:r w:rsidRPr="00665B81">
        <w:rPr>
          <w:rFonts w:ascii="Arial" w:hAnsi="Arial" w:cs="Arial"/>
          <w:sz w:val="20"/>
          <w:szCs w:val="20"/>
        </w:rPr>
        <w:t>EC</w:t>
      </w:r>
      <w:r w:rsidR="00BA175E" w:rsidRPr="00665B81">
        <w:rPr>
          <w:rFonts w:ascii="Arial" w:hAnsi="Arial" w:cs="Arial"/>
          <w:sz w:val="20"/>
          <w:szCs w:val="20"/>
        </w:rPr>
        <w:t xml:space="preserve"> region</w:t>
      </w:r>
      <w:r w:rsidRPr="00665B81">
        <w:rPr>
          <w:rFonts w:ascii="Arial" w:hAnsi="Arial" w:cs="Arial"/>
          <w:sz w:val="20"/>
          <w:szCs w:val="20"/>
        </w:rPr>
        <w:t xml:space="preserve">, and sponsor capacity building and technical assistance programs </w:t>
      </w:r>
      <w:r w:rsidR="00AE0DDE" w:rsidRPr="00665B81">
        <w:rPr>
          <w:rFonts w:ascii="Arial" w:hAnsi="Arial" w:cs="Arial"/>
          <w:sz w:val="20"/>
          <w:szCs w:val="20"/>
        </w:rPr>
        <w:t xml:space="preserve">in </w:t>
      </w:r>
      <w:r w:rsidR="00AE0DDE" w:rsidRPr="00665B81">
        <w:rPr>
          <w:rFonts w:ascii="Arial" w:hAnsi="Arial" w:cs="Arial"/>
          <w:sz w:val="20"/>
          <w:szCs w:val="20"/>
        </w:rPr>
        <w:lastRenderedPageBreak/>
        <w:t>response</w:t>
      </w:r>
      <w:r w:rsidRPr="00665B81">
        <w:rPr>
          <w:rFonts w:ascii="Arial" w:hAnsi="Arial" w:cs="Arial"/>
          <w:sz w:val="20"/>
          <w:szCs w:val="20"/>
        </w:rPr>
        <w:t>.</w:t>
      </w:r>
      <w:r w:rsidR="00663570" w:rsidRPr="00665B81">
        <w:rPr>
          <w:rFonts w:ascii="Arial" w:hAnsi="Arial" w:cs="Arial"/>
          <w:sz w:val="20"/>
          <w:szCs w:val="20"/>
        </w:rPr>
        <w:t xml:space="preserve"> It will continue to enhance and develop cooperation with relevant multilateral fora on counter-terrorism issues to ensure a synergy of efforts.</w:t>
      </w:r>
    </w:p>
    <w:p w14:paraId="704DB24A" w14:textId="77777777" w:rsidR="003C5356" w:rsidRDefault="003C5356" w:rsidP="00F51E34">
      <w:pPr>
        <w:spacing w:after="0" w:line="240" w:lineRule="auto"/>
        <w:jc w:val="both"/>
        <w:rPr>
          <w:rFonts w:ascii="Arial" w:hAnsi="Arial" w:cs="Arial"/>
          <w:sz w:val="20"/>
          <w:szCs w:val="20"/>
        </w:rPr>
      </w:pPr>
    </w:p>
    <w:p w14:paraId="6FBDA7E8" w14:textId="5EF23DAA" w:rsidR="007D204E" w:rsidRPr="0072005C" w:rsidRDefault="007D204E" w:rsidP="00F51E34">
      <w:pPr>
        <w:autoSpaceDE w:val="0"/>
        <w:autoSpaceDN w:val="0"/>
        <w:adjustRightInd w:val="0"/>
        <w:spacing w:after="0" w:line="240" w:lineRule="auto"/>
        <w:jc w:val="both"/>
        <w:rPr>
          <w:rFonts w:ascii="Arial" w:hAnsi="Arial" w:cs="Arial"/>
          <w:sz w:val="20"/>
          <w:szCs w:val="20"/>
          <w:lang w:val="en-AU"/>
        </w:rPr>
      </w:pPr>
      <w:r w:rsidRPr="0072005C">
        <w:rPr>
          <w:rStyle w:val="bodytext1"/>
          <w:color w:val="auto"/>
          <w:sz w:val="20"/>
          <w:szCs w:val="20"/>
        </w:rPr>
        <w:t>The CTWG has developed a series of Focus Areas</w:t>
      </w:r>
      <w:r w:rsidR="005F3855" w:rsidRPr="0072005C">
        <w:rPr>
          <w:rStyle w:val="bodytext1"/>
          <w:color w:val="auto"/>
          <w:sz w:val="20"/>
          <w:szCs w:val="20"/>
        </w:rPr>
        <w:t xml:space="preserve"> 2018-2022</w:t>
      </w:r>
      <w:r w:rsidR="002E11FA" w:rsidRPr="0072005C">
        <w:rPr>
          <w:rStyle w:val="bodytext1"/>
          <w:color w:val="auto"/>
          <w:sz w:val="20"/>
          <w:szCs w:val="20"/>
        </w:rPr>
        <w:t xml:space="preserve"> </w:t>
      </w:r>
      <w:r w:rsidRPr="0072005C">
        <w:rPr>
          <w:rStyle w:val="bodytext1"/>
          <w:color w:val="auto"/>
          <w:sz w:val="20"/>
          <w:szCs w:val="20"/>
        </w:rPr>
        <w:t xml:space="preserve">aligned to support the Strategy’s vision, including </w:t>
      </w:r>
      <w:r w:rsidRPr="0072005C">
        <w:rPr>
          <w:rFonts w:ascii="Arial" w:hAnsi="Arial" w:cs="Arial"/>
          <w:sz w:val="20"/>
          <w:szCs w:val="20"/>
          <w:lang w:val="en-AU"/>
        </w:rPr>
        <w:t xml:space="preserve">APEC’s counter-terrorism related activities and the long-term objectives of the CTWG. One or several focus areas may be incorporated into annual work plans to guide the primary activities for that year, as agreed by economies. The decision on which focus areas to use for any given year could be guided by previous years’ Leaders Statements, the APEC theme for that year, or those issues which are of intense interest to economies as a significant or emerging </w:t>
      </w:r>
      <w:r w:rsidR="00265EA1">
        <w:rPr>
          <w:rFonts w:ascii="Arial" w:hAnsi="Arial" w:cs="Arial"/>
          <w:sz w:val="20"/>
          <w:szCs w:val="20"/>
          <w:lang w:val="en-AU"/>
        </w:rPr>
        <w:t xml:space="preserve">counter-terrorism </w:t>
      </w:r>
      <w:r w:rsidRPr="0072005C">
        <w:rPr>
          <w:rFonts w:ascii="Arial" w:hAnsi="Arial" w:cs="Arial"/>
          <w:sz w:val="20"/>
          <w:szCs w:val="20"/>
          <w:lang w:val="en-AU"/>
        </w:rPr>
        <w:t>threat.</w:t>
      </w:r>
    </w:p>
    <w:p w14:paraId="59DF6631" w14:textId="77777777" w:rsidR="003C5356" w:rsidRPr="00A2494C" w:rsidRDefault="003C5356" w:rsidP="00F51E34">
      <w:pPr>
        <w:spacing w:after="0" w:line="23" w:lineRule="atLeast"/>
        <w:jc w:val="both"/>
        <w:rPr>
          <w:rFonts w:ascii="Arial" w:hAnsi="Arial" w:cs="Arial"/>
          <w:sz w:val="20"/>
          <w:szCs w:val="20"/>
        </w:rPr>
      </w:pPr>
    </w:p>
    <w:p w14:paraId="24DB1D09" w14:textId="23368E1C" w:rsidR="00B71C38" w:rsidRDefault="00EE1A23" w:rsidP="00B71C38">
      <w:pPr>
        <w:spacing w:after="0" w:line="23" w:lineRule="atLeast"/>
        <w:jc w:val="both"/>
        <w:rPr>
          <w:rFonts w:ascii="Arial" w:hAnsi="Arial" w:cs="Arial"/>
          <w:sz w:val="20"/>
          <w:szCs w:val="20"/>
        </w:rPr>
      </w:pPr>
      <w:r w:rsidRPr="00A2494C">
        <w:rPr>
          <w:rFonts w:ascii="Arial" w:eastAsia="Times New Roman" w:hAnsi="Arial" w:cs="Arial"/>
          <w:b/>
          <w:i/>
          <w:sz w:val="20"/>
          <w:szCs w:val="20"/>
          <w:u w:val="single"/>
        </w:rPr>
        <w:t>Key Areas for Future Work</w:t>
      </w:r>
      <w:r w:rsidR="00B71C38" w:rsidRPr="00B71C38">
        <w:rPr>
          <w:rFonts w:ascii="Arial" w:eastAsia="Times New Roman" w:hAnsi="Arial" w:cs="Arial"/>
          <w:i/>
          <w:sz w:val="20"/>
          <w:szCs w:val="20"/>
        </w:rPr>
        <w:t>.</w:t>
      </w:r>
      <w:r w:rsidR="00B71C38" w:rsidRPr="00B71C38">
        <w:rPr>
          <w:rFonts w:ascii="Arial" w:eastAsia="Times New Roman" w:hAnsi="Arial" w:cs="Arial"/>
          <w:b/>
          <w:i/>
          <w:sz w:val="20"/>
          <w:szCs w:val="20"/>
        </w:rPr>
        <w:t xml:space="preserve"> </w:t>
      </w:r>
      <w:r w:rsidR="00B71C38" w:rsidRPr="00A2494C">
        <w:rPr>
          <w:rFonts w:ascii="Arial" w:hAnsi="Arial" w:cs="Arial"/>
          <w:sz w:val="20"/>
          <w:szCs w:val="20"/>
        </w:rPr>
        <w:t>APEC sub-fora will undertake activities that reflect the following thematic areas:</w:t>
      </w:r>
    </w:p>
    <w:p w14:paraId="7EF69412" w14:textId="77777777" w:rsidR="00B71C38" w:rsidRPr="00A2494C" w:rsidRDefault="00B71C38" w:rsidP="00B71C38">
      <w:pPr>
        <w:spacing w:after="0" w:line="23" w:lineRule="atLeast"/>
        <w:jc w:val="both"/>
        <w:rPr>
          <w:rFonts w:ascii="Arial" w:hAnsi="Arial" w:cs="Arial"/>
          <w:sz w:val="20"/>
          <w:szCs w:val="20"/>
        </w:rPr>
      </w:pPr>
    </w:p>
    <w:p w14:paraId="007D3562" w14:textId="2A611EF5" w:rsidR="00EE1A23" w:rsidRPr="00A2494C" w:rsidRDefault="00EE1A23" w:rsidP="00B71C38">
      <w:pPr>
        <w:pStyle w:val="ColorfulList-Accent11"/>
        <w:numPr>
          <w:ilvl w:val="0"/>
          <w:numId w:val="2"/>
        </w:numPr>
        <w:spacing w:after="0" w:line="23" w:lineRule="atLeast"/>
        <w:ind w:left="284" w:hanging="142"/>
        <w:jc w:val="both"/>
        <w:rPr>
          <w:rFonts w:ascii="Arial" w:hAnsi="Arial" w:cs="Arial"/>
          <w:b/>
          <w:sz w:val="20"/>
          <w:szCs w:val="20"/>
        </w:rPr>
      </w:pPr>
      <w:r w:rsidRPr="00A2494C">
        <w:rPr>
          <w:rFonts w:ascii="Arial" w:hAnsi="Arial" w:cs="Arial"/>
          <w:b/>
          <w:sz w:val="20"/>
          <w:szCs w:val="20"/>
        </w:rPr>
        <w:t xml:space="preserve">Promoting Risk-Based Approaches to Security:  </w:t>
      </w:r>
      <w:r w:rsidRPr="00A2494C">
        <w:rPr>
          <w:rFonts w:ascii="Arial" w:hAnsi="Arial" w:cs="Arial"/>
          <w:sz w:val="20"/>
          <w:szCs w:val="20"/>
        </w:rPr>
        <w:t xml:space="preserve">Risk-based approaches to security offer the most promising means to securing trade and travel in a way that minimizes the impact on legitimate commerce. They allow authorities to expedite legitimate trade and travel while focusing on </w:t>
      </w:r>
      <w:r w:rsidR="00156A5B" w:rsidRPr="00A2494C">
        <w:rPr>
          <w:rFonts w:ascii="Arial" w:hAnsi="Arial" w:cs="Arial"/>
          <w:sz w:val="20"/>
          <w:szCs w:val="20"/>
        </w:rPr>
        <w:t xml:space="preserve">the </w:t>
      </w:r>
      <w:r w:rsidR="00AE03F5" w:rsidRPr="00A2494C">
        <w:rPr>
          <w:rFonts w:ascii="Arial" w:hAnsi="Arial" w:cs="Arial"/>
          <w:sz w:val="20"/>
          <w:szCs w:val="20"/>
        </w:rPr>
        <w:t xml:space="preserve">relatively </w:t>
      </w:r>
      <w:r w:rsidR="00156A5B" w:rsidRPr="00A2494C">
        <w:rPr>
          <w:rFonts w:ascii="Arial" w:hAnsi="Arial" w:cs="Arial"/>
          <w:sz w:val="20"/>
          <w:szCs w:val="20"/>
        </w:rPr>
        <w:t xml:space="preserve">small percentage of </w:t>
      </w:r>
      <w:r w:rsidRPr="00A2494C">
        <w:rPr>
          <w:rFonts w:ascii="Arial" w:hAnsi="Arial" w:cs="Arial"/>
          <w:sz w:val="20"/>
          <w:szCs w:val="20"/>
        </w:rPr>
        <w:t xml:space="preserve">goods and travelers </w:t>
      </w:r>
      <w:r w:rsidR="00757D94" w:rsidRPr="00A2494C">
        <w:rPr>
          <w:rFonts w:ascii="Arial" w:hAnsi="Arial" w:cs="Arial"/>
          <w:sz w:val="20"/>
          <w:szCs w:val="20"/>
        </w:rPr>
        <w:t>that</w:t>
      </w:r>
      <w:r w:rsidRPr="00A2494C">
        <w:rPr>
          <w:rFonts w:ascii="Arial" w:hAnsi="Arial" w:cs="Arial"/>
          <w:sz w:val="20"/>
          <w:szCs w:val="20"/>
        </w:rPr>
        <w:t xml:space="preserve"> may pose a greater risk.  Future APEC efforts should include capacity building activities to help economies – not only government, but also the private sector – to better understand and implement risk-based security approaches </w:t>
      </w:r>
      <w:r w:rsidR="00F51E34">
        <w:rPr>
          <w:rFonts w:ascii="Arial" w:hAnsi="Arial" w:cs="Arial"/>
          <w:sz w:val="20"/>
          <w:szCs w:val="20"/>
        </w:rPr>
        <w:t>to secure supply chains, finance, travel, and infrastructure.</w:t>
      </w:r>
      <w:r w:rsidRPr="00A2494C">
        <w:rPr>
          <w:rFonts w:ascii="Arial" w:hAnsi="Arial" w:cs="Arial"/>
          <w:sz w:val="20"/>
          <w:szCs w:val="20"/>
        </w:rPr>
        <w:t xml:space="preserve">  Such activities should include efforts </w:t>
      </w:r>
      <w:r w:rsidRPr="00665B81">
        <w:rPr>
          <w:rFonts w:ascii="Arial" w:hAnsi="Arial" w:cs="Arial"/>
          <w:sz w:val="20"/>
          <w:szCs w:val="20"/>
        </w:rPr>
        <w:t>to</w:t>
      </w:r>
      <w:r w:rsidR="00F57717" w:rsidRPr="00665B81">
        <w:t xml:space="preserve"> </w:t>
      </w:r>
      <w:r w:rsidR="00F57717" w:rsidRPr="00665B81">
        <w:rPr>
          <w:rFonts w:ascii="Arial" w:hAnsi="Arial" w:cs="Arial"/>
          <w:sz w:val="20"/>
          <w:szCs w:val="20"/>
        </w:rPr>
        <w:t>define and understand Risk and Risk-based approaches,</w:t>
      </w:r>
      <w:r w:rsidRPr="00665B81">
        <w:rPr>
          <w:rFonts w:ascii="Arial" w:hAnsi="Arial" w:cs="Arial"/>
          <w:sz w:val="20"/>
          <w:szCs w:val="20"/>
        </w:rPr>
        <w:t xml:space="preserve"> foster advanced information sharing, share expertise</w:t>
      </w:r>
      <w:r w:rsidR="00F51E34" w:rsidRPr="00665B81">
        <w:rPr>
          <w:rFonts w:ascii="Arial" w:hAnsi="Arial" w:cs="Arial"/>
          <w:sz w:val="20"/>
          <w:szCs w:val="20"/>
        </w:rPr>
        <w:t xml:space="preserve"> </w:t>
      </w:r>
      <w:r w:rsidR="00F57717" w:rsidRPr="00665B81">
        <w:rPr>
          <w:rFonts w:ascii="Arial" w:hAnsi="Arial" w:cs="Arial"/>
          <w:sz w:val="20"/>
          <w:szCs w:val="20"/>
        </w:rPr>
        <w:t>(e.g. conducting Risk Assessments, undertaking Risk Management)</w:t>
      </w:r>
      <w:r w:rsidRPr="00665B81">
        <w:rPr>
          <w:rFonts w:ascii="Arial" w:hAnsi="Arial" w:cs="Arial"/>
          <w:sz w:val="20"/>
          <w:szCs w:val="20"/>
        </w:rPr>
        <w:t xml:space="preserve">, </w:t>
      </w:r>
      <w:r w:rsidR="00DD7FFC" w:rsidRPr="00AF30F3">
        <w:rPr>
          <w:rFonts w:ascii="Arial" w:hAnsi="Arial" w:cs="Arial"/>
          <w:sz w:val="20"/>
          <w:szCs w:val="20"/>
        </w:rPr>
        <w:t xml:space="preserve">best practices, </w:t>
      </w:r>
      <w:r w:rsidR="00CC30AB" w:rsidRPr="00AF30F3">
        <w:rPr>
          <w:rFonts w:ascii="Arial" w:hAnsi="Arial" w:cs="Arial"/>
          <w:sz w:val="20"/>
          <w:szCs w:val="20"/>
        </w:rPr>
        <w:t>lesson learned</w:t>
      </w:r>
      <w:r w:rsidR="00CC30AB">
        <w:rPr>
          <w:rFonts w:ascii="Arial" w:hAnsi="Arial" w:cs="Arial"/>
          <w:b/>
          <w:sz w:val="20"/>
          <w:szCs w:val="20"/>
        </w:rPr>
        <w:t xml:space="preserve"> </w:t>
      </w:r>
      <w:r w:rsidRPr="00A2494C">
        <w:rPr>
          <w:rFonts w:ascii="Arial" w:hAnsi="Arial" w:cs="Arial"/>
          <w:sz w:val="20"/>
          <w:szCs w:val="20"/>
        </w:rPr>
        <w:t>and develop and disseminate capacity-enabling tools.</w:t>
      </w:r>
      <w:r w:rsidR="00156A5B" w:rsidRPr="00A2494C">
        <w:rPr>
          <w:rFonts w:ascii="Arial" w:hAnsi="Arial" w:cs="Arial"/>
          <w:sz w:val="20"/>
          <w:szCs w:val="20"/>
        </w:rPr>
        <w:t xml:space="preserve">  Such efforts </w:t>
      </w:r>
      <w:r w:rsidR="006C47C3" w:rsidRPr="00A2494C">
        <w:rPr>
          <w:rFonts w:ascii="Arial" w:hAnsi="Arial" w:cs="Arial"/>
          <w:sz w:val="20"/>
          <w:szCs w:val="20"/>
        </w:rPr>
        <w:t xml:space="preserve">must </w:t>
      </w:r>
      <w:r w:rsidR="00156A5B" w:rsidRPr="00A2494C">
        <w:rPr>
          <w:rFonts w:ascii="Arial" w:hAnsi="Arial" w:cs="Arial"/>
          <w:sz w:val="20"/>
          <w:szCs w:val="20"/>
        </w:rPr>
        <w:t xml:space="preserve">include close collaboration with the private sector, given the fundamental role </w:t>
      </w:r>
      <w:r w:rsidR="00265EA1">
        <w:rPr>
          <w:rFonts w:ascii="Arial" w:hAnsi="Arial" w:cs="Arial"/>
          <w:sz w:val="20"/>
          <w:szCs w:val="20"/>
        </w:rPr>
        <w:t>it</w:t>
      </w:r>
      <w:r w:rsidR="00265EA1" w:rsidRPr="00A2494C">
        <w:rPr>
          <w:rFonts w:ascii="Arial" w:hAnsi="Arial" w:cs="Arial"/>
          <w:sz w:val="20"/>
          <w:szCs w:val="20"/>
        </w:rPr>
        <w:t xml:space="preserve"> </w:t>
      </w:r>
      <w:r w:rsidR="006C47C3" w:rsidRPr="00A2494C">
        <w:rPr>
          <w:rFonts w:ascii="Arial" w:hAnsi="Arial" w:cs="Arial"/>
          <w:sz w:val="20"/>
          <w:szCs w:val="20"/>
        </w:rPr>
        <w:t>play</w:t>
      </w:r>
      <w:r w:rsidR="00265EA1">
        <w:rPr>
          <w:rFonts w:ascii="Arial" w:hAnsi="Arial" w:cs="Arial"/>
          <w:sz w:val="20"/>
          <w:szCs w:val="20"/>
        </w:rPr>
        <w:t>s</w:t>
      </w:r>
      <w:r w:rsidR="00156A5B" w:rsidRPr="00A2494C">
        <w:rPr>
          <w:rFonts w:ascii="Arial" w:hAnsi="Arial" w:cs="Arial"/>
          <w:sz w:val="20"/>
          <w:szCs w:val="20"/>
        </w:rPr>
        <w:t xml:space="preserve"> in commerce and </w:t>
      </w:r>
      <w:r w:rsidR="006C47C3" w:rsidRPr="00A2494C">
        <w:rPr>
          <w:rFonts w:ascii="Arial" w:hAnsi="Arial" w:cs="Arial"/>
          <w:sz w:val="20"/>
          <w:szCs w:val="20"/>
        </w:rPr>
        <w:t xml:space="preserve">the </w:t>
      </w:r>
      <w:r w:rsidR="00156A5B" w:rsidRPr="00A2494C">
        <w:rPr>
          <w:rFonts w:ascii="Arial" w:hAnsi="Arial" w:cs="Arial"/>
          <w:sz w:val="20"/>
          <w:szCs w:val="20"/>
        </w:rPr>
        <w:t xml:space="preserve">expertise and capabilities </w:t>
      </w:r>
      <w:r w:rsidR="00265EA1">
        <w:rPr>
          <w:rFonts w:ascii="Arial" w:hAnsi="Arial" w:cs="Arial"/>
          <w:sz w:val="20"/>
          <w:szCs w:val="20"/>
        </w:rPr>
        <w:t>it</w:t>
      </w:r>
      <w:r w:rsidR="00265EA1" w:rsidRPr="00A2494C">
        <w:rPr>
          <w:rFonts w:ascii="Arial" w:hAnsi="Arial" w:cs="Arial"/>
          <w:sz w:val="20"/>
          <w:szCs w:val="20"/>
        </w:rPr>
        <w:t xml:space="preserve"> </w:t>
      </w:r>
      <w:r w:rsidR="00156A5B" w:rsidRPr="00A2494C">
        <w:rPr>
          <w:rFonts w:ascii="Arial" w:hAnsi="Arial" w:cs="Arial"/>
          <w:sz w:val="20"/>
          <w:szCs w:val="20"/>
        </w:rPr>
        <w:t xml:space="preserve">would bring to addressing this </w:t>
      </w:r>
      <w:r w:rsidR="006C47C3" w:rsidRPr="00A2494C">
        <w:rPr>
          <w:rFonts w:ascii="Arial" w:hAnsi="Arial" w:cs="Arial"/>
          <w:sz w:val="20"/>
          <w:szCs w:val="20"/>
        </w:rPr>
        <w:t>issue</w:t>
      </w:r>
      <w:r w:rsidR="00DD7FFC">
        <w:rPr>
          <w:rFonts w:ascii="Arial" w:hAnsi="Arial" w:cs="Arial"/>
          <w:sz w:val="20"/>
          <w:szCs w:val="20"/>
        </w:rPr>
        <w:t>, and with other regional and international fora</w:t>
      </w:r>
      <w:r w:rsidR="00156A5B" w:rsidRPr="00A2494C">
        <w:rPr>
          <w:rFonts w:ascii="Arial" w:hAnsi="Arial" w:cs="Arial"/>
          <w:color w:val="0000FF"/>
          <w:sz w:val="20"/>
          <w:szCs w:val="20"/>
        </w:rPr>
        <w:t>.</w:t>
      </w:r>
    </w:p>
    <w:p w14:paraId="43ED01FD" w14:textId="54E4A95D" w:rsidR="00F51E34" w:rsidRPr="00A2494C" w:rsidRDefault="00F51E34" w:rsidP="00F51E34">
      <w:pPr>
        <w:pStyle w:val="ColorfulList-Accent11"/>
        <w:adjustRightInd w:val="0"/>
        <w:snapToGrid w:val="0"/>
        <w:spacing w:after="0" w:line="23" w:lineRule="atLeast"/>
        <w:ind w:left="0"/>
        <w:jc w:val="both"/>
        <w:rPr>
          <w:rFonts w:ascii="Arial" w:hAnsi="Arial" w:cs="Arial"/>
          <w:b/>
          <w:sz w:val="20"/>
          <w:szCs w:val="20"/>
        </w:rPr>
      </w:pPr>
    </w:p>
    <w:p w14:paraId="62FEDB1C" w14:textId="77777777" w:rsidR="00EE1A23" w:rsidRPr="00A2494C" w:rsidRDefault="00EE1A23" w:rsidP="00B71C38">
      <w:pPr>
        <w:pStyle w:val="ColorfulList-Accent11"/>
        <w:numPr>
          <w:ilvl w:val="0"/>
          <w:numId w:val="2"/>
        </w:numPr>
        <w:spacing w:after="0" w:line="23" w:lineRule="atLeast"/>
        <w:ind w:left="284" w:hanging="142"/>
        <w:jc w:val="both"/>
        <w:rPr>
          <w:rFonts w:ascii="Arial" w:hAnsi="Arial" w:cs="Arial"/>
          <w:b/>
          <w:sz w:val="20"/>
          <w:szCs w:val="20"/>
        </w:rPr>
      </w:pPr>
      <w:r w:rsidRPr="00A2494C">
        <w:rPr>
          <w:rFonts w:ascii="Arial" w:hAnsi="Arial" w:cs="Arial"/>
          <w:b/>
          <w:sz w:val="20"/>
          <w:szCs w:val="20"/>
        </w:rPr>
        <w:t xml:space="preserve">Fostering Compatibility </w:t>
      </w:r>
      <w:r w:rsidR="00BA175E" w:rsidRPr="00A2494C">
        <w:rPr>
          <w:rFonts w:ascii="Arial" w:hAnsi="Arial" w:cs="Arial"/>
          <w:b/>
          <w:sz w:val="20"/>
          <w:szCs w:val="20"/>
        </w:rPr>
        <w:t xml:space="preserve">of </w:t>
      </w:r>
      <w:r w:rsidRPr="00A2494C">
        <w:rPr>
          <w:rFonts w:ascii="Arial" w:hAnsi="Arial" w:cs="Arial"/>
          <w:b/>
          <w:sz w:val="20"/>
          <w:szCs w:val="20"/>
        </w:rPr>
        <w:t xml:space="preserve">and </w:t>
      </w:r>
      <w:r w:rsidR="00BA175E" w:rsidRPr="00A2494C">
        <w:rPr>
          <w:rFonts w:ascii="Arial" w:hAnsi="Arial" w:cs="Arial"/>
          <w:b/>
          <w:sz w:val="20"/>
          <w:szCs w:val="20"/>
        </w:rPr>
        <w:t xml:space="preserve">Sharing of Best Practices </w:t>
      </w:r>
      <w:r w:rsidRPr="00A2494C">
        <w:rPr>
          <w:rFonts w:ascii="Arial" w:hAnsi="Arial" w:cs="Arial"/>
          <w:b/>
          <w:sz w:val="20"/>
          <w:szCs w:val="20"/>
        </w:rPr>
        <w:t>o</w:t>
      </w:r>
      <w:r w:rsidR="00BA175E" w:rsidRPr="00A2494C">
        <w:rPr>
          <w:rFonts w:ascii="Arial" w:hAnsi="Arial" w:cs="Arial"/>
          <w:b/>
          <w:sz w:val="20"/>
          <w:szCs w:val="20"/>
        </w:rPr>
        <w:t>n</w:t>
      </w:r>
      <w:r w:rsidRPr="00A2494C">
        <w:rPr>
          <w:rFonts w:ascii="Arial" w:hAnsi="Arial" w:cs="Arial"/>
          <w:b/>
          <w:sz w:val="20"/>
          <w:szCs w:val="20"/>
        </w:rPr>
        <w:t xml:space="preserve"> Security Standards and Programs:</w:t>
      </w:r>
      <w:r w:rsidRPr="00A2494C">
        <w:rPr>
          <w:rFonts w:ascii="Arial" w:hAnsi="Arial" w:cs="Arial"/>
          <w:sz w:val="20"/>
          <w:szCs w:val="20"/>
        </w:rPr>
        <w:t xml:space="preserve">  APEC sub-fora will work to foster compatibility</w:t>
      </w:r>
      <w:r w:rsidR="00BA175E" w:rsidRPr="00A2494C">
        <w:rPr>
          <w:rFonts w:ascii="Arial" w:hAnsi="Arial" w:cs="Arial"/>
          <w:sz w:val="20"/>
          <w:szCs w:val="20"/>
        </w:rPr>
        <w:t xml:space="preserve"> of</w:t>
      </w:r>
      <w:r w:rsidRPr="00A2494C">
        <w:rPr>
          <w:rFonts w:ascii="Arial" w:hAnsi="Arial" w:cs="Arial"/>
          <w:sz w:val="20"/>
          <w:szCs w:val="20"/>
        </w:rPr>
        <w:t xml:space="preserve"> and </w:t>
      </w:r>
      <w:r w:rsidR="00BA175E" w:rsidRPr="00A2494C">
        <w:rPr>
          <w:rFonts w:ascii="Arial" w:hAnsi="Arial" w:cs="Arial"/>
          <w:sz w:val="20"/>
          <w:szCs w:val="20"/>
        </w:rPr>
        <w:t xml:space="preserve">sharing of best practices </w:t>
      </w:r>
      <w:r w:rsidRPr="00A2494C">
        <w:rPr>
          <w:rFonts w:ascii="Arial" w:hAnsi="Arial" w:cs="Arial"/>
          <w:sz w:val="20"/>
          <w:szCs w:val="20"/>
        </w:rPr>
        <w:t>o</w:t>
      </w:r>
      <w:r w:rsidR="00BA175E" w:rsidRPr="00A2494C">
        <w:rPr>
          <w:rFonts w:ascii="Arial" w:hAnsi="Arial" w:cs="Arial"/>
          <w:sz w:val="20"/>
          <w:szCs w:val="20"/>
        </w:rPr>
        <w:t>n</w:t>
      </w:r>
      <w:r w:rsidRPr="00A2494C">
        <w:rPr>
          <w:rFonts w:ascii="Arial" w:hAnsi="Arial" w:cs="Arial"/>
          <w:sz w:val="20"/>
          <w:szCs w:val="20"/>
        </w:rPr>
        <w:t xml:space="preserve"> security standards and programs</w:t>
      </w:r>
      <w:r w:rsidR="00BA175E" w:rsidRPr="00A2494C">
        <w:rPr>
          <w:rFonts w:ascii="Arial" w:hAnsi="Arial" w:cs="Arial"/>
          <w:sz w:val="20"/>
          <w:szCs w:val="20"/>
        </w:rPr>
        <w:t xml:space="preserve"> in accordance with international standards</w:t>
      </w:r>
      <w:r w:rsidRPr="00A2494C">
        <w:rPr>
          <w:rFonts w:ascii="Arial" w:hAnsi="Arial" w:cs="Arial"/>
          <w:sz w:val="20"/>
          <w:szCs w:val="20"/>
        </w:rPr>
        <w:t>, including between customs and transportation security authorities, which would lead to</w:t>
      </w:r>
      <w:r w:rsidRPr="00A2494C">
        <w:rPr>
          <w:rFonts w:ascii="Arial" w:hAnsi="Arial" w:cs="Arial"/>
          <w:sz w:val="20"/>
          <w:szCs w:val="20"/>
          <w:lang w:val="en-AU"/>
        </w:rPr>
        <w:t xml:space="preserve"> increased efficiency and reduced costs while maintaining security.  </w:t>
      </w:r>
    </w:p>
    <w:p w14:paraId="66289FBB" w14:textId="77777777" w:rsidR="00EE1A23" w:rsidRPr="00A2494C" w:rsidRDefault="00EE1A23" w:rsidP="00F51E34">
      <w:pPr>
        <w:pStyle w:val="ColorfulList-Accent11"/>
        <w:spacing w:after="0" w:line="23" w:lineRule="atLeast"/>
        <w:jc w:val="both"/>
        <w:rPr>
          <w:rFonts w:ascii="Arial" w:eastAsia="Times New Roman" w:hAnsi="Arial" w:cs="Arial"/>
          <w:sz w:val="20"/>
          <w:szCs w:val="20"/>
        </w:rPr>
      </w:pPr>
    </w:p>
    <w:p w14:paraId="3F84AB9D" w14:textId="4374D90D" w:rsidR="00EE1A23" w:rsidRPr="00062D44" w:rsidRDefault="00EE1A23" w:rsidP="00B71C38">
      <w:pPr>
        <w:pStyle w:val="ColorfulList-Accent11"/>
        <w:numPr>
          <w:ilvl w:val="0"/>
          <w:numId w:val="2"/>
        </w:numPr>
        <w:spacing w:after="0" w:line="23" w:lineRule="atLeast"/>
        <w:ind w:left="284" w:hanging="142"/>
        <w:jc w:val="both"/>
        <w:rPr>
          <w:rFonts w:ascii="Arial" w:hAnsi="Arial" w:cs="Arial"/>
          <w:b/>
          <w:sz w:val="20"/>
          <w:szCs w:val="20"/>
        </w:rPr>
      </w:pPr>
      <w:r w:rsidRPr="00A2494C">
        <w:rPr>
          <w:rFonts w:ascii="Arial" w:hAnsi="Arial" w:cs="Arial"/>
          <w:b/>
          <w:sz w:val="20"/>
          <w:szCs w:val="20"/>
        </w:rPr>
        <w:t>Enhancing Resilience:</w:t>
      </w:r>
      <w:r w:rsidRPr="00A2494C">
        <w:rPr>
          <w:rFonts w:ascii="Arial" w:hAnsi="Arial" w:cs="Arial"/>
          <w:sz w:val="20"/>
          <w:szCs w:val="20"/>
        </w:rPr>
        <w:t xml:space="preserve"> APEC sub-fora will work together to enhance the </w:t>
      </w:r>
      <w:r w:rsidR="00B76EBB" w:rsidRPr="00A2494C">
        <w:rPr>
          <w:rFonts w:ascii="Arial" w:hAnsi="Arial" w:cs="Arial"/>
          <w:sz w:val="20"/>
          <w:szCs w:val="20"/>
        </w:rPr>
        <w:t>r</w:t>
      </w:r>
      <w:r w:rsidRPr="00A2494C">
        <w:rPr>
          <w:rFonts w:ascii="Arial" w:hAnsi="Arial" w:cs="Arial"/>
          <w:sz w:val="20"/>
          <w:szCs w:val="20"/>
        </w:rPr>
        <w:t>esilienc</w:t>
      </w:r>
      <w:r w:rsidR="00265EA1">
        <w:rPr>
          <w:rFonts w:ascii="Arial" w:hAnsi="Arial" w:cs="Arial"/>
          <w:sz w:val="20"/>
          <w:szCs w:val="20"/>
        </w:rPr>
        <w:t>e</w:t>
      </w:r>
      <w:r w:rsidR="00B76EBB" w:rsidRPr="00A2494C">
        <w:rPr>
          <w:rFonts w:ascii="Arial" w:hAnsi="Arial" w:cs="Arial"/>
          <w:sz w:val="20"/>
          <w:szCs w:val="20"/>
        </w:rPr>
        <w:t xml:space="preserve"> </w:t>
      </w:r>
      <w:r w:rsidRPr="00A2494C">
        <w:rPr>
          <w:rFonts w:ascii="Arial" w:hAnsi="Arial" w:cs="Arial"/>
          <w:sz w:val="20"/>
          <w:szCs w:val="20"/>
        </w:rPr>
        <w:t>of regional trade, travel, finance, and critical infrastructure against attacks and other disruptions</w:t>
      </w:r>
      <w:r w:rsidR="007020C0">
        <w:rPr>
          <w:rFonts w:ascii="Arial" w:hAnsi="Arial" w:cs="Arial"/>
          <w:sz w:val="20"/>
          <w:szCs w:val="20"/>
        </w:rPr>
        <w:t xml:space="preserve">, </w:t>
      </w:r>
      <w:r w:rsidR="007020C0" w:rsidRPr="007020C0">
        <w:rPr>
          <w:rFonts w:ascii="Arial" w:hAnsi="Arial" w:cs="Arial"/>
          <w:sz w:val="20"/>
          <w:szCs w:val="20"/>
        </w:rPr>
        <w:t>such as natural hazards and disasters</w:t>
      </w:r>
      <w:r w:rsidRPr="00A2494C">
        <w:rPr>
          <w:rFonts w:ascii="Arial" w:hAnsi="Arial" w:cs="Arial"/>
          <w:sz w:val="20"/>
          <w:szCs w:val="20"/>
        </w:rPr>
        <w:t xml:space="preserve">.  </w:t>
      </w:r>
      <w:r w:rsidR="00A63255">
        <w:rPr>
          <w:rFonts w:ascii="Arial" w:hAnsi="Arial" w:cs="Arial"/>
          <w:sz w:val="20"/>
          <w:szCs w:val="20"/>
        </w:rPr>
        <w:t>In addition</w:t>
      </w:r>
      <w:r w:rsidR="00DD7FFC">
        <w:rPr>
          <w:rFonts w:ascii="Arial" w:hAnsi="Arial" w:cs="Arial"/>
          <w:sz w:val="20"/>
          <w:szCs w:val="20"/>
        </w:rPr>
        <w:t>, enhancing resilience should include close partnership with the private sector to protect business, trade and economic growth from disruption.</w:t>
      </w:r>
    </w:p>
    <w:p w14:paraId="5FB88857" w14:textId="77777777" w:rsidR="00062D44" w:rsidRPr="00A2494C" w:rsidRDefault="00062D44" w:rsidP="00F51E34">
      <w:pPr>
        <w:pStyle w:val="ColorfulList-Accent11"/>
        <w:adjustRightInd w:val="0"/>
        <w:snapToGrid w:val="0"/>
        <w:spacing w:after="0" w:line="23" w:lineRule="atLeast"/>
        <w:ind w:left="0"/>
        <w:jc w:val="both"/>
        <w:rPr>
          <w:rFonts w:ascii="Arial" w:hAnsi="Arial" w:cs="Arial"/>
          <w:b/>
          <w:sz w:val="20"/>
          <w:szCs w:val="20"/>
        </w:rPr>
      </w:pPr>
    </w:p>
    <w:p w14:paraId="4553576F" w14:textId="0040384D" w:rsidR="00EE1A23" w:rsidRPr="00A2494C" w:rsidRDefault="00EE1A23" w:rsidP="00B71C38">
      <w:pPr>
        <w:spacing w:after="0" w:line="23" w:lineRule="atLeast"/>
        <w:jc w:val="both"/>
        <w:rPr>
          <w:rFonts w:ascii="Arial" w:eastAsia="Times New Roman" w:hAnsi="Arial" w:cs="Arial"/>
          <w:sz w:val="20"/>
          <w:szCs w:val="20"/>
        </w:rPr>
      </w:pPr>
      <w:r w:rsidRPr="00A2494C">
        <w:rPr>
          <w:rFonts w:ascii="Arial" w:eastAsia="Times New Roman" w:hAnsi="Arial" w:cs="Arial"/>
          <w:b/>
          <w:i/>
          <w:sz w:val="20"/>
          <w:szCs w:val="20"/>
          <w:u w:val="single"/>
        </w:rPr>
        <w:t>Encouraging Innovative APEC Programs in the Four Cross-Cutting Activity Areas</w:t>
      </w:r>
      <w:r w:rsidRPr="00A2494C">
        <w:rPr>
          <w:rFonts w:ascii="Arial" w:eastAsia="Times New Roman" w:hAnsi="Arial" w:cs="Arial"/>
          <w:sz w:val="20"/>
          <w:szCs w:val="20"/>
        </w:rPr>
        <w:t>: Future activities by APEC sub-fora should be guided by the above principles and build upon the body of work APEC has completed. These activities should include:</w:t>
      </w:r>
    </w:p>
    <w:p w14:paraId="294E1165" w14:textId="77777777" w:rsidR="00EE1A23" w:rsidRPr="00A2494C" w:rsidRDefault="00EE1A23" w:rsidP="00F51E34">
      <w:pPr>
        <w:pStyle w:val="ColorfulList-Accent11"/>
        <w:spacing w:after="0" w:line="23" w:lineRule="atLeast"/>
        <w:jc w:val="both"/>
        <w:rPr>
          <w:rFonts w:ascii="Arial" w:eastAsia="Times New Roman" w:hAnsi="Arial" w:cs="Arial"/>
          <w:sz w:val="20"/>
          <w:szCs w:val="20"/>
        </w:rPr>
      </w:pPr>
    </w:p>
    <w:p w14:paraId="32FE21E4" w14:textId="77777777" w:rsidR="00493A28" w:rsidRPr="00A2494C" w:rsidRDefault="00EE1A23" w:rsidP="002B24D2">
      <w:pPr>
        <w:pStyle w:val="ColorfulList-Accent11"/>
        <w:numPr>
          <w:ilvl w:val="0"/>
          <w:numId w:val="2"/>
        </w:numPr>
        <w:spacing w:after="0" w:line="23" w:lineRule="atLeast"/>
        <w:ind w:left="284" w:hanging="142"/>
        <w:jc w:val="both"/>
        <w:rPr>
          <w:rFonts w:ascii="Arial" w:eastAsia="Times New Roman" w:hAnsi="Arial" w:cs="Arial"/>
          <w:sz w:val="20"/>
          <w:szCs w:val="20"/>
        </w:rPr>
      </w:pPr>
      <w:r w:rsidRPr="00A2494C">
        <w:rPr>
          <w:rFonts w:ascii="Arial" w:eastAsia="Times New Roman" w:hAnsi="Arial" w:cs="Arial"/>
          <w:b/>
          <w:sz w:val="20"/>
          <w:szCs w:val="20"/>
        </w:rPr>
        <w:t xml:space="preserve">Secure Supply Chains: </w:t>
      </w:r>
      <w:r w:rsidRPr="00A2494C">
        <w:rPr>
          <w:rFonts w:ascii="Arial" w:eastAsia="Times New Roman" w:hAnsi="Arial" w:cs="Arial"/>
          <w:sz w:val="20"/>
          <w:szCs w:val="20"/>
        </w:rPr>
        <w:t>APEC will foster more secure supply chains across the competencies of its sub-</w:t>
      </w:r>
      <w:r w:rsidR="00493A28" w:rsidRPr="00A2494C">
        <w:rPr>
          <w:rFonts w:ascii="Arial" w:eastAsia="Times New Roman" w:hAnsi="Arial" w:cs="Arial"/>
          <w:sz w:val="20"/>
          <w:szCs w:val="20"/>
        </w:rPr>
        <w:t xml:space="preserve">fora, </w:t>
      </w:r>
      <w:r w:rsidR="006C47C3" w:rsidRPr="00A2494C">
        <w:rPr>
          <w:rFonts w:ascii="Arial" w:eastAsia="Times New Roman" w:hAnsi="Arial" w:cs="Arial"/>
          <w:sz w:val="20"/>
          <w:szCs w:val="20"/>
        </w:rPr>
        <w:t>and across all modes of transportation.  In light of recent threats, APEC recognizes</w:t>
      </w:r>
      <w:r w:rsidR="00493A28" w:rsidRPr="00A2494C">
        <w:rPr>
          <w:rFonts w:ascii="Arial" w:eastAsia="Times New Roman" w:hAnsi="Arial" w:cs="Arial"/>
          <w:sz w:val="20"/>
          <w:szCs w:val="20"/>
        </w:rPr>
        <w:t xml:space="preserve"> air cargo security </w:t>
      </w:r>
      <w:r w:rsidR="006C47C3" w:rsidRPr="00A2494C">
        <w:rPr>
          <w:rFonts w:ascii="Arial" w:eastAsia="Times New Roman" w:hAnsi="Arial" w:cs="Arial"/>
          <w:sz w:val="20"/>
          <w:szCs w:val="20"/>
        </w:rPr>
        <w:t xml:space="preserve">as </w:t>
      </w:r>
      <w:r w:rsidR="00493A28" w:rsidRPr="00A2494C">
        <w:rPr>
          <w:rFonts w:ascii="Arial" w:eastAsia="Times New Roman" w:hAnsi="Arial" w:cs="Arial"/>
          <w:sz w:val="20"/>
          <w:szCs w:val="20"/>
        </w:rPr>
        <w:t>being a</w:t>
      </w:r>
      <w:r w:rsidR="001D3DB7" w:rsidRPr="00A2494C">
        <w:rPr>
          <w:rFonts w:ascii="Arial" w:eastAsia="Times New Roman" w:hAnsi="Arial" w:cs="Arial"/>
          <w:sz w:val="20"/>
          <w:szCs w:val="20"/>
        </w:rPr>
        <w:t xml:space="preserve"> particularly urgent,</w:t>
      </w:r>
      <w:r w:rsidR="00493A28" w:rsidRPr="00A2494C">
        <w:rPr>
          <w:rFonts w:ascii="Arial" w:eastAsia="Times New Roman" w:hAnsi="Arial" w:cs="Arial"/>
          <w:sz w:val="20"/>
          <w:szCs w:val="20"/>
        </w:rPr>
        <w:t xml:space="preserve"> </w:t>
      </w:r>
      <w:r w:rsidR="006C47C3" w:rsidRPr="00A2494C">
        <w:rPr>
          <w:rFonts w:ascii="Arial" w:eastAsia="Times New Roman" w:hAnsi="Arial" w:cs="Arial"/>
          <w:sz w:val="20"/>
          <w:szCs w:val="20"/>
        </w:rPr>
        <w:t>high-</w:t>
      </w:r>
      <w:r w:rsidR="00493A28" w:rsidRPr="00A2494C">
        <w:rPr>
          <w:rFonts w:ascii="Arial" w:eastAsia="Times New Roman" w:hAnsi="Arial" w:cs="Arial"/>
          <w:sz w:val="20"/>
          <w:szCs w:val="20"/>
        </w:rPr>
        <w:t>priority area</w:t>
      </w:r>
      <w:r w:rsidR="006C47C3" w:rsidRPr="00A2494C">
        <w:rPr>
          <w:rFonts w:ascii="Arial" w:eastAsia="Times New Roman" w:hAnsi="Arial" w:cs="Arial"/>
          <w:sz w:val="20"/>
          <w:szCs w:val="20"/>
        </w:rPr>
        <w:t xml:space="preserve"> for attention and will promote </w:t>
      </w:r>
      <w:r w:rsidR="00493A28" w:rsidRPr="00A2494C">
        <w:rPr>
          <w:rFonts w:ascii="Arial" w:eastAsia="Times New Roman" w:hAnsi="Arial" w:cs="Arial"/>
          <w:sz w:val="20"/>
          <w:szCs w:val="20"/>
        </w:rPr>
        <w:t>cross-cutting collaboration bet</w:t>
      </w:r>
      <w:r w:rsidR="006C47C3" w:rsidRPr="00A2494C">
        <w:rPr>
          <w:rFonts w:ascii="Arial" w:eastAsia="Times New Roman" w:hAnsi="Arial" w:cs="Arial"/>
          <w:sz w:val="20"/>
          <w:szCs w:val="20"/>
        </w:rPr>
        <w:t>ween transportation security,</w:t>
      </w:r>
      <w:r w:rsidR="00493A28" w:rsidRPr="00A2494C">
        <w:rPr>
          <w:rFonts w:ascii="Arial" w:eastAsia="Times New Roman" w:hAnsi="Arial" w:cs="Arial"/>
          <w:sz w:val="20"/>
          <w:szCs w:val="20"/>
        </w:rPr>
        <w:t xml:space="preserve"> customs</w:t>
      </w:r>
      <w:r w:rsidR="006C47C3" w:rsidRPr="00A2494C">
        <w:rPr>
          <w:rFonts w:ascii="Arial" w:eastAsia="Times New Roman" w:hAnsi="Arial" w:cs="Arial"/>
          <w:sz w:val="20"/>
          <w:szCs w:val="20"/>
        </w:rPr>
        <w:t>, and counter-terrorism</w:t>
      </w:r>
      <w:r w:rsidR="00493A28" w:rsidRPr="00A2494C">
        <w:rPr>
          <w:rFonts w:ascii="Arial" w:eastAsia="Times New Roman" w:hAnsi="Arial" w:cs="Arial"/>
          <w:sz w:val="20"/>
          <w:szCs w:val="20"/>
        </w:rPr>
        <w:t xml:space="preserve"> officials</w:t>
      </w:r>
      <w:r w:rsidR="006C47C3" w:rsidRPr="00A2494C">
        <w:rPr>
          <w:rFonts w:ascii="Arial" w:eastAsia="Times New Roman" w:hAnsi="Arial" w:cs="Arial"/>
          <w:sz w:val="20"/>
          <w:szCs w:val="20"/>
        </w:rPr>
        <w:t xml:space="preserve"> in this regard</w:t>
      </w:r>
      <w:r w:rsidRPr="00A2494C">
        <w:rPr>
          <w:rFonts w:ascii="Arial" w:eastAsia="Times New Roman" w:hAnsi="Arial" w:cs="Arial"/>
          <w:sz w:val="20"/>
          <w:szCs w:val="20"/>
        </w:rPr>
        <w:t xml:space="preserve">.  </w:t>
      </w:r>
    </w:p>
    <w:p w14:paraId="5A66E545" w14:textId="77777777" w:rsidR="00D04409" w:rsidRPr="00A2494C" w:rsidRDefault="00D04409" w:rsidP="00F51E34">
      <w:pPr>
        <w:pStyle w:val="ColorfulList-Accent11"/>
        <w:spacing w:after="0" w:line="23" w:lineRule="atLeast"/>
        <w:ind w:left="1080"/>
        <w:jc w:val="both"/>
        <w:rPr>
          <w:rFonts w:ascii="Arial" w:eastAsia="Times New Roman" w:hAnsi="Arial" w:cs="Arial"/>
          <w:sz w:val="20"/>
          <w:szCs w:val="20"/>
        </w:rPr>
      </w:pPr>
    </w:p>
    <w:p w14:paraId="38765FCF" w14:textId="3A540CA5" w:rsidR="00D04409" w:rsidRPr="00A2494C" w:rsidRDefault="00EE1A23" w:rsidP="002B24D2">
      <w:pPr>
        <w:pStyle w:val="ColorfulList-Accent11"/>
        <w:spacing w:after="0" w:line="23" w:lineRule="atLeast"/>
        <w:ind w:left="284"/>
        <w:jc w:val="both"/>
        <w:rPr>
          <w:rFonts w:ascii="Arial" w:eastAsia="Times New Roman" w:hAnsi="Arial" w:cs="Arial"/>
          <w:sz w:val="20"/>
          <w:szCs w:val="20"/>
        </w:rPr>
      </w:pPr>
      <w:r w:rsidRPr="00A2494C">
        <w:rPr>
          <w:rFonts w:ascii="Arial" w:eastAsia="Times New Roman" w:hAnsi="Arial" w:cs="Arial"/>
          <w:sz w:val="20"/>
          <w:szCs w:val="20"/>
        </w:rPr>
        <w:t xml:space="preserve">The SCCP will continue to foster the development of AEO programs to include the execution of a capacity building plan and exchange of expertise, implementation of regional customs exercises on the detection and interdiction of dangerous and illicit goods. </w:t>
      </w:r>
    </w:p>
    <w:p w14:paraId="30465693" w14:textId="77777777" w:rsidR="00EE1A23" w:rsidRPr="00A2494C" w:rsidRDefault="00EE1A23" w:rsidP="00F51E34">
      <w:pPr>
        <w:pStyle w:val="ColorfulList-Accent11"/>
        <w:spacing w:after="0" w:line="23" w:lineRule="atLeast"/>
        <w:ind w:left="1080"/>
        <w:jc w:val="both"/>
        <w:rPr>
          <w:rFonts w:ascii="Arial" w:eastAsia="Times New Roman" w:hAnsi="Arial" w:cs="Arial"/>
          <w:sz w:val="20"/>
          <w:szCs w:val="20"/>
        </w:rPr>
      </w:pPr>
    </w:p>
    <w:p w14:paraId="15741F18" w14:textId="731964F7" w:rsidR="00EE1A23" w:rsidRPr="00A2494C" w:rsidRDefault="00EE1A23" w:rsidP="002B24D2">
      <w:pPr>
        <w:pStyle w:val="ColorfulList-Accent11"/>
        <w:spacing w:after="0" w:line="23" w:lineRule="atLeast"/>
        <w:ind w:left="284"/>
        <w:jc w:val="both"/>
        <w:rPr>
          <w:rFonts w:ascii="Arial" w:eastAsia="Times New Roman" w:hAnsi="Arial" w:cs="Arial"/>
          <w:sz w:val="20"/>
          <w:szCs w:val="20"/>
        </w:rPr>
      </w:pPr>
      <w:r w:rsidRPr="00A2494C">
        <w:rPr>
          <w:rFonts w:ascii="Arial" w:eastAsia="Times New Roman" w:hAnsi="Arial" w:cs="Arial"/>
          <w:sz w:val="20"/>
          <w:szCs w:val="20"/>
        </w:rPr>
        <w:t xml:space="preserve">The TPTWG will continue efforts to protect all modes of transportation, including </w:t>
      </w:r>
      <w:r w:rsidR="00665ACD" w:rsidRPr="00A2494C">
        <w:rPr>
          <w:rFonts w:ascii="Arial" w:eastAsia="Times New Roman" w:hAnsi="Arial" w:cs="Arial"/>
          <w:sz w:val="20"/>
          <w:szCs w:val="20"/>
        </w:rPr>
        <w:t xml:space="preserve">through </w:t>
      </w:r>
      <w:r w:rsidRPr="00A2494C">
        <w:rPr>
          <w:rFonts w:ascii="Arial" w:eastAsia="Times New Roman" w:hAnsi="Arial" w:cs="Arial"/>
          <w:sz w:val="20"/>
          <w:szCs w:val="20"/>
        </w:rPr>
        <w:t>capacity building</w:t>
      </w:r>
      <w:r w:rsidR="00AC2D96">
        <w:rPr>
          <w:rFonts w:ascii="Arial" w:eastAsia="Times New Roman" w:hAnsi="Arial" w:cs="Arial"/>
          <w:sz w:val="20"/>
          <w:szCs w:val="20"/>
        </w:rPr>
        <w:t xml:space="preserve">, </w:t>
      </w:r>
      <w:r w:rsidR="00AC2D96" w:rsidRPr="0072005C">
        <w:rPr>
          <w:rFonts w:ascii="Arial" w:eastAsia="Times New Roman" w:hAnsi="Arial" w:cs="Arial"/>
          <w:sz w:val="20"/>
          <w:szCs w:val="20"/>
        </w:rPr>
        <w:t>exchanging of good practices</w:t>
      </w:r>
      <w:r w:rsidR="00AC2D96" w:rsidRPr="00316AAD">
        <w:rPr>
          <w:rFonts w:ascii="Arial" w:eastAsia="Times New Roman" w:hAnsi="Arial" w:cs="Arial"/>
          <w:color w:val="C00000"/>
          <w:sz w:val="20"/>
          <w:szCs w:val="20"/>
        </w:rPr>
        <w:t>,</w:t>
      </w:r>
      <w:r w:rsidRPr="00A2494C">
        <w:rPr>
          <w:rFonts w:ascii="Arial" w:eastAsia="Times New Roman" w:hAnsi="Arial" w:cs="Arial"/>
          <w:sz w:val="20"/>
          <w:szCs w:val="20"/>
        </w:rPr>
        <w:t xml:space="preserve"> and promoting implementation of </w:t>
      </w:r>
      <w:r w:rsidRPr="00A2494C">
        <w:rPr>
          <w:rFonts w:ascii="Arial" w:eastAsia="Times New Roman" w:hAnsi="Arial" w:cs="Arial"/>
          <w:sz w:val="20"/>
          <w:szCs w:val="20"/>
          <w:lang w:val="en-AU"/>
        </w:rPr>
        <w:t>security practices and recommendations, consistent with international standards</w:t>
      </w:r>
      <w:r w:rsidRPr="00A2494C">
        <w:rPr>
          <w:rFonts w:ascii="Arial" w:eastAsia="Times New Roman" w:hAnsi="Arial" w:cs="Arial"/>
          <w:sz w:val="20"/>
          <w:szCs w:val="20"/>
        </w:rPr>
        <w:t>. MEG-SEC will further develop and disseminate capacity-enabling tools such as the PSRAT and CART,</w:t>
      </w:r>
      <w:r w:rsidR="006C2D16" w:rsidRPr="00A2494C">
        <w:rPr>
          <w:rFonts w:ascii="Arial" w:eastAsia="Times New Roman" w:hAnsi="Arial" w:cs="Arial"/>
          <w:sz w:val="20"/>
          <w:szCs w:val="20"/>
        </w:rPr>
        <w:t xml:space="preserve"> </w:t>
      </w:r>
      <w:r w:rsidRPr="00A2494C">
        <w:rPr>
          <w:rFonts w:ascii="Arial" w:eastAsia="Times New Roman" w:hAnsi="Arial" w:cs="Arial"/>
          <w:sz w:val="20"/>
          <w:szCs w:val="20"/>
        </w:rPr>
        <w:t xml:space="preserve">assist economies to codify maritime security standards within domestic laws, and </w:t>
      </w:r>
      <w:r w:rsidR="00757D94" w:rsidRPr="00A2494C">
        <w:rPr>
          <w:rFonts w:ascii="Arial" w:eastAsia="Times New Roman" w:hAnsi="Arial" w:cs="Arial"/>
          <w:sz w:val="20"/>
          <w:szCs w:val="20"/>
        </w:rPr>
        <w:t xml:space="preserve">conduct </w:t>
      </w:r>
      <w:r w:rsidRPr="00A2494C">
        <w:rPr>
          <w:rFonts w:ascii="Arial" w:eastAsia="Times New Roman" w:hAnsi="Arial" w:cs="Arial"/>
          <w:sz w:val="20"/>
          <w:szCs w:val="20"/>
        </w:rPr>
        <w:t xml:space="preserve">activities on such issues as cargo screening, information sharing, drills and exercises, and access control.  AEG-SEC will </w:t>
      </w:r>
      <w:r w:rsidR="0097282C" w:rsidRPr="00A2494C">
        <w:rPr>
          <w:rFonts w:ascii="Arial" w:eastAsia="Times New Roman" w:hAnsi="Arial" w:cs="Arial"/>
          <w:sz w:val="20"/>
          <w:szCs w:val="20"/>
        </w:rPr>
        <w:t>advance efforts to</w:t>
      </w:r>
      <w:r w:rsidRPr="00A2494C">
        <w:rPr>
          <w:rFonts w:ascii="Arial" w:eastAsia="Times New Roman" w:hAnsi="Arial" w:cs="Arial"/>
          <w:sz w:val="20"/>
          <w:szCs w:val="20"/>
        </w:rPr>
        <w:t xml:space="preserve"> prepar</w:t>
      </w:r>
      <w:r w:rsidR="0097282C" w:rsidRPr="00A2494C">
        <w:rPr>
          <w:rFonts w:ascii="Arial" w:eastAsia="Times New Roman" w:hAnsi="Arial" w:cs="Arial"/>
          <w:sz w:val="20"/>
          <w:szCs w:val="20"/>
        </w:rPr>
        <w:t>e</w:t>
      </w:r>
      <w:r w:rsidRPr="00A2494C">
        <w:rPr>
          <w:rFonts w:ascii="Arial" w:eastAsia="Times New Roman" w:hAnsi="Arial" w:cs="Arial"/>
          <w:sz w:val="20"/>
          <w:szCs w:val="20"/>
        </w:rPr>
        <w:t xml:space="preserve"> economies to respond to current and emerging threats to air cargo by providing targeted capacity building support and facilitating exchange of best practices.  </w:t>
      </w:r>
    </w:p>
    <w:p w14:paraId="22D99F75" w14:textId="77777777" w:rsidR="00EE1A23" w:rsidRPr="00A2494C" w:rsidRDefault="00EE1A23" w:rsidP="00F51E34">
      <w:pPr>
        <w:pStyle w:val="ColorfulList-Accent11"/>
        <w:spacing w:after="0" w:line="23" w:lineRule="atLeast"/>
        <w:ind w:left="1080"/>
        <w:jc w:val="both"/>
        <w:rPr>
          <w:rFonts w:ascii="Arial" w:eastAsia="Times New Roman" w:hAnsi="Arial" w:cs="Arial"/>
          <w:sz w:val="20"/>
          <w:szCs w:val="20"/>
        </w:rPr>
      </w:pPr>
    </w:p>
    <w:p w14:paraId="11C706C6" w14:textId="414641CF" w:rsidR="00EE1A23" w:rsidRPr="0072005C" w:rsidRDefault="00EE1A23" w:rsidP="002B24D2">
      <w:pPr>
        <w:pStyle w:val="ColorfulList-Accent11"/>
        <w:spacing w:after="0" w:line="23" w:lineRule="atLeast"/>
        <w:ind w:left="284"/>
        <w:jc w:val="both"/>
        <w:rPr>
          <w:rFonts w:ascii="Arial" w:eastAsia="Times New Roman" w:hAnsi="Arial" w:cs="Arial"/>
          <w:sz w:val="20"/>
          <w:szCs w:val="20"/>
        </w:rPr>
      </w:pPr>
      <w:r w:rsidRPr="0072005C">
        <w:rPr>
          <w:rFonts w:ascii="Arial" w:eastAsia="Times New Roman" w:hAnsi="Arial" w:cs="Arial"/>
          <w:sz w:val="20"/>
          <w:szCs w:val="20"/>
        </w:rPr>
        <w:lastRenderedPageBreak/>
        <w:t xml:space="preserve">The </w:t>
      </w:r>
      <w:r w:rsidR="00BE7058" w:rsidRPr="0072005C">
        <w:rPr>
          <w:rFonts w:ascii="Arial" w:eastAsia="Times New Roman" w:hAnsi="Arial" w:cs="Arial"/>
          <w:sz w:val="20"/>
          <w:szCs w:val="20"/>
        </w:rPr>
        <w:t>CTWG</w:t>
      </w:r>
      <w:r w:rsidRPr="0072005C">
        <w:rPr>
          <w:rFonts w:ascii="Arial" w:eastAsia="Times New Roman" w:hAnsi="Arial" w:cs="Arial"/>
          <w:sz w:val="20"/>
          <w:szCs w:val="20"/>
        </w:rPr>
        <w:t xml:space="preserve"> will implement plans to develop region-specific training tools for food defense, and </w:t>
      </w:r>
      <w:r w:rsidR="00AC2D96" w:rsidRPr="0072005C">
        <w:rPr>
          <w:rFonts w:ascii="Arial" w:eastAsia="Times New Roman" w:hAnsi="Arial" w:cs="Arial"/>
          <w:sz w:val="20"/>
          <w:szCs w:val="20"/>
        </w:rPr>
        <w:t xml:space="preserve">updated guidance </w:t>
      </w:r>
      <w:r w:rsidRPr="0072005C">
        <w:rPr>
          <w:rFonts w:ascii="Arial" w:eastAsia="Times New Roman" w:hAnsi="Arial" w:cs="Arial"/>
          <w:sz w:val="20"/>
          <w:szCs w:val="20"/>
        </w:rPr>
        <w:t xml:space="preserve">materials that can be used throughout the region to better secure the food supply.  </w:t>
      </w:r>
      <w:r w:rsidR="001E79AB" w:rsidRPr="0072005C">
        <w:rPr>
          <w:rFonts w:ascii="Arial" w:eastAsia="Times New Roman" w:hAnsi="Arial" w:cs="Arial"/>
          <w:sz w:val="20"/>
          <w:szCs w:val="20"/>
        </w:rPr>
        <w:t>Relevant sub-</w:t>
      </w:r>
      <w:r w:rsidR="00F12F2E">
        <w:rPr>
          <w:rFonts w:ascii="Arial" w:eastAsia="Times New Roman" w:hAnsi="Arial" w:cs="Arial"/>
          <w:sz w:val="20"/>
          <w:szCs w:val="20"/>
        </w:rPr>
        <w:t>for</w:t>
      </w:r>
      <w:r w:rsidR="00265EA1">
        <w:rPr>
          <w:rFonts w:ascii="Arial" w:eastAsia="Times New Roman" w:hAnsi="Arial" w:cs="Arial"/>
          <w:sz w:val="20"/>
          <w:szCs w:val="20"/>
        </w:rPr>
        <w:t>a,</w:t>
      </w:r>
      <w:r w:rsidR="001E79AB" w:rsidRPr="0072005C">
        <w:rPr>
          <w:rFonts w:ascii="Arial" w:eastAsia="Times New Roman" w:hAnsi="Arial" w:cs="Arial"/>
          <w:sz w:val="20"/>
          <w:szCs w:val="20"/>
        </w:rPr>
        <w:t xml:space="preserve"> including the </w:t>
      </w:r>
      <w:r w:rsidR="00BE7058" w:rsidRPr="0072005C">
        <w:rPr>
          <w:rFonts w:ascii="Arial" w:eastAsia="Times New Roman" w:hAnsi="Arial" w:cs="Arial"/>
          <w:sz w:val="20"/>
          <w:szCs w:val="20"/>
        </w:rPr>
        <w:t>CTWG</w:t>
      </w:r>
      <w:r w:rsidR="00265EA1">
        <w:rPr>
          <w:rFonts w:ascii="Arial" w:eastAsia="Times New Roman" w:hAnsi="Arial" w:cs="Arial"/>
          <w:sz w:val="20"/>
          <w:szCs w:val="20"/>
        </w:rPr>
        <w:t>,</w:t>
      </w:r>
      <w:r w:rsidR="006C2D16" w:rsidRPr="0072005C">
        <w:rPr>
          <w:rFonts w:ascii="Arial" w:eastAsia="Times New Roman" w:hAnsi="Arial" w:cs="Arial"/>
          <w:sz w:val="20"/>
          <w:szCs w:val="20"/>
        </w:rPr>
        <w:t xml:space="preserve"> </w:t>
      </w:r>
      <w:r w:rsidR="001E79AB" w:rsidRPr="0072005C">
        <w:rPr>
          <w:rFonts w:ascii="Arial" w:eastAsia="Times New Roman" w:hAnsi="Arial" w:cs="Arial"/>
          <w:sz w:val="20"/>
          <w:szCs w:val="20"/>
        </w:rPr>
        <w:t xml:space="preserve">should </w:t>
      </w:r>
      <w:r w:rsidRPr="0072005C">
        <w:rPr>
          <w:rFonts w:ascii="Arial" w:eastAsia="Times New Roman" w:hAnsi="Arial" w:cs="Arial"/>
          <w:sz w:val="20"/>
          <w:szCs w:val="20"/>
        </w:rPr>
        <w:t>also consider exploring opportunities to address supply chain security vulnerabilities in other commercial and industrial sectors, working with the private sector to develop effective capacity building activities.</w:t>
      </w:r>
      <w:r w:rsidR="00AC2D96" w:rsidRPr="0072005C">
        <w:rPr>
          <w:rFonts w:ascii="Arial" w:eastAsia="Times New Roman" w:hAnsi="Arial" w:cs="Arial"/>
          <w:sz w:val="20"/>
          <w:szCs w:val="20"/>
        </w:rPr>
        <w:t xml:space="preserve"> Efforts should complement existing work being done in other international </w:t>
      </w:r>
      <w:r w:rsidR="00265EA1">
        <w:rPr>
          <w:rFonts w:ascii="Arial" w:eastAsia="Times New Roman" w:hAnsi="Arial" w:cs="Arial"/>
          <w:sz w:val="20"/>
          <w:szCs w:val="20"/>
        </w:rPr>
        <w:t>fora,</w:t>
      </w:r>
      <w:r w:rsidR="00AC2D96" w:rsidRPr="0072005C">
        <w:rPr>
          <w:rFonts w:ascii="Arial" w:eastAsia="Times New Roman" w:hAnsi="Arial" w:cs="Arial"/>
          <w:sz w:val="20"/>
          <w:szCs w:val="20"/>
        </w:rPr>
        <w:t xml:space="preserve"> such as the World Customs Organization (WCO).</w:t>
      </w:r>
    </w:p>
    <w:p w14:paraId="1B5BA768" w14:textId="77777777" w:rsidR="00EE1A23" w:rsidRPr="00A2494C" w:rsidRDefault="00EE1A23" w:rsidP="00F51E34">
      <w:pPr>
        <w:pStyle w:val="ColorfulList-Accent11"/>
        <w:spacing w:after="0" w:line="23" w:lineRule="atLeast"/>
        <w:ind w:left="1080"/>
        <w:jc w:val="both"/>
        <w:rPr>
          <w:rFonts w:ascii="Arial" w:eastAsia="Times New Roman" w:hAnsi="Arial" w:cs="Arial"/>
          <w:sz w:val="20"/>
          <w:szCs w:val="20"/>
        </w:rPr>
      </w:pPr>
    </w:p>
    <w:p w14:paraId="26321394" w14:textId="4E7B3124" w:rsidR="00EE1A23" w:rsidRPr="00A2494C" w:rsidRDefault="00EE1A23" w:rsidP="002B24D2">
      <w:pPr>
        <w:pStyle w:val="ColorfulList-Accent11"/>
        <w:numPr>
          <w:ilvl w:val="0"/>
          <w:numId w:val="2"/>
        </w:numPr>
        <w:spacing w:after="0" w:line="23" w:lineRule="atLeast"/>
        <w:ind w:left="284" w:hanging="142"/>
        <w:jc w:val="both"/>
        <w:rPr>
          <w:rFonts w:ascii="Arial" w:eastAsia="Times New Roman" w:hAnsi="Arial" w:cs="Arial"/>
          <w:sz w:val="20"/>
          <w:szCs w:val="20"/>
        </w:rPr>
      </w:pPr>
      <w:r w:rsidRPr="00A2494C">
        <w:rPr>
          <w:rFonts w:ascii="Arial" w:eastAsia="Times New Roman" w:hAnsi="Arial" w:cs="Arial"/>
          <w:b/>
          <w:sz w:val="20"/>
          <w:szCs w:val="20"/>
        </w:rPr>
        <w:t>Secure Travel</w:t>
      </w:r>
      <w:r w:rsidRPr="00A2494C">
        <w:rPr>
          <w:rFonts w:ascii="Arial" w:eastAsia="Times New Roman" w:hAnsi="Arial" w:cs="Arial"/>
          <w:sz w:val="20"/>
          <w:szCs w:val="20"/>
        </w:rPr>
        <w:t xml:space="preserve">: APEC will strengthen efforts to make regional travel both secure and efficient, including </w:t>
      </w:r>
      <w:r w:rsidR="00757D94" w:rsidRPr="00A2494C">
        <w:rPr>
          <w:rFonts w:ascii="Arial" w:eastAsia="Times New Roman" w:hAnsi="Arial" w:cs="Arial"/>
          <w:sz w:val="20"/>
          <w:szCs w:val="20"/>
        </w:rPr>
        <w:t xml:space="preserve">through the enhancement of </w:t>
      </w:r>
      <w:r w:rsidRPr="00A2494C">
        <w:rPr>
          <w:rFonts w:ascii="Arial" w:eastAsia="Times New Roman" w:hAnsi="Arial" w:cs="Arial"/>
          <w:sz w:val="20"/>
          <w:szCs w:val="20"/>
        </w:rPr>
        <w:t xml:space="preserve">the processing of international travelers on departure and arrival.  This work will include initiatives on passenger security screening that are currently led by the TPTWG, and on immigration and entry/exit processing that are led by the BMG.  Relevant sub-groups should coordinate their respective efforts on secure travel to promote compatibility and efficiency of measures being pursued.  </w:t>
      </w:r>
    </w:p>
    <w:p w14:paraId="6A25E397" w14:textId="77777777" w:rsidR="00EE1A23" w:rsidRPr="00A2494C" w:rsidRDefault="00EE1A23" w:rsidP="00F51E34">
      <w:pPr>
        <w:pStyle w:val="ColorfulList-Accent11"/>
        <w:spacing w:after="0" w:line="23" w:lineRule="atLeast"/>
        <w:ind w:left="1080"/>
        <w:jc w:val="both"/>
        <w:rPr>
          <w:rFonts w:ascii="Arial" w:eastAsia="Times New Roman" w:hAnsi="Arial" w:cs="Arial"/>
          <w:sz w:val="20"/>
          <w:szCs w:val="20"/>
        </w:rPr>
      </w:pPr>
    </w:p>
    <w:p w14:paraId="4A98F4FE" w14:textId="611C4F67" w:rsidR="00EE1A23" w:rsidRPr="005C15BE" w:rsidRDefault="00EE1A23" w:rsidP="002B24D2">
      <w:pPr>
        <w:pStyle w:val="ColorfulList-Accent11"/>
        <w:spacing w:after="0" w:line="23" w:lineRule="atLeast"/>
        <w:ind w:left="284"/>
        <w:jc w:val="both"/>
        <w:rPr>
          <w:rFonts w:ascii="Arial" w:eastAsia="Times New Roman" w:hAnsi="Arial" w:cs="Arial"/>
          <w:sz w:val="20"/>
          <w:szCs w:val="20"/>
        </w:rPr>
      </w:pPr>
      <w:r w:rsidRPr="005C15BE">
        <w:rPr>
          <w:rFonts w:ascii="Arial" w:eastAsia="Times New Roman" w:hAnsi="Arial" w:cs="Arial"/>
          <w:sz w:val="20"/>
          <w:szCs w:val="20"/>
        </w:rPr>
        <w:t xml:space="preserve">The BMG will </w:t>
      </w:r>
      <w:r w:rsidR="00265EA1">
        <w:rPr>
          <w:rFonts w:ascii="Arial" w:eastAsia="Times New Roman" w:hAnsi="Arial" w:cs="Arial"/>
          <w:sz w:val="20"/>
          <w:szCs w:val="20"/>
        </w:rPr>
        <w:t xml:space="preserve">continue </w:t>
      </w:r>
      <w:r w:rsidR="00265EA1" w:rsidRPr="005C15BE">
        <w:rPr>
          <w:rFonts w:ascii="Arial" w:eastAsia="Times New Roman" w:hAnsi="Arial" w:cs="Arial"/>
          <w:sz w:val="20"/>
          <w:szCs w:val="20"/>
        </w:rPr>
        <w:t>to</w:t>
      </w:r>
      <w:r w:rsidRPr="005C15BE">
        <w:rPr>
          <w:rFonts w:ascii="Arial" w:eastAsia="Times New Roman" w:hAnsi="Arial" w:cs="Arial"/>
          <w:sz w:val="20"/>
          <w:szCs w:val="20"/>
        </w:rPr>
        <w:t xml:space="preserve"> identify new opportunities for border managem</w:t>
      </w:r>
      <w:r w:rsidRPr="00525E47">
        <w:rPr>
          <w:rFonts w:ascii="Arial" w:eastAsia="Times New Roman" w:hAnsi="Arial" w:cs="Arial"/>
          <w:sz w:val="20"/>
          <w:szCs w:val="20"/>
        </w:rPr>
        <w:t xml:space="preserve">ent capacity building with respect to the movement of people, working in partnership with APEC sub-fora such as the SCCP, </w:t>
      </w:r>
      <w:r w:rsidR="00BE7058" w:rsidRPr="005C15BE">
        <w:rPr>
          <w:rFonts w:ascii="Arial" w:eastAsia="Times New Roman" w:hAnsi="Arial" w:cs="Arial"/>
          <w:sz w:val="20"/>
          <w:szCs w:val="20"/>
        </w:rPr>
        <w:t>CTWG</w:t>
      </w:r>
      <w:r w:rsidRPr="005C15BE">
        <w:rPr>
          <w:rFonts w:ascii="Arial" w:eastAsia="Times New Roman" w:hAnsi="Arial" w:cs="Arial"/>
          <w:sz w:val="20"/>
          <w:szCs w:val="20"/>
        </w:rPr>
        <w:t xml:space="preserve">, and TPTWG.  </w:t>
      </w:r>
    </w:p>
    <w:p w14:paraId="68FB85A5" w14:textId="77777777" w:rsidR="006276AE" w:rsidRDefault="006276AE" w:rsidP="00F51E34">
      <w:pPr>
        <w:pStyle w:val="ColorfulList-Accent11"/>
        <w:spacing w:after="0" w:line="23" w:lineRule="atLeast"/>
        <w:ind w:left="1080"/>
        <w:jc w:val="both"/>
        <w:rPr>
          <w:rFonts w:ascii="Arial" w:eastAsia="Times New Roman" w:hAnsi="Arial" w:cs="Arial"/>
          <w:sz w:val="20"/>
          <w:szCs w:val="20"/>
        </w:rPr>
      </w:pPr>
    </w:p>
    <w:p w14:paraId="31ECE081" w14:textId="1AA75A8C" w:rsidR="00A23FBF" w:rsidRPr="00665B81" w:rsidRDefault="00A318DB" w:rsidP="002B24D2">
      <w:pPr>
        <w:pStyle w:val="ColorfulList-Accent11"/>
        <w:spacing w:after="0" w:line="23" w:lineRule="atLeast"/>
        <w:ind w:left="284"/>
        <w:jc w:val="both"/>
        <w:rPr>
          <w:rFonts w:ascii="Arial" w:eastAsia="Times New Roman" w:hAnsi="Arial" w:cs="Arial"/>
          <w:sz w:val="20"/>
          <w:szCs w:val="20"/>
        </w:rPr>
      </w:pPr>
      <w:r w:rsidRPr="00593276">
        <w:rPr>
          <w:rFonts w:ascii="Arial" w:eastAsia="Times New Roman" w:hAnsi="Arial" w:cs="Arial"/>
          <w:sz w:val="20"/>
          <w:szCs w:val="20"/>
        </w:rPr>
        <w:t xml:space="preserve">The CTWG will work with APEC member economies, sub-fora and other </w:t>
      </w:r>
      <w:r w:rsidR="00A23FBF" w:rsidRPr="00665B81">
        <w:rPr>
          <w:rFonts w:ascii="Arial" w:eastAsia="Times New Roman" w:hAnsi="Arial" w:cs="Arial"/>
          <w:sz w:val="20"/>
          <w:szCs w:val="20"/>
        </w:rPr>
        <w:t xml:space="preserve">multilateral </w:t>
      </w:r>
      <w:r w:rsidRPr="00665B81">
        <w:rPr>
          <w:rFonts w:ascii="Arial" w:eastAsia="Times New Roman" w:hAnsi="Arial" w:cs="Arial"/>
          <w:sz w:val="20"/>
          <w:szCs w:val="20"/>
        </w:rPr>
        <w:t>organizations to increase member economies’ capacities to disrupt the flow of foreign terrorist fighters within the region without interrupting the movement of bona</w:t>
      </w:r>
      <w:r w:rsidR="00FF6BEF">
        <w:rPr>
          <w:rFonts w:ascii="Arial" w:eastAsia="Times New Roman" w:hAnsi="Arial" w:cs="Arial"/>
          <w:sz w:val="20"/>
          <w:szCs w:val="20"/>
        </w:rPr>
        <w:t>-</w:t>
      </w:r>
      <w:r w:rsidRPr="00665B81">
        <w:rPr>
          <w:rFonts w:ascii="Arial" w:eastAsia="Times New Roman" w:hAnsi="Arial" w:cs="Arial"/>
          <w:sz w:val="20"/>
          <w:szCs w:val="20"/>
        </w:rPr>
        <w:t xml:space="preserve">fide international travelers between economies and promote exchange of information between special and law enforcement agencies of APEC </w:t>
      </w:r>
      <w:r w:rsidR="00FF6BEF">
        <w:rPr>
          <w:rFonts w:ascii="Arial" w:eastAsia="Times New Roman" w:hAnsi="Arial" w:cs="Arial"/>
          <w:sz w:val="20"/>
          <w:szCs w:val="20"/>
        </w:rPr>
        <w:t>e</w:t>
      </w:r>
      <w:r w:rsidRPr="00665B81">
        <w:rPr>
          <w:rFonts w:ascii="Arial" w:eastAsia="Times New Roman" w:hAnsi="Arial" w:cs="Arial"/>
          <w:sz w:val="20"/>
          <w:szCs w:val="20"/>
        </w:rPr>
        <w:t>conomies regarding actions and movements of terrorist organizations and individuals. In this light, t</w:t>
      </w:r>
      <w:r w:rsidR="006276AE" w:rsidRPr="00665B81">
        <w:rPr>
          <w:rFonts w:ascii="Arial" w:eastAsia="Times New Roman" w:hAnsi="Arial" w:cs="Arial"/>
          <w:sz w:val="20"/>
          <w:szCs w:val="20"/>
        </w:rPr>
        <w:t>he CTWG will endeavor to work with APEC</w:t>
      </w:r>
      <w:r w:rsidR="0044148E" w:rsidRPr="00665B81">
        <w:rPr>
          <w:rFonts w:ascii="Arial" w:eastAsia="Times New Roman" w:hAnsi="Arial" w:cs="Arial"/>
          <w:sz w:val="20"/>
          <w:szCs w:val="20"/>
        </w:rPr>
        <w:t xml:space="preserve"> member economies and relevant </w:t>
      </w:r>
      <w:r w:rsidR="006276AE" w:rsidRPr="00665B81">
        <w:rPr>
          <w:rFonts w:ascii="Arial" w:eastAsia="Times New Roman" w:hAnsi="Arial" w:cs="Arial"/>
          <w:sz w:val="20"/>
          <w:szCs w:val="20"/>
        </w:rPr>
        <w:t xml:space="preserve">sub </w:t>
      </w:r>
      <w:r w:rsidR="00BD24D3" w:rsidRPr="00665B81">
        <w:rPr>
          <w:rFonts w:ascii="Arial" w:eastAsia="Times New Roman" w:hAnsi="Arial" w:cs="Arial"/>
          <w:sz w:val="20"/>
          <w:szCs w:val="20"/>
        </w:rPr>
        <w:t>for</w:t>
      </w:r>
      <w:r w:rsidR="006276AE" w:rsidRPr="00665B81">
        <w:rPr>
          <w:rFonts w:ascii="Arial" w:eastAsia="Times New Roman" w:hAnsi="Arial" w:cs="Arial"/>
          <w:sz w:val="20"/>
          <w:szCs w:val="20"/>
        </w:rPr>
        <w:t xml:space="preserve">a, particularly SCCP </w:t>
      </w:r>
      <w:r w:rsidR="00236DD1" w:rsidRPr="00665B81">
        <w:rPr>
          <w:rFonts w:ascii="Arial" w:eastAsia="Times New Roman" w:hAnsi="Arial" w:cs="Arial"/>
          <w:sz w:val="20"/>
          <w:szCs w:val="20"/>
        </w:rPr>
        <w:t xml:space="preserve">and BMG </w:t>
      </w:r>
      <w:r w:rsidR="006276AE" w:rsidRPr="00665B81">
        <w:rPr>
          <w:rFonts w:ascii="Arial" w:eastAsia="Times New Roman" w:hAnsi="Arial" w:cs="Arial"/>
          <w:sz w:val="20"/>
          <w:szCs w:val="20"/>
        </w:rPr>
        <w:t xml:space="preserve">and </w:t>
      </w:r>
      <w:r w:rsidR="00236DD1" w:rsidRPr="00665B81">
        <w:rPr>
          <w:rFonts w:ascii="Arial" w:eastAsia="Times New Roman" w:hAnsi="Arial" w:cs="Arial"/>
          <w:sz w:val="20"/>
          <w:szCs w:val="20"/>
        </w:rPr>
        <w:t>relevant</w:t>
      </w:r>
      <w:r w:rsidR="006276AE" w:rsidRPr="00665B81">
        <w:rPr>
          <w:rFonts w:ascii="Arial" w:eastAsia="Times New Roman" w:hAnsi="Arial" w:cs="Arial"/>
          <w:sz w:val="20"/>
          <w:szCs w:val="20"/>
        </w:rPr>
        <w:t xml:space="preserve"> </w:t>
      </w:r>
      <w:r w:rsidR="00A23FBF" w:rsidRPr="00665B81">
        <w:rPr>
          <w:rFonts w:ascii="Arial" w:eastAsia="Times New Roman" w:hAnsi="Arial" w:cs="Arial"/>
          <w:sz w:val="20"/>
          <w:szCs w:val="20"/>
        </w:rPr>
        <w:t xml:space="preserve">multilateral </w:t>
      </w:r>
      <w:r w:rsidR="006276AE" w:rsidRPr="00665B81">
        <w:rPr>
          <w:rFonts w:ascii="Arial" w:eastAsia="Times New Roman" w:hAnsi="Arial" w:cs="Arial"/>
          <w:sz w:val="20"/>
          <w:szCs w:val="20"/>
        </w:rPr>
        <w:t>organizations in the effort to develop and implement the Advance Passenger Information and Passenger Name Record (API/PNR) to secure and facilitate legitimate travel within the region</w:t>
      </w:r>
      <w:r w:rsidR="00A23FBF" w:rsidRPr="00665B81">
        <w:rPr>
          <w:rFonts w:ascii="Arial" w:eastAsia="Times New Roman" w:hAnsi="Arial" w:cs="Arial"/>
          <w:sz w:val="20"/>
          <w:szCs w:val="20"/>
        </w:rPr>
        <w:t xml:space="preserve">, as well as rely on databases such as Interpol’s to identify foreign terrorist fighters. </w:t>
      </w:r>
    </w:p>
    <w:p w14:paraId="66D0CCFF" w14:textId="77777777" w:rsidR="00EE1A23" w:rsidRPr="00A2494C" w:rsidRDefault="00EE1A23" w:rsidP="00F51E34">
      <w:pPr>
        <w:pStyle w:val="ColorfulList-Accent11"/>
        <w:spacing w:after="0" w:line="23" w:lineRule="atLeast"/>
        <w:ind w:left="1080"/>
        <w:jc w:val="both"/>
        <w:rPr>
          <w:rFonts w:ascii="Arial" w:eastAsia="Times New Roman" w:hAnsi="Arial" w:cs="Arial"/>
          <w:sz w:val="20"/>
          <w:szCs w:val="20"/>
        </w:rPr>
      </w:pPr>
    </w:p>
    <w:p w14:paraId="73554340" w14:textId="51C433CC" w:rsidR="00EF698D" w:rsidRPr="00FF6BEF" w:rsidRDefault="00EE1A23" w:rsidP="002B24D2">
      <w:pPr>
        <w:pStyle w:val="ColorfulList-Accent11"/>
        <w:spacing w:after="0" w:line="23" w:lineRule="atLeast"/>
        <w:ind w:left="284"/>
        <w:jc w:val="both"/>
        <w:rPr>
          <w:rFonts w:ascii="Arial" w:eastAsia="Times New Roman" w:hAnsi="Arial" w:cs="Arial"/>
          <w:sz w:val="20"/>
          <w:szCs w:val="20"/>
        </w:rPr>
      </w:pPr>
      <w:r w:rsidRPr="00593276">
        <w:rPr>
          <w:rFonts w:ascii="Arial" w:eastAsia="Times New Roman" w:hAnsi="Arial" w:cs="Arial"/>
          <w:sz w:val="20"/>
          <w:szCs w:val="20"/>
        </w:rPr>
        <w:t xml:space="preserve">Additionally, </w:t>
      </w:r>
      <w:r w:rsidR="00BE7058" w:rsidRPr="00593276">
        <w:rPr>
          <w:rFonts w:ascii="Arial" w:eastAsia="Times New Roman" w:hAnsi="Arial" w:cs="Arial"/>
          <w:sz w:val="20"/>
          <w:szCs w:val="20"/>
        </w:rPr>
        <w:t>CTWG</w:t>
      </w:r>
      <w:r w:rsidRPr="00593276">
        <w:rPr>
          <w:rFonts w:ascii="Arial" w:eastAsia="Times New Roman" w:hAnsi="Arial" w:cs="Arial"/>
          <w:sz w:val="20"/>
          <w:szCs w:val="20"/>
        </w:rPr>
        <w:t xml:space="preserve"> and the APEC Tourism Working Group will </w:t>
      </w:r>
      <w:r w:rsidR="00D86446" w:rsidRPr="00593276">
        <w:rPr>
          <w:rFonts w:ascii="Arial" w:eastAsia="Times New Roman" w:hAnsi="Arial" w:cs="Arial"/>
          <w:sz w:val="20"/>
          <w:szCs w:val="20"/>
        </w:rPr>
        <w:t xml:space="preserve">continue </w:t>
      </w:r>
      <w:r w:rsidRPr="00593276">
        <w:rPr>
          <w:rFonts w:ascii="Arial" w:eastAsia="Times New Roman" w:hAnsi="Arial" w:cs="Arial"/>
          <w:sz w:val="20"/>
          <w:szCs w:val="20"/>
        </w:rPr>
        <w:t>to explore new activities</w:t>
      </w:r>
      <w:r w:rsidR="00597A08" w:rsidRPr="00593276">
        <w:rPr>
          <w:rFonts w:ascii="Arial" w:eastAsia="Times New Roman" w:hAnsi="Arial" w:cs="Arial"/>
          <w:sz w:val="20"/>
          <w:szCs w:val="20"/>
        </w:rPr>
        <w:t xml:space="preserve"> and opportunities to improve protections for tourists as well as to share experiences and best practices in securing tourist destination and tourist products</w:t>
      </w:r>
      <w:r w:rsidR="00EF698D" w:rsidRPr="00593276">
        <w:rPr>
          <w:rFonts w:ascii="Arial" w:eastAsia="Times New Roman" w:hAnsi="Arial" w:cs="Arial"/>
          <w:sz w:val="20"/>
          <w:szCs w:val="20"/>
        </w:rPr>
        <w:t xml:space="preserve">. </w:t>
      </w:r>
      <w:r w:rsidR="00AE3E0C" w:rsidRPr="00593276">
        <w:rPr>
          <w:rFonts w:ascii="Arial" w:eastAsia="Times New Roman" w:hAnsi="Arial" w:cs="Arial"/>
          <w:sz w:val="20"/>
          <w:szCs w:val="20"/>
        </w:rPr>
        <w:t>A recent example is</w:t>
      </w:r>
      <w:r w:rsidR="00EF698D" w:rsidRPr="00593276">
        <w:rPr>
          <w:rFonts w:ascii="Arial" w:eastAsia="Times New Roman" w:hAnsi="Arial" w:cs="Arial"/>
          <w:sz w:val="20"/>
          <w:szCs w:val="20"/>
        </w:rPr>
        <w:t xml:space="preserve"> the 2018 Workshop on the Protection of Soft Targets in a Counterterrorism Context. </w:t>
      </w:r>
    </w:p>
    <w:p w14:paraId="2901EEAE" w14:textId="77777777" w:rsidR="00EE1A23" w:rsidRPr="00A2494C" w:rsidRDefault="00EE1A23" w:rsidP="00F51E34">
      <w:pPr>
        <w:pStyle w:val="ColorfulList-Accent11"/>
        <w:spacing w:after="0" w:line="23" w:lineRule="atLeast"/>
        <w:ind w:left="1800"/>
        <w:jc w:val="both"/>
        <w:rPr>
          <w:rFonts w:ascii="Arial" w:eastAsia="Times New Roman" w:hAnsi="Arial" w:cs="Arial"/>
          <w:sz w:val="20"/>
          <w:szCs w:val="20"/>
        </w:rPr>
      </w:pPr>
    </w:p>
    <w:p w14:paraId="6CC9675D" w14:textId="16823462" w:rsidR="00EE1A23" w:rsidRPr="00593276" w:rsidRDefault="00EE1A23" w:rsidP="002B24D2">
      <w:pPr>
        <w:pStyle w:val="ColorfulList-Accent11"/>
        <w:numPr>
          <w:ilvl w:val="0"/>
          <w:numId w:val="2"/>
        </w:numPr>
        <w:spacing w:after="0" w:line="23" w:lineRule="atLeast"/>
        <w:ind w:left="284" w:hanging="142"/>
        <w:jc w:val="both"/>
        <w:rPr>
          <w:rFonts w:ascii="Arial" w:eastAsia="Times New Roman" w:hAnsi="Arial" w:cs="Arial"/>
          <w:b/>
          <w:sz w:val="20"/>
          <w:szCs w:val="20"/>
        </w:rPr>
      </w:pPr>
      <w:r w:rsidRPr="00593276">
        <w:rPr>
          <w:rFonts w:ascii="Arial" w:eastAsia="Times New Roman" w:hAnsi="Arial" w:cs="Arial"/>
          <w:b/>
          <w:sz w:val="20"/>
          <w:szCs w:val="20"/>
        </w:rPr>
        <w:t>Secure Finance</w:t>
      </w:r>
      <w:r w:rsidRPr="00593276">
        <w:rPr>
          <w:rFonts w:ascii="Arial" w:eastAsia="Times New Roman" w:hAnsi="Arial" w:cs="Arial"/>
          <w:sz w:val="20"/>
          <w:szCs w:val="20"/>
        </w:rPr>
        <w:t xml:space="preserve">: APEC, through the </w:t>
      </w:r>
      <w:r w:rsidR="00BE7058" w:rsidRPr="00593276">
        <w:rPr>
          <w:rFonts w:ascii="Arial" w:eastAsia="Times New Roman" w:hAnsi="Arial" w:cs="Arial"/>
          <w:sz w:val="20"/>
          <w:szCs w:val="20"/>
        </w:rPr>
        <w:t>CTWG</w:t>
      </w:r>
      <w:r w:rsidRPr="00593276">
        <w:rPr>
          <w:rFonts w:ascii="Arial" w:eastAsia="Times New Roman" w:hAnsi="Arial" w:cs="Arial"/>
          <w:sz w:val="20"/>
          <w:szCs w:val="20"/>
        </w:rPr>
        <w:t xml:space="preserve">, will promote the ability of economies to implement standards for secure finance. To do so, it will conduct workshops and </w:t>
      </w:r>
      <w:r w:rsidRPr="00525E47">
        <w:rPr>
          <w:rFonts w:ascii="Arial" w:eastAsia="Times New Roman" w:hAnsi="Arial" w:cs="Arial"/>
          <w:sz w:val="20"/>
          <w:szCs w:val="20"/>
        </w:rPr>
        <w:t>engage other multilateral groups such as the FATF and the Asia-Pacific Group</w:t>
      </w:r>
      <w:r w:rsidR="00F23135" w:rsidRPr="00525E47">
        <w:rPr>
          <w:rFonts w:ascii="Arial" w:eastAsia="Times New Roman" w:hAnsi="Arial" w:cs="Arial"/>
          <w:sz w:val="20"/>
          <w:szCs w:val="20"/>
        </w:rPr>
        <w:t xml:space="preserve"> on </w:t>
      </w:r>
      <w:r w:rsidR="00F23135" w:rsidRPr="00593276">
        <w:rPr>
          <w:rFonts w:ascii="Arial" w:eastAsia="Times New Roman" w:hAnsi="Arial" w:cs="Arial"/>
          <w:sz w:val="20"/>
          <w:szCs w:val="20"/>
        </w:rPr>
        <w:t xml:space="preserve">Money </w:t>
      </w:r>
      <w:r w:rsidR="00DD73F0" w:rsidRPr="00593276">
        <w:rPr>
          <w:rFonts w:ascii="Arial" w:eastAsia="Times New Roman" w:hAnsi="Arial" w:cs="Arial"/>
          <w:sz w:val="20"/>
          <w:szCs w:val="20"/>
        </w:rPr>
        <w:t>Laundering</w:t>
      </w:r>
      <w:r w:rsidRPr="00593276">
        <w:rPr>
          <w:rFonts w:ascii="Arial" w:eastAsia="Times New Roman" w:hAnsi="Arial" w:cs="Arial"/>
          <w:sz w:val="20"/>
          <w:szCs w:val="20"/>
        </w:rPr>
        <w:t xml:space="preserve"> to coordinate activities and prevent unnecessary duplication.  </w:t>
      </w:r>
    </w:p>
    <w:p w14:paraId="058F4842" w14:textId="77777777" w:rsidR="00B36ED2" w:rsidRPr="00A2494C" w:rsidRDefault="00B36ED2" w:rsidP="00F51E34">
      <w:pPr>
        <w:pStyle w:val="ColorfulList-Accent11"/>
        <w:spacing w:after="0" w:line="23" w:lineRule="atLeast"/>
        <w:ind w:left="1080"/>
        <w:jc w:val="both"/>
        <w:rPr>
          <w:rFonts w:ascii="Arial" w:eastAsia="Times New Roman" w:hAnsi="Arial" w:cs="Arial"/>
          <w:b/>
          <w:sz w:val="20"/>
          <w:szCs w:val="20"/>
        </w:rPr>
      </w:pPr>
    </w:p>
    <w:p w14:paraId="0156C1BF" w14:textId="6101E2F6" w:rsidR="00EE1A23" w:rsidRPr="003E22DB" w:rsidRDefault="00EE1A23" w:rsidP="002B24D2">
      <w:pPr>
        <w:pStyle w:val="ColorfulList-Accent11"/>
        <w:numPr>
          <w:ilvl w:val="0"/>
          <w:numId w:val="2"/>
        </w:numPr>
        <w:spacing w:after="0" w:line="23" w:lineRule="atLeast"/>
        <w:ind w:left="284" w:hanging="142"/>
        <w:jc w:val="both"/>
        <w:rPr>
          <w:rFonts w:ascii="Arial" w:hAnsi="Arial" w:cs="Arial"/>
          <w:sz w:val="20"/>
          <w:szCs w:val="20"/>
        </w:rPr>
      </w:pPr>
      <w:r w:rsidRPr="003E22DB">
        <w:rPr>
          <w:rFonts w:ascii="Arial" w:eastAsia="Times New Roman" w:hAnsi="Arial" w:cs="Arial"/>
          <w:b/>
          <w:sz w:val="20"/>
          <w:szCs w:val="20"/>
        </w:rPr>
        <w:t>Secure Infrastructure:</w:t>
      </w:r>
      <w:r w:rsidRPr="003E22DB">
        <w:rPr>
          <w:rFonts w:ascii="Arial" w:eastAsia="Times New Roman" w:hAnsi="Arial" w:cs="Arial"/>
          <w:sz w:val="20"/>
          <w:szCs w:val="20"/>
        </w:rPr>
        <w:t xml:space="preserve"> APEC sub-fora will explore new opportunities to enhance the protection of critical infrastructure </w:t>
      </w:r>
      <w:r w:rsidR="007020C0" w:rsidRPr="003E22DB">
        <w:rPr>
          <w:rFonts w:ascii="Arial" w:eastAsia="Times New Roman" w:hAnsi="Arial" w:cs="Arial"/>
          <w:sz w:val="20"/>
          <w:szCs w:val="20"/>
        </w:rPr>
        <w:t xml:space="preserve">as well as soft targets </w:t>
      </w:r>
      <w:r w:rsidRPr="003E22DB">
        <w:rPr>
          <w:rFonts w:ascii="Arial" w:eastAsia="Times New Roman" w:hAnsi="Arial" w:cs="Arial"/>
          <w:sz w:val="20"/>
          <w:szCs w:val="20"/>
        </w:rPr>
        <w:t xml:space="preserve">across the region.  Activities </w:t>
      </w:r>
      <w:r w:rsidR="008A3CA5" w:rsidRPr="003E22DB">
        <w:rPr>
          <w:rFonts w:ascii="Arial" w:hAnsi="Arial" w:cs="Arial"/>
          <w:sz w:val="20"/>
          <w:szCs w:val="20"/>
        </w:rPr>
        <w:t xml:space="preserve">could </w:t>
      </w:r>
      <w:r w:rsidRPr="003E22DB">
        <w:rPr>
          <w:rFonts w:ascii="Arial" w:eastAsia="Times New Roman" w:hAnsi="Arial" w:cs="Arial"/>
          <w:sz w:val="20"/>
          <w:szCs w:val="20"/>
        </w:rPr>
        <w:t xml:space="preserve">include </w:t>
      </w:r>
      <w:r w:rsidR="00174C8E" w:rsidRPr="003E22DB">
        <w:rPr>
          <w:rFonts w:ascii="Arial" w:eastAsia="Times New Roman" w:hAnsi="Arial" w:cs="Arial"/>
          <w:sz w:val="20"/>
          <w:szCs w:val="20"/>
        </w:rPr>
        <w:t xml:space="preserve">tailored capacity building and sharing of </w:t>
      </w:r>
      <w:r w:rsidRPr="003E22DB">
        <w:rPr>
          <w:rFonts w:ascii="Arial" w:eastAsia="Times New Roman" w:hAnsi="Arial" w:cs="Arial"/>
          <w:sz w:val="20"/>
          <w:szCs w:val="20"/>
        </w:rPr>
        <w:t>information</w:t>
      </w:r>
      <w:r w:rsidR="00BB6BC5" w:rsidRPr="003E22DB">
        <w:rPr>
          <w:rFonts w:ascii="Arial" w:eastAsia="Times New Roman" w:hAnsi="Arial" w:cs="Arial"/>
          <w:sz w:val="20"/>
          <w:szCs w:val="20"/>
        </w:rPr>
        <w:t>,</w:t>
      </w:r>
      <w:r w:rsidR="00174C8E" w:rsidRPr="003E22DB">
        <w:rPr>
          <w:rFonts w:ascii="Arial" w:eastAsia="Times New Roman" w:hAnsi="Arial" w:cs="Arial"/>
          <w:sz w:val="20"/>
          <w:szCs w:val="20"/>
        </w:rPr>
        <w:t xml:space="preserve"> expertise, </w:t>
      </w:r>
      <w:r w:rsidR="00C7502C" w:rsidRPr="003E22DB">
        <w:rPr>
          <w:rFonts w:ascii="Arial" w:eastAsia="Times New Roman" w:hAnsi="Arial" w:cs="Arial"/>
          <w:sz w:val="20"/>
          <w:szCs w:val="20"/>
        </w:rPr>
        <w:t>and lesson</w:t>
      </w:r>
      <w:r w:rsidR="00174C8E" w:rsidRPr="003E22DB">
        <w:rPr>
          <w:rFonts w:ascii="Arial" w:eastAsia="Times New Roman" w:hAnsi="Arial" w:cs="Arial"/>
          <w:sz w:val="20"/>
          <w:szCs w:val="20"/>
        </w:rPr>
        <w:t>s</w:t>
      </w:r>
      <w:r w:rsidR="00C7502C" w:rsidRPr="003E22DB">
        <w:rPr>
          <w:rFonts w:ascii="Arial" w:eastAsia="Times New Roman" w:hAnsi="Arial" w:cs="Arial"/>
          <w:sz w:val="20"/>
          <w:szCs w:val="20"/>
        </w:rPr>
        <w:t xml:space="preserve"> learned </w:t>
      </w:r>
      <w:r w:rsidRPr="003E22DB">
        <w:rPr>
          <w:rFonts w:ascii="Arial" w:eastAsia="Times New Roman" w:hAnsi="Arial" w:cs="Arial"/>
          <w:sz w:val="20"/>
          <w:szCs w:val="20"/>
        </w:rPr>
        <w:t xml:space="preserve">on </w:t>
      </w:r>
      <w:r w:rsidR="00174C8E" w:rsidRPr="003E22DB">
        <w:rPr>
          <w:rFonts w:ascii="Arial" w:eastAsia="Times New Roman" w:hAnsi="Arial" w:cs="Arial"/>
          <w:sz w:val="20"/>
          <w:szCs w:val="20"/>
        </w:rPr>
        <w:t xml:space="preserve">protection of </w:t>
      </w:r>
      <w:r w:rsidRPr="003E22DB">
        <w:rPr>
          <w:rFonts w:ascii="Arial" w:eastAsia="Times New Roman" w:hAnsi="Arial" w:cs="Arial"/>
          <w:sz w:val="20"/>
          <w:szCs w:val="20"/>
        </w:rPr>
        <w:t xml:space="preserve">critical infrastructure </w:t>
      </w:r>
      <w:r w:rsidR="00174C8E" w:rsidRPr="003E22DB">
        <w:rPr>
          <w:rFonts w:ascii="Arial" w:eastAsia="Times New Roman" w:hAnsi="Arial" w:cs="Arial"/>
          <w:sz w:val="20"/>
          <w:szCs w:val="20"/>
        </w:rPr>
        <w:t>and soft targets in order to promote effective</w:t>
      </w:r>
      <w:r w:rsidR="00AD20BD" w:rsidRPr="003E22DB">
        <w:rPr>
          <w:rFonts w:ascii="Arial" w:eastAsia="Times New Roman" w:hAnsi="Arial" w:cs="Arial"/>
          <w:sz w:val="20"/>
          <w:szCs w:val="20"/>
        </w:rPr>
        <w:t>, risk-based</w:t>
      </w:r>
      <w:r w:rsidR="00174C8E" w:rsidRPr="003E22DB">
        <w:rPr>
          <w:rFonts w:ascii="Arial" w:eastAsia="Times New Roman" w:hAnsi="Arial" w:cs="Arial"/>
          <w:sz w:val="20"/>
          <w:szCs w:val="20"/>
        </w:rPr>
        <w:t xml:space="preserve"> </w:t>
      </w:r>
      <w:r w:rsidRPr="003E22DB">
        <w:rPr>
          <w:rFonts w:ascii="Arial" w:eastAsia="Times New Roman" w:hAnsi="Arial" w:cs="Arial"/>
          <w:sz w:val="20"/>
          <w:szCs w:val="20"/>
        </w:rPr>
        <w:t>protection</w:t>
      </w:r>
      <w:r w:rsidR="00174C8E" w:rsidRPr="003E22DB">
        <w:rPr>
          <w:rFonts w:ascii="Arial" w:eastAsia="Times New Roman" w:hAnsi="Arial" w:cs="Arial"/>
          <w:sz w:val="20"/>
          <w:szCs w:val="20"/>
        </w:rPr>
        <w:t xml:space="preserve"> and emergency preparedness</w:t>
      </w:r>
      <w:r w:rsidRPr="003E22DB">
        <w:rPr>
          <w:rFonts w:ascii="Arial" w:eastAsia="Times New Roman" w:hAnsi="Arial" w:cs="Arial"/>
          <w:sz w:val="20"/>
          <w:szCs w:val="20"/>
        </w:rPr>
        <w:t xml:space="preserve"> practices, capabilities and resources; rais</w:t>
      </w:r>
      <w:r w:rsidR="00AC7122" w:rsidRPr="003E22DB">
        <w:rPr>
          <w:rFonts w:ascii="Arial" w:eastAsia="Times New Roman" w:hAnsi="Arial" w:cs="Arial"/>
          <w:sz w:val="20"/>
          <w:szCs w:val="20"/>
        </w:rPr>
        <w:t>e</w:t>
      </w:r>
      <w:r w:rsidRPr="003E22DB">
        <w:rPr>
          <w:rFonts w:ascii="Arial" w:eastAsia="Times New Roman" w:hAnsi="Arial" w:cs="Arial"/>
          <w:sz w:val="20"/>
          <w:szCs w:val="20"/>
        </w:rPr>
        <w:t xml:space="preserve"> awareness of the role and importance of</w:t>
      </w:r>
      <w:r w:rsidR="00AD20BD" w:rsidRPr="003E22DB">
        <w:rPr>
          <w:rFonts w:ascii="Arial" w:eastAsia="Times New Roman" w:hAnsi="Arial" w:cs="Arial"/>
          <w:sz w:val="20"/>
          <w:szCs w:val="20"/>
        </w:rPr>
        <w:t xml:space="preserve"> secure</w:t>
      </w:r>
      <w:r w:rsidRPr="003E22DB">
        <w:rPr>
          <w:rFonts w:ascii="Arial" w:eastAsia="Times New Roman" w:hAnsi="Arial" w:cs="Arial"/>
          <w:sz w:val="20"/>
          <w:szCs w:val="20"/>
        </w:rPr>
        <w:t xml:space="preserve"> infrastructure in support of secure trade and travel; and coordination of efforts to improve</w:t>
      </w:r>
      <w:r w:rsidR="00AC7122" w:rsidRPr="003E22DB">
        <w:rPr>
          <w:rFonts w:ascii="Arial" w:eastAsia="Times New Roman" w:hAnsi="Arial" w:cs="Arial"/>
          <w:sz w:val="20"/>
          <w:szCs w:val="20"/>
        </w:rPr>
        <w:t xml:space="preserve"> the security and resilience of</w:t>
      </w:r>
      <w:r w:rsidRPr="003E22DB">
        <w:rPr>
          <w:rFonts w:ascii="Arial" w:eastAsia="Times New Roman" w:hAnsi="Arial" w:cs="Arial"/>
          <w:sz w:val="20"/>
          <w:szCs w:val="20"/>
        </w:rPr>
        <w:t xml:space="preserve"> infrastructure </w:t>
      </w:r>
      <w:r w:rsidR="007020C0" w:rsidRPr="003E22DB">
        <w:rPr>
          <w:rFonts w:ascii="Arial" w:eastAsia="Times New Roman" w:hAnsi="Arial" w:cs="Arial"/>
          <w:sz w:val="20"/>
          <w:szCs w:val="20"/>
        </w:rPr>
        <w:t>and soft targets,</w:t>
      </w:r>
      <w:r w:rsidRPr="003E22DB">
        <w:rPr>
          <w:rFonts w:ascii="Arial" w:eastAsia="Times New Roman" w:hAnsi="Arial" w:cs="Arial"/>
          <w:sz w:val="20"/>
          <w:szCs w:val="20"/>
        </w:rPr>
        <w:t xml:space="preserve"> </w:t>
      </w:r>
      <w:r w:rsidR="00BB6BC5" w:rsidRPr="003E22DB">
        <w:rPr>
          <w:rFonts w:ascii="Arial" w:eastAsia="Times New Roman" w:hAnsi="Arial" w:cs="Arial"/>
          <w:sz w:val="20"/>
          <w:szCs w:val="20"/>
        </w:rPr>
        <w:t>in</w:t>
      </w:r>
      <w:r w:rsidRPr="003E22DB">
        <w:rPr>
          <w:rFonts w:ascii="Arial" w:eastAsia="Times New Roman" w:hAnsi="Arial" w:cs="Arial"/>
          <w:sz w:val="20"/>
          <w:szCs w:val="20"/>
        </w:rPr>
        <w:t xml:space="preserve">cluding in key sectors such as transportation, telecommunications, and energy. </w:t>
      </w:r>
      <w:r w:rsidR="004A28FF" w:rsidRPr="003E22DB">
        <w:rPr>
          <w:rFonts w:ascii="Arial" w:eastAsia="Times New Roman" w:hAnsi="Arial" w:cs="Arial"/>
          <w:sz w:val="20"/>
          <w:szCs w:val="20"/>
        </w:rPr>
        <w:t>Cross-for</w:t>
      </w:r>
      <w:r w:rsidR="007020C0" w:rsidRPr="003E22DB">
        <w:rPr>
          <w:rFonts w:ascii="Arial" w:eastAsia="Times New Roman" w:hAnsi="Arial" w:cs="Arial"/>
          <w:sz w:val="20"/>
          <w:szCs w:val="20"/>
        </w:rPr>
        <w:t>a collaboration and p</w:t>
      </w:r>
      <w:r w:rsidRPr="003E22DB">
        <w:rPr>
          <w:rFonts w:ascii="Arial" w:eastAsia="Times New Roman" w:hAnsi="Arial" w:cs="Arial"/>
          <w:sz w:val="20"/>
          <w:szCs w:val="20"/>
        </w:rPr>
        <w:t>artnership with the private sector, which owns and operates a significant share of critical infrastructure</w:t>
      </w:r>
      <w:r w:rsidR="007020C0" w:rsidRPr="003E22DB">
        <w:rPr>
          <w:rFonts w:ascii="Arial" w:eastAsia="Times New Roman" w:hAnsi="Arial" w:cs="Arial"/>
          <w:sz w:val="20"/>
          <w:szCs w:val="20"/>
        </w:rPr>
        <w:t xml:space="preserve"> and potential soft targets</w:t>
      </w:r>
      <w:r w:rsidRPr="003E22DB">
        <w:rPr>
          <w:rFonts w:ascii="Arial" w:eastAsia="Times New Roman" w:hAnsi="Arial" w:cs="Arial"/>
          <w:sz w:val="20"/>
          <w:szCs w:val="20"/>
        </w:rPr>
        <w:t xml:space="preserve"> in many APEC economies, and with multilateral organizations, will be important in such efforts</w:t>
      </w:r>
      <w:r w:rsidR="00E952D7">
        <w:rPr>
          <w:rFonts w:ascii="Arial" w:eastAsia="Times New Roman" w:hAnsi="Arial" w:cs="Arial"/>
          <w:sz w:val="20"/>
          <w:szCs w:val="20"/>
        </w:rPr>
        <w:t xml:space="preserve">. These efforts could complement work being done in other multilateral </w:t>
      </w:r>
      <w:r w:rsidR="00FF6BEF">
        <w:rPr>
          <w:rFonts w:ascii="Arial" w:eastAsia="Times New Roman" w:hAnsi="Arial" w:cs="Arial"/>
          <w:sz w:val="20"/>
          <w:szCs w:val="20"/>
        </w:rPr>
        <w:t>fora,</w:t>
      </w:r>
      <w:r w:rsidR="002814DA">
        <w:rPr>
          <w:rFonts w:ascii="Arial" w:eastAsia="Times New Roman" w:hAnsi="Arial" w:cs="Arial"/>
          <w:sz w:val="20"/>
          <w:szCs w:val="20"/>
        </w:rPr>
        <w:t xml:space="preserve"> </w:t>
      </w:r>
      <w:r w:rsidR="00E952D7">
        <w:rPr>
          <w:rFonts w:ascii="Arial" w:eastAsia="Times New Roman" w:hAnsi="Arial" w:cs="Arial"/>
          <w:sz w:val="20"/>
          <w:szCs w:val="20"/>
        </w:rPr>
        <w:t xml:space="preserve">such as the Global Counterterrorism Forum (GCTF), United Nations (UN), Organization of American States (OAS), and European Union (EU). </w:t>
      </w:r>
    </w:p>
    <w:p w14:paraId="3B0C336C" w14:textId="77777777" w:rsidR="002814DA" w:rsidRDefault="002814DA" w:rsidP="00F51E34">
      <w:pPr>
        <w:pStyle w:val="ColorfulList-Accent11"/>
        <w:spacing w:after="0" w:line="23" w:lineRule="atLeast"/>
        <w:ind w:left="1080"/>
        <w:jc w:val="both"/>
        <w:rPr>
          <w:rFonts w:ascii="Arial" w:hAnsi="Arial" w:cs="Arial"/>
          <w:sz w:val="20"/>
          <w:szCs w:val="20"/>
        </w:rPr>
      </w:pPr>
    </w:p>
    <w:p w14:paraId="78536033" w14:textId="71A0A5F9" w:rsidR="00EE1A23" w:rsidRPr="00A2494C" w:rsidRDefault="00EE1A23" w:rsidP="002B24D2">
      <w:pPr>
        <w:pStyle w:val="ColorfulList-Accent11"/>
        <w:spacing w:after="0" w:line="23" w:lineRule="atLeast"/>
        <w:ind w:left="284"/>
        <w:jc w:val="both"/>
        <w:rPr>
          <w:rFonts w:ascii="Arial" w:hAnsi="Arial" w:cs="Arial"/>
          <w:sz w:val="20"/>
          <w:szCs w:val="20"/>
        </w:rPr>
      </w:pPr>
      <w:r w:rsidRPr="00A2494C">
        <w:rPr>
          <w:rFonts w:ascii="Arial" w:hAnsi="Arial" w:cs="Arial"/>
          <w:sz w:val="20"/>
          <w:szCs w:val="20"/>
        </w:rPr>
        <w:t>TEL/SPSG will continue to lead cyber security efforts, which will include review of the APEC Cyber Security Strategy and the TEL Strategy to Ensure a Trusted, Secure and Sustainable Online Environment (TSSOE), as a basis for planning future APEC cyber-security activities.</w:t>
      </w:r>
    </w:p>
    <w:p w14:paraId="319E7DFD" w14:textId="77777777" w:rsidR="00EE1A23" w:rsidRPr="00A2494C" w:rsidRDefault="00EE1A23" w:rsidP="00F51E34">
      <w:pPr>
        <w:pStyle w:val="ColorfulList-Accent11"/>
        <w:spacing w:after="0" w:line="23" w:lineRule="atLeast"/>
        <w:ind w:left="0"/>
        <w:jc w:val="both"/>
        <w:rPr>
          <w:rFonts w:ascii="Arial" w:hAnsi="Arial" w:cs="Arial"/>
          <w:sz w:val="20"/>
          <w:szCs w:val="20"/>
        </w:rPr>
      </w:pPr>
    </w:p>
    <w:p w14:paraId="40737F9B" w14:textId="77777777" w:rsidR="002B24D2" w:rsidRDefault="002B24D2" w:rsidP="00F51E34">
      <w:pPr>
        <w:adjustRightInd w:val="0"/>
        <w:snapToGrid w:val="0"/>
        <w:spacing w:after="0" w:line="23" w:lineRule="atLeast"/>
        <w:ind w:right="432"/>
        <w:jc w:val="both"/>
        <w:rPr>
          <w:rStyle w:val="bodytext1"/>
          <w:b/>
          <w:i/>
          <w:sz w:val="20"/>
          <w:szCs w:val="20"/>
          <w:u w:val="single"/>
        </w:rPr>
      </w:pPr>
    </w:p>
    <w:p w14:paraId="6D5B6257" w14:textId="77777777" w:rsidR="002B24D2" w:rsidRDefault="002B24D2" w:rsidP="00F51E34">
      <w:pPr>
        <w:adjustRightInd w:val="0"/>
        <w:snapToGrid w:val="0"/>
        <w:spacing w:after="0" w:line="23" w:lineRule="atLeast"/>
        <w:ind w:right="432"/>
        <w:jc w:val="both"/>
        <w:rPr>
          <w:rStyle w:val="bodytext1"/>
          <w:b/>
          <w:i/>
          <w:sz w:val="20"/>
          <w:szCs w:val="20"/>
          <w:u w:val="single"/>
        </w:rPr>
      </w:pPr>
    </w:p>
    <w:p w14:paraId="1B16A8AD" w14:textId="77777777" w:rsidR="002B24D2" w:rsidRDefault="002B24D2" w:rsidP="00F51E34">
      <w:pPr>
        <w:adjustRightInd w:val="0"/>
        <w:snapToGrid w:val="0"/>
        <w:spacing w:after="0" w:line="23" w:lineRule="atLeast"/>
        <w:ind w:right="432"/>
        <w:jc w:val="both"/>
        <w:rPr>
          <w:rStyle w:val="bodytext1"/>
          <w:b/>
          <w:i/>
          <w:sz w:val="20"/>
          <w:szCs w:val="20"/>
          <w:u w:val="single"/>
        </w:rPr>
      </w:pPr>
    </w:p>
    <w:p w14:paraId="285422DC" w14:textId="3B6E26C9" w:rsidR="00EE1A23" w:rsidRDefault="00EE1A23" w:rsidP="00F51E34">
      <w:pPr>
        <w:adjustRightInd w:val="0"/>
        <w:snapToGrid w:val="0"/>
        <w:spacing w:after="0" w:line="23" w:lineRule="atLeast"/>
        <w:ind w:right="432"/>
        <w:jc w:val="both"/>
        <w:rPr>
          <w:rStyle w:val="bodytext1"/>
          <w:b/>
          <w:i/>
          <w:sz w:val="20"/>
          <w:szCs w:val="20"/>
          <w:u w:val="single"/>
        </w:rPr>
      </w:pPr>
      <w:r w:rsidRPr="00A2494C">
        <w:rPr>
          <w:rStyle w:val="bodytext1"/>
          <w:b/>
          <w:i/>
          <w:sz w:val="20"/>
          <w:szCs w:val="20"/>
          <w:u w:val="single"/>
        </w:rPr>
        <w:lastRenderedPageBreak/>
        <w:t>Enhancing Capacity Building with APEC</w:t>
      </w:r>
    </w:p>
    <w:p w14:paraId="0BD2B93A" w14:textId="77777777" w:rsidR="002B24D2" w:rsidRPr="00A2494C" w:rsidRDefault="002B24D2" w:rsidP="00F51E34">
      <w:pPr>
        <w:adjustRightInd w:val="0"/>
        <w:snapToGrid w:val="0"/>
        <w:spacing w:after="0" w:line="23" w:lineRule="atLeast"/>
        <w:ind w:right="432"/>
        <w:jc w:val="both"/>
        <w:rPr>
          <w:rStyle w:val="bodytext1"/>
          <w:b/>
          <w:i/>
          <w:sz w:val="20"/>
          <w:szCs w:val="20"/>
          <w:u w:val="single"/>
        </w:rPr>
      </w:pPr>
    </w:p>
    <w:p w14:paraId="3ECA247E" w14:textId="77777777" w:rsidR="00EE1A23" w:rsidRPr="00A2494C" w:rsidRDefault="00EE1A23" w:rsidP="002B24D2">
      <w:pPr>
        <w:tabs>
          <w:tab w:val="left" w:pos="6663"/>
        </w:tabs>
        <w:adjustRightInd w:val="0"/>
        <w:snapToGrid w:val="0"/>
        <w:spacing w:after="0" w:line="23" w:lineRule="atLeast"/>
        <w:ind w:right="-43"/>
        <w:jc w:val="both"/>
        <w:rPr>
          <w:rStyle w:val="bodytext1"/>
          <w:sz w:val="20"/>
          <w:szCs w:val="20"/>
        </w:rPr>
      </w:pPr>
      <w:r w:rsidRPr="00A2494C">
        <w:rPr>
          <w:rFonts w:ascii="Arial" w:hAnsi="Arial" w:cs="Arial"/>
          <w:sz w:val="20"/>
          <w:szCs w:val="20"/>
        </w:rPr>
        <w:t>Broad-based capacity building cooperation must be a central pillar of future APEC work on counter-terrorism and secure trade</w:t>
      </w:r>
      <w:r w:rsidRPr="00A2494C">
        <w:rPr>
          <w:rStyle w:val="bodytext1"/>
          <w:sz w:val="20"/>
          <w:szCs w:val="20"/>
        </w:rPr>
        <w:t xml:space="preserve"> and take account of the </w:t>
      </w:r>
      <w:r w:rsidRPr="00A2494C">
        <w:rPr>
          <w:rFonts w:ascii="Arial" w:hAnsi="Arial" w:cs="Arial"/>
          <w:sz w:val="20"/>
          <w:szCs w:val="20"/>
        </w:rPr>
        <w:t>variation in technical and financial capacit</w:t>
      </w:r>
      <w:r w:rsidR="003701E9" w:rsidRPr="00A2494C">
        <w:rPr>
          <w:rFonts w:ascii="Arial" w:hAnsi="Arial" w:cs="Arial"/>
          <w:sz w:val="20"/>
          <w:szCs w:val="20"/>
        </w:rPr>
        <w:t>ies</w:t>
      </w:r>
      <w:r w:rsidRPr="00A2494C">
        <w:rPr>
          <w:rFonts w:ascii="Arial" w:hAnsi="Arial" w:cs="Arial"/>
          <w:sz w:val="20"/>
          <w:szCs w:val="20"/>
        </w:rPr>
        <w:t xml:space="preserve"> among APEC member economies.</w:t>
      </w:r>
    </w:p>
    <w:p w14:paraId="6BE6D60E" w14:textId="77777777" w:rsidR="00EE1A23" w:rsidRPr="00A2494C" w:rsidRDefault="00EE1A23" w:rsidP="00F51E34">
      <w:pPr>
        <w:adjustRightInd w:val="0"/>
        <w:snapToGrid w:val="0"/>
        <w:spacing w:after="0" w:line="23" w:lineRule="atLeast"/>
        <w:ind w:right="432"/>
        <w:jc w:val="both"/>
        <w:rPr>
          <w:rStyle w:val="bodytext1"/>
          <w:sz w:val="20"/>
          <w:szCs w:val="20"/>
        </w:rPr>
      </w:pPr>
    </w:p>
    <w:p w14:paraId="11AEC097" w14:textId="760AEA43" w:rsidR="00EE1A23" w:rsidRPr="00A2494C" w:rsidRDefault="00EE1A23" w:rsidP="002B24D2">
      <w:pPr>
        <w:pStyle w:val="ColorfulList-Accent11"/>
        <w:numPr>
          <w:ilvl w:val="0"/>
          <w:numId w:val="2"/>
        </w:numPr>
        <w:spacing w:after="0" w:line="23" w:lineRule="atLeast"/>
        <w:ind w:left="426" w:hanging="284"/>
        <w:jc w:val="both"/>
        <w:rPr>
          <w:rFonts w:ascii="Arial" w:hAnsi="Arial" w:cs="Arial"/>
          <w:sz w:val="20"/>
          <w:szCs w:val="20"/>
        </w:rPr>
      </w:pPr>
      <w:r w:rsidRPr="00A2494C">
        <w:rPr>
          <w:rFonts w:ascii="Arial" w:hAnsi="Arial" w:cs="Arial"/>
          <w:sz w:val="20"/>
          <w:szCs w:val="20"/>
          <w:u w:val="single"/>
        </w:rPr>
        <w:t>New approaches</w:t>
      </w:r>
      <w:r w:rsidRPr="00A2494C">
        <w:rPr>
          <w:rFonts w:ascii="Arial" w:hAnsi="Arial" w:cs="Arial"/>
          <w:sz w:val="20"/>
          <w:szCs w:val="20"/>
        </w:rPr>
        <w:t xml:space="preserve">. APEC will continue to raise regional awareness and facilitate cooperation on economic-related security issues facing the Asia-Pacific region through workshops and information exchange. At the same time, APEC will explore and encourage innovative approaches for effective, sustained capacity building.  These approaches could include </w:t>
      </w:r>
      <w:r w:rsidRPr="00A2494C">
        <w:rPr>
          <w:rFonts w:ascii="Arial" w:hAnsi="Arial" w:cs="Arial"/>
          <w:sz w:val="20"/>
          <w:szCs w:val="20"/>
          <w:lang w:eastAsia="ja-JP"/>
        </w:rPr>
        <w:t xml:space="preserve">training courses, </w:t>
      </w:r>
      <w:r w:rsidRPr="00A2494C">
        <w:rPr>
          <w:rFonts w:ascii="Arial" w:hAnsi="Arial" w:cs="Arial"/>
          <w:sz w:val="20"/>
          <w:szCs w:val="20"/>
        </w:rPr>
        <w:t xml:space="preserve">pilot projects for capacity-enhancing tools and technologies, exchange and mentoring programs, </w:t>
      </w:r>
      <w:r w:rsidR="00AE3E0C" w:rsidRPr="005C15BE">
        <w:rPr>
          <w:rFonts w:ascii="Arial" w:hAnsi="Arial" w:cs="Arial"/>
          <w:sz w:val="20"/>
          <w:szCs w:val="20"/>
        </w:rPr>
        <w:t xml:space="preserve">a </w:t>
      </w:r>
      <w:r w:rsidR="00597A08" w:rsidRPr="005C15BE">
        <w:rPr>
          <w:rFonts w:ascii="Arial" w:hAnsi="Arial" w:cs="Arial"/>
          <w:sz w:val="20"/>
          <w:szCs w:val="20"/>
        </w:rPr>
        <w:t xml:space="preserve">practitioners’ network, </w:t>
      </w:r>
      <w:r w:rsidRPr="005C15BE">
        <w:rPr>
          <w:rFonts w:ascii="Arial" w:hAnsi="Arial" w:cs="Arial"/>
          <w:sz w:val="20"/>
          <w:szCs w:val="20"/>
        </w:rPr>
        <w:t>and practical exercises that could p</w:t>
      </w:r>
      <w:r w:rsidRPr="00525E47">
        <w:rPr>
          <w:rFonts w:ascii="Arial" w:hAnsi="Arial" w:cs="Arial"/>
          <w:sz w:val="20"/>
          <w:szCs w:val="20"/>
        </w:rPr>
        <w:t xml:space="preserve">rovide customized and in-depth capacity building </w:t>
      </w:r>
      <w:r w:rsidRPr="00A2494C">
        <w:rPr>
          <w:rFonts w:ascii="Arial" w:hAnsi="Arial" w:cs="Arial"/>
          <w:sz w:val="20"/>
          <w:szCs w:val="20"/>
        </w:rPr>
        <w:t xml:space="preserve">assistance.  </w:t>
      </w:r>
    </w:p>
    <w:p w14:paraId="781F0ABD" w14:textId="77777777" w:rsidR="00EE1A23" w:rsidRPr="00A2494C" w:rsidRDefault="00EE1A23" w:rsidP="00F51E34">
      <w:pPr>
        <w:pStyle w:val="ColorfulList-Accent11"/>
        <w:adjustRightInd w:val="0"/>
        <w:snapToGrid w:val="0"/>
        <w:spacing w:after="0" w:line="23" w:lineRule="atLeast"/>
        <w:ind w:left="360" w:right="432"/>
        <w:jc w:val="both"/>
        <w:rPr>
          <w:rFonts w:ascii="Arial" w:hAnsi="Arial" w:cs="Arial"/>
          <w:sz w:val="20"/>
          <w:szCs w:val="20"/>
          <w:highlight w:val="yellow"/>
        </w:rPr>
      </w:pPr>
    </w:p>
    <w:p w14:paraId="59EBE31A" w14:textId="77777777" w:rsidR="00EE1A23" w:rsidRPr="00A2494C" w:rsidRDefault="00EE1A23" w:rsidP="002B24D2">
      <w:pPr>
        <w:pStyle w:val="ColorfulList-Accent11"/>
        <w:numPr>
          <w:ilvl w:val="0"/>
          <w:numId w:val="2"/>
        </w:numPr>
        <w:spacing w:after="0" w:line="23" w:lineRule="atLeast"/>
        <w:ind w:left="426" w:hanging="284"/>
        <w:jc w:val="both"/>
        <w:rPr>
          <w:rFonts w:ascii="Arial" w:hAnsi="Arial" w:cs="Arial"/>
          <w:sz w:val="20"/>
          <w:szCs w:val="20"/>
        </w:rPr>
      </w:pPr>
      <w:r w:rsidRPr="00A2494C">
        <w:rPr>
          <w:rFonts w:ascii="Arial" w:hAnsi="Arial" w:cs="Arial"/>
          <w:sz w:val="20"/>
          <w:szCs w:val="20"/>
          <w:u w:val="single"/>
        </w:rPr>
        <w:t>Multi-stage, multi-year initiatives</w:t>
      </w:r>
      <w:r w:rsidRPr="00A2494C">
        <w:rPr>
          <w:rFonts w:ascii="Arial" w:hAnsi="Arial" w:cs="Arial"/>
          <w:sz w:val="20"/>
          <w:szCs w:val="20"/>
        </w:rPr>
        <w:t xml:space="preserve">. With the introduction of multi-year project funding in the APEC process, relevant APEC sub-fora should explore development of longer-term, multi-stage security initiatives that will foster capacity building cooperation in a more strategic manner.  Such multi-year efforts can provide an excellent opportunity to leverage the collective expertise of the various APEC sub-fora to address issues of common concern.   </w:t>
      </w:r>
    </w:p>
    <w:p w14:paraId="497452C2" w14:textId="77777777" w:rsidR="00EE1A23" w:rsidRDefault="00EE1A23" w:rsidP="00F51E34">
      <w:pPr>
        <w:pStyle w:val="ColorfulList-Accent11"/>
        <w:jc w:val="both"/>
        <w:rPr>
          <w:rFonts w:ascii="Arial" w:hAnsi="Arial" w:cs="Arial"/>
          <w:b/>
          <w:i/>
          <w:sz w:val="20"/>
          <w:szCs w:val="20"/>
        </w:rPr>
      </w:pPr>
    </w:p>
    <w:p w14:paraId="0E97AF0D" w14:textId="12B9211D" w:rsidR="00EE1A23" w:rsidRDefault="00EE1A23" w:rsidP="00F51E34">
      <w:pPr>
        <w:adjustRightInd w:val="0"/>
        <w:snapToGrid w:val="0"/>
        <w:spacing w:after="0" w:line="23" w:lineRule="atLeast"/>
        <w:ind w:right="432"/>
        <w:jc w:val="both"/>
        <w:rPr>
          <w:rFonts w:ascii="Arial" w:hAnsi="Arial" w:cs="Arial"/>
          <w:b/>
          <w:i/>
          <w:sz w:val="20"/>
          <w:szCs w:val="20"/>
          <w:u w:val="single"/>
        </w:rPr>
      </w:pPr>
      <w:r w:rsidRPr="00A2494C">
        <w:rPr>
          <w:rFonts w:ascii="Arial" w:hAnsi="Arial" w:cs="Arial"/>
          <w:b/>
          <w:i/>
          <w:sz w:val="20"/>
          <w:szCs w:val="20"/>
          <w:u w:val="single"/>
        </w:rPr>
        <w:t xml:space="preserve">Enhancing Mechanisms to Promote Comprehensive Cooperation and Coordination </w:t>
      </w:r>
    </w:p>
    <w:p w14:paraId="63381539" w14:textId="77777777" w:rsidR="002B24D2" w:rsidRPr="00A2494C" w:rsidRDefault="002B24D2" w:rsidP="00F51E34">
      <w:pPr>
        <w:adjustRightInd w:val="0"/>
        <w:snapToGrid w:val="0"/>
        <w:spacing w:after="0" w:line="23" w:lineRule="atLeast"/>
        <w:ind w:right="432"/>
        <w:jc w:val="both"/>
        <w:rPr>
          <w:rFonts w:ascii="Arial" w:hAnsi="Arial" w:cs="Arial"/>
          <w:b/>
          <w:i/>
          <w:sz w:val="20"/>
          <w:szCs w:val="20"/>
          <w:u w:val="single"/>
        </w:rPr>
      </w:pPr>
    </w:p>
    <w:p w14:paraId="1F4D6014" w14:textId="5BC48491" w:rsidR="00EE1A23" w:rsidRPr="00E952D7" w:rsidRDefault="00EE1A23" w:rsidP="00E952D7">
      <w:pPr>
        <w:spacing w:after="0" w:line="23" w:lineRule="atLeast"/>
        <w:jc w:val="both"/>
        <w:rPr>
          <w:rFonts w:ascii="Arial" w:hAnsi="Arial" w:cs="Arial"/>
          <w:sz w:val="20"/>
          <w:szCs w:val="20"/>
        </w:rPr>
      </w:pPr>
      <w:r w:rsidRPr="00A2494C">
        <w:rPr>
          <w:rFonts w:ascii="Arial" w:hAnsi="Arial" w:cs="Arial"/>
          <w:sz w:val="20"/>
          <w:szCs w:val="20"/>
        </w:rPr>
        <w:t>APEC will seek to promote comprehensive and coordinated approaches to securing commerce and critical infrastructure, both among economies and among agencies within</w:t>
      </w:r>
      <w:r w:rsidR="00B76EBB" w:rsidRPr="00A2494C">
        <w:rPr>
          <w:rFonts w:ascii="Arial" w:hAnsi="Arial" w:cs="Arial"/>
          <w:sz w:val="20"/>
          <w:szCs w:val="20"/>
        </w:rPr>
        <w:t xml:space="preserve"> </w:t>
      </w:r>
      <w:r w:rsidRPr="00A2494C">
        <w:rPr>
          <w:rFonts w:ascii="Arial" w:hAnsi="Arial" w:cs="Arial"/>
          <w:sz w:val="20"/>
          <w:szCs w:val="20"/>
        </w:rPr>
        <w:t xml:space="preserve">economies.  For example, APEC sub-fora could promote coordinated border management to safeguard economies against dangerous goods and individuals. This could leverage efforts to identify and develop initiatives that improve border management across the region.  Additionally, the TPTWG could </w:t>
      </w:r>
      <w:r w:rsidR="00DA2763">
        <w:rPr>
          <w:rFonts w:ascii="Arial" w:hAnsi="Arial" w:cs="Arial"/>
          <w:sz w:val="20"/>
          <w:szCs w:val="20"/>
        </w:rPr>
        <w:t xml:space="preserve">assist, </w:t>
      </w:r>
      <w:r w:rsidRPr="00A2494C">
        <w:rPr>
          <w:rFonts w:ascii="Arial" w:hAnsi="Arial" w:cs="Arial"/>
          <w:sz w:val="20"/>
          <w:szCs w:val="20"/>
        </w:rPr>
        <w:t>coordinate</w:t>
      </w:r>
      <w:r w:rsidR="00DA2763">
        <w:rPr>
          <w:rFonts w:ascii="Arial" w:hAnsi="Arial" w:cs="Arial"/>
          <w:sz w:val="20"/>
          <w:szCs w:val="20"/>
        </w:rPr>
        <w:t xml:space="preserve">, and collaborate </w:t>
      </w:r>
      <w:r w:rsidRPr="00A2494C">
        <w:rPr>
          <w:rFonts w:ascii="Arial" w:hAnsi="Arial" w:cs="Arial"/>
          <w:sz w:val="20"/>
          <w:szCs w:val="20"/>
        </w:rPr>
        <w:t xml:space="preserve">with other sub-fora and the private sector to foster cooperation on supply chain security. </w:t>
      </w:r>
      <w:r w:rsidR="001D3DB7" w:rsidRPr="00A2494C">
        <w:rPr>
          <w:rFonts w:ascii="Arial" w:hAnsi="Arial" w:cs="Arial"/>
          <w:sz w:val="20"/>
          <w:szCs w:val="20"/>
        </w:rPr>
        <w:t>Similarly, APEC could help coordinate efforts to address terrorist financing and money laundering threats associated with cross-border trade (trade-based money laundering</w:t>
      </w:r>
      <w:r w:rsidR="00FF6BEF">
        <w:rPr>
          <w:rFonts w:ascii="Arial" w:hAnsi="Arial" w:cs="Arial"/>
          <w:sz w:val="20"/>
          <w:szCs w:val="20"/>
        </w:rPr>
        <w:t>)</w:t>
      </w:r>
      <w:r w:rsidR="00E952D7">
        <w:rPr>
          <w:rFonts w:ascii="Arial" w:hAnsi="Arial" w:cs="Arial"/>
          <w:sz w:val="20"/>
          <w:szCs w:val="20"/>
        </w:rPr>
        <w:t>.</w:t>
      </w:r>
      <w:r w:rsidR="00472D6E" w:rsidRPr="00E952D7">
        <w:rPr>
          <w:rFonts w:ascii="Arial" w:hAnsi="Arial" w:cs="Arial"/>
          <w:sz w:val="20"/>
          <w:szCs w:val="20"/>
        </w:rPr>
        <w:t xml:space="preserve"> </w:t>
      </w:r>
    </w:p>
    <w:p w14:paraId="1510A032" w14:textId="77777777" w:rsidR="003E22DB" w:rsidRDefault="003E22DB" w:rsidP="00F51E34">
      <w:pPr>
        <w:adjustRightInd w:val="0"/>
        <w:snapToGrid w:val="0"/>
        <w:spacing w:after="0" w:line="23" w:lineRule="atLeast"/>
        <w:jc w:val="both"/>
        <w:rPr>
          <w:rFonts w:ascii="Arial" w:hAnsi="Arial" w:cs="Arial"/>
          <w:sz w:val="20"/>
          <w:szCs w:val="20"/>
        </w:rPr>
      </w:pPr>
    </w:p>
    <w:p w14:paraId="766BAF83" w14:textId="25A74E9F" w:rsidR="00EE1A23" w:rsidRPr="005C15BE" w:rsidRDefault="00EE1A23" w:rsidP="00F51E34">
      <w:pPr>
        <w:adjustRightInd w:val="0"/>
        <w:snapToGrid w:val="0"/>
        <w:spacing w:after="0" w:line="23" w:lineRule="atLeast"/>
        <w:jc w:val="both"/>
        <w:rPr>
          <w:rFonts w:ascii="Arial" w:hAnsi="Arial" w:cs="Arial"/>
          <w:sz w:val="20"/>
          <w:szCs w:val="20"/>
        </w:rPr>
      </w:pPr>
      <w:r w:rsidRPr="005C15BE">
        <w:rPr>
          <w:rFonts w:ascii="Arial" w:hAnsi="Arial" w:cs="Arial"/>
          <w:sz w:val="20"/>
          <w:szCs w:val="20"/>
        </w:rPr>
        <w:t>APEC economies will work to strengthen APEC processes for facilitating cooperation and coordination among relevant sub-fora on counter-terrorism and secure trade</w:t>
      </w:r>
      <w:r w:rsidR="004A28FF" w:rsidRPr="005C15BE">
        <w:rPr>
          <w:rFonts w:ascii="Arial" w:hAnsi="Arial" w:cs="Arial"/>
          <w:sz w:val="20"/>
          <w:szCs w:val="20"/>
        </w:rPr>
        <w:t xml:space="preserve"> and travel</w:t>
      </w:r>
      <w:r w:rsidR="001D3DB7" w:rsidRPr="005C15BE">
        <w:rPr>
          <w:rFonts w:ascii="Arial" w:hAnsi="Arial" w:cs="Arial"/>
          <w:sz w:val="20"/>
          <w:szCs w:val="20"/>
        </w:rPr>
        <w:t>, taking into consideration scheduling and budgetary constraints</w:t>
      </w:r>
      <w:r w:rsidR="00B76EBB" w:rsidRPr="005C15BE">
        <w:rPr>
          <w:rFonts w:ascii="Arial" w:hAnsi="Arial" w:cs="Arial"/>
          <w:sz w:val="20"/>
          <w:szCs w:val="20"/>
        </w:rPr>
        <w:t>.</w:t>
      </w:r>
      <w:r w:rsidRPr="005C15BE">
        <w:rPr>
          <w:rFonts w:ascii="Arial" w:hAnsi="Arial" w:cs="Arial"/>
          <w:sz w:val="20"/>
          <w:szCs w:val="20"/>
        </w:rPr>
        <w:t xml:space="preserve"> This effort could include regular exchange of briefings by sub-fora chairs and reports on meeting outcomes and key initiatives; convening joint meetings; and pursuing joint projects. </w:t>
      </w:r>
    </w:p>
    <w:p w14:paraId="1C392309" w14:textId="77777777" w:rsidR="00EE1A23" w:rsidRPr="005C15BE" w:rsidRDefault="00EE1A23" w:rsidP="00F51E34">
      <w:pPr>
        <w:adjustRightInd w:val="0"/>
        <w:snapToGrid w:val="0"/>
        <w:spacing w:after="0" w:line="23" w:lineRule="atLeast"/>
        <w:jc w:val="both"/>
        <w:rPr>
          <w:rFonts w:ascii="Arial" w:hAnsi="Arial" w:cs="Arial"/>
          <w:sz w:val="20"/>
          <w:szCs w:val="20"/>
        </w:rPr>
      </w:pPr>
    </w:p>
    <w:p w14:paraId="5701E038" w14:textId="41590495" w:rsidR="00EE1A23" w:rsidRPr="005C15BE" w:rsidRDefault="00EE1A23" w:rsidP="00F51E34">
      <w:pPr>
        <w:spacing w:after="0" w:line="23" w:lineRule="atLeast"/>
        <w:jc w:val="both"/>
        <w:rPr>
          <w:rFonts w:ascii="Arial" w:hAnsi="Arial" w:cs="Arial"/>
          <w:sz w:val="20"/>
          <w:szCs w:val="20"/>
        </w:rPr>
      </w:pPr>
      <w:r w:rsidRPr="005C15BE">
        <w:rPr>
          <w:rFonts w:ascii="Arial" w:hAnsi="Arial" w:cs="Arial"/>
          <w:sz w:val="20"/>
          <w:szCs w:val="20"/>
        </w:rPr>
        <w:t xml:space="preserve">To assist in planning APEC-wide </w:t>
      </w:r>
      <w:r w:rsidR="004F5E4D" w:rsidRPr="005C15BE">
        <w:rPr>
          <w:rFonts w:ascii="Arial" w:hAnsi="Arial" w:cs="Arial"/>
          <w:sz w:val="20"/>
          <w:szCs w:val="20"/>
        </w:rPr>
        <w:t xml:space="preserve">and joint </w:t>
      </w:r>
      <w:r w:rsidRPr="005C15BE">
        <w:rPr>
          <w:rFonts w:ascii="Arial" w:hAnsi="Arial" w:cs="Arial"/>
          <w:sz w:val="20"/>
          <w:szCs w:val="20"/>
        </w:rPr>
        <w:t>activities,</w:t>
      </w:r>
      <w:r w:rsidR="004F5E4D" w:rsidRPr="005C15BE">
        <w:rPr>
          <w:rFonts w:ascii="Arial" w:hAnsi="Arial" w:cs="Arial"/>
          <w:sz w:val="20"/>
          <w:szCs w:val="20"/>
        </w:rPr>
        <w:t xml:space="preserve"> including capacity building projects,</w:t>
      </w:r>
      <w:r w:rsidRPr="005C15BE">
        <w:rPr>
          <w:rFonts w:ascii="Arial" w:hAnsi="Arial" w:cs="Arial"/>
          <w:sz w:val="20"/>
          <w:szCs w:val="20"/>
        </w:rPr>
        <w:t xml:space="preserve"> sub-fora will strengthen cooperation to identify current and emerging counter</w:t>
      </w:r>
      <w:r w:rsidR="003701E9" w:rsidRPr="005C15BE">
        <w:rPr>
          <w:rFonts w:ascii="Arial" w:hAnsi="Arial" w:cs="Arial"/>
          <w:sz w:val="20"/>
          <w:szCs w:val="20"/>
        </w:rPr>
        <w:t>-</w:t>
      </w:r>
      <w:r w:rsidRPr="005C15BE">
        <w:rPr>
          <w:rFonts w:ascii="Arial" w:hAnsi="Arial" w:cs="Arial"/>
          <w:sz w:val="20"/>
          <w:szCs w:val="20"/>
        </w:rPr>
        <w:t>terrorism and secure trade issues facing the region, and areas where sub-fora interests and efforts converge</w:t>
      </w:r>
      <w:r w:rsidR="003A2F32" w:rsidRPr="005C15BE">
        <w:rPr>
          <w:rFonts w:ascii="Arial" w:hAnsi="Arial" w:cs="Arial"/>
          <w:sz w:val="20"/>
          <w:szCs w:val="20"/>
        </w:rPr>
        <w:t>, by presenting their work</w:t>
      </w:r>
      <w:r w:rsidR="004F5E4D" w:rsidRPr="005C15BE">
        <w:rPr>
          <w:rFonts w:ascii="Arial" w:hAnsi="Arial" w:cs="Arial"/>
          <w:sz w:val="20"/>
          <w:szCs w:val="20"/>
        </w:rPr>
        <w:t xml:space="preserve"> and strategic</w:t>
      </w:r>
      <w:r w:rsidR="003A2F32" w:rsidRPr="005C15BE">
        <w:rPr>
          <w:rFonts w:ascii="Arial" w:hAnsi="Arial" w:cs="Arial"/>
          <w:sz w:val="20"/>
          <w:szCs w:val="20"/>
        </w:rPr>
        <w:t xml:space="preserve"> plans and activity reports to other APEC sub-fora</w:t>
      </w:r>
      <w:r w:rsidRPr="005C15BE">
        <w:rPr>
          <w:rFonts w:ascii="Arial" w:hAnsi="Arial" w:cs="Arial"/>
          <w:sz w:val="20"/>
          <w:szCs w:val="20"/>
        </w:rPr>
        <w:t xml:space="preserve">. This enhanced cooperation should include augmenting the use of the </w:t>
      </w:r>
      <w:r w:rsidR="002B24D2">
        <w:rPr>
          <w:rFonts w:ascii="Arial" w:hAnsi="Arial" w:cs="Arial"/>
          <w:sz w:val="20"/>
          <w:szCs w:val="20"/>
        </w:rPr>
        <w:t>bi</w:t>
      </w:r>
      <w:r w:rsidRPr="005C15BE">
        <w:rPr>
          <w:rFonts w:ascii="Arial" w:hAnsi="Arial" w:cs="Arial"/>
          <w:sz w:val="20"/>
          <w:szCs w:val="20"/>
        </w:rPr>
        <w:t>annually-submitted Counter</w:t>
      </w:r>
      <w:r w:rsidR="003701E9" w:rsidRPr="005C15BE">
        <w:rPr>
          <w:rFonts w:ascii="Arial" w:hAnsi="Arial" w:cs="Arial"/>
          <w:sz w:val="20"/>
          <w:szCs w:val="20"/>
        </w:rPr>
        <w:t>-</w:t>
      </w:r>
      <w:r w:rsidRPr="005C15BE">
        <w:rPr>
          <w:rFonts w:ascii="Arial" w:hAnsi="Arial" w:cs="Arial"/>
          <w:sz w:val="20"/>
          <w:szCs w:val="20"/>
        </w:rPr>
        <w:t>Terrorism Action Plans</w:t>
      </w:r>
      <w:r w:rsidR="00AF30F3" w:rsidRPr="005C15BE">
        <w:rPr>
          <w:rFonts w:ascii="Arial" w:hAnsi="Arial" w:cs="Arial"/>
          <w:sz w:val="20"/>
          <w:szCs w:val="20"/>
        </w:rPr>
        <w:t xml:space="preserve"> </w:t>
      </w:r>
      <w:r w:rsidRPr="005C15BE">
        <w:rPr>
          <w:rFonts w:ascii="Arial" w:hAnsi="Arial" w:cs="Arial"/>
          <w:sz w:val="20"/>
          <w:szCs w:val="20"/>
        </w:rPr>
        <w:t xml:space="preserve">as a key tool for progress assessment, identification of gaps in member economies’ counter-terrorism capacity, and activity planning.  </w:t>
      </w:r>
    </w:p>
    <w:p w14:paraId="7E0396E9" w14:textId="77777777" w:rsidR="00EE1A23" w:rsidRPr="00A2494C" w:rsidRDefault="00EE1A23" w:rsidP="00F51E34">
      <w:pPr>
        <w:adjustRightInd w:val="0"/>
        <w:snapToGrid w:val="0"/>
        <w:spacing w:after="0" w:line="23" w:lineRule="atLeast"/>
        <w:jc w:val="both"/>
        <w:rPr>
          <w:rFonts w:ascii="Arial" w:hAnsi="Arial" w:cs="Arial"/>
          <w:sz w:val="20"/>
          <w:szCs w:val="20"/>
        </w:rPr>
      </w:pPr>
    </w:p>
    <w:p w14:paraId="6AC16F4A" w14:textId="77777777" w:rsidR="00EE1A23" w:rsidRPr="00A2494C" w:rsidRDefault="00EE1A23" w:rsidP="00F51E34">
      <w:pPr>
        <w:adjustRightInd w:val="0"/>
        <w:snapToGrid w:val="0"/>
        <w:spacing w:after="0" w:line="23" w:lineRule="atLeast"/>
        <w:jc w:val="both"/>
        <w:rPr>
          <w:rFonts w:ascii="Arial" w:hAnsi="Arial" w:cs="Arial"/>
          <w:sz w:val="20"/>
          <w:szCs w:val="20"/>
        </w:rPr>
      </w:pPr>
      <w:r w:rsidRPr="00A2494C">
        <w:rPr>
          <w:rFonts w:ascii="Arial" w:hAnsi="Arial" w:cs="Arial"/>
          <w:sz w:val="20"/>
          <w:szCs w:val="20"/>
        </w:rPr>
        <w:t xml:space="preserve">Relevant APEC sub-fora will work to enhance cooperation with the private sector on counter-terrorism and secure trade.  </w:t>
      </w:r>
      <w:r w:rsidRPr="00A2494C">
        <w:rPr>
          <w:rStyle w:val="bodytext1"/>
          <w:sz w:val="20"/>
          <w:szCs w:val="20"/>
        </w:rPr>
        <w:t xml:space="preserve">As the primary conductors of economic activity, the private sector has a vital role to play in helping economies in this effort and in APEC’s security-related efforts to </w:t>
      </w:r>
      <w:r w:rsidR="001D3DB7" w:rsidRPr="00A2494C">
        <w:rPr>
          <w:rStyle w:val="bodytext1"/>
          <w:sz w:val="20"/>
          <w:szCs w:val="20"/>
        </w:rPr>
        <w:t xml:space="preserve">support </w:t>
      </w:r>
      <w:r w:rsidRPr="00A2494C">
        <w:rPr>
          <w:rStyle w:val="bodytext1"/>
          <w:sz w:val="20"/>
          <w:szCs w:val="20"/>
        </w:rPr>
        <w:t xml:space="preserve">APEC’s core mission of promoting economic growth and prosperity in the Asia-Pacific region.  </w:t>
      </w:r>
      <w:r w:rsidRPr="00A2494C">
        <w:rPr>
          <w:rFonts w:ascii="Arial" w:hAnsi="Arial" w:cs="Arial"/>
          <w:sz w:val="20"/>
          <w:szCs w:val="20"/>
        </w:rPr>
        <w:t xml:space="preserve">Additionally, APEC sub-fora will seek to foster robust and regular engagement with relevant multilateral organizations to understand the </w:t>
      </w:r>
      <w:r w:rsidR="00BA175E" w:rsidRPr="00A2494C">
        <w:rPr>
          <w:rFonts w:ascii="Arial" w:hAnsi="Arial" w:cs="Arial"/>
          <w:sz w:val="20"/>
          <w:szCs w:val="20"/>
        </w:rPr>
        <w:t xml:space="preserve">regional and </w:t>
      </w:r>
      <w:r w:rsidRPr="00A2494C">
        <w:rPr>
          <w:rFonts w:ascii="Arial" w:hAnsi="Arial" w:cs="Arial"/>
          <w:sz w:val="20"/>
          <w:szCs w:val="20"/>
        </w:rPr>
        <w:t>global context within which they are operating,</w:t>
      </w:r>
      <w:r w:rsidR="00BA175E" w:rsidRPr="00A2494C">
        <w:rPr>
          <w:rFonts w:ascii="Arial" w:hAnsi="Arial" w:cs="Arial"/>
          <w:sz w:val="20"/>
          <w:szCs w:val="20"/>
        </w:rPr>
        <w:t xml:space="preserve"> coordinate efforts and</w:t>
      </w:r>
      <w:r w:rsidRPr="00A2494C">
        <w:rPr>
          <w:rFonts w:ascii="Arial" w:hAnsi="Arial" w:cs="Arial"/>
          <w:sz w:val="20"/>
          <w:szCs w:val="20"/>
        </w:rPr>
        <w:t xml:space="preserve"> avoid unnecessary duplication, and share lessons learned from efforts conducted elsewhere that could be applicable to the Asia-Pacific region. </w:t>
      </w:r>
    </w:p>
    <w:p w14:paraId="19D75376" w14:textId="77777777" w:rsidR="00EE1A23" w:rsidRPr="00A2494C" w:rsidRDefault="00EE1A23" w:rsidP="00F51E34">
      <w:pPr>
        <w:adjustRightInd w:val="0"/>
        <w:snapToGrid w:val="0"/>
        <w:spacing w:after="0" w:line="23" w:lineRule="atLeast"/>
        <w:jc w:val="both"/>
        <w:rPr>
          <w:rFonts w:ascii="Arial" w:hAnsi="Arial" w:cs="Arial"/>
          <w:sz w:val="20"/>
          <w:szCs w:val="20"/>
        </w:rPr>
      </w:pPr>
    </w:p>
    <w:p w14:paraId="74A986B8" w14:textId="6E7B5EC5" w:rsidR="00EE1A23" w:rsidRDefault="00EE1A23" w:rsidP="00F51E34">
      <w:pPr>
        <w:spacing w:after="0" w:line="23" w:lineRule="atLeast"/>
        <w:jc w:val="both"/>
        <w:rPr>
          <w:rFonts w:ascii="Arial" w:hAnsi="Arial" w:cs="Arial"/>
          <w:sz w:val="20"/>
          <w:szCs w:val="20"/>
        </w:rPr>
      </w:pPr>
      <w:r w:rsidRPr="005C15BE">
        <w:rPr>
          <w:rFonts w:ascii="Arial" w:hAnsi="Arial" w:cs="Arial"/>
          <w:sz w:val="20"/>
          <w:szCs w:val="20"/>
        </w:rPr>
        <w:t xml:space="preserve">Working with annual APEC hosts and the APEC Secretariat, members of the relevant APEC </w:t>
      </w:r>
      <w:r w:rsidR="003701E9" w:rsidRPr="005C15BE">
        <w:rPr>
          <w:rFonts w:ascii="Arial" w:hAnsi="Arial" w:cs="Arial"/>
          <w:sz w:val="20"/>
          <w:szCs w:val="20"/>
        </w:rPr>
        <w:t>sub-</w:t>
      </w:r>
      <w:r w:rsidRPr="005C15BE">
        <w:rPr>
          <w:rFonts w:ascii="Arial" w:hAnsi="Arial" w:cs="Arial"/>
          <w:sz w:val="20"/>
          <w:szCs w:val="20"/>
        </w:rPr>
        <w:t>fora should endeavor to meet</w:t>
      </w:r>
      <w:r w:rsidR="00B76EBB" w:rsidRPr="005C15BE">
        <w:rPr>
          <w:rFonts w:ascii="Arial" w:hAnsi="Arial" w:cs="Arial"/>
          <w:sz w:val="20"/>
          <w:szCs w:val="20"/>
        </w:rPr>
        <w:t xml:space="preserve"> together </w:t>
      </w:r>
      <w:r w:rsidRPr="005C15BE">
        <w:rPr>
          <w:rFonts w:ascii="Arial" w:hAnsi="Arial" w:cs="Arial"/>
          <w:sz w:val="20"/>
          <w:szCs w:val="20"/>
        </w:rPr>
        <w:t xml:space="preserve">at least once per year to consider current and emerging challenges collectively, review progress on initiatives, exchange ideas and experiences, and coordinate efforts going forward. Such a meeting would include participation from relevant multilateral organizations and the private sector. To this end, the </w:t>
      </w:r>
      <w:r w:rsidR="00BE7058" w:rsidRPr="005C15BE">
        <w:rPr>
          <w:rFonts w:ascii="Arial" w:hAnsi="Arial" w:cs="Arial"/>
          <w:sz w:val="20"/>
          <w:szCs w:val="20"/>
        </w:rPr>
        <w:t>CTWG</w:t>
      </w:r>
      <w:r w:rsidR="00B76EBB" w:rsidRPr="005C15BE">
        <w:rPr>
          <w:rFonts w:ascii="Arial" w:hAnsi="Arial" w:cs="Arial"/>
          <w:sz w:val="20"/>
          <w:szCs w:val="20"/>
        </w:rPr>
        <w:t xml:space="preserve"> </w:t>
      </w:r>
      <w:r w:rsidRPr="005C15BE">
        <w:rPr>
          <w:rFonts w:ascii="Arial" w:hAnsi="Arial" w:cs="Arial"/>
          <w:sz w:val="20"/>
          <w:szCs w:val="20"/>
        </w:rPr>
        <w:t xml:space="preserve">will explore </w:t>
      </w:r>
      <w:r w:rsidR="00B76EBB" w:rsidRPr="005C15BE">
        <w:rPr>
          <w:rFonts w:ascii="Arial" w:hAnsi="Arial" w:cs="Arial"/>
          <w:sz w:val="20"/>
          <w:szCs w:val="20"/>
        </w:rPr>
        <w:t>ways</w:t>
      </w:r>
      <w:r w:rsidRPr="005C15BE">
        <w:rPr>
          <w:rFonts w:ascii="Arial" w:hAnsi="Arial" w:cs="Arial"/>
          <w:sz w:val="20"/>
          <w:szCs w:val="20"/>
        </w:rPr>
        <w:t xml:space="preserve"> to institutionalize </w:t>
      </w:r>
      <w:r w:rsidR="001E79AB" w:rsidRPr="005C15BE">
        <w:rPr>
          <w:rFonts w:ascii="Arial" w:hAnsi="Arial" w:cs="Arial"/>
          <w:sz w:val="20"/>
          <w:szCs w:val="20"/>
        </w:rPr>
        <w:t>t</w:t>
      </w:r>
      <w:r w:rsidRPr="005C15BE">
        <w:rPr>
          <w:rFonts w:ascii="Arial" w:hAnsi="Arial" w:cs="Arial"/>
          <w:sz w:val="20"/>
          <w:szCs w:val="20"/>
        </w:rPr>
        <w:t xml:space="preserve">he </w:t>
      </w:r>
      <w:r w:rsidR="003701E9" w:rsidRPr="005C15BE">
        <w:rPr>
          <w:rFonts w:ascii="Arial" w:hAnsi="Arial" w:cs="Arial"/>
          <w:sz w:val="20"/>
          <w:szCs w:val="20"/>
        </w:rPr>
        <w:t xml:space="preserve">Secure Trade in the </w:t>
      </w:r>
      <w:r w:rsidR="003701E9" w:rsidRPr="005C15BE">
        <w:rPr>
          <w:rFonts w:ascii="Arial" w:hAnsi="Arial" w:cs="Arial"/>
          <w:sz w:val="20"/>
          <w:szCs w:val="20"/>
        </w:rPr>
        <w:lastRenderedPageBreak/>
        <w:t>APEC Region (</w:t>
      </w:r>
      <w:r w:rsidRPr="005C15BE">
        <w:rPr>
          <w:rFonts w:ascii="Arial" w:hAnsi="Arial" w:cs="Arial"/>
          <w:sz w:val="20"/>
          <w:szCs w:val="20"/>
        </w:rPr>
        <w:t>STAR</w:t>
      </w:r>
      <w:r w:rsidR="003701E9" w:rsidRPr="005C15BE">
        <w:rPr>
          <w:rFonts w:ascii="Arial" w:hAnsi="Arial" w:cs="Arial"/>
          <w:sz w:val="20"/>
          <w:szCs w:val="20"/>
        </w:rPr>
        <w:t>)</w:t>
      </w:r>
      <w:r w:rsidRPr="005C15BE">
        <w:rPr>
          <w:rFonts w:ascii="Arial" w:hAnsi="Arial" w:cs="Arial"/>
          <w:sz w:val="20"/>
          <w:szCs w:val="20"/>
        </w:rPr>
        <w:t xml:space="preserve"> Conference</w:t>
      </w:r>
      <w:r w:rsidR="001E79AB" w:rsidRPr="005C15BE">
        <w:rPr>
          <w:rFonts w:ascii="Arial" w:hAnsi="Arial" w:cs="Arial"/>
          <w:sz w:val="20"/>
          <w:szCs w:val="20"/>
        </w:rPr>
        <w:t xml:space="preserve"> </w:t>
      </w:r>
      <w:r w:rsidR="001D3DB7" w:rsidRPr="005C15BE">
        <w:rPr>
          <w:rFonts w:ascii="Arial" w:hAnsi="Arial" w:cs="Arial"/>
          <w:sz w:val="20"/>
          <w:szCs w:val="20"/>
        </w:rPr>
        <w:t>as a venue for conducting coordination, public-private cooperation, progress assessment, and discussion of future directions for APEC activities, taking into consideration scheduling and budgetary constraints.</w:t>
      </w:r>
      <w:r w:rsidRPr="005C15BE">
        <w:rPr>
          <w:rFonts w:ascii="Arial" w:hAnsi="Arial" w:cs="Arial"/>
          <w:sz w:val="20"/>
          <w:szCs w:val="20"/>
        </w:rPr>
        <w:t xml:space="preserve"> </w:t>
      </w:r>
    </w:p>
    <w:p w14:paraId="0DEFA69A" w14:textId="69A89B89" w:rsidR="00B71C38" w:rsidRDefault="00B71C38" w:rsidP="00F51E34">
      <w:pPr>
        <w:spacing w:after="0" w:line="23" w:lineRule="atLeast"/>
        <w:jc w:val="both"/>
        <w:rPr>
          <w:rFonts w:ascii="Arial" w:hAnsi="Arial" w:cs="Arial"/>
          <w:sz w:val="20"/>
          <w:szCs w:val="20"/>
        </w:rPr>
      </w:pPr>
    </w:p>
    <w:p w14:paraId="747AD339" w14:textId="77777777" w:rsidR="00B71C38" w:rsidRDefault="00B71C38" w:rsidP="00B71C38">
      <w:pPr>
        <w:pStyle w:val="ColorfulList-Accent11"/>
        <w:numPr>
          <w:ilvl w:val="0"/>
          <w:numId w:val="6"/>
        </w:numPr>
        <w:spacing w:after="0" w:line="23" w:lineRule="atLeast"/>
        <w:ind w:left="284" w:hanging="284"/>
        <w:jc w:val="both"/>
        <w:rPr>
          <w:rFonts w:ascii="Arial" w:hAnsi="Arial" w:cs="Arial"/>
          <w:b/>
          <w:sz w:val="20"/>
          <w:szCs w:val="20"/>
          <w:u w:val="single"/>
        </w:rPr>
      </w:pPr>
      <w:r w:rsidRPr="00A2494C">
        <w:rPr>
          <w:rFonts w:ascii="Arial" w:hAnsi="Arial" w:cs="Arial"/>
          <w:b/>
          <w:sz w:val="20"/>
          <w:szCs w:val="20"/>
          <w:u w:val="single"/>
        </w:rPr>
        <w:t xml:space="preserve">Counter-Terrorism/Secure Trade in APEC:  Cross-Cutting Activity Areas </w:t>
      </w:r>
    </w:p>
    <w:p w14:paraId="27063608" w14:textId="77777777" w:rsidR="00B71C38" w:rsidRPr="00A2494C" w:rsidRDefault="00B71C38" w:rsidP="00B71C38">
      <w:pPr>
        <w:pStyle w:val="ColorfulList-Accent11"/>
        <w:spacing w:after="0" w:line="23" w:lineRule="atLeast"/>
        <w:ind w:left="360"/>
        <w:jc w:val="both"/>
        <w:rPr>
          <w:rFonts w:ascii="Arial" w:hAnsi="Arial" w:cs="Arial"/>
          <w:b/>
          <w:sz w:val="20"/>
          <w:szCs w:val="20"/>
          <w:u w:val="single"/>
        </w:rPr>
      </w:pPr>
    </w:p>
    <w:p w14:paraId="3453A25B" w14:textId="77777777" w:rsidR="00B71C38" w:rsidRPr="00A2494C" w:rsidRDefault="00B71C38" w:rsidP="00B71C38">
      <w:pPr>
        <w:spacing w:after="0" w:line="23" w:lineRule="atLeast"/>
        <w:jc w:val="both"/>
        <w:rPr>
          <w:rStyle w:val="bodytext1"/>
          <w:sz w:val="20"/>
          <w:szCs w:val="20"/>
        </w:rPr>
      </w:pPr>
      <w:r w:rsidRPr="00A2494C">
        <w:rPr>
          <w:rFonts w:ascii="Arial" w:hAnsi="Arial" w:cs="Arial"/>
          <w:sz w:val="20"/>
          <w:szCs w:val="20"/>
        </w:rPr>
        <w:t xml:space="preserve">Effective efforts to </w:t>
      </w:r>
      <w:r w:rsidRPr="00A2494C">
        <w:rPr>
          <w:rStyle w:val="bodytext1"/>
          <w:sz w:val="20"/>
          <w:szCs w:val="20"/>
        </w:rPr>
        <w:t>secure regional commerce require close cooperation among a wide-range of government agencies, as well as key stakeholders such as the private sector and multilateral organizations.  APEC’s cross-cutting work on CT/Secure Trade includes:</w:t>
      </w:r>
    </w:p>
    <w:p w14:paraId="0788418C" w14:textId="77777777" w:rsidR="00B71C38" w:rsidRPr="00A2494C" w:rsidRDefault="00B71C38" w:rsidP="00B71C38">
      <w:pPr>
        <w:spacing w:after="0" w:line="23" w:lineRule="atLeast"/>
        <w:ind w:left="360"/>
        <w:jc w:val="both"/>
        <w:rPr>
          <w:rFonts w:ascii="Arial" w:hAnsi="Arial" w:cs="Arial"/>
          <w:i/>
          <w:sz w:val="20"/>
          <w:szCs w:val="20"/>
        </w:rPr>
      </w:pPr>
    </w:p>
    <w:p w14:paraId="11474C16" w14:textId="4B08CEBB" w:rsidR="00B71C38" w:rsidRPr="00A2494C" w:rsidRDefault="00B71C38" w:rsidP="00B71C38">
      <w:pPr>
        <w:pStyle w:val="ColorfulList-Accent11"/>
        <w:numPr>
          <w:ilvl w:val="0"/>
          <w:numId w:val="31"/>
        </w:numPr>
        <w:spacing w:after="0" w:line="23" w:lineRule="atLeast"/>
        <w:jc w:val="both"/>
        <w:rPr>
          <w:rStyle w:val="bodytext1"/>
          <w:sz w:val="20"/>
          <w:szCs w:val="20"/>
        </w:rPr>
      </w:pPr>
      <w:r w:rsidRPr="00661E01">
        <w:rPr>
          <w:rFonts w:ascii="Arial" w:hAnsi="Arial" w:cs="Arial"/>
          <w:b/>
          <w:sz w:val="20"/>
          <w:szCs w:val="20"/>
          <w:u w:val="single"/>
        </w:rPr>
        <w:t>Secure Supply Chains</w:t>
      </w:r>
      <w:r w:rsidRPr="00A2494C">
        <w:rPr>
          <w:rFonts w:ascii="Arial" w:hAnsi="Arial" w:cs="Arial"/>
          <w:b/>
          <w:sz w:val="20"/>
          <w:szCs w:val="20"/>
        </w:rPr>
        <w:t>:</w:t>
      </w:r>
      <w:r w:rsidRPr="00A2494C">
        <w:rPr>
          <w:rFonts w:ascii="Arial" w:hAnsi="Arial" w:cs="Arial"/>
          <w:sz w:val="20"/>
          <w:szCs w:val="20"/>
        </w:rPr>
        <w:t xml:space="preserve"> APEC efforts </w:t>
      </w:r>
      <w:r w:rsidRPr="00A2494C">
        <w:rPr>
          <w:rStyle w:val="bodytext1"/>
          <w:sz w:val="20"/>
          <w:szCs w:val="20"/>
        </w:rPr>
        <w:t>support the secure, yet efficient movement of goods throughout the region.  APEC’s various activities address security vulnerabilities and challenges faced in the supply chain, from the origin of goods to their final destination. These activities also complement APEC’s separate but parallel efforts on supply chain facilitation and connectivity.  Major components of supply chain security work include:</w:t>
      </w:r>
    </w:p>
    <w:p w14:paraId="773EB29E" w14:textId="77777777" w:rsidR="00B71C38" w:rsidRPr="00A2494C" w:rsidRDefault="00B71C38" w:rsidP="00B71C38">
      <w:pPr>
        <w:spacing w:after="0" w:line="23" w:lineRule="atLeast"/>
        <w:jc w:val="both"/>
        <w:rPr>
          <w:rStyle w:val="bodytext1"/>
          <w:sz w:val="20"/>
          <w:szCs w:val="20"/>
        </w:rPr>
      </w:pPr>
      <w:r w:rsidRPr="00A2494C">
        <w:rPr>
          <w:rStyle w:val="bodytext1"/>
          <w:sz w:val="20"/>
          <w:szCs w:val="20"/>
        </w:rPr>
        <w:t xml:space="preserve"> </w:t>
      </w:r>
    </w:p>
    <w:p w14:paraId="3B57544E" w14:textId="77777777" w:rsidR="00B71C38"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t>Customs</w:t>
      </w:r>
      <w:r w:rsidRPr="00A2494C">
        <w:rPr>
          <w:rFonts w:ascii="Arial" w:hAnsi="Arial" w:cs="Arial"/>
          <w:sz w:val="20"/>
          <w:szCs w:val="20"/>
        </w:rPr>
        <w:t xml:space="preserve">: Customs officials play a critical role in protecting the regional supply chain from disruption and misuse and ensuring the integrity of member economies’ borders.  In addition to processing and facilitating the movement of legitimate goods, customs authorities screen shipments for dangerous and illicit materials. Customs </w:t>
      </w:r>
      <w:r>
        <w:rPr>
          <w:rFonts w:ascii="Arial" w:hAnsi="Arial" w:cs="Arial"/>
          <w:sz w:val="20"/>
          <w:szCs w:val="20"/>
        </w:rPr>
        <w:t>cooperation</w:t>
      </w:r>
      <w:r w:rsidRPr="00A2494C">
        <w:rPr>
          <w:rFonts w:ascii="Arial" w:hAnsi="Arial" w:cs="Arial"/>
          <w:sz w:val="20"/>
          <w:szCs w:val="20"/>
        </w:rPr>
        <w:t xml:space="preserve"> </w:t>
      </w:r>
      <w:r w:rsidRPr="00A2494C">
        <w:rPr>
          <w:rFonts w:ascii="Arial" w:hAnsi="Arial" w:cs="Arial"/>
          <w:sz w:val="20"/>
          <w:szCs w:val="20"/>
        </w:rPr>
        <w:t xml:space="preserve">in APEC is </w:t>
      </w:r>
      <w:r>
        <w:rPr>
          <w:rFonts w:ascii="Arial" w:hAnsi="Arial" w:cs="Arial"/>
          <w:sz w:val="20"/>
          <w:szCs w:val="20"/>
        </w:rPr>
        <w:t>coordinated</w:t>
      </w:r>
      <w:r w:rsidRPr="00A2494C">
        <w:rPr>
          <w:rFonts w:ascii="Arial" w:hAnsi="Arial" w:cs="Arial"/>
          <w:sz w:val="20"/>
          <w:szCs w:val="20"/>
        </w:rPr>
        <w:t xml:space="preserve"> </w:t>
      </w:r>
      <w:r w:rsidRPr="00A2494C">
        <w:rPr>
          <w:rFonts w:ascii="Arial" w:hAnsi="Arial" w:cs="Arial"/>
          <w:sz w:val="20"/>
          <w:szCs w:val="20"/>
        </w:rPr>
        <w:t>by the Subcommittee on Customs Procedures (SCCP), whose key security activities include:</w:t>
      </w:r>
    </w:p>
    <w:p w14:paraId="204A0662" w14:textId="77777777" w:rsidR="00B71C38" w:rsidRPr="00A2494C" w:rsidRDefault="00B71C38" w:rsidP="00B71C38">
      <w:pPr>
        <w:pStyle w:val="ColorfulList-Accent11"/>
        <w:spacing w:after="0" w:line="23" w:lineRule="atLeast"/>
        <w:ind w:left="567"/>
        <w:jc w:val="both"/>
        <w:rPr>
          <w:rFonts w:ascii="Arial" w:hAnsi="Arial" w:cs="Arial"/>
          <w:sz w:val="20"/>
          <w:szCs w:val="20"/>
        </w:rPr>
      </w:pPr>
    </w:p>
    <w:p w14:paraId="52E3B378" w14:textId="77777777" w:rsidR="00B71C38" w:rsidRPr="00A2494C" w:rsidRDefault="00B71C38" w:rsidP="00B71C38">
      <w:pPr>
        <w:pStyle w:val="ColorfulList-Accent11"/>
        <w:numPr>
          <w:ilvl w:val="1"/>
          <w:numId w:val="2"/>
        </w:numPr>
        <w:spacing w:after="0" w:line="23" w:lineRule="atLeast"/>
        <w:ind w:left="851" w:hanging="284"/>
        <w:jc w:val="both"/>
        <w:rPr>
          <w:rFonts w:ascii="Arial" w:hAnsi="Arial" w:cs="Arial"/>
          <w:color w:val="000000"/>
          <w:sz w:val="20"/>
          <w:szCs w:val="20"/>
        </w:rPr>
      </w:pPr>
      <w:r w:rsidRPr="00A2494C">
        <w:rPr>
          <w:rFonts w:ascii="Arial" w:hAnsi="Arial" w:cs="Arial"/>
          <w:bCs/>
          <w:sz w:val="20"/>
          <w:szCs w:val="20"/>
        </w:rPr>
        <w:t xml:space="preserve">Implementation of the APEC Framework for Secure Trade, specifically </w:t>
      </w:r>
      <w:r w:rsidRPr="00A2494C">
        <w:rPr>
          <w:rFonts w:ascii="Arial" w:hAnsi="Arial" w:cs="Arial"/>
          <w:sz w:val="20"/>
          <w:szCs w:val="20"/>
        </w:rPr>
        <w:t xml:space="preserve">by fostering development of Authorized Economic Operator (AEO) programs </w:t>
      </w:r>
      <w:r w:rsidRPr="00A2494C">
        <w:rPr>
          <w:rFonts w:ascii="Arial" w:hAnsi="Arial" w:cs="Arial"/>
          <w:bCs/>
          <w:sz w:val="20"/>
          <w:szCs w:val="20"/>
        </w:rPr>
        <w:t>in member economies and establishing common AEO guidelines and standards in the region</w:t>
      </w:r>
      <w:r w:rsidRPr="00A2494C">
        <w:rPr>
          <w:rFonts w:ascii="Arial" w:hAnsi="Arial" w:cs="Arial"/>
          <w:sz w:val="20"/>
          <w:szCs w:val="20"/>
        </w:rPr>
        <w:t>.</w:t>
      </w:r>
    </w:p>
    <w:p w14:paraId="0468E295" w14:textId="77777777" w:rsidR="00B71C38" w:rsidRPr="00F515CF" w:rsidRDefault="00B71C38" w:rsidP="00B71C38">
      <w:pPr>
        <w:pStyle w:val="ColorfulList-Accent11"/>
        <w:numPr>
          <w:ilvl w:val="1"/>
          <w:numId w:val="2"/>
        </w:numPr>
        <w:spacing w:after="0" w:line="23" w:lineRule="atLeast"/>
        <w:ind w:left="851" w:hanging="284"/>
        <w:jc w:val="both"/>
        <w:rPr>
          <w:rFonts w:ascii="Arial" w:hAnsi="Arial" w:cs="Arial"/>
          <w:sz w:val="20"/>
          <w:szCs w:val="20"/>
        </w:rPr>
      </w:pPr>
      <w:r w:rsidRPr="00A2494C">
        <w:rPr>
          <w:rFonts w:ascii="Arial" w:hAnsi="Arial" w:cs="Arial"/>
          <w:sz w:val="20"/>
          <w:szCs w:val="20"/>
        </w:rPr>
        <w:t xml:space="preserve">Conducting practical exercises targeting the shipment of counterfeit </w:t>
      </w:r>
      <w:r>
        <w:rPr>
          <w:rFonts w:ascii="Arial" w:hAnsi="Arial" w:cs="Arial"/>
          <w:sz w:val="20"/>
          <w:szCs w:val="20"/>
        </w:rPr>
        <w:t>goods</w:t>
      </w:r>
      <w:r w:rsidRPr="00A2494C">
        <w:rPr>
          <w:rFonts w:ascii="Arial" w:hAnsi="Arial" w:cs="Arial"/>
          <w:sz w:val="20"/>
          <w:szCs w:val="20"/>
        </w:rPr>
        <w:t>, including postal and express consignments.</w:t>
      </w:r>
      <w:r w:rsidRPr="00A2494C">
        <w:rPr>
          <w:rFonts w:ascii="Arial" w:hAnsi="Arial" w:cs="Arial"/>
          <w:bCs/>
          <w:sz w:val="20"/>
          <w:szCs w:val="20"/>
        </w:rPr>
        <w:t xml:space="preserve">  </w:t>
      </w:r>
    </w:p>
    <w:p w14:paraId="46C91564" w14:textId="77777777" w:rsidR="00B71C38" w:rsidRPr="00A2494C" w:rsidRDefault="00B71C38" w:rsidP="00B71C38">
      <w:pPr>
        <w:pStyle w:val="ColorfulList-Accent11"/>
        <w:spacing w:after="0" w:line="23" w:lineRule="atLeast"/>
        <w:jc w:val="both"/>
        <w:rPr>
          <w:rFonts w:ascii="Arial" w:hAnsi="Arial" w:cs="Arial"/>
          <w:sz w:val="20"/>
          <w:szCs w:val="20"/>
        </w:rPr>
      </w:pPr>
    </w:p>
    <w:p w14:paraId="2B467E10" w14:textId="77777777" w:rsidR="00B71C38" w:rsidRPr="00A2494C"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t>Transportation Security</w:t>
      </w:r>
      <w:r w:rsidRPr="00A2494C">
        <w:rPr>
          <w:rFonts w:ascii="Arial" w:hAnsi="Arial" w:cs="Arial"/>
          <w:sz w:val="20"/>
          <w:szCs w:val="20"/>
        </w:rPr>
        <w:t xml:space="preserve">: Transportation security officials protect and maintain the resilience of transportation systems that support regional trade. This work includes securing cargo and key transportation infrastructure, and expeditiously restoring key transportation corridors following a disruption. Security </w:t>
      </w:r>
      <w:r>
        <w:rPr>
          <w:rFonts w:ascii="Arial" w:hAnsi="Arial" w:cs="Arial"/>
          <w:sz w:val="20"/>
          <w:szCs w:val="20"/>
        </w:rPr>
        <w:t>measures</w:t>
      </w:r>
      <w:r w:rsidRPr="00A2494C">
        <w:rPr>
          <w:rFonts w:ascii="Arial" w:hAnsi="Arial" w:cs="Arial"/>
          <w:sz w:val="20"/>
          <w:szCs w:val="20"/>
        </w:rPr>
        <w:t xml:space="preserve"> </w:t>
      </w:r>
      <w:r>
        <w:rPr>
          <w:rFonts w:ascii="Arial" w:hAnsi="Arial" w:cs="Arial"/>
          <w:sz w:val="20"/>
          <w:szCs w:val="20"/>
        </w:rPr>
        <w:t xml:space="preserve">implemented by </w:t>
      </w:r>
      <w:r w:rsidRPr="00A2494C">
        <w:rPr>
          <w:rFonts w:ascii="Arial" w:hAnsi="Arial" w:cs="Arial"/>
          <w:sz w:val="20"/>
          <w:szCs w:val="20"/>
        </w:rPr>
        <w:t xml:space="preserve">the APEC Transportation Working Group (TPTWG) </w:t>
      </w:r>
      <w:r>
        <w:rPr>
          <w:rFonts w:ascii="Arial" w:hAnsi="Arial" w:cs="Arial"/>
          <w:sz w:val="20"/>
          <w:szCs w:val="20"/>
        </w:rPr>
        <w:t xml:space="preserve">and its subsidiaries </w:t>
      </w:r>
      <w:r w:rsidRPr="00A2494C">
        <w:rPr>
          <w:rFonts w:ascii="Arial" w:hAnsi="Arial" w:cs="Arial"/>
          <w:sz w:val="20"/>
          <w:szCs w:val="20"/>
        </w:rPr>
        <w:t>include:</w:t>
      </w:r>
    </w:p>
    <w:p w14:paraId="4A5EF265" w14:textId="77777777" w:rsidR="00B71C38" w:rsidRPr="00A2494C" w:rsidRDefault="00B71C38" w:rsidP="00B71C38">
      <w:pPr>
        <w:pStyle w:val="ColorfulList-Accent11"/>
        <w:spacing w:after="0" w:line="23" w:lineRule="atLeast"/>
        <w:ind w:left="1440"/>
        <w:jc w:val="both"/>
        <w:rPr>
          <w:rFonts w:ascii="Arial" w:hAnsi="Arial" w:cs="Arial"/>
          <w:b/>
          <w:sz w:val="20"/>
          <w:szCs w:val="20"/>
          <w:u w:val="single"/>
        </w:rPr>
      </w:pPr>
    </w:p>
    <w:p w14:paraId="3785EA94" w14:textId="77777777" w:rsidR="00B71C38" w:rsidRDefault="00B71C38" w:rsidP="002B24D2">
      <w:pPr>
        <w:pStyle w:val="ColorfulList-Accent11"/>
        <w:numPr>
          <w:ilvl w:val="1"/>
          <w:numId w:val="2"/>
        </w:numPr>
        <w:spacing w:after="0" w:line="23" w:lineRule="atLeast"/>
        <w:ind w:left="851" w:hanging="284"/>
        <w:jc w:val="both"/>
        <w:rPr>
          <w:rFonts w:ascii="Arial" w:hAnsi="Arial" w:cs="Arial"/>
          <w:sz w:val="20"/>
          <w:szCs w:val="20"/>
        </w:rPr>
      </w:pPr>
      <w:r w:rsidRPr="0096079A">
        <w:rPr>
          <w:rFonts w:ascii="Arial" w:hAnsi="Arial" w:cs="Arial"/>
          <w:b/>
          <w:sz w:val="20"/>
          <w:szCs w:val="20"/>
        </w:rPr>
        <w:t>Maritime Security Experts Group (MEG-SEC)</w:t>
      </w:r>
      <w:r w:rsidRPr="0096079A">
        <w:rPr>
          <w:rFonts w:ascii="Arial" w:hAnsi="Arial" w:cs="Arial"/>
          <w:sz w:val="20"/>
          <w:szCs w:val="20"/>
        </w:rPr>
        <w:t>:</w:t>
      </w:r>
      <w:r w:rsidRPr="00A2494C">
        <w:rPr>
          <w:rFonts w:ascii="Arial" w:hAnsi="Arial" w:cs="Arial"/>
          <w:sz w:val="20"/>
          <w:szCs w:val="20"/>
        </w:rPr>
        <w:t xml:space="preserve"> fosters </w:t>
      </w:r>
      <w:r>
        <w:rPr>
          <w:rFonts w:ascii="Arial" w:hAnsi="Arial" w:cs="Arial"/>
          <w:sz w:val="20"/>
          <w:szCs w:val="20"/>
        </w:rPr>
        <w:t xml:space="preserve">the </w:t>
      </w:r>
      <w:r w:rsidRPr="00A2494C">
        <w:rPr>
          <w:rFonts w:ascii="Arial" w:hAnsi="Arial" w:cs="Arial"/>
          <w:sz w:val="20"/>
          <w:szCs w:val="20"/>
        </w:rPr>
        <w:t xml:space="preserve">implementation of global maritime security standards set forth by the International Maritime Organization through capacity building.  </w:t>
      </w:r>
    </w:p>
    <w:p w14:paraId="2784FA19" w14:textId="77777777" w:rsidR="00B71C38" w:rsidRPr="00A2494C" w:rsidRDefault="00B71C38" w:rsidP="00B71C38">
      <w:pPr>
        <w:pStyle w:val="ColorfulList-Accent11"/>
        <w:spacing w:after="0" w:line="23" w:lineRule="atLeast"/>
        <w:ind w:left="1080"/>
        <w:jc w:val="both"/>
        <w:rPr>
          <w:rFonts w:ascii="Arial" w:hAnsi="Arial" w:cs="Arial"/>
          <w:b/>
          <w:sz w:val="20"/>
          <w:szCs w:val="20"/>
          <w:u w:val="single"/>
        </w:rPr>
      </w:pPr>
    </w:p>
    <w:p w14:paraId="337B4BC1" w14:textId="77777777" w:rsidR="00B71C38" w:rsidRDefault="00B71C38" w:rsidP="002B24D2">
      <w:pPr>
        <w:pStyle w:val="ColorfulList-Accent11"/>
        <w:numPr>
          <w:ilvl w:val="1"/>
          <w:numId w:val="2"/>
        </w:numPr>
        <w:spacing w:after="0" w:line="23" w:lineRule="atLeast"/>
        <w:ind w:left="851" w:hanging="284"/>
        <w:jc w:val="both"/>
        <w:rPr>
          <w:rFonts w:ascii="Arial" w:hAnsi="Arial" w:cs="Arial"/>
          <w:sz w:val="20"/>
          <w:szCs w:val="20"/>
          <w:lang w:val="en-AU"/>
        </w:rPr>
      </w:pPr>
      <w:r w:rsidRPr="00A2494C">
        <w:rPr>
          <w:rFonts w:ascii="Arial" w:hAnsi="Arial" w:cs="Arial"/>
          <w:b/>
          <w:sz w:val="20"/>
          <w:szCs w:val="20"/>
        </w:rPr>
        <w:t>Aviation</w:t>
      </w:r>
      <w:r>
        <w:rPr>
          <w:rFonts w:ascii="Arial" w:hAnsi="Arial" w:cs="Arial"/>
          <w:b/>
          <w:sz w:val="20"/>
          <w:szCs w:val="20"/>
        </w:rPr>
        <w:t xml:space="preserve"> </w:t>
      </w:r>
      <w:r w:rsidRPr="0096079A">
        <w:rPr>
          <w:rFonts w:ascii="Arial" w:hAnsi="Arial" w:cs="Arial"/>
          <w:b/>
          <w:sz w:val="20"/>
          <w:szCs w:val="20"/>
          <w:lang w:val="en-AU"/>
        </w:rPr>
        <w:t>Experts Group – Security Sub-Group’s (AEG-SEC)</w:t>
      </w:r>
      <w:r>
        <w:rPr>
          <w:rFonts w:ascii="Arial" w:hAnsi="Arial" w:cs="Arial"/>
          <w:sz w:val="20"/>
          <w:szCs w:val="20"/>
          <w:lang w:val="en-AU"/>
        </w:rPr>
        <w:t xml:space="preserve">: conducts </w:t>
      </w:r>
      <w:r w:rsidRPr="00A2494C">
        <w:rPr>
          <w:rFonts w:ascii="Arial" w:hAnsi="Arial" w:cs="Arial"/>
          <w:sz w:val="20"/>
          <w:szCs w:val="20"/>
          <w:lang w:val="en-AU"/>
        </w:rPr>
        <w:t xml:space="preserve">capacity building initiatives </w:t>
      </w:r>
      <w:r>
        <w:rPr>
          <w:rFonts w:ascii="Arial" w:hAnsi="Arial" w:cs="Arial"/>
          <w:sz w:val="20"/>
          <w:szCs w:val="20"/>
          <w:lang w:val="en-AU"/>
        </w:rPr>
        <w:t xml:space="preserve">which </w:t>
      </w:r>
      <w:r w:rsidRPr="00A2494C">
        <w:rPr>
          <w:rFonts w:ascii="Arial" w:hAnsi="Arial" w:cs="Arial"/>
          <w:sz w:val="20"/>
          <w:szCs w:val="20"/>
          <w:lang w:val="en-AU"/>
        </w:rPr>
        <w:t>include workshops on air cargo security</w:t>
      </w:r>
      <w:r>
        <w:rPr>
          <w:rFonts w:ascii="Arial" w:hAnsi="Arial" w:cs="Arial"/>
          <w:sz w:val="20"/>
          <w:szCs w:val="20"/>
          <w:lang w:val="en-AU"/>
        </w:rPr>
        <w:t xml:space="preserve"> </w:t>
      </w:r>
      <w:r w:rsidRPr="00A2494C">
        <w:rPr>
          <w:rFonts w:ascii="Arial" w:hAnsi="Arial" w:cs="Arial"/>
          <w:sz w:val="20"/>
          <w:szCs w:val="20"/>
          <w:lang w:val="en-AU"/>
        </w:rPr>
        <w:t xml:space="preserve">and </w:t>
      </w:r>
      <w:r w:rsidRPr="00A2494C">
        <w:rPr>
          <w:rFonts w:ascii="Arial" w:hAnsi="Arial" w:cs="Arial"/>
          <w:sz w:val="20"/>
          <w:szCs w:val="20"/>
          <w:lang w:val="en-GB"/>
        </w:rPr>
        <w:t xml:space="preserve">challenges to enhance air cargo security.  </w:t>
      </w:r>
    </w:p>
    <w:p w14:paraId="1C15E735" w14:textId="77777777" w:rsidR="00B71C38" w:rsidRPr="00207E29" w:rsidRDefault="00B71C38" w:rsidP="00B71C38">
      <w:pPr>
        <w:pStyle w:val="ColorfulList-Accent11"/>
        <w:spacing w:after="0" w:line="23" w:lineRule="atLeast"/>
        <w:jc w:val="both"/>
        <w:rPr>
          <w:rFonts w:ascii="Arial" w:hAnsi="Arial" w:cs="Arial"/>
          <w:sz w:val="20"/>
          <w:szCs w:val="20"/>
        </w:rPr>
      </w:pPr>
    </w:p>
    <w:p w14:paraId="0F53A9A8" w14:textId="77777777" w:rsidR="00B71C38"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72005C">
        <w:rPr>
          <w:rFonts w:ascii="Arial" w:hAnsi="Arial" w:cs="Arial"/>
          <w:b/>
          <w:sz w:val="20"/>
          <w:szCs w:val="20"/>
        </w:rPr>
        <w:t>Addressing Sector-Specific Vulnerabilities:</w:t>
      </w:r>
      <w:r w:rsidRPr="0072005C">
        <w:rPr>
          <w:rFonts w:ascii="Arial" w:hAnsi="Arial" w:cs="Arial"/>
          <w:sz w:val="20"/>
          <w:szCs w:val="20"/>
        </w:rPr>
        <w:t xml:space="preserve">  Consistent with an end-to-end approach to addressing security vulnerabilities in the supply chain, APEC also undertakes activities to address challenges </w:t>
      </w:r>
      <w:r>
        <w:rPr>
          <w:rFonts w:ascii="Arial" w:hAnsi="Arial" w:cs="Arial"/>
          <w:sz w:val="20"/>
          <w:szCs w:val="20"/>
        </w:rPr>
        <w:t>faced by</w:t>
      </w:r>
      <w:r w:rsidRPr="0072005C">
        <w:rPr>
          <w:rFonts w:ascii="Arial" w:hAnsi="Arial" w:cs="Arial"/>
          <w:sz w:val="20"/>
          <w:szCs w:val="20"/>
        </w:rPr>
        <w:t xml:space="preserve"> </w:t>
      </w:r>
      <w:r w:rsidRPr="0072005C">
        <w:rPr>
          <w:rFonts w:ascii="Arial" w:hAnsi="Arial" w:cs="Arial"/>
          <w:sz w:val="20"/>
          <w:szCs w:val="20"/>
        </w:rPr>
        <w:t xml:space="preserve">specific economic sectors. For example, the CTWG implemented the APEC Food Defense Initiative to protect the food supply from terrorist contamination.  Working in close cooperation with governments, the private sector, and academia, this initiative developed indigenous expertise to provide economies with ongoing food defense training and capabilities. </w:t>
      </w:r>
    </w:p>
    <w:p w14:paraId="17A05DDD" w14:textId="77777777" w:rsidR="00B71C38" w:rsidRDefault="00B71C38" w:rsidP="00B71C38">
      <w:pPr>
        <w:pStyle w:val="ColorfulList-Accent11"/>
        <w:spacing w:after="0" w:line="23" w:lineRule="atLeast"/>
        <w:ind w:left="567"/>
        <w:jc w:val="both"/>
        <w:rPr>
          <w:rFonts w:ascii="Arial" w:hAnsi="Arial" w:cs="Arial"/>
          <w:sz w:val="20"/>
          <w:szCs w:val="20"/>
        </w:rPr>
      </w:pPr>
    </w:p>
    <w:p w14:paraId="7E3D93DD" w14:textId="77777777" w:rsidR="00B71C38" w:rsidRPr="0072005C"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2B24D2">
        <w:rPr>
          <w:rFonts w:ascii="Arial" w:hAnsi="Arial" w:cs="Arial"/>
          <w:b/>
          <w:sz w:val="20"/>
          <w:szCs w:val="20"/>
        </w:rPr>
        <w:t>Strategic Trade Management</w:t>
      </w:r>
      <w:r>
        <w:rPr>
          <w:rFonts w:ascii="Arial" w:hAnsi="Arial" w:cs="Arial"/>
          <w:sz w:val="20"/>
          <w:szCs w:val="20"/>
        </w:rPr>
        <w:t>: Efforts should be made to implement and strengthen strategic trade controls among APEC member economies to prevent the diversion of dual-use and defense goods to terrorist actors.</w:t>
      </w:r>
    </w:p>
    <w:p w14:paraId="1B5E886A" w14:textId="77777777" w:rsidR="00B71C38" w:rsidRPr="00A2494C" w:rsidRDefault="00B71C38" w:rsidP="00B71C38">
      <w:pPr>
        <w:spacing w:after="0" w:line="23" w:lineRule="atLeast"/>
        <w:jc w:val="both"/>
        <w:rPr>
          <w:rFonts w:ascii="Arial" w:hAnsi="Arial" w:cs="Arial"/>
          <w:sz w:val="20"/>
          <w:szCs w:val="20"/>
        </w:rPr>
      </w:pPr>
    </w:p>
    <w:p w14:paraId="14A3F931" w14:textId="77777777" w:rsidR="00B71C38" w:rsidRPr="00A2494C" w:rsidRDefault="00B71C38" w:rsidP="00B71C38">
      <w:pPr>
        <w:pStyle w:val="ColorfulList-Accent11"/>
        <w:numPr>
          <w:ilvl w:val="0"/>
          <w:numId w:val="31"/>
        </w:numPr>
        <w:spacing w:after="0" w:line="23" w:lineRule="atLeast"/>
        <w:jc w:val="both"/>
        <w:rPr>
          <w:rStyle w:val="bodytext1"/>
          <w:sz w:val="20"/>
          <w:szCs w:val="20"/>
        </w:rPr>
      </w:pPr>
      <w:r w:rsidRPr="00A5077E">
        <w:rPr>
          <w:rFonts w:ascii="Arial" w:hAnsi="Arial" w:cs="Arial"/>
          <w:b/>
          <w:sz w:val="20"/>
          <w:szCs w:val="20"/>
          <w:u w:val="single"/>
        </w:rPr>
        <w:t>Secure Travel</w:t>
      </w:r>
      <w:r w:rsidRPr="00A5077E">
        <w:rPr>
          <w:rFonts w:ascii="Arial" w:hAnsi="Arial" w:cs="Arial"/>
          <w:b/>
          <w:sz w:val="20"/>
          <w:szCs w:val="20"/>
        </w:rPr>
        <w:t>:</w:t>
      </w:r>
      <w:r w:rsidRPr="00A2494C">
        <w:rPr>
          <w:rFonts w:ascii="Arial" w:hAnsi="Arial" w:cs="Arial"/>
          <w:i/>
          <w:sz w:val="20"/>
          <w:szCs w:val="20"/>
        </w:rPr>
        <w:t xml:space="preserve"> </w:t>
      </w:r>
      <w:r w:rsidRPr="00A2494C">
        <w:rPr>
          <w:rFonts w:ascii="Arial" w:hAnsi="Arial" w:cs="Arial"/>
          <w:sz w:val="20"/>
          <w:szCs w:val="20"/>
        </w:rPr>
        <w:t xml:space="preserve">APEC initiatives </w:t>
      </w:r>
      <w:r w:rsidRPr="00A2494C">
        <w:rPr>
          <w:rStyle w:val="bodytext1"/>
          <w:sz w:val="20"/>
          <w:szCs w:val="20"/>
        </w:rPr>
        <w:t xml:space="preserve">provide for the secure and efficient movement of travelers across the region. These wide-ranging efforts seek to address </w:t>
      </w:r>
      <w:r>
        <w:rPr>
          <w:rStyle w:val="bodytext1"/>
          <w:sz w:val="20"/>
          <w:szCs w:val="20"/>
        </w:rPr>
        <w:t xml:space="preserve">all </w:t>
      </w:r>
      <w:r w:rsidRPr="00A2494C">
        <w:rPr>
          <w:rStyle w:val="bodytext1"/>
          <w:sz w:val="20"/>
          <w:szCs w:val="20"/>
        </w:rPr>
        <w:t xml:space="preserve">security issues </w:t>
      </w:r>
      <w:r>
        <w:rPr>
          <w:rStyle w:val="bodytext1"/>
          <w:sz w:val="20"/>
          <w:szCs w:val="20"/>
        </w:rPr>
        <w:t xml:space="preserve">challenges that travelers may encounter when traveling to and from destinations in APEC member economies. </w:t>
      </w:r>
      <w:r w:rsidRPr="00A2494C">
        <w:rPr>
          <w:rStyle w:val="bodytext1"/>
          <w:sz w:val="20"/>
          <w:szCs w:val="20"/>
        </w:rPr>
        <w:t xml:space="preserve">Major components of this work include: </w:t>
      </w:r>
    </w:p>
    <w:p w14:paraId="719B867E" w14:textId="77777777" w:rsidR="00B71C38" w:rsidRPr="00A2494C" w:rsidRDefault="00B71C38" w:rsidP="00B71C38">
      <w:pPr>
        <w:spacing w:after="0" w:line="23" w:lineRule="atLeast"/>
        <w:jc w:val="both"/>
        <w:rPr>
          <w:rFonts w:ascii="Arial" w:hAnsi="Arial" w:cs="Arial"/>
          <w:color w:val="000000"/>
          <w:sz w:val="20"/>
          <w:szCs w:val="20"/>
        </w:rPr>
      </w:pPr>
    </w:p>
    <w:p w14:paraId="76838ABA" w14:textId="77777777" w:rsidR="00B71C38"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lastRenderedPageBreak/>
        <w:t>Immigration and Border Management</w:t>
      </w:r>
      <w:r w:rsidRPr="00A2494C">
        <w:rPr>
          <w:rFonts w:ascii="Arial" w:hAnsi="Arial" w:cs="Arial"/>
          <w:sz w:val="20"/>
          <w:szCs w:val="20"/>
        </w:rPr>
        <w:t xml:space="preserve">:  Immigration and border officials manage </w:t>
      </w:r>
      <w:r>
        <w:rPr>
          <w:rFonts w:ascii="Arial" w:hAnsi="Arial" w:cs="Arial"/>
          <w:sz w:val="20"/>
          <w:szCs w:val="20"/>
        </w:rPr>
        <w:t>cross-border movement of</w:t>
      </w:r>
      <w:r w:rsidRPr="00A2494C">
        <w:rPr>
          <w:rFonts w:ascii="Arial" w:hAnsi="Arial" w:cs="Arial"/>
          <w:sz w:val="20"/>
          <w:szCs w:val="20"/>
        </w:rPr>
        <w:t xml:space="preserve"> bona-fide international travelers, while </w:t>
      </w:r>
      <w:r>
        <w:rPr>
          <w:rFonts w:ascii="Arial" w:hAnsi="Arial" w:cs="Arial"/>
          <w:sz w:val="20"/>
          <w:szCs w:val="20"/>
        </w:rPr>
        <w:t>guarding</w:t>
      </w:r>
      <w:r w:rsidRPr="00A2494C">
        <w:rPr>
          <w:rFonts w:ascii="Arial" w:hAnsi="Arial" w:cs="Arial"/>
          <w:sz w:val="20"/>
          <w:szCs w:val="20"/>
        </w:rPr>
        <w:t xml:space="preserve"> </w:t>
      </w:r>
      <w:r w:rsidRPr="00A2494C">
        <w:rPr>
          <w:rFonts w:ascii="Arial" w:hAnsi="Arial" w:cs="Arial"/>
          <w:sz w:val="20"/>
          <w:szCs w:val="20"/>
        </w:rPr>
        <w:t xml:space="preserve">against the entry </w:t>
      </w:r>
      <w:r>
        <w:rPr>
          <w:rFonts w:ascii="Arial" w:hAnsi="Arial" w:cs="Arial"/>
          <w:sz w:val="20"/>
          <w:szCs w:val="20"/>
        </w:rPr>
        <w:t xml:space="preserve">or departure </w:t>
      </w:r>
      <w:r w:rsidRPr="00A2494C">
        <w:rPr>
          <w:rFonts w:ascii="Arial" w:hAnsi="Arial" w:cs="Arial"/>
          <w:sz w:val="20"/>
          <w:szCs w:val="20"/>
        </w:rPr>
        <w:t xml:space="preserve">of </w:t>
      </w:r>
      <w:r>
        <w:rPr>
          <w:rFonts w:ascii="Arial" w:hAnsi="Arial" w:cs="Arial"/>
          <w:sz w:val="20"/>
          <w:szCs w:val="20"/>
        </w:rPr>
        <w:t xml:space="preserve">proscribed travelers </w:t>
      </w:r>
      <w:r w:rsidRPr="00A2494C">
        <w:rPr>
          <w:rFonts w:ascii="Arial" w:hAnsi="Arial" w:cs="Arial"/>
          <w:sz w:val="20"/>
          <w:szCs w:val="20"/>
        </w:rPr>
        <w:t>and other persons of concern.  The APEC Business Mobility Group (BMG) is a unique gathering of regional immigration, consular, and border officials focused on facilitating the movement of legitimate travelers.  The BMG’s security-related activities include:</w:t>
      </w:r>
    </w:p>
    <w:p w14:paraId="2F6E049F" w14:textId="77777777" w:rsidR="00B71C38" w:rsidRDefault="00B71C38" w:rsidP="00B71C38">
      <w:pPr>
        <w:pStyle w:val="ColorfulList-Accent11"/>
        <w:spacing w:after="0" w:line="23" w:lineRule="atLeast"/>
        <w:ind w:left="1440"/>
        <w:jc w:val="both"/>
        <w:rPr>
          <w:rFonts w:ascii="Arial" w:hAnsi="Arial" w:cs="Arial"/>
          <w:sz w:val="20"/>
          <w:szCs w:val="20"/>
        </w:rPr>
      </w:pPr>
    </w:p>
    <w:p w14:paraId="2AB415C4" w14:textId="77777777" w:rsidR="00B71C38" w:rsidRPr="00A2494C" w:rsidRDefault="00B71C38" w:rsidP="002B24D2">
      <w:pPr>
        <w:pStyle w:val="ColorfulList-Accent11"/>
        <w:numPr>
          <w:ilvl w:val="1"/>
          <w:numId w:val="33"/>
        </w:numPr>
        <w:spacing w:after="0" w:line="23" w:lineRule="atLeast"/>
        <w:ind w:left="993" w:hanging="284"/>
        <w:jc w:val="both"/>
        <w:rPr>
          <w:rFonts w:ascii="Arial" w:hAnsi="Arial" w:cs="Arial"/>
          <w:sz w:val="20"/>
          <w:szCs w:val="20"/>
        </w:rPr>
      </w:pPr>
      <w:r>
        <w:rPr>
          <w:rFonts w:ascii="Arial" w:hAnsi="Arial" w:cs="Arial"/>
          <w:sz w:val="20"/>
          <w:szCs w:val="20"/>
        </w:rPr>
        <w:t>Addressing i</w:t>
      </w:r>
      <w:r w:rsidRPr="00A2494C">
        <w:rPr>
          <w:rFonts w:ascii="Arial" w:hAnsi="Arial" w:cs="Arial"/>
          <w:sz w:val="20"/>
          <w:szCs w:val="20"/>
        </w:rPr>
        <w:t xml:space="preserve">deal modern border security capabilities and improve border management systems across the region with respect to the movement of people.  </w:t>
      </w:r>
    </w:p>
    <w:p w14:paraId="59B3B70D" w14:textId="77777777" w:rsidR="00B71C38" w:rsidRPr="00A2494C" w:rsidRDefault="00B71C38" w:rsidP="002B24D2">
      <w:pPr>
        <w:pStyle w:val="ColorfulList-Accent11"/>
        <w:numPr>
          <w:ilvl w:val="1"/>
          <w:numId w:val="33"/>
        </w:numPr>
        <w:spacing w:after="0" w:line="23" w:lineRule="atLeast"/>
        <w:ind w:left="993" w:hanging="284"/>
        <w:jc w:val="both"/>
        <w:rPr>
          <w:rFonts w:ascii="Arial" w:hAnsi="Arial" w:cs="Arial"/>
          <w:sz w:val="20"/>
          <w:szCs w:val="20"/>
        </w:rPr>
      </w:pPr>
      <w:r w:rsidRPr="00A2494C">
        <w:rPr>
          <w:rFonts w:ascii="Arial" w:hAnsi="Arial" w:cs="Arial"/>
          <w:sz w:val="20"/>
          <w:szCs w:val="20"/>
        </w:rPr>
        <w:t xml:space="preserve">Furthering the </w:t>
      </w:r>
      <w:r>
        <w:rPr>
          <w:rFonts w:ascii="Arial" w:hAnsi="Arial" w:cs="Arial"/>
          <w:sz w:val="20"/>
          <w:szCs w:val="20"/>
        </w:rPr>
        <w:t>Passport Checking Service</w:t>
      </w:r>
      <w:r w:rsidRPr="00A2494C">
        <w:rPr>
          <w:rFonts w:ascii="Arial" w:hAnsi="Arial" w:cs="Arial"/>
          <w:sz w:val="20"/>
          <w:szCs w:val="20"/>
        </w:rPr>
        <w:t xml:space="preserve">, which enables APEC economies to detect lost, stolen and otherwise invalid passports.  </w:t>
      </w:r>
    </w:p>
    <w:p w14:paraId="5E824610" w14:textId="77777777" w:rsidR="00B71C38" w:rsidRDefault="00B71C38" w:rsidP="002B24D2">
      <w:pPr>
        <w:pStyle w:val="ColorfulList-Accent11"/>
        <w:numPr>
          <w:ilvl w:val="1"/>
          <w:numId w:val="33"/>
        </w:numPr>
        <w:spacing w:after="0" w:line="23" w:lineRule="atLeast"/>
        <w:ind w:left="993" w:hanging="284"/>
        <w:jc w:val="both"/>
        <w:rPr>
          <w:rFonts w:ascii="Arial" w:hAnsi="Arial" w:cs="Arial"/>
          <w:sz w:val="20"/>
          <w:szCs w:val="20"/>
        </w:rPr>
      </w:pPr>
      <w:r w:rsidRPr="00A2494C">
        <w:rPr>
          <w:rFonts w:ascii="Arial" w:hAnsi="Arial" w:cs="Arial"/>
          <w:sz w:val="20"/>
          <w:szCs w:val="20"/>
        </w:rPr>
        <w:t>Fostering implementation of Advance Passenger Information Systems in the region, which help economies facilitate the processing of legitimate travelers while more efficiently identifying travelers requiring additional scrutiny.</w:t>
      </w:r>
    </w:p>
    <w:p w14:paraId="46C6B392" w14:textId="77777777" w:rsidR="00B71C38" w:rsidRPr="00A2494C" w:rsidRDefault="00B71C38" w:rsidP="00B71C38">
      <w:pPr>
        <w:pStyle w:val="ColorfulList-Accent11"/>
        <w:spacing w:after="0" w:line="23" w:lineRule="atLeast"/>
        <w:ind w:left="1440"/>
        <w:jc w:val="both"/>
        <w:rPr>
          <w:rFonts w:ascii="Arial" w:hAnsi="Arial" w:cs="Arial"/>
          <w:sz w:val="20"/>
          <w:szCs w:val="20"/>
        </w:rPr>
      </w:pPr>
    </w:p>
    <w:p w14:paraId="4FE3C71F" w14:textId="77777777" w:rsidR="00B71C38"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t>Transportation Security</w:t>
      </w:r>
      <w:r w:rsidRPr="00A2494C">
        <w:rPr>
          <w:rFonts w:ascii="Arial" w:hAnsi="Arial" w:cs="Arial"/>
          <w:sz w:val="20"/>
          <w:szCs w:val="20"/>
        </w:rPr>
        <w:t xml:space="preserve">: </w:t>
      </w:r>
      <w:r>
        <w:rPr>
          <w:rFonts w:ascii="Arial" w:hAnsi="Arial" w:cs="Arial"/>
          <w:sz w:val="20"/>
          <w:szCs w:val="20"/>
        </w:rPr>
        <w:t>T</w:t>
      </w:r>
      <w:r w:rsidRPr="00A2494C">
        <w:rPr>
          <w:rFonts w:ascii="Arial" w:hAnsi="Arial" w:cs="Arial"/>
          <w:sz w:val="20"/>
          <w:szCs w:val="20"/>
        </w:rPr>
        <w:t xml:space="preserve">ransportation security officials play a central role in securing the transportation systems that move people throughout the Asia-Pacific region.  </w:t>
      </w:r>
    </w:p>
    <w:p w14:paraId="705ADD5B" w14:textId="77777777" w:rsidR="00B71C38" w:rsidRPr="00A2494C" w:rsidRDefault="00B71C38" w:rsidP="00B71C38">
      <w:pPr>
        <w:pStyle w:val="ColorfulList-Accent11"/>
        <w:spacing w:after="0" w:line="23" w:lineRule="atLeast"/>
        <w:jc w:val="both"/>
        <w:rPr>
          <w:rFonts w:ascii="Arial" w:hAnsi="Arial" w:cs="Arial"/>
          <w:sz w:val="20"/>
          <w:szCs w:val="20"/>
        </w:rPr>
      </w:pPr>
    </w:p>
    <w:p w14:paraId="68EAD7E1" w14:textId="77777777" w:rsidR="00B71C38" w:rsidRPr="00EF1591" w:rsidRDefault="00B71C38" w:rsidP="00B71C38">
      <w:pPr>
        <w:pStyle w:val="ColorfulList-Accent11"/>
        <w:spacing w:after="0" w:line="23" w:lineRule="atLeast"/>
        <w:ind w:left="567" w:hanging="11"/>
        <w:jc w:val="both"/>
        <w:rPr>
          <w:rFonts w:ascii="Arial" w:hAnsi="Arial" w:cs="Arial"/>
          <w:color w:val="C00000"/>
          <w:sz w:val="20"/>
          <w:szCs w:val="20"/>
          <w:lang w:val="en-AU"/>
        </w:rPr>
      </w:pPr>
      <w:r w:rsidRPr="00F57717">
        <w:rPr>
          <w:rFonts w:ascii="Arial" w:hAnsi="Arial" w:cs="Arial"/>
          <w:sz w:val="20"/>
          <w:szCs w:val="20"/>
        </w:rPr>
        <w:t xml:space="preserve">The TPTWG understands that the international community shares the responsibility </w:t>
      </w:r>
      <w:r>
        <w:rPr>
          <w:rFonts w:ascii="Arial" w:hAnsi="Arial" w:cs="Arial"/>
          <w:sz w:val="20"/>
          <w:szCs w:val="20"/>
        </w:rPr>
        <w:t>of</w:t>
      </w:r>
      <w:r w:rsidRPr="00F57717">
        <w:rPr>
          <w:rFonts w:ascii="Arial" w:hAnsi="Arial" w:cs="Arial"/>
          <w:sz w:val="20"/>
          <w:szCs w:val="20"/>
        </w:rPr>
        <w:t xml:space="preserve"> </w:t>
      </w:r>
      <w:r w:rsidRPr="00F57717">
        <w:rPr>
          <w:rFonts w:ascii="Arial" w:hAnsi="Arial" w:cs="Arial"/>
          <w:sz w:val="20"/>
          <w:szCs w:val="20"/>
        </w:rPr>
        <w:t>address</w:t>
      </w:r>
      <w:r>
        <w:rPr>
          <w:rFonts w:ascii="Arial" w:hAnsi="Arial" w:cs="Arial"/>
          <w:sz w:val="20"/>
          <w:szCs w:val="20"/>
        </w:rPr>
        <w:t>ing</w:t>
      </w:r>
      <w:r w:rsidRPr="00F57717">
        <w:rPr>
          <w:rFonts w:ascii="Arial" w:hAnsi="Arial" w:cs="Arial"/>
          <w:sz w:val="20"/>
          <w:szCs w:val="20"/>
        </w:rPr>
        <w:t xml:space="preserve"> the continuous threat posed by adversaries committed to disrupting aviation security</w:t>
      </w:r>
      <w:r>
        <w:rPr>
          <w:rFonts w:ascii="Arial" w:hAnsi="Arial" w:cs="Arial"/>
          <w:sz w:val="20"/>
          <w:szCs w:val="20"/>
        </w:rPr>
        <w:t>,</w:t>
      </w:r>
      <w:r w:rsidRPr="00F57717">
        <w:rPr>
          <w:rFonts w:ascii="Arial" w:hAnsi="Arial" w:cs="Arial"/>
          <w:sz w:val="20"/>
          <w:szCs w:val="20"/>
        </w:rPr>
        <w:t xml:space="preserve"> and more largely, global commerce</w:t>
      </w:r>
      <w:r>
        <w:rPr>
          <w:rFonts w:ascii="Arial" w:hAnsi="Arial" w:cs="Arial"/>
          <w:sz w:val="20"/>
          <w:szCs w:val="20"/>
        </w:rPr>
        <w:t xml:space="preserve">. </w:t>
      </w:r>
      <w:r w:rsidRPr="00A2494C">
        <w:rPr>
          <w:rFonts w:ascii="Arial" w:hAnsi="Arial" w:cs="Arial"/>
          <w:sz w:val="20"/>
          <w:szCs w:val="20"/>
        </w:rPr>
        <w:t>T</w:t>
      </w:r>
      <w:r>
        <w:rPr>
          <w:rFonts w:ascii="Arial" w:hAnsi="Arial" w:cs="Arial"/>
          <w:sz w:val="20"/>
          <w:szCs w:val="20"/>
        </w:rPr>
        <w:t>hus t</w:t>
      </w:r>
      <w:r w:rsidRPr="00A2494C">
        <w:rPr>
          <w:rFonts w:ascii="Arial" w:hAnsi="Arial" w:cs="Arial"/>
          <w:sz w:val="20"/>
          <w:szCs w:val="20"/>
        </w:rPr>
        <w:t xml:space="preserve">he TPTWG AEG-SEC works to </w:t>
      </w:r>
      <w:r w:rsidRPr="00A2494C">
        <w:rPr>
          <w:rFonts w:ascii="Arial" w:hAnsi="Arial" w:cs="Arial"/>
          <w:sz w:val="20"/>
          <w:szCs w:val="20"/>
          <w:lang w:val="en-AU"/>
        </w:rPr>
        <w:t>strengthen air passenger security standards</w:t>
      </w:r>
      <w:r>
        <w:rPr>
          <w:rFonts w:ascii="Arial" w:hAnsi="Arial" w:cs="Arial"/>
          <w:sz w:val="20"/>
          <w:szCs w:val="20"/>
          <w:lang w:val="en-AU"/>
        </w:rPr>
        <w:t>,</w:t>
      </w:r>
      <w:r w:rsidRPr="00A2494C">
        <w:rPr>
          <w:rFonts w:ascii="Arial" w:hAnsi="Arial" w:cs="Arial"/>
          <w:sz w:val="20"/>
          <w:szCs w:val="20"/>
          <w:lang w:val="en-AU"/>
        </w:rPr>
        <w:t xml:space="preserve"> enhance passenger security policies</w:t>
      </w:r>
      <w:r>
        <w:rPr>
          <w:rFonts w:ascii="Arial" w:hAnsi="Arial" w:cs="Arial"/>
          <w:sz w:val="20"/>
          <w:szCs w:val="20"/>
          <w:lang w:val="en-AU"/>
        </w:rPr>
        <w:t xml:space="preserve">, </w:t>
      </w:r>
      <w:r w:rsidRPr="00F57717">
        <w:rPr>
          <w:rFonts w:ascii="Arial" w:hAnsi="Arial" w:cs="Arial"/>
          <w:sz w:val="20"/>
          <w:szCs w:val="20"/>
          <w:lang w:val="en-AU"/>
        </w:rPr>
        <w:t xml:space="preserve">encourage a culture of security, and augment landside/public area security within the airport environment and other transport facilities </w:t>
      </w:r>
      <w:r w:rsidRPr="00A2494C">
        <w:rPr>
          <w:rFonts w:ascii="Arial" w:hAnsi="Arial" w:cs="Arial"/>
          <w:sz w:val="20"/>
          <w:szCs w:val="20"/>
          <w:lang w:val="en-AU"/>
        </w:rPr>
        <w:t>to address current and emerging threats. This includes facilitating information sharing on screening technologies and training, promoting improvement of security oversight and quality control, and harmonisation of aviation security measures in accordance with international standards. Recent AEG-SEC activities in this area include</w:t>
      </w:r>
      <w:r>
        <w:rPr>
          <w:rFonts w:ascii="Arial" w:hAnsi="Arial" w:cs="Arial"/>
          <w:sz w:val="20"/>
          <w:szCs w:val="20"/>
          <w:lang w:val="en-AU"/>
        </w:rPr>
        <w:t xml:space="preserve"> both</w:t>
      </w:r>
      <w:r w:rsidRPr="00A2494C">
        <w:rPr>
          <w:rFonts w:ascii="Arial" w:hAnsi="Arial" w:cs="Arial"/>
          <w:sz w:val="20"/>
          <w:szCs w:val="20"/>
          <w:lang w:val="en-AU"/>
        </w:rPr>
        <w:t xml:space="preserve"> </w:t>
      </w:r>
      <w:r>
        <w:rPr>
          <w:rFonts w:ascii="Arial" w:hAnsi="Arial" w:cs="Arial"/>
          <w:sz w:val="20"/>
          <w:szCs w:val="20"/>
          <w:lang w:val="en-AU"/>
        </w:rPr>
        <w:t xml:space="preserve">collaborating with </w:t>
      </w:r>
      <w:r w:rsidRPr="0072005C">
        <w:rPr>
          <w:rFonts w:ascii="Arial" w:hAnsi="Arial" w:cs="Arial"/>
          <w:sz w:val="20"/>
          <w:szCs w:val="20"/>
          <w:lang w:val="en-AU"/>
        </w:rPr>
        <w:t>CTWG</w:t>
      </w:r>
      <w:r w:rsidRPr="00EF1591">
        <w:rPr>
          <w:rFonts w:ascii="Arial" w:hAnsi="Arial" w:cs="Arial"/>
          <w:color w:val="C00000"/>
          <w:sz w:val="20"/>
          <w:szCs w:val="20"/>
          <w:lang w:val="en-AU"/>
        </w:rPr>
        <w:t xml:space="preserve"> </w:t>
      </w:r>
      <w:r w:rsidRPr="00EF1591">
        <w:rPr>
          <w:rFonts w:ascii="Arial" w:hAnsi="Arial" w:cs="Arial"/>
          <w:sz w:val="20"/>
          <w:szCs w:val="20"/>
          <w:lang w:val="en-AU"/>
        </w:rPr>
        <w:t xml:space="preserve">in </w:t>
      </w:r>
      <w:r w:rsidRPr="00A2494C">
        <w:rPr>
          <w:rFonts w:ascii="Arial" w:hAnsi="Arial" w:cs="Arial"/>
          <w:sz w:val="20"/>
          <w:szCs w:val="20"/>
          <w:lang w:val="en-AU"/>
        </w:rPr>
        <w:t>workshop</w:t>
      </w:r>
      <w:r>
        <w:rPr>
          <w:rFonts w:ascii="Arial" w:hAnsi="Arial" w:cs="Arial"/>
          <w:sz w:val="20"/>
          <w:szCs w:val="20"/>
          <w:lang w:val="en-AU"/>
        </w:rPr>
        <w:t>s</w:t>
      </w:r>
      <w:r w:rsidRPr="00A2494C">
        <w:rPr>
          <w:rFonts w:ascii="Arial" w:hAnsi="Arial" w:cs="Arial"/>
          <w:sz w:val="20"/>
          <w:szCs w:val="20"/>
          <w:lang w:val="en-AU"/>
        </w:rPr>
        <w:t xml:space="preserve"> on </w:t>
      </w:r>
      <w:r>
        <w:rPr>
          <w:rFonts w:ascii="Arial" w:hAnsi="Arial" w:cs="Arial"/>
          <w:sz w:val="20"/>
          <w:szCs w:val="20"/>
          <w:lang w:val="en-AU"/>
        </w:rPr>
        <w:t>A</w:t>
      </w:r>
      <w:r w:rsidRPr="00A2494C">
        <w:rPr>
          <w:rFonts w:ascii="Arial" w:hAnsi="Arial" w:cs="Arial"/>
          <w:sz w:val="20"/>
          <w:szCs w:val="20"/>
          <w:lang w:val="en-AU"/>
        </w:rPr>
        <w:t xml:space="preserve">dvanced </w:t>
      </w:r>
      <w:r>
        <w:rPr>
          <w:rFonts w:ascii="Arial" w:hAnsi="Arial" w:cs="Arial"/>
          <w:sz w:val="20"/>
          <w:szCs w:val="20"/>
          <w:lang w:val="en-AU"/>
        </w:rPr>
        <w:t>P</w:t>
      </w:r>
      <w:r w:rsidRPr="00A2494C">
        <w:rPr>
          <w:rFonts w:ascii="Arial" w:hAnsi="Arial" w:cs="Arial"/>
          <w:sz w:val="20"/>
          <w:szCs w:val="20"/>
          <w:lang w:val="en-AU"/>
        </w:rPr>
        <w:t xml:space="preserve">assenger </w:t>
      </w:r>
      <w:r>
        <w:rPr>
          <w:rFonts w:ascii="Arial" w:hAnsi="Arial" w:cs="Arial"/>
          <w:sz w:val="20"/>
          <w:szCs w:val="20"/>
          <w:lang w:val="en-AU"/>
        </w:rPr>
        <w:t>I</w:t>
      </w:r>
      <w:r w:rsidRPr="0072005C">
        <w:rPr>
          <w:rFonts w:ascii="Arial" w:hAnsi="Arial" w:cs="Arial"/>
          <w:sz w:val="20"/>
          <w:szCs w:val="20"/>
          <w:lang w:val="en-AU"/>
        </w:rPr>
        <w:t>nformation/</w:t>
      </w:r>
      <w:r>
        <w:rPr>
          <w:rFonts w:ascii="Arial" w:hAnsi="Arial" w:cs="Arial"/>
          <w:sz w:val="20"/>
          <w:szCs w:val="20"/>
          <w:lang w:val="en-AU"/>
        </w:rPr>
        <w:t>P</w:t>
      </w:r>
      <w:r w:rsidRPr="0072005C">
        <w:rPr>
          <w:rFonts w:ascii="Arial" w:hAnsi="Arial" w:cs="Arial"/>
          <w:sz w:val="20"/>
          <w:szCs w:val="20"/>
          <w:lang w:val="en-AU"/>
        </w:rPr>
        <w:t xml:space="preserve">assenger </w:t>
      </w:r>
      <w:r>
        <w:rPr>
          <w:rFonts w:ascii="Arial" w:hAnsi="Arial" w:cs="Arial"/>
          <w:sz w:val="20"/>
          <w:szCs w:val="20"/>
          <w:lang w:val="en-AU"/>
        </w:rPr>
        <w:t>N</w:t>
      </w:r>
      <w:r w:rsidRPr="0072005C">
        <w:rPr>
          <w:rFonts w:ascii="Arial" w:hAnsi="Arial" w:cs="Arial"/>
          <w:sz w:val="20"/>
          <w:szCs w:val="20"/>
          <w:lang w:val="en-AU"/>
        </w:rPr>
        <w:t xml:space="preserve">ame </w:t>
      </w:r>
      <w:r>
        <w:rPr>
          <w:rFonts w:ascii="Arial" w:hAnsi="Arial" w:cs="Arial"/>
          <w:sz w:val="20"/>
          <w:szCs w:val="20"/>
          <w:lang w:val="en-AU"/>
        </w:rPr>
        <w:t>R</w:t>
      </w:r>
      <w:r w:rsidRPr="0072005C">
        <w:rPr>
          <w:rFonts w:ascii="Arial" w:hAnsi="Arial" w:cs="Arial"/>
          <w:sz w:val="20"/>
          <w:szCs w:val="20"/>
          <w:lang w:val="en-AU"/>
        </w:rPr>
        <w:t>ecord (API/PNR)</w:t>
      </w:r>
      <w:r w:rsidRPr="0072005C">
        <w:t xml:space="preserve"> </w:t>
      </w:r>
      <w:r w:rsidRPr="00582ED1">
        <w:rPr>
          <w:rFonts w:ascii="Arial" w:hAnsi="Arial" w:cs="Arial"/>
          <w:sz w:val="20"/>
          <w:szCs w:val="20"/>
          <w:lang w:val="en-AU"/>
        </w:rPr>
        <w:t xml:space="preserve">and discussions at TPTWG AEG meetings to understand import and uses of API/PNR. These engagements </w:t>
      </w:r>
      <w:r w:rsidRPr="0072005C">
        <w:rPr>
          <w:rFonts w:ascii="Arial" w:hAnsi="Arial" w:cs="Arial"/>
          <w:sz w:val="20"/>
          <w:szCs w:val="20"/>
          <w:lang w:val="en-AU"/>
        </w:rPr>
        <w:t>help economies understand the process and benefits of differentiating low-risk and high-risk passengers.</w:t>
      </w:r>
    </w:p>
    <w:p w14:paraId="1468BB44" w14:textId="77777777" w:rsidR="00B71C38" w:rsidRPr="00A2494C" w:rsidRDefault="00B71C38" w:rsidP="00B71C38">
      <w:pPr>
        <w:pStyle w:val="ColorfulList-Accent11"/>
        <w:spacing w:after="0" w:line="23" w:lineRule="atLeast"/>
        <w:jc w:val="both"/>
        <w:rPr>
          <w:rFonts w:ascii="Arial" w:hAnsi="Arial" w:cs="Arial"/>
          <w:sz w:val="20"/>
          <w:szCs w:val="20"/>
          <w:lang w:val="en-AU"/>
        </w:rPr>
      </w:pPr>
    </w:p>
    <w:p w14:paraId="10E4E218" w14:textId="77777777" w:rsidR="00B71C38" w:rsidRPr="00A2494C" w:rsidRDefault="00B71C38" w:rsidP="00B71C38">
      <w:pPr>
        <w:pStyle w:val="ColorfulList-Accent11"/>
        <w:spacing w:after="0" w:line="23" w:lineRule="atLeast"/>
        <w:ind w:left="567"/>
        <w:jc w:val="both"/>
        <w:rPr>
          <w:rFonts w:ascii="Arial" w:hAnsi="Arial" w:cs="Arial"/>
          <w:sz w:val="20"/>
          <w:szCs w:val="20"/>
        </w:rPr>
      </w:pPr>
      <w:r w:rsidRPr="00A2494C">
        <w:rPr>
          <w:rFonts w:ascii="Arial" w:hAnsi="Arial" w:cs="Arial"/>
          <w:sz w:val="20"/>
          <w:szCs w:val="20"/>
        </w:rPr>
        <w:t xml:space="preserve">In addition to aviation-related activities, the TPTWG also undertakes initiatives related to sea-borne and land-based passenger transportation.  The TPTWG conducts capacity building and information exchange to enhance land transportation security, including the development of the APEC International Land Security and Commuter Advocacy Protocol and implementation of workshops on such issues as bus security. Additionally, TPTWG MEG-SEC’s efforts cover development and sharing of solutions on such issues as screening of maritime travelers, passengers’ vehicles on ferries, and other security risks.  </w:t>
      </w:r>
    </w:p>
    <w:p w14:paraId="37C263A6" w14:textId="77777777" w:rsidR="00B71C38" w:rsidRPr="00A2494C" w:rsidRDefault="00B71C38" w:rsidP="00B71C38">
      <w:pPr>
        <w:pStyle w:val="ColorfulList-Accent11"/>
        <w:spacing w:after="0" w:line="23" w:lineRule="atLeast"/>
        <w:jc w:val="both"/>
        <w:rPr>
          <w:rFonts w:ascii="Arial" w:hAnsi="Arial" w:cs="Arial"/>
          <w:sz w:val="20"/>
          <w:szCs w:val="20"/>
        </w:rPr>
      </w:pPr>
    </w:p>
    <w:p w14:paraId="3775A23C" w14:textId="77777777" w:rsidR="00B71C38" w:rsidRPr="00A2494C"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t>Security at the Travel Destination</w:t>
      </w:r>
      <w:r w:rsidRPr="00A2494C">
        <w:rPr>
          <w:rFonts w:ascii="Arial" w:hAnsi="Arial" w:cs="Arial"/>
          <w:sz w:val="20"/>
          <w:szCs w:val="20"/>
        </w:rPr>
        <w:t>: APEC has a valuable role to play in ensuring the security of travelers when they arrive at their destination (for example, a hotel, tourist site, or international event). Such efforts require balancing the needs of traveler-driven economic growth with the challenges of public security, and close cooperation between governments and the private sector</w:t>
      </w:r>
      <w:r w:rsidRPr="006D7D45">
        <w:rPr>
          <w:rFonts w:ascii="Arial" w:hAnsi="Arial" w:cs="Arial"/>
          <w:color w:val="C00000"/>
          <w:sz w:val="20"/>
          <w:szCs w:val="20"/>
        </w:rPr>
        <w:t xml:space="preserve">.  </w:t>
      </w:r>
      <w:r w:rsidRPr="0072005C">
        <w:rPr>
          <w:rFonts w:ascii="Arial" w:hAnsi="Arial" w:cs="Arial"/>
          <w:sz w:val="20"/>
          <w:szCs w:val="20"/>
        </w:rPr>
        <w:t xml:space="preserve">Examples of such an effort are the 2017 Workshop on Strengthening Tourism Business Resilience Against the Impact of a Terrorist Attack and the 2018 Workshop on the Protection of Soft Targets in a Counterterrorism Context. </w:t>
      </w:r>
    </w:p>
    <w:p w14:paraId="36DDA3DA" w14:textId="77777777" w:rsidR="00B71C38" w:rsidRDefault="00B71C38" w:rsidP="00B71C38">
      <w:pPr>
        <w:spacing w:after="0" w:line="23" w:lineRule="atLeast"/>
        <w:ind w:left="528"/>
        <w:jc w:val="both"/>
        <w:rPr>
          <w:rFonts w:ascii="Arial" w:hAnsi="Arial" w:cs="Arial"/>
          <w:sz w:val="20"/>
          <w:szCs w:val="20"/>
        </w:rPr>
      </w:pPr>
    </w:p>
    <w:p w14:paraId="0B0B40FA" w14:textId="77777777" w:rsidR="00B71C38" w:rsidRPr="00254186" w:rsidRDefault="00B71C38" w:rsidP="00B71C38">
      <w:pPr>
        <w:pStyle w:val="ColorfulList-Accent11"/>
        <w:numPr>
          <w:ilvl w:val="0"/>
          <w:numId w:val="31"/>
        </w:numPr>
        <w:spacing w:after="0" w:line="23" w:lineRule="atLeast"/>
        <w:jc w:val="both"/>
        <w:rPr>
          <w:rStyle w:val="bodytext1"/>
          <w:color w:val="auto"/>
          <w:sz w:val="20"/>
          <w:szCs w:val="20"/>
        </w:rPr>
      </w:pPr>
      <w:r w:rsidRPr="00254186">
        <w:rPr>
          <w:rFonts w:ascii="Arial" w:hAnsi="Arial" w:cs="Arial"/>
          <w:b/>
          <w:sz w:val="20"/>
          <w:szCs w:val="20"/>
          <w:u w:val="single"/>
        </w:rPr>
        <w:t>Secure Finance</w:t>
      </w:r>
      <w:r w:rsidRPr="00254186">
        <w:rPr>
          <w:rFonts w:ascii="Arial" w:hAnsi="Arial" w:cs="Arial"/>
          <w:b/>
          <w:sz w:val="20"/>
          <w:szCs w:val="20"/>
        </w:rPr>
        <w:t>:</w:t>
      </w:r>
      <w:r w:rsidRPr="00254186">
        <w:rPr>
          <w:rFonts w:ascii="Arial" w:hAnsi="Arial" w:cs="Arial"/>
          <w:sz w:val="20"/>
          <w:szCs w:val="20"/>
        </w:rPr>
        <w:t xml:space="preserve">  APEC, under the standards of </w:t>
      </w:r>
      <w:r>
        <w:rPr>
          <w:rFonts w:ascii="Arial" w:hAnsi="Arial" w:cs="Arial"/>
          <w:sz w:val="20"/>
          <w:szCs w:val="20"/>
        </w:rPr>
        <w:t xml:space="preserve">the </w:t>
      </w:r>
      <w:r w:rsidRPr="00254186">
        <w:rPr>
          <w:rFonts w:ascii="Arial" w:hAnsi="Arial" w:cs="Arial"/>
          <w:sz w:val="20"/>
          <w:szCs w:val="20"/>
        </w:rPr>
        <w:t>F</w:t>
      </w:r>
      <w:r>
        <w:rPr>
          <w:rFonts w:ascii="Arial" w:hAnsi="Arial" w:cs="Arial"/>
          <w:sz w:val="20"/>
          <w:szCs w:val="20"/>
        </w:rPr>
        <w:t>inancial Action Task Force (F</w:t>
      </w:r>
      <w:r w:rsidRPr="00254186">
        <w:rPr>
          <w:rFonts w:ascii="Arial" w:hAnsi="Arial" w:cs="Arial"/>
          <w:sz w:val="20"/>
          <w:szCs w:val="20"/>
        </w:rPr>
        <w:t>ATF</w:t>
      </w:r>
      <w:r>
        <w:rPr>
          <w:rFonts w:ascii="Arial" w:hAnsi="Arial" w:cs="Arial"/>
          <w:sz w:val="20"/>
          <w:szCs w:val="20"/>
        </w:rPr>
        <w:t>)</w:t>
      </w:r>
      <w:r w:rsidRPr="00254186">
        <w:rPr>
          <w:rFonts w:ascii="Arial" w:hAnsi="Arial" w:cs="Arial"/>
          <w:sz w:val="20"/>
          <w:szCs w:val="20"/>
        </w:rPr>
        <w:t xml:space="preserve">, seeks to protect against the misuse of financial systems for terrorist and criminal </w:t>
      </w:r>
      <w:r w:rsidRPr="00254186">
        <w:rPr>
          <w:rStyle w:val="bodytext1"/>
          <w:sz w:val="20"/>
          <w:szCs w:val="20"/>
        </w:rPr>
        <w:t xml:space="preserve">purposes and secure financial institutions against such threats, while avoiding unnecessary duplication and overlap with </w:t>
      </w:r>
      <w:r>
        <w:rPr>
          <w:rStyle w:val="bodytext1"/>
          <w:sz w:val="20"/>
          <w:szCs w:val="20"/>
        </w:rPr>
        <w:t xml:space="preserve">the </w:t>
      </w:r>
      <w:r w:rsidRPr="00254186">
        <w:rPr>
          <w:rStyle w:val="bodytext1"/>
          <w:sz w:val="20"/>
          <w:szCs w:val="20"/>
        </w:rPr>
        <w:t xml:space="preserve">Asia Pacific Group on Money Laundering (APG).  This work includes: </w:t>
      </w:r>
    </w:p>
    <w:p w14:paraId="49C8668D" w14:textId="77777777" w:rsidR="00B71C38" w:rsidRPr="00A2494C" w:rsidRDefault="00B71C38" w:rsidP="00B71C38">
      <w:pPr>
        <w:pStyle w:val="ColorfulList-Accent11"/>
        <w:spacing w:after="0" w:line="23" w:lineRule="atLeast"/>
        <w:ind w:left="0"/>
        <w:jc w:val="both"/>
        <w:rPr>
          <w:rFonts w:ascii="Arial" w:hAnsi="Arial" w:cs="Arial"/>
          <w:sz w:val="20"/>
          <w:szCs w:val="20"/>
        </w:rPr>
      </w:pPr>
    </w:p>
    <w:p w14:paraId="2812FDC0" w14:textId="77777777" w:rsidR="00B71C38" w:rsidRPr="00525E47" w:rsidRDefault="00B71C38" w:rsidP="00B71C38">
      <w:pPr>
        <w:pStyle w:val="ColorfulList-Accent11"/>
        <w:numPr>
          <w:ilvl w:val="0"/>
          <w:numId w:val="2"/>
        </w:numPr>
        <w:spacing w:after="0" w:line="23" w:lineRule="atLeast"/>
        <w:ind w:left="567" w:hanging="207"/>
        <w:jc w:val="both"/>
        <w:rPr>
          <w:rFonts w:ascii="Arial" w:hAnsi="Arial" w:cs="Arial"/>
          <w:b/>
          <w:sz w:val="20"/>
          <w:szCs w:val="20"/>
          <w:u w:val="single"/>
        </w:rPr>
      </w:pPr>
      <w:r w:rsidRPr="00A2494C">
        <w:rPr>
          <w:rFonts w:ascii="Arial" w:hAnsi="Arial" w:cs="Arial"/>
          <w:b/>
          <w:sz w:val="20"/>
          <w:szCs w:val="20"/>
        </w:rPr>
        <w:t xml:space="preserve">Financial Regulation and Enforcement: </w:t>
      </w:r>
      <w:r w:rsidRPr="00A2494C">
        <w:rPr>
          <w:rFonts w:ascii="Arial" w:hAnsi="Arial" w:cs="Arial"/>
          <w:sz w:val="20"/>
          <w:szCs w:val="20"/>
        </w:rPr>
        <w:t xml:space="preserve">Financial regulatory agencies </w:t>
      </w:r>
      <w:r w:rsidRPr="00FE7C4A">
        <w:rPr>
          <w:rFonts w:ascii="Arial" w:hAnsi="Arial" w:cs="Arial"/>
          <w:sz w:val="20"/>
          <w:szCs w:val="20"/>
        </w:rPr>
        <w:t xml:space="preserve">along with the financial intelligence units detect and disrupt the illegal flow of funds for terrorist and criminal use.  The CTWG has pursued projects on anti-money laundering and countering terrorist </w:t>
      </w:r>
      <w:r w:rsidRPr="0072005C">
        <w:rPr>
          <w:rFonts w:ascii="Arial" w:hAnsi="Arial" w:cs="Arial"/>
          <w:sz w:val="20"/>
          <w:szCs w:val="20"/>
        </w:rPr>
        <w:t>financ</w:t>
      </w:r>
      <w:r>
        <w:rPr>
          <w:rFonts w:ascii="Arial" w:hAnsi="Arial" w:cs="Arial"/>
          <w:sz w:val="20"/>
          <w:szCs w:val="20"/>
        </w:rPr>
        <w:t>ing</w:t>
      </w:r>
      <w:r w:rsidRPr="0072005C">
        <w:rPr>
          <w:rFonts w:ascii="Arial" w:hAnsi="Arial" w:cs="Arial"/>
          <w:sz w:val="20"/>
          <w:szCs w:val="20"/>
        </w:rPr>
        <w:t>, including implementation of</w:t>
      </w:r>
      <w:r>
        <w:rPr>
          <w:rFonts w:ascii="Arial" w:hAnsi="Arial" w:cs="Arial"/>
          <w:sz w:val="20"/>
          <w:szCs w:val="20"/>
        </w:rPr>
        <w:t xml:space="preserve"> the</w:t>
      </w:r>
      <w:r w:rsidRPr="0072005C">
        <w:rPr>
          <w:rFonts w:ascii="Arial" w:hAnsi="Arial" w:cs="Arial"/>
          <w:sz w:val="20"/>
          <w:szCs w:val="20"/>
        </w:rPr>
        <w:t xml:space="preserve"> international standards set forth by the FATF. These include workshops on securing cross-border payments from terrorist use, preventing the misuse of non-profit organizations,</w:t>
      </w:r>
      <w:r w:rsidRPr="00525E47">
        <w:rPr>
          <w:rFonts w:ascii="Arial" w:hAnsi="Arial" w:cs="Arial"/>
          <w:sz w:val="20"/>
          <w:szCs w:val="20"/>
        </w:rPr>
        <w:t xml:space="preserve"> halting terrorist financing</w:t>
      </w:r>
      <w:r>
        <w:rPr>
          <w:rFonts w:ascii="Arial" w:hAnsi="Arial" w:cs="Arial"/>
          <w:sz w:val="20"/>
          <w:szCs w:val="20"/>
        </w:rPr>
        <w:t>,</w:t>
      </w:r>
      <w:r w:rsidRPr="00525E47">
        <w:rPr>
          <w:rFonts w:ascii="Arial" w:hAnsi="Arial" w:cs="Arial"/>
          <w:sz w:val="20"/>
          <w:szCs w:val="20"/>
        </w:rPr>
        <w:t xml:space="preserve"> including through the</w:t>
      </w:r>
      <w:r>
        <w:rPr>
          <w:rFonts w:ascii="Arial" w:hAnsi="Arial" w:cs="Arial"/>
          <w:sz w:val="20"/>
          <w:szCs w:val="20"/>
        </w:rPr>
        <w:t xml:space="preserve"> United Nations Security Council</w:t>
      </w:r>
      <w:r w:rsidRPr="00525E47">
        <w:rPr>
          <w:rFonts w:ascii="Arial" w:hAnsi="Arial" w:cs="Arial"/>
          <w:sz w:val="20"/>
          <w:szCs w:val="20"/>
        </w:rPr>
        <w:t xml:space="preserve"> targeted financial sanctions regime, and identifying </w:t>
      </w:r>
      <w:r>
        <w:rPr>
          <w:rFonts w:ascii="Arial" w:hAnsi="Arial" w:cs="Arial"/>
          <w:sz w:val="20"/>
          <w:szCs w:val="20"/>
        </w:rPr>
        <w:t xml:space="preserve">and addressing </w:t>
      </w:r>
      <w:r w:rsidRPr="00525E47">
        <w:rPr>
          <w:rFonts w:ascii="Arial" w:hAnsi="Arial" w:cs="Arial"/>
          <w:sz w:val="20"/>
          <w:szCs w:val="20"/>
        </w:rPr>
        <w:t xml:space="preserve">current and emerging trends in terrorist finance.  </w:t>
      </w:r>
    </w:p>
    <w:p w14:paraId="7B9D7002" w14:textId="77777777" w:rsidR="00B71C38" w:rsidRPr="00A2494C" w:rsidRDefault="00B71C38" w:rsidP="00B71C38">
      <w:pPr>
        <w:pStyle w:val="ColorfulList-Accent11"/>
        <w:spacing w:after="0" w:line="23" w:lineRule="atLeast"/>
        <w:jc w:val="both"/>
        <w:rPr>
          <w:rFonts w:ascii="Arial" w:hAnsi="Arial" w:cs="Arial"/>
          <w:b/>
          <w:sz w:val="20"/>
          <w:szCs w:val="20"/>
          <w:u w:val="single"/>
        </w:rPr>
      </w:pPr>
    </w:p>
    <w:p w14:paraId="61DF04F2" w14:textId="77777777" w:rsidR="00B71C38" w:rsidRPr="00401983" w:rsidRDefault="00B71C38" w:rsidP="00B71C38">
      <w:pPr>
        <w:pStyle w:val="ColorfulList-Accent11"/>
        <w:numPr>
          <w:ilvl w:val="0"/>
          <w:numId w:val="2"/>
        </w:numPr>
        <w:spacing w:after="0" w:line="23" w:lineRule="atLeast"/>
        <w:ind w:left="567" w:hanging="207"/>
        <w:jc w:val="both"/>
        <w:rPr>
          <w:rFonts w:ascii="Arial" w:hAnsi="Arial" w:cs="Arial"/>
          <w:sz w:val="20"/>
          <w:szCs w:val="20"/>
        </w:rPr>
      </w:pPr>
      <w:r w:rsidRPr="00A2494C">
        <w:rPr>
          <w:rFonts w:ascii="Arial" w:hAnsi="Arial" w:cs="Arial"/>
          <w:b/>
          <w:sz w:val="20"/>
          <w:szCs w:val="20"/>
        </w:rPr>
        <w:t>Customs and Border Security:</w:t>
      </w:r>
      <w:r w:rsidRPr="00A2494C">
        <w:rPr>
          <w:rFonts w:ascii="Arial" w:hAnsi="Arial" w:cs="Arial"/>
          <w:sz w:val="20"/>
          <w:szCs w:val="20"/>
        </w:rPr>
        <w:t xml:space="preserve"> Customs and border security officials also play a critical role in helping to detect, deter, and interdict the smuggling of cash across borders. The </w:t>
      </w:r>
      <w:r w:rsidRPr="0072005C">
        <w:rPr>
          <w:rFonts w:ascii="Arial" w:hAnsi="Arial" w:cs="Arial"/>
          <w:sz w:val="20"/>
          <w:szCs w:val="20"/>
        </w:rPr>
        <w:t xml:space="preserve">CTWG </w:t>
      </w:r>
      <w:r w:rsidRPr="00A2494C">
        <w:rPr>
          <w:rFonts w:ascii="Arial" w:hAnsi="Arial" w:cs="Arial"/>
          <w:sz w:val="20"/>
          <w:szCs w:val="20"/>
        </w:rPr>
        <w:t>has sponsored workshops to raise awareness and build capacity of customs officials to combat bulk cash smuggling, including examination of emerging methods for cash smuggling, such as the use of stored value/pre-paid cards.</w:t>
      </w:r>
      <w:r w:rsidRPr="00401983">
        <w:t xml:space="preserve"> </w:t>
      </w:r>
      <w:r w:rsidRPr="00401983">
        <w:rPr>
          <w:rFonts w:ascii="Arial" w:hAnsi="Arial" w:cs="Arial"/>
          <w:sz w:val="20"/>
          <w:szCs w:val="20"/>
        </w:rPr>
        <w:t xml:space="preserve">The </w:t>
      </w:r>
      <w:r>
        <w:rPr>
          <w:rFonts w:ascii="Arial" w:hAnsi="Arial" w:cs="Arial"/>
          <w:sz w:val="20"/>
          <w:szCs w:val="20"/>
        </w:rPr>
        <w:t>W</w:t>
      </w:r>
      <w:r w:rsidRPr="00401983">
        <w:rPr>
          <w:rFonts w:ascii="Arial" w:hAnsi="Arial" w:cs="Arial"/>
          <w:sz w:val="20"/>
          <w:szCs w:val="20"/>
        </w:rPr>
        <w:t xml:space="preserve">orking </w:t>
      </w:r>
      <w:r>
        <w:rPr>
          <w:rFonts w:ascii="Arial" w:hAnsi="Arial" w:cs="Arial"/>
          <w:sz w:val="20"/>
          <w:szCs w:val="20"/>
        </w:rPr>
        <w:t>G</w:t>
      </w:r>
      <w:r w:rsidRPr="00401983">
        <w:rPr>
          <w:rFonts w:ascii="Arial" w:hAnsi="Arial" w:cs="Arial"/>
          <w:sz w:val="20"/>
          <w:szCs w:val="20"/>
        </w:rPr>
        <w:t xml:space="preserve">roup has also addressed the use and analysis of </w:t>
      </w:r>
      <w:r>
        <w:rPr>
          <w:rFonts w:ascii="Arial" w:hAnsi="Arial" w:cs="Arial"/>
          <w:sz w:val="20"/>
          <w:szCs w:val="20"/>
        </w:rPr>
        <w:t>API/PNR</w:t>
      </w:r>
      <w:r w:rsidRPr="00401983">
        <w:rPr>
          <w:rFonts w:ascii="Arial" w:hAnsi="Arial" w:cs="Arial"/>
          <w:sz w:val="20"/>
          <w:szCs w:val="20"/>
        </w:rPr>
        <w:t xml:space="preserve"> as essential tools which are part of a risk-based approach to border security.</w:t>
      </w:r>
    </w:p>
    <w:p w14:paraId="43CD9A72" w14:textId="77777777" w:rsidR="00B71C38" w:rsidRPr="00A2494C" w:rsidRDefault="00B71C38" w:rsidP="00B71C38">
      <w:pPr>
        <w:spacing w:after="0" w:line="23" w:lineRule="atLeast"/>
        <w:jc w:val="both"/>
        <w:rPr>
          <w:rFonts w:ascii="Arial" w:hAnsi="Arial" w:cs="Arial"/>
          <w:sz w:val="20"/>
          <w:szCs w:val="20"/>
        </w:rPr>
      </w:pPr>
    </w:p>
    <w:p w14:paraId="41AADBC9" w14:textId="77777777" w:rsidR="00B71C38" w:rsidRPr="00254186" w:rsidRDefault="00B71C38" w:rsidP="00B71C38">
      <w:pPr>
        <w:pStyle w:val="ColorfulList-Accent11"/>
        <w:tabs>
          <w:tab w:val="left" w:pos="426"/>
        </w:tabs>
        <w:spacing w:after="0" w:line="23" w:lineRule="atLeast"/>
        <w:ind w:left="426" w:hanging="426"/>
        <w:jc w:val="both"/>
        <w:rPr>
          <w:rFonts w:ascii="Arial" w:hAnsi="Arial" w:cs="Arial"/>
          <w:sz w:val="20"/>
          <w:szCs w:val="20"/>
        </w:rPr>
      </w:pPr>
      <w:r w:rsidRPr="00254186">
        <w:rPr>
          <w:rFonts w:ascii="Arial" w:hAnsi="Arial" w:cs="Arial"/>
          <w:b/>
          <w:sz w:val="20"/>
          <w:szCs w:val="20"/>
        </w:rPr>
        <w:t xml:space="preserve">D. </w:t>
      </w:r>
      <w:r w:rsidRPr="00254186">
        <w:rPr>
          <w:rFonts w:ascii="Arial" w:hAnsi="Arial" w:cs="Arial"/>
          <w:b/>
          <w:sz w:val="20"/>
          <w:szCs w:val="20"/>
        </w:rPr>
        <w:tab/>
      </w:r>
      <w:r w:rsidRPr="00254186">
        <w:rPr>
          <w:rFonts w:ascii="Arial" w:hAnsi="Arial" w:cs="Arial"/>
          <w:b/>
          <w:sz w:val="20"/>
          <w:szCs w:val="20"/>
          <w:u w:val="single"/>
        </w:rPr>
        <w:t>Secure Infrastructure</w:t>
      </w:r>
      <w:r w:rsidRPr="00254186">
        <w:rPr>
          <w:rFonts w:ascii="Arial" w:hAnsi="Arial" w:cs="Arial"/>
          <w:sz w:val="20"/>
          <w:szCs w:val="20"/>
        </w:rPr>
        <w:t xml:space="preserve">: APEC works to </w:t>
      </w:r>
      <w:r w:rsidRPr="00254186">
        <w:rPr>
          <w:rStyle w:val="bodytext1"/>
          <w:sz w:val="20"/>
          <w:szCs w:val="20"/>
        </w:rPr>
        <w:t>enhance the security and resilience of critical infrastructure and soft targets</w:t>
      </w:r>
      <w:r w:rsidRPr="00265EA1">
        <w:rPr>
          <w:rStyle w:val="bodytext1"/>
          <w:sz w:val="20"/>
          <w:szCs w:val="20"/>
        </w:rPr>
        <w:t xml:space="preserve"> across the APEC region, including identification of regional risks, infrastructure protection priorities and promotion of best practices</w:t>
      </w:r>
      <w:r w:rsidRPr="00265EA1">
        <w:rPr>
          <w:rFonts w:ascii="Arial" w:hAnsi="Arial" w:cs="Arial"/>
          <w:sz w:val="20"/>
          <w:szCs w:val="20"/>
        </w:rPr>
        <w:t xml:space="preserve">. </w:t>
      </w:r>
      <w:r w:rsidRPr="00254186">
        <w:rPr>
          <w:rFonts w:ascii="Arial" w:hAnsi="Arial" w:cs="Arial"/>
          <w:sz w:val="20"/>
          <w:szCs w:val="20"/>
        </w:rPr>
        <w:t xml:space="preserve">These activities cover a broad range of sectors and are aimed at enhancing and leveraging intra-APEC cooperation as well as cooperation with the private sector and multilateral organizations. </w:t>
      </w:r>
      <w:r>
        <w:rPr>
          <w:rFonts w:ascii="Arial" w:hAnsi="Arial" w:cs="Arial"/>
          <w:sz w:val="20"/>
          <w:szCs w:val="20"/>
        </w:rPr>
        <w:t xml:space="preserve">An example of this work is the holding of the </w:t>
      </w:r>
      <w:r w:rsidRPr="00254186">
        <w:rPr>
          <w:rFonts w:ascii="Arial" w:hAnsi="Arial" w:cs="Arial"/>
          <w:sz w:val="20"/>
          <w:szCs w:val="20"/>
        </w:rPr>
        <w:t>APEC CTWG Workshop on the Protection of Soft Targets in a Counterterrorism Context in Tokyo, Japan</w:t>
      </w:r>
      <w:r>
        <w:rPr>
          <w:rFonts w:ascii="Arial" w:hAnsi="Arial" w:cs="Arial"/>
          <w:sz w:val="20"/>
          <w:szCs w:val="20"/>
        </w:rPr>
        <w:t>,</w:t>
      </w:r>
      <w:r w:rsidRPr="00254186">
        <w:rPr>
          <w:rFonts w:ascii="Arial" w:hAnsi="Arial" w:cs="Arial"/>
          <w:sz w:val="20"/>
          <w:szCs w:val="20"/>
        </w:rPr>
        <w:t xml:space="preserve"> that produced a set of recommendations to better protect soft targets regionally and globally, in conjunction with other APEC sub-fora and multilateral organizations. </w:t>
      </w:r>
      <w:r>
        <w:rPr>
          <w:rFonts w:ascii="Arial" w:hAnsi="Arial" w:cs="Arial"/>
          <w:sz w:val="20"/>
          <w:szCs w:val="20"/>
        </w:rPr>
        <w:t xml:space="preserve">Moreover, the TPTWG has </w:t>
      </w:r>
      <w:r w:rsidRPr="00254186">
        <w:rPr>
          <w:rFonts w:ascii="Arial" w:hAnsi="Arial" w:cs="Arial"/>
          <w:sz w:val="20"/>
          <w:szCs w:val="20"/>
        </w:rPr>
        <w:t xml:space="preserve">undertaken </w:t>
      </w:r>
      <w:r>
        <w:rPr>
          <w:rFonts w:ascii="Arial" w:hAnsi="Arial" w:cs="Arial"/>
          <w:sz w:val="20"/>
          <w:szCs w:val="20"/>
        </w:rPr>
        <w:t xml:space="preserve">work </w:t>
      </w:r>
      <w:r w:rsidRPr="00254186">
        <w:rPr>
          <w:rFonts w:ascii="Arial" w:hAnsi="Arial" w:cs="Arial"/>
          <w:sz w:val="20"/>
          <w:szCs w:val="20"/>
        </w:rPr>
        <w:t xml:space="preserve">on transportation infrastructure and cyber security efforts led by the Telecommunications and Information Working Group’s Security and Prosperity Steering Group (TEL/SPSG). </w:t>
      </w:r>
    </w:p>
    <w:p w14:paraId="0463D687" w14:textId="77777777" w:rsidR="00B71C38" w:rsidRPr="005C15BE" w:rsidRDefault="00B71C38" w:rsidP="00F51E34">
      <w:pPr>
        <w:spacing w:after="0" w:line="23" w:lineRule="atLeast"/>
        <w:jc w:val="both"/>
        <w:rPr>
          <w:rFonts w:ascii="Arial" w:hAnsi="Arial" w:cs="Arial"/>
          <w:sz w:val="20"/>
          <w:szCs w:val="20"/>
        </w:rPr>
      </w:pPr>
      <w:bookmarkStart w:id="0" w:name="_GoBack"/>
      <w:bookmarkEnd w:id="0"/>
    </w:p>
    <w:sectPr w:rsidR="00B71C38" w:rsidRPr="005C15BE" w:rsidSect="00A2494C">
      <w:headerReference w:type="even" r:id="rId13"/>
      <w:footerReference w:type="default" r:id="rId14"/>
      <w:head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E479" w14:textId="77777777" w:rsidR="000A3B12" w:rsidRDefault="000A3B12" w:rsidP="00EE1A23">
      <w:pPr>
        <w:spacing w:after="0" w:line="240" w:lineRule="auto"/>
      </w:pPr>
      <w:r>
        <w:separator/>
      </w:r>
    </w:p>
  </w:endnote>
  <w:endnote w:type="continuationSeparator" w:id="0">
    <w:p w14:paraId="0E666918" w14:textId="77777777" w:rsidR="000A3B12" w:rsidRDefault="000A3B12" w:rsidP="00EE1A23">
      <w:pPr>
        <w:spacing w:after="0" w:line="240" w:lineRule="auto"/>
      </w:pPr>
      <w:r>
        <w:continuationSeparator/>
      </w:r>
    </w:p>
  </w:endnote>
  <w:endnote w:type="continuationNotice" w:id="1">
    <w:p w14:paraId="1AEACBB6" w14:textId="77777777" w:rsidR="000A3B12" w:rsidRDefault="000A3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algun Gothic Semilight"/>
    <w:panose1 w:val="00000000000000000000"/>
    <w:charset w:val="80"/>
    <w:family w:val="roman"/>
    <w:notTrueType/>
    <w:pitch w:val="fixed"/>
    <w:sig w:usb0="00000001" w:usb1="080F0000" w:usb2="00000010" w:usb3="00000000" w:csb0="0006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2987"/>
      <w:docPartObj>
        <w:docPartGallery w:val="Page Numbers (Bottom of Page)"/>
        <w:docPartUnique/>
      </w:docPartObj>
    </w:sdtPr>
    <w:sdtEndPr>
      <w:rPr>
        <w:noProof/>
      </w:rPr>
    </w:sdtEndPr>
    <w:sdtContent>
      <w:p w14:paraId="13808884" w14:textId="2FFF227B" w:rsidR="0045341C" w:rsidRDefault="0045341C">
        <w:pPr>
          <w:pStyle w:val="Piedepgina"/>
          <w:jc w:val="right"/>
        </w:pPr>
        <w:r>
          <w:fldChar w:fldCharType="begin"/>
        </w:r>
        <w:r>
          <w:instrText xml:space="preserve"> PAGE   \* MERGEFORMAT </w:instrText>
        </w:r>
        <w:r>
          <w:fldChar w:fldCharType="separate"/>
        </w:r>
        <w:r w:rsidR="002B24D2">
          <w:rPr>
            <w:noProof/>
          </w:rPr>
          <w:t>2</w:t>
        </w:r>
        <w:r>
          <w:rPr>
            <w:noProof/>
          </w:rPr>
          <w:fldChar w:fldCharType="end"/>
        </w:r>
      </w:p>
    </w:sdtContent>
  </w:sdt>
  <w:p w14:paraId="4501FCAE" w14:textId="77777777" w:rsidR="0045341C" w:rsidRDefault="004534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8A3C" w14:textId="77777777" w:rsidR="000A3B12" w:rsidRDefault="000A3B12" w:rsidP="00EE1A23">
      <w:pPr>
        <w:spacing w:after="0" w:line="240" w:lineRule="auto"/>
      </w:pPr>
      <w:r>
        <w:separator/>
      </w:r>
    </w:p>
  </w:footnote>
  <w:footnote w:type="continuationSeparator" w:id="0">
    <w:p w14:paraId="49BDFE8C" w14:textId="77777777" w:rsidR="000A3B12" w:rsidRDefault="000A3B12" w:rsidP="00EE1A23">
      <w:pPr>
        <w:spacing w:after="0" w:line="240" w:lineRule="auto"/>
      </w:pPr>
      <w:r>
        <w:continuationSeparator/>
      </w:r>
    </w:p>
  </w:footnote>
  <w:footnote w:type="continuationNotice" w:id="1">
    <w:p w14:paraId="2A20253E" w14:textId="77777777" w:rsidR="000A3B12" w:rsidRDefault="000A3B12">
      <w:pPr>
        <w:spacing w:after="0" w:line="240" w:lineRule="auto"/>
      </w:pPr>
    </w:p>
  </w:footnote>
  <w:footnote w:id="2">
    <w:p w14:paraId="4AE509B0" w14:textId="424B17A7" w:rsidR="00FB17AC" w:rsidRPr="0095254B" w:rsidRDefault="00FB17AC" w:rsidP="00525E47">
      <w:pPr>
        <w:pStyle w:val="Prrafodelista"/>
        <w:spacing w:after="0" w:line="240" w:lineRule="auto"/>
        <w:ind w:left="0"/>
        <w:jc w:val="both"/>
        <w:rPr>
          <w:rFonts w:ascii="Times New Roman" w:hAnsi="Times New Roman"/>
          <w:sz w:val="16"/>
          <w:szCs w:val="18"/>
        </w:rPr>
      </w:pPr>
      <w:r w:rsidRPr="0095254B">
        <w:rPr>
          <w:rStyle w:val="Refdenotaalpie"/>
          <w:sz w:val="16"/>
          <w:szCs w:val="18"/>
        </w:rPr>
        <w:footnoteRef/>
      </w:r>
      <w:r w:rsidRPr="0095254B">
        <w:rPr>
          <w:sz w:val="16"/>
          <w:szCs w:val="18"/>
        </w:rPr>
        <w:t xml:space="preserve"> </w:t>
      </w:r>
      <w:r w:rsidRPr="0095254B">
        <w:rPr>
          <w:rFonts w:ascii="Arial" w:hAnsi="Arial" w:cs="Arial"/>
          <w:sz w:val="16"/>
          <w:szCs w:val="18"/>
        </w:rPr>
        <w:t>The APEC Counter-Terrorism Task Force (</w:t>
      </w:r>
      <w:r w:rsidR="00BE7058" w:rsidRPr="0095254B">
        <w:rPr>
          <w:rFonts w:ascii="Arial" w:hAnsi="Arial" w:cs="Arial"/>
          <w:sz w:val="16"/>
          <w:szCs w:val="18"/>
        </w:rPr>
        <w:t>CTWG</w:t>
      </w:r>
      <w:r w:rsidRPr="0095254B">
        <w:rPr>
          <w:rFonts w:ascii="Arial" w:hAnsi="Arial" w:cs="Arial"/>
          <w:sz w:val="16"/>
          <w:szCs w:val="18"/>
        </w:rPr>
        <w:t>) was established in 2003 in response to the increased terrorist threat</w:t>
      </w:r>
      <w:r w:rsidRPr="0095254B">
        <w:rPr>
          <w:rFonts w:ascii="Arial" w:hAnsi="Arial" w:cs="Arial"/>
          <w:sz w:val="16"/>
          <w:szCs w:val="18"/>
          <w:lang w:val="en-US"/>
        </w:rPr>
        <w:t>s</w:t>
      </w:r>
      <w:r w:rsidRPr="0095254B">
        <w:rPr>
          <w:rFonts w:ascii="Arial" w:hAnsi="Arial" w:cs="Arial"/>
          <w:sz w:val="16"/>
          <w:szCs w:val="18"/>
        </w:rPr>
        <w:t xml:space="preserve"> to the Asia-Pacific region’s people and economic, trade, investment and financial systems. In 2013, cognis</w:t>
      </w:r>
      <w:r w:rsidR="00857E39" w:rsidRPr="0095254B">
        <w:rPr>
          <w:rFonts w:ascii="Arial" w:hAnsi="Arial" w:cs="Arial"/>
          <w:sz w:val="16"/>
          <w:szCs w:val="18"/>
        </w:rPr>
        <w:t xml:space="preserve">ant that </w:t>
      </w:r>
      <w:r w:rsidRPr="0095254B">
        <w:rPr>
          <w:rFonts w:ascii="Arial" w:hAnsi="Arial" w:cs="Arial"/>
          <w:sz w:val="16"/>
          <w:szCs w:val="18"/>
        </w:rPr>
        <w:t xml:space="preserve">the threat of terrorism, frequency and intensity of disruption continue to persist, the SOM Steering Committee on Economic and Technical Cooperation (SCE) endorsed the </w:t>
      </w:r>
      <w:r w:rsidR="00BE7058" w:rsidRPr="0095254B">
        <w:rPr>
          <w:rFonts w:ascii="Arial" w:hAnsi="Arial" w:cs="Arial"/>
          <w:sz w:val="16"/>
          <w:szCs w:val="18"/>
        </w:rPr>
        <w:t>CTWG</w:t>
      </w:r>
      <w:r w:rsidRPr="0095254B">
        <w:rPr>
          <w:rFonts w:ascii="Arial" w:hAnsi="Arial" w:cs="Arial"/>
          <w:sz w:val="16"/>
          <w:szCs w:val="18"/>
        </w:rPr>
        <w:t>’s upgrade to a Counter-Terrorism Working Group (CTWG).</w:t>
      </w:r>
      <w:r w:rsidRPr="0095254B">
        <w:rPr>
          <w:rFonts w:ascii="Times New Roman" w:hAnsi="Times New Roman"/>
          <w:sz w:val="16"/>
          <w:szCs w:val="18"/>
        </w:rPr>
        <w:t xml:space="preserve"> </w:t>
      </w:r>
    </w:p>
    <w:p w14:paraId="4FB1764F" w14:textId="77777777" w:rsidR="00FB17AC" w:rsidRPr="00175F40" w:rsidRDefault="00FB17AC">
      <w:pPr>
        <w:pStyle w:val="Textonotapie"/>
        <w:rPr>
          <w:lang w:val="en-A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347" w14:textId="77777777" w:rsidR="00AE03F5" w:rsidRDefault="00092426">
    <w:pPr>
      <w:pStyle w:val="Encabezado"/>
    </w:pPr>
    <w:r w:rsidRPr="003F653B">
      <w:rPr>
        <w:noProof/>
        <w:lang w:val="es-CL" w:eastAsia="es-CL"/>
      </w:rPr>
      <mc:AlternateContent>
        <mc:Choice Requires="wps">
          <w:drawing>
            <wp:anchor distT="0" distB="0" distL="114300" distR="114300" simplePos="0" relativeHeight="251658240" behindDoc="1" locked="0" layoutInCell="0" allowOverlap="1" wp14:anchorId="510F3117" wp14:editId="4EDB3272">
              <wp:simplePos x="0" y="0"/>
              <wp:positionH relativeFrom="margin">
                <wp:align>center</wp:align>
              </wp:positionH>
              <wp:positionV relativeFrom="margin">
                <wp:align>center</wp:align>
              </wp:positionV>
              <wp:extent cx="5237480" cy="3142615"/>
              <wp:effectExtent l="0" t="1143000" r="0" b="65786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2E447A"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0F3117" id="_x0000_t202" coordsize="21600,21600" o:spt="202" path="m,l,21600r21600,l21600,xe">
              <v:stroke joinstyle="miter"/>
              <v:path gradientshapeok="t" o:connecttype="rect"/>
            </v:shapetype>
            <v:shape id="WordArt 7"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8e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Ooq&#10;zx6HAgAA/A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3F2E447A"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r w:rsidRPr="003F653B">
      <w:rPr>
        <w:noProof/>
        <w:lang w:val="es-CL" w:eastAsia="es-CL"/>
      </w:rPr>
      <mc:AlternateContent>
        <mc:Choice Requires="wps">
          <w:drawing>
            <wp:anchor distT="0" distB="0" distL="114300" distR="114300" simplePos="0" relativeHeight="251656192" behindDoc="1" locked="0" layoutInCell="0" allowOverlap="1" wp14:anchorId="4A2B1941" wp14:editId="7274A448">
              <wp:simplePos x="0" y="0"/>
              <wp:positionH relativeFrom="margin">
                <wp:align>center</wp:align>
              </wp:positionH>
              <wp:positionV relativeFrom="margin">
                <wp:align>center</wp:align>
              </wp:positionV>
              <wp:extent cx="5237480" cy="3142615"/>
              <wp:effectExtent l="0" t="1143000" r="0" b="65786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9FCF78"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2B1941" id="WordArt 4"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O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yfx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vx5kjo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19FCF78"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B964" w14:textId="77777777" w:rsidR="00AE03F5" w:rsidRDefault="00092426">
    <w:pPr>
      <w:pStyle w:val="Encabezado"/>
    </w:pPr>
    <w:r w:rsidRPr="003F653B">
      <w:rPr>
        <w:noProof/>
        <w:lang w:val="es-CL" w:eastAsia="es-CL"/>
      </w:rPr>
      <mc:AlternateContent>
        <mc:Choice Requires="wps">
          <w:drawing>
            <wp:anchor distT="0" distB="0" distL="114300" distR="114300" simplePos="0" relativeHeight="251659264" behindDoc="1" locked="0" layoutInCell="0" allowOverlap="1" wp14:anchorId="7FCF5DE8" wp14:editId="515281F2">
              <wp:simplePos x="0" y="0"/>
              <wp:positionH relativeFrom="margin">
                <wp:align>center</wp:align>
              </wp:positionH>
              <wp:positionV relativeFrom="margin">
                <wp:align>center</wp:align>
              </wp:positionV>
              <wp:extent cx="5237480" cy="3142615"/>
              <wp:effectExtent l="0" t="1143000" r="0" b="65786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6A07F7"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CF5DE8" id="_x0000_t202" coordsize="21600,21600" o:spt="202" path="m,l,21600r21600,l21600,xe">
              <v:stroke joinstyle="miter"/>
              <v:path gradientshapeok="t" o:connecttype="rect"/>
            </v:shapetype>
            <v:shape id="WordArt 9" o:spid="_x0000_s1028"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9s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l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e&#10;Dq9s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86A07F7"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r w:rsidRPr="003F653B">
      <w:rPr>
        <w:noProof/>
        <w:lang w:val="es-CL" w:eastAsia="es-CL"/>
      </w:rPr>
      <mc:AlternateContent>
        <mc:Choice Requires="wps">
          <w:drawing>
            <wp:anchor distT="0" distB="0" distL="114300" distR="114300" simplePos="0" relativeHeight="251657216" behindDoc="1" locked="0" layoutInCell="0" allowOverlap="1" wp14:anchorId="654FF3B5" wp14:editId="47455BF1">
              <wp:simplePos x="0" y="0"/>
              <wp:positionH relativeFrom="margin">
                <wp:align>center</wp:align>
              </wp:positionH>
              <wp:positionV relativeFrom="margin">
                <wp:align>center</wp:align>
              </wp:positionV>
              <wp:extent cx="5237480" cy="3142615"/>
              <wp:effectExtent l="0" t="1143000" r="0" b="65786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6998D4"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4FF3B5" id="WordArt 6" o:spid="_x0000_s1029"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Wf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IFiRZ+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416998D4" w14:textId="77777777" w:rsidR="00092426" w:rsidRDefault="00092426" w:rsidP="00092426">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F57"/>
    <w:multiLevelType w:val="hybridMultilevel"/>
    <w:tmpl w:val="621C585A"/>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E7BEB"/>
    <w:multiLevelType w:val="hybridMultilevel"/>
    <w:tmpl w:val="929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514E2"/>
    <w:multiLevelType w:val="hybridMultilevel"/>
    <w:tmpl w:val="95742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316F9"/>
    <w:multiLevelType w:val="hybridMultilevel"/>
    <w:tmpl w:val="834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24069"/>
    <w:multiLevelType w:val="hybridMultilevel"/>
    <w:tmpl w:val="1FD49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81A9C"/>
    <w:multiLevelType w:val="hybridMultilevel"/>
    <w:tmpl w:val="01B4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B59"/>
    <w:multiLevelType w:val="hybridMultilevel"/>
    <w:tmpl w:val="079E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05EAD"/>
    <w:multiLevelType w:val="hybridMultilevel"/>
    <w:tmpl w:val="B6567F7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2B75C3"/>
    <w:multiLevelType w:val="hybridMultilevel"/>
    <w:tmpl w:val="2BFCE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6F48CD"/>
    <w:multiLevelType w:val="hybridMultilevel"/>
    <w:tmpl w:val="28CC8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CF07A4"/>
    <w:multiLevelType w:val="hybridMultilevel"/>
    <w:tmpl w:val="7C5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D4866"/>
    <w:multiLevelType w:val="hybridMultilevel"/>
    <w:tmpl w:val="B25CF66A"/>
    <w:lvl w:ilvl="0" w:tplc="3508F098">
      <w:start w:val="1"/>
      <w:numFmt w:val="decimal"/>
      <w:lvlText w:val="F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741F3C"/>
    <w:multiLevelType w:val="hybridMultilevel"/>
    <w:tmpl w:val="E76A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E77AD"/>
    <w:multiLevelType w:val="hybridMultilevel"/>
    <w:tmpl w:val="DDE40274"/>
    <w:lvl w:ilvl="0" w:tplc="0F16436C">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9B697A"/>
    <w:multiLevelType w:val="hybridMultilevel"/>
    <w:tmpl w:val="82AE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A7A69"/>
    <w:multiLevelType w:val="hybridMultilevel"/>
    <w:tmpl w:val="D2EA1240"/>
    <w:lvl w:ilvl="0" w:tplc="8F38DA5E">
      <w:numFmt w:val="bullet"/>
      <w:lvlText w:val="-"/>
      <w:lvlJc w:val="left"/>
      <w:pPr>
        <w:ind w:left="528" w:hanging="360"/>
      </w:pPr>
      <w:rPr>
        <w:rFonts w:ascii="Arial" w:eastAsia="Calibri" w:hAnsi="Arial" w:cs="Arial" w:hint="default"/>
      </w:rPr>
    </w:lvl>
    <w:lvl w:ilvl="1" w:tplc="0C090003" w:tentative="1">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16" w15:restartNumberingAfterBreak="0">
    <w:nsid w:val="3263334A"/>
    <w:multiLevelType w:val="hybridMultilevel"/>
    <w:tmpl w:val="0AA8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D1670"/>
    <w:multiLevelType w:val="hybridMultilevel"/>
    <w:tmpl w:val="1B920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E55297"/>
    <w:multiLevelType w:val="hybridMultilevel"/>
    <w:tmpl w:val="A3E2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80670"/>
    <w:multiLevelType w:val="hybridMultilevel"/>
    <w:tmpl w:val="5A3AC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832893"/>
    <w:multiLevelType w:val="hybridMultilevel"/>
    <w:tmpl w:val="82684E6E"/>
    <w:lvl w:ilvl="0" w:tplc="BD482128">
      <w:numFmt w:val="bullet"/>
      <w:lvlText w:val="-"/>
      <w:lvlJc w:val="left"/>
      <w:pPr>
        <w:ind w:left="720" w:hanging="360"/>
      </w:pPr>
      <w:rPr>
        <w:rFonts w:ascii="Arial" w:eastAsia="Calibri"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477F9"/>
    <w:multiLevelType w:val="hybridMultilevel"/>
    <w:tmpl w:val="B90475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73ED4"/>
    <w:multiLevelType w:val="hybridMultilevel"/>
    <w:tmpl w:val="2D9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20432"/>
    <w:multiLevelType w:val="hybridMultilevel"/>
    <w:tmpl w:val="C68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963DD"/>
    <w:multiLevelType w:val="hybridMultilevel"/>
    <w:tmpl w:val="D4647AC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D136F"/>
    <w:multiLevelType w:val="hybridMultilevel"/>
    <w:tmpl w:val="7B74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B7FDF"/>
    <w:multiLevelType w:val="hybridMultilevel"/>
    <w:tmpl w:val="B0A05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CF62AE"/>
    <w:multiLevelType w:val="hybridMultilevel"/>
    <w:tmpl w:val="23DAEB44"/>
    <w:lvl w:ilvl="0" w:tplc="153AD556">
      <w:start w:val="1"/>
      <w:numFmt w:val="upperLetter"/>
      <w:lvlText w:val="%1."/>
      <w:lvlJc w:val="left"/>
      <w:pPr>
        <w:ind w:left="360" w:hanging="360"/>
      </w:pPr>
      <w:rPr>
        <w:rFonts w:hint="default"/>
        <w:b/>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817FD8"/>
    <w:multiLevelType w:val="hybridMultilevel"/>
    <w:tmpl w:val="D2189946"/>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9A4A3F"/>
    <w:multiLevelType w:val="hybridMultilevel"/>
    <w:tmpl w:val="BCD0226A"/>
    <w:lvl w:ilvl="0" w:tplc="04090003">
      <w:start w:val="1"/>
      <w:numFmt w:val="bullet"/>
      <w:lvlText w:val="o"/>
      <w:lvlJc w:val="left"/>
      <w:pPr>
        <w:ind w:left="2160" w:hanging="360"/>
      </w:pPr>
      <w:rPr>
        <w:rFonts w:ascii="Courier New" w:hAnsi="Courier New" w:cs="Aria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B273F2"/>
    <w:multiLevelType w:val="hybridMultilevel"/>
    <w:tmpl w:val="CF1A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CC3A80"/>
    <w:multiLevelType w:val="hybridMultilevel"/>
    <w:tmpl w:val="F8429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6A720F"/>
    <w:multiLevelType w:val="hybridMultilevel"/>
    <w:tmpl w:val="DB20D6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4B91471F"/>
    <w:multiLevelType w:val="hybridMultilevel"/>
    <w:tmpl w:val="5FFA6B28"/>
    <w:lvl w:ilvl="0" w:tplc="8F38DA5E">
      <w:numFmt w:val="bullet"/>
      <w:lvlText w:val="-"/>
      <w:lvlJc w:val="left"/>
      <w:pPr>
        <w:ind w:left="528"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444402"/>
    <w:multiLevelType w:val="hybridMultilevel"/>
    <w:tmpl w:val="0CC2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A6F22"/>
    <w:multiLevelType w:val="hybridMultilevel"/>
    <w:tmpl w:val="12BCF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F251A1"/>
    <w:multiLevelType w:val="hybridMultilevel"/>
    <w:tmpl w:val="8FE0E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A698A"/>
    <w:multiLevelType w:val="hybridMultilevel"/>
    <w:tmpl w:val="3A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B0FF4"/>
    <w:multiLevelType w:val="hybridMultilevel"/>
    <w:tmpl w:val="788631A0"/>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550AC1"/>
    <w:multiLevelType w:val="hybridMultilevel"/>
    <w:tmpl w:val="35F460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54868"/>
    <w:multiLevelType w:val="hybridMultilevel"/>
    <w:tmpl w:val="011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D587A"/>
    <w:multiLevelType w:val="multilevel"/>
    <w:tmpl w:val="171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5C5B1B"/>
    <w:multiLevelType w:val="hybridMultilevel"/>
    <w:tmpl w:val="B9744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D69D4"/>
    <w:multiLevelType w:val="hybridMultilevel"/>
    <w:tmpl w:val="5D3A18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150C8"/>
    <w:multiLevelType w:val="hybridMultilevel"/>
    <w:tmpl w:val="C4301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7B504C"/>
    <w:multiLevelType w:val="hybridMultilevel"/>
    <w:tmpl w:val="90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D2391"/>
    <w:multiLevelType w:val="hybridMultilevel"/>
    <w:tmpl w:val="6BF4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
  </w:num>
  <w:num w:numId="4">
    <w:abstractNumId w:val="46"/>
  </w:num>
  <w:num w:numId="5">
    <w:abstractNumId w:val="1"/>
  </w:num>
  <w:num w:numId="6">
    <w:abstractNumId w:val="36"/>
  </w:num>
  <w:num w:numId="7">
    <w:abstractNumId w:val="31"/>
  </w:num>
  <w:num w:numId="8">
    <w:abstractNumId w:val="8"/>
  </w:num>
  <w:num w:numId="9">
    <w:abstractNumId w:val="4"/>
  </w:num>
  <w:num w:numId="10">
    <w:abstractNumId w:val="19"/>
  </w:num>
  <w:num w:numId="11">
    <w:abstractNumId w:val="39"/>
  </w:num>
  <w:num w:numId="12">
    <w:abstractNumId w:val="40"/>
  </w:num>
  <w:num w:numId="13">
    <w:abstractNumId w:val="34"/>
  </w:num>
  <w:num w:numId="14">
    <w:abstractNumId w:val="45"/>
  </w:num>
  <w:num w:numId="15">
    <w:abstractNumId w:val="14"/>
  </w:num>
  <w:num w:numId="16">
    <w:abstractNumId w:val="41"/>
  </w:num>
  <w:num w:numId="17">
    <w:abstractNumId w:val="20"/>
  </w:num>
  <w:num w:numId="18">
    <w:abstractNumId w:val="2"/>
  </w:num>
  <w:num w:numId="19">
    <w:abstractNumId w:val="25"/>
  </w:num>
  <w:num w:numId="20">
    <w:abstractNumId w:val="30"/>
  </w:num>
  <w:num w:numId="21">
    <w:abstractNumId w:val="21"/>
  </w:num>
  <w:num w:numId="22">
    <w:abstractNumId w:val="43"/>
  </w:num>
  <w:num w:numId="23">
    <w:abstractNumId w:val="9"/>
  </w:num>
  <w:num w:numId="24">
    <w:abstractNumId w:val="17"/>
  </w:num>
  <w:num w:numId="25">
    <w:abstractNumId w:val="26"/>
  </w:num>
  <w:num w:numId="26">
    <w:abstractNumId w:val="6"/>
  </w:num>
  <w:num w:numId="27">
    <w:abstractNumId w:val="5"/>
  </w:num>
  <w:num w:numId="28">
    <w:abstractNumId w:val="37"/>
  </w:num>
  <w:num w:numId="29">
    <w:abstractNumId w:val="38"/>
  </w:num>
  <w:num w:numId="30">
    <w:abstractNumId w:val="28"/>
  </w:num>
  <w:num w:numId="31">
    <w:abstractNumId w:val="27"/>
  </w:num>
  <w:num w:numId="32">
    <w:abstractNumId w:val="24"/>
  </w:num>
  <w:num w:numId="33">
    <w:abstractNumId w:val="12"/>
  </w:num>
  <w:num w:numId="34">
    <w:abstractNumId w:val="0"/>
  </w:num>
  <w:num w:numId="35">
    <w:abstractNumId w:val="29"/>
  </w:num>
  <w:num w:numId="36">
    <w:abstractNumId w:val="7"/>
  </w:num>
  <w:num w:numId="37">
    <w:abstractNumId w:val="32"/>
  </w:num>
  <w:num w:numId="38">
    <w:abstractNumId w:val="18"/>
  </w:num>
  <w:num w:numId="39">
    <w:abstractNumId w:val="42"/>
  </w:num>
  <w:num w:numId="40">
    <w:abstractNumId w:val="10"/>
  </w:num>
  <w:num w:numId="41">
    <w:abstractNumId w:val="35"/>
  </w:num>
  <w:num w:numId="42">
    <w:abstractNumId w:val="44"/>
  </w:num>
  <w:num w:numId="43">
    <w:abstractNumId w:val="23"/>
  </w:num>
  <w:num w:numId="44">
    <w:abstractNumId w:val="13"/>
  </w:num>
  <w:num w:numId="45">
    <w:abstractNumId w:val="11"/>
  </w:num>
  <w:num w:numId="46">
    <w:abstractNumId w:val="1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A"/>
    <w:rsid w:val="00003F0A"/>
    <w:rsid w:val="00007CDC"/>
    <w:rsid w:val="000478CB"/>
    <w:rsid w:val="00051CE0"/>
    <w:rsid w:val="00062D44"/>
    <w:rsid w:val="00076CDC"/>
    <w:rsid w:val="0008184A"/>
    <w:rsid w:val="00092426"/>
    <w:rsid w:val="000A36F0"/>
    <w:rsid w:val="000A3B12"/>
    <w:rsid w:val="000B0030"/>
    <w:rsid w:val="000B206E"/>
    <w:rsid w:val="000B7709"/>
    <w:rsid w:val="000C397C"/>
    <w:rsid w:val="00100651"/>
    <w:rsid w:val="00105274"/>
    <w:rsid w:val="00116E5A"/>
    <w:rsid w:val="00150C96"/>
    <w:rsid w:val="00156A5B"/>
    <w:rsid w:val="00161CE7"/>
    <w:rsid w:val="00174B9C"/>
    <w:rsid w:val="00174C8E"/>
    <w:rsid w:val="00175F40"/>
    <w:rsid w:val="00180AD5"/>
    <w:rsid w:val="0018690D"/>
    <w:rsid w:val="00186F18"/>
    <w:rsid w:val="00191DD8"/>
    <w:rsid w:val="001D3DB7"/>
    <w:rsid w:val="001E0EDB"/>
    <w:rsid w:val="001E79AB"/>
    <w:rsid w:val="001F5E6D"/>
    <w:rsid w:val="0020557C"/>
    <w:rsid w:val="00207E29"/>
    <w:rsid w:val="00211765"/>
    <w:rsid w:val="002167E5"/>
    <w:rsid w:val="0022084E"/>
    <w:rsid w:val="00222A20"/>
    <w:rsid w:val="0022442B"/>
    <w:rsid w:val="002346F4"/>
    <w:rsid w:val="00236DD1"/>
    <w:rsid w:val="00242822"/>
    <w:rsid w:val="00254186"/>
    <w:rsid w:val="002560B8"/>
    <w:rsid w:val="00260FFB"/>
    <w:rsid w:val="00264254"/>
    <w:rsid w:val="00265EA1"/>
    <w:rsid w:val="002748D7"/>
    <w:rsid w:val="00275106"/>
    <w:rsid w:val="002814DA"/>
    <w:rsid w:val="00291342"/>
    <w:rsid w:val="00293BC3"/>
    <w:rsid w:val="002A052E"/>
    <w:rsid w:val="002A527E"/>
    <w:rsid w:val="002B0A54"/>
    <w:rsid w:val="002B1706"/>
    <w:rsid w:val="002B24D2"/>
    <w:rsid w:val="002B2960"/>
    <w:rsid w:val="002B3F24"/>
    <w:rsid w:val="002B60D0"/>
    <w:rsid w:val="002D0867"/>
    <w:rsid w:val="002E11FA"/>
    <w:rsid w:val="002E5DC3"/>
    <w:rsid w:val="002E7A4F"/>
    <w:rsid w:val="00305341"/>
    <w:rsid w:val="00316599"/>
    <w:rsid w:val="00316AAD"/>
    <w:rsid w:val="003170AA"/>
    <w:rsid w:val="003307D8"/>
    <w:rsid w:val="003362B9"/>
    <w:rsid w:val="00360C44"/>
    <w:rsid w:val="003666C9"/>
    <w:rsid w:val="003701E9"/>
    <w:rsid w:val="00385C89"/>
    <w:rsid w:val="00386027"/>
    <w:rsid w:val="00393EF9"/>
    <w:rsid w:val="00397397"/>
    <w:rsid w:val="003A136D"/>
    <w:rsid w:val="003A2F32"/>
    <w:rsid w:val="003B1DC4"/>
    <w:rsid w:val="003C3904"/>
    <w:rsid w:val="003C5356"/>
    <w:rsid w:val="003E22DB"/>
    <w:rsid w:val="003E35F9"/>
    <w:rsid w:val="003E6724"/>
    <w:rsid w:val="003F5DB4"/>
    <w:rsid w:val="003F653B"/>
    <w:rsid w:val="00401983"/>
    <w:rsid w:val="0041101E"/>
    <w:rsid w:val="004363C4"/>
    <w:rsid w:val="004371A6"/>
    <w:rsid w:val="00437C87"/>
    <w:rsid w:val="0044148E"/>
    <w:rsid w:val="0045341C"/>
    <w:rsid w:val="00463D14"/>
    <w:rsid w:val="00472D6E"/>
    <w:rsid w:val="0047377F"/>
    <w:rsid w:val="0049154C"/>
    <w:rsid w:val="0049249F"/>
    <w:rsid w:val="00493A28"/>
    <w:rsid w:val="00497CF8"/>
    <w:rsid w:val="004A19B3"/>
    <w:rsid w:val="004A28FF"/>
    <w:rsid w:val="004A67BF"/>
    <w:rsid w:val="004B3E23"/>
    <w:rsid w:val="004C2EC9"/>
    <w:rsid w:val="004D49EF"/>
    <w:rsid w:val="004D69F6"/>
    <w:rsid w:val="004E6FCC"/>
    <w:rsid w:val="004F5E4D"/>
    <w:rsid w:val="00525E47"/>
    <w:rsid w:val="00540E99"/>
    <w:rsid w:val="00555166"/>
    <w:rsid w:val="005712E8"/>
    <w:rsid w:val="00582ED1"/>
    <w:rsid w:val="00590FB5"/>
    <w:rsid w:val="00593276"/>
    <w:rsid w:val="00597A08"/>
    <w:rsid w:val="005A6A80"/>
    <w:rsid w:val="005B6CC3"/>
    <w:rsid w:val="005B6D18"/>
    <w:rsid w:val="005C15BE"/>
    <w:rsid w:val="005C5026"/>
    <w:rsid w:val="005C5D64"/>
    <w:rsid w:val="005D51FD"/>
    <w:rsid w:val="005E5972"/>
    <w:rsid w:val="005E6B50"/>
    <w:rsid w:val="005F379C"/>
    <w:rsid w:val="005F3855"/>
    <w:rsid w:val="005F7349"/>
    <w:rsid w:val="00611A5D"/>
    <w:rsid w:val="006255A6"/>
    <w:rsid w:val="006276AE"/>
    <w:rsid w:val="00652246"/>
    <w:rsid w:val="00656E48"/>
    <w:rsid w:val="00661E01"/>
    <w:rsid w:val="00663570"/>
    <w:rsid w:val="006644B6"/>
    <w:rsid w:val="00665ACD"/>
    <w:rsid w:val="00665B81"/>
    <w:rsid w:val="0067417D"/>
    <w:rsid w:val="00690A0E"/>
    <w:rsid w:val="006A2A44"/>
    <w:rsid w:val="006C2D16"/>
    <w:rsid w:val="006C47C3"/>
    <w:rsid w:val="006D7D45"/>
    <w:rsid w:val="006F35C3"/>
    <w:rsid w:val="006F5CCB"/>
    <w:rsid w:val="006F7D6D"/>
    <w:rsid w:val="007020C0"/>
    <w:rsid w:val="00717AA6"/>
    <w:rsid w:val="0072005C"/>
    <w:rsid w:val="0072262A"/>
    <w:rsid w:val="00740A39"/>
    <w:rsid w:val="007435DE"/>
    <w:rsid w:val="00757D94"/>
    <w:rsid w:val="007B37F2"/>
    <w:rsid w:val="007D204E"/>
    <w:rsid w:val="007D7D0B"/>
    <w:rsid w:val="007D7D5A"/>
    <w:rsid w:val="007E3D36"/>
    <w:rsid w:val="007E5FC2"/>
    <w:rsid w:val="007F1B7A"/>
    <w:rsid w:val="00804598"/>
    <w:rsid w:val="0081069A"/>
    <w:rsid w:val="0081552B"/>
    <w:rsid w:val="00824E66"/>
    <w:rsid w:val="00844FBE"/>
    <w:rsid w:val="00857E39"/>
    <w:rsid w:val="0086626F"/>
    <w:rsid w:val="0086755C"/>
    <w:rsid w:val="00870088"/>
    <w:rsid w:val="00871C57"/>
    <w:rsid w:val="008751EF"/>
    <w:rsid w:val="008754EF"/>
    <w:rsid w:val="00877F56"/>
    <w:rsid w:val="0088137B"/>
    <w:rsid w:val="008A3CA5"/>
    <w:rsid w:val="008A75C6"/>
    <w:rsid w:val="008A788E"/>
    <w:rsid w:val="008B093E"/>
    <w:rsid w:val="008B192B"/>
    <w:rsid w:val="008B43A2"/>
    <w:rsid w:val="008D1184"/>
    <w:rsid w:val="009019AA"/>
    <w:rsid w:val="00914B95"/>
    <w:rsid w:val="00916E8C"/>
    <w:rsid w:val="00937AF0"/>
    <w:rsid w:val="0095147F"/>
    <w:rsid w:val="0095254B"/>
    <w:rsid w:val="009605C6"/>
    <w:rsid w:val="0096079A"/>
    <w:rsid w:val="00963DC2"/>
    <w:rsid w:val="009645CC"/>
    <w:rsid w:val="00967383"/>
    <w:rsid w:val="0097282C"/>
    <w:rsid w:val="00974F60"/>
    <w:rsid w:val="00977752"/>
    <w:rsid w:val="009829EA"/>
    <w:rsid w:val="009A7BC7"/>
    <w:rsid w:val="009B1BD4"/>
    <w:rsid w:val="009B2A27"/>
    <w:rsid w:val="009B557B"/>
    <w:rsid w:val="009D45DC"/>
    <w:rsid w:val="009E18AA"/>
    <w:rsid w:val="009E35ED"/>
    <w:rsid w:val="009F1838"/>
    <w:rsid w:val="00A135A2"/>
    <w:rsid w:val="00A174F7"/>
    <w:rsid w:val="00A213E8"/>
    <w:rsid w:val="00A23FBF"/>
    <w:rsid w:val="00A2494C"/>
    <w:rsid w:val="00A26E5E"/>
    <w:rsid w:val="00A26EA3"/>
    <w:rsid w:val="00A318DB"/>
    <w:rsid w:val="00A31CFF"/>
    <w:rsid w:val="00A5077E"/>
    <w:rsid w:val="00A54175"/>
    <w:rsid w:val="00A55A53"/>
    <w:rsid w:val="00A63255"/>
    <w:rsid w:val="00A64E11"/>
    <w:rsid w:val="00A823BB"/>
    <w:rsid w:val="00A93016"/>
    <w:rsid w:val="00A93E9C"/>
    <w:rsid w:val="00A95B4D"/>
    <w:rsid w:val="00AB143B"/>
    <w:rsid w:val="00AC2D96"/>
    <w:rsid w:val="00AC7122"/>
    <w:rsid w:val="00AD20BD"/>
    <w:rsid w:val="00AD64E0"/>
    <w:rsid w:val="00AE03F5"/>
    <w:rsid w:val="00AE0DDE"/>
    <w:rsid w:val="00AE2723"/>
    <w:rsid w:val="00AE3E0C"/>
    <w:rsid w:val="00AF30F3"/>
    <w:rsid w:val="00B03F98"/>
    <w:rsid w:val="00B17F0E"/>
    <w:rsid w:val="00B20ADD"/>
    <w:rsid w:val="00B25369"/>
    <w:rsid w:val="00B36ED2"/>
    <w:rsid w:val="00B5149A"/>
    <w:rsid w:val="00B57BC3"/>
    <w:rsid w:val="00B61C1F"/>
    <w:rsid w:val="00B66E8D"/>
    <w:rsid w:val="00B71C38"/>
    <w:rsid w:val="00B76EBB"/>
    <w:rsid w:val="00BA175E"/>
    <w:rsid w:val="00BB6BC5"/>
    <w:rsid w:val="00BC171E"/>
    <w:rsid w:val="00BD24D3"/>
    <w:rsid w:val="00BE1738"/>
    <w:rsid w:val="00BE7058"/>
    <w:rsid w:val="00BF2926"/>
    <w:rsid w:val="00C07601"/>
    <w:rsid w:val="00C14E83"/>
    <w:rsid w:val="00C26DA6"/>
    <w:rsid w:val="00C32BAB"/>
    <w:rsid w:val="00C46502"/>
    <w:rsid w:val="00C7502C"/>
    <w:rsid w:val="00C87EFE"/>
    <w:rsid w:val="00C92A4F"/>
    <w:rsid w:val="00C95880"/>
    <w:rsid w:val="00CB0A66"/>
    <w:rsid w:val="00CB14C5"/>
    <w:rsid w:val="00CB494B"/>
    <w:rsid w:val="00CC30AB"/>
    <w:rsid w:val="00CC4C3C"/>
    <w:rsid w:val="00CD3459"/>
    <w:rsid w:val="00CE035C"/>
    <w:rsid w:val="00CF29F1"/>
    <w:rsid w:val="00CF5190"/>
    <w:rsid w:val="00CF603A"/>
    <w:rsid w:val="00D003EA"/>
    <w:rsid w:val="00D04409"/>
    <w:rsid w:val="00D117C8"/>
    <w:rsid w:val="00D13717"/>
    <w:rsid w:val="00D339F6"/>
    <w:rsid w:val="00D36709"/>
    <w:rsid w:val="00D423ED"/>
    <w:rsid w:val="00D666F9"/>
    <w:rsid w:val="00D70EDD"/>
    <w:rsid w:val="00D86446"/>
    <w:rsid w:val="00D902D4"/>
    <w:rsid w:val="00DA222D"/>
    <w:rsid w:val="00DA2763"/>
    <w:rsid w:val="00DA2FE3"/>
    <w:rsid w:val="00DA77C0"/>
    <w:rsid w:val="00DB149C"/>
    <w:rsid w:val="00DB5971"/>
    <w:rsid w:val="00DD5767"/>
    <w:rsid w:val="00DD73F0"/>
    <w:rsid w:val="00DD774D"/>
    <w:rsid w:val="00DD7FFC"/>
    <w:rsid w:val="00DE414D"/>
    <w:rsid w:val="00DF1380"/>
    <w:rsid w:val="00DF6136"/>
    <w:rsid w:val="00DF62B9"/>
    <w:rsid w:val="00E14700"/>
    <w:rsid w:val="00E27D3D"/>
    <w:rsid w:val="00E32174"/>
    <w:rsid w:val="00E35AAC"/>
    <w:rsid w:val="00E91938"/>
    <w:rsid w:val="00E952D7"/>
    <w:rsid w:val="00EA428C"/>
    <w:rsid w:val="00EA673C"/>
    <w:rsid w:val="00EC03F8"/>
    <w:rsid w:val="00EC050A"/>
    <w:rsid w:val="00EE1A23"/>
    <w:rsid w:val="00EE27E0"/>
    <w:rsid w:val="00EE73BF"/>
    <w:rsid w:val="00EF0705"/>
    <w:rsid w:val="00EF1591"/>
    <w:rsid w:val="00EF4489"/>
    <w:rsid w:val="00EF698D"/>
    <w:rsid w:val="00EF73C4"/>
    <w:rsid w:val="00F01E87"/>
    <w:rsid w:val="00F03BA1"/>
    <w:rsid w:val="00F12F2E"/>
    <w:rsid w:val="00F23135"/>
    <w:rsid w:val="00F25884"/>
    <w:rsid w:val="00F515CF"/>
    <w:rsid w:val="00F51E34"/>
    <w:rsid w:val="00F57717"/>
    <w:rsid w:val="00F618FE"/>
    <w:rsid w:val="00F621C0"/>
    <w:rsid w:val="00F657C5"/>
    <w:rsid w:val="00F85212"/>
    <w:rsid w:val="00F867FE"/>
    <w:rsid w:val="00F93E5E"/>
    <w:rsid w:val="00F948D8"/>
    <w:rsid w:val="00F9491F"/>
    <w:rsid w:val="00F97752"/>
    <w:rsid w:val="00FB17AC"/>
    <w:rsid w:val="00FB17C1"/>
    <w:rsid w:val="00FC6ACB"/>
    <w:rsid w:val="00FD2F26"/>
    <w:rsid w:val="00FE44E6"/>
    <w:rsid w:val="00FE7C4A"/>
    <w:rsid w:val="00FF6BE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2329"/>
  <w15:chartTrackingRefBased/>
  <w15:docId w15:val="{D0428D5A-9370-4DF2-9C21-755AAD18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DA"/>
    <w:pPr>
      <w:spacing w:after="200" w:line="276" w:lineRule="auto"/>
    </w:pPr>
    <w:rPr>
      <w:sz w:val="22"/>
      <w:szCs w:val="22"/>
      <w:lang w:val="en-US" w:eastAsia="en-US"/>
    </w:rPr>
  </w:style>
  <w:style w:type="paragraph" w:styleId="Ttulo3">
    <w:name w:val="heading 3"/>
    <w:basedOn w:val="Normal"/>
    <w:next w:val="Normal"/>
    <w:qFormat/>
    <w:rsid w:val="00963DC2"/>
    <w:pPr>
      <w:keepNext/>
      <w:spacing w:after="0" w:line="240" w:lineRule="auto"/>
      <w:jc w:val="center"/>
      <w:outlineLvl w:val="2"/>
    </w:pPr>
    <w:rPr>
      <w:rFonts w:ascii="Times New Roman" w:eastAsia="Times New Roman" w:hAnsi="Times New Roman" w:cs="SimSun"/>
      <w:b/>
      <w:bCs/>
      <w:sz w:val="36"/>
      <w:szCs w:val="36"/>
      <w:lang w:val="en-AU" w:eastAsia="zh-CN" w:bidi="th-TH"/>
    </w:rPr>
  </w:style>
  <w:style w:type="paragraph" w:styleId="Ttulo7">
    <w:name w:val="heading 7"/>
    <w:basedOn w:val="Normal"/>
    <w:next w:val="Normal"/>
    <w:qFormat/>
    <w:rsid w:val="00963DC2"/>
    <w:pPr>
      <w:keepNext/>
      <w:spacing w:after="0" w:line="240" w:lineRule="auto"/>
      <w:jc w:val="center"/>
      <w:outlineLvl w:val="6"/>
    </w:pPr>
    <w:rPr>
      <w:rFonts w:ascii="Times New Roman" w:eastAsia="??" w:hAnsi="Times New Roman" w:cs="SimSun"/>
      <w:sz w:val="36"/>
      <w:szCs w:val="36"/>
      <w:lang w:eastAsia="ja-JP" w:bidi="th-TH"/>
    </w:rPr>
  </w:style>
  <w:style w:type="paragraph" w:styleId="Ttulo9">
    <w:name w:val="heading 9"/>
    <w:basedOn w:val="Normal"/>
    <w:next w:val="Normal"/>
    <w:link w:val="Ttulo9Car"/>
    <w:qFormat/>
    <w:rsid w:val="00963DC2"/>
    <w:pPr>
      <w:keepNext/>
      <w:spacing w:after="0" w:line="240" w:lineRule="auto"/>
      <w:jc w:val="right"/>
      <w:outlineLvl w:val="8"/>
    </w:pPr>
    <w:rPr>
      <w:rFonts w:ascii="Times New Roman" w:eastAsia="MS Mincho" w:hAnsi="Times New Roman" w:cs="SimSun"/>
      <w:b/>
      <w:bCs/>
      <w:sz w:val="36"/>
      <w:szCs w:val="36"/>
      <w:lang w:eastAsia="ja-JP"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C45FDA"/>
    <w:pPr>
      <w:ind w:left="720"/>
      <w:contextualSpacing/>
    </w:pPr>
  </w:style>
  <w:style w:type="paragraph" w:styleId="Encabezado">
    <w:name w:val="header"/>
    <w:basedOn w:val="Normal"/>
    <w:link w:val="EncabezadoCar"/>
    <w:uiPriority w:val="99"/>
    <w:unhideWhenUsed/>
    <w:rsid w:val="00C45F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C4159"/>
  </w:style>
  <w:style w:type="paragraph" w:styleId="Piedepgina">
    <w:name w:val="footer"/>
    <w:basedOn w:val="Normal"/>
    <w:link w:val="PiedepginaCar"/>
    <w:uiPriority w:val="99"/>
    <w:unhideWhenUsed/>
    <w:rsid w:val="00C45F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C4159"/>
  </w:style>
  <w:style w:type="character" w:customStyle="1" w:styleId="bodytext1">
    <w:name w:val="bodytext1"/>
    <w:uiPriority w:val="99"/>
    <w:rsid w:val="00FE7EAA"/>
    <w:rPr>
      <w:rFonts w:ascii="Arial" w:hAnsi="Arial" w:cs="Arial" w:hint="default"/>
      <w:color w:val="000000"/>
      <w:sz w:val="18"/>
      <w:szCs w:val="18"/>
    </w:rPr>
  </w:style>
  <w:style w:type="paragraph" w:styleId="Textodeglobo">
    <w:name w:val="Balloon Text"/>
    <w:basedOn w:val="Normal"/>
    <w:link w:val="TextodegloboCar"/>
    <w:uiPriority w:val="99"/>
    <w:semiHidden/>
    <w:unhideWhenUsed/>
    <w:rsid w:val="00C45F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F03D8"/>
    <w:rPr>
      <w:rFonts w:ascii="Tahoma" w:hAnsi="Tahoma" w:cs="Tahoma"/>
      <w:sz w:val="16"/>
      <w:szCs w:val="16"/>
    </w:rPr>
  </w:style>
  <w:style w:type="character" w:styleId="Refdecomentario">
    <w:name w:val="annotation reference"/>
    <w:uiPriority w:val="99"/>
    <w:semiHidden/>
    <w:unhideWhenUsed/>
    <w:rsid w:val="00C45FDA"/>
    <w:rPr>
      <w:sz w:val="16"/>
      <w:szCs w:val="16"/>
    </w:rPr>
  </w:style>
  <w:style w:type="paragraph" w:styleId="Textocomentario">
    <w:name w:val="annotation text"/>
    <w:basedOn w:val="Normal"/>
    <w:link w:val="TextocomentarioCar"/>
    <w:uiPriority w:val="99"/>
    <w:semiHidden/>
    <w:unhideWhenUsed/>
    <w:rsid w:val="00C45FDA"/>
    <w:pPr>
      <w:spacing w:line="240" w:lineRule="auto"/>
    </w:pPr>
    <w:rPr>
      <w:sz w:val="20"/>
      <w:szCs w:val="20"/>
    </w:rPr>
  </w:style>
  <w:style w:type="character" w:customStyle="1" w:styleId="TextocomentarioCar">
    <w:name w:val="Texto comentario Car"/>
    <w:link w:val="Textocomentario"/>
    <w:uiPriority w:val="99"/>
    <w:semiHidden/>
    <w:rsid w:val="00B8182E"/>
    <w:rPr>
      <w:sz w:val="20"/>
      <w:szCs w:val="20"/>
    </w:rPr>
  </w:style>
  <w:style w:type="paragraph" w:styleId="Asuntodelcomentario">
    <w:name w:val="annotation subject"/>
    <w:basedOn w:val="Textocomentario"/>
    <w:next w:val="Textocomentario"/>
    <w:link w:val="AsuntodelcomentarioCar"/>
    <w:uiPriority w:val="99"/>
    <w:semiHidden/>
    <w:unhideWhenUsed/>
    <w:rsid w:val="00C45FDA"/>
    <w:rPr>
      <w:b/>
      <w:bCs/>
    </w:rPr>
  </w:style>
  <w:style w:type="character" w:customStyle="1" w:styleId="AsuntodelcomentarioCar">
    <w:name w:val="Asunto del comentario Car"/>
    <w:link w:val="Asuntodelcomentario"/>
    <w:uiPriority w:val="99"/>
    <w:semiHidden/>
    <w:rsid w:val="00B8182E"/>
    <w:rPr>
      <w:b/>
      <w:bCs/>
      <w:sz w:val="20"/>
      <w:szCs w:val="20"/>
    </w:rPr>
  </w:style>
  <w:style w:type="paragraph" w:styleId="Textonotapie">
    <w:name w:val="footnote text"/>
    <w:basedOn w:val="Normal"/>
    <w:link w:val="TextonotapieCar"/>
    <w:uiPriority w:val="99"/>
    <w:semiHidden/>
    <w:unhideWhenUsed/>
    <w:rsid w:val="00C45FDA"/>
    <w:pPr>
      <w:spacing w:after="0" w:line="240" w:lineRule="auto"/>
    </w:pPr>
    <w:rPr>
      <w:sz w:val="20"/>
      <w:szCs w:val="20"/>
    </w:rPr>
  </w:style>
  <w:style w:type="character" w:customStyle="1" w:styleId="TextonotapieCar">
    <w:name w:val="Texto nota pie Car"/>
    <w:link w:val="Textonotapie"/>
    <w:uiPriority w:val="99"/>
    <w:semiHidden/>
    <w:rsid w:val="0020654C"/>
    <w:rPr>
      <w:sz w:val="20"/>
      <w:szCs w:val="20"/>
    </w:rPr>
  </w:style>
  <w:style w:type="character" w:styleId="Refdenotaalpie">
    <w:name w:val="footnote reference"/>
    <w:uiPriority w:val="99"/>
    <w:semiHidden/>
    <w:unhideWhenUsed/>
    <w:rsid w:val="00C45FDA"/>
    <w:rPr>
      <w:vertAlign w:val="superscript"/>
    </w:rPr>
  </w:style>
  <w:style w:type="paragraph" w:styleId="Mapadeldocumento">
    <w:name w:val="Document Map"/>
    <w:basedOn w:val="Normal"/>
    <w:link w:val="MapadeldocumentoCar"/>
    <w:uiPriority w:val="99"/>
    <w:semiHidden/>
    <w:unhideWhenUsed/>
    <w:rsid w:val="00C45FDA"/>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0D1B3F"/>
    <w:rPr>
      <w:rFonts w:ascii="Tahoma" w:hAnsi="Tahoma" w:cs="Tahoma"/>
      <w:sz w:val="16"/>
      <w:szCs w:val="16"/>
    </w:rPr>
  </w:style>
  <w:style w:type="paragraph" w:customStyle="1" w:styleId="ColorfulShading-Accent11">
    <w:name w:val="Colorful Shading - Accent 11"/>
    <w:hidden/>
    <w:uiPriority w:val="99"/>
    <w:semiHidden/>
    <w:rsid w:val="00C45FDA"/>
    <w:rPr>
      <w:sz w:val="22"/>
      <w:szCs w:val="22"/>
      <w:lang w:val="en-US" w:eastAsia="en-US"/>
    </w:rPr>
  </w:style>
  <w:style w:type="paragraph" w:styleId="Revisin">
    <w:name w:val="Revision"/>
    <w:hidden/>
    <w:uiPriority w:val="99"/>
    <w:semiHidden/>
    <w:rsid w:val="00F97752"/>
    <w:rPr>
      <w:sz w:val="22"/>
      <w:szCs w:val="22"/>
      <w:lang w:val="en-US" w:eastAsia="en-US"/>
    </w:rPr>
  </w:style>
  <w:style w:type="character" w:customStyle="1" w:styleId="Ttulo9Car">
    <w:name w:val="Título 9 Car"/>
    <w:link w:val="Ttulo9"/>
    <w:rsid w:val="00F25884"/>
    <w:rPr>
      <w:rFonts w:ascii="Times New Roman" w:eastAsia="MS Mincho" w:hAnsi="Times New Roman" w:cs="SimSun"/>
      <w:b/>
      <w:bCs/>
      <w:sz w:val="36"/>
      <w:szCs w:val="36"/>
      <w:lang w:val="en-US" w:eastAsia="ja-JP" w:bidi="th-TH"/>
    </w:rPr>
  </w:style>
  <w:style w:type="paragraph" w:styleId="Prrafodelista">
    <w:name w:val="List Paragraph"/>
    <w:basedOn w:val="Normal"/>
    <w:uiPriority w:val="34"/>
    <w:qFormat/>
    <w:rsid w:val="00FB17AC"/>
    <w:pPr>
      <w:ind w:left="720"/>
      <w:contextualSpacing/>
    </w:pPr>
    <w:rPr>
      <w:lang w:val="id-ID"/>
    </w:rPr>
  </w:style>
  <w:style w:type="paragraph" w:customStyle="1" w:styleId="Default">
    <w:name w:val="Default"/>
    <w:rsid w:val="007B37F2"/>
    <w:pPr>
      <w:autoSpaceDE w:val="0"/>
      <w:autoSpaceDN w:val="0"/>
      <w:adjustRightInd w:val="0"/>
    </w:pPr>
    <w:rPr>
      <w:rFonts w:ascii="Arial" w:hAnsi="Arial" w:cs="Arial"/>
      <w:color w:val="000000"/>
      <w:sz w:val="24"/>
      <w:szCs w:val="24"/>
      <w:lang w:val="en-AU" w:eastAsia="en-US"/>
    </w:rPr>
  </w:style>
  <w:style w:type="paragraph" w:styleId="NormalWeb">
    <w:name w:val="Normal (Web)"/>
    <w:basedOn w:val="Normal"/>
    <w:uiPriority w:val="99"/>
    <w:semiHidden/>
    <w:unhideWhenUsed/>
    <w:rsid w:val="00092426"/>
    <w:pPr>
      <w:spacing w:before="100" w:beforeAutospacing="1" w:after="100" w:afterAutospacing="1" w:line="240" w:lineRule="auto"/>
    </w:pPr>
    <w:rPr>
      <w:rFonts w:ascii="Times New Roman" w:eastAsia="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863496">
      <w:bodyDiv w:val="1"/>
      <w:marLeft w:val="0"/>
      <w:marRight w:val="0"/>
      <w:marTop w:val="0"/>
      <w:marBottom w:val="0"/>
      <w:divBdr>
        <w:top w:val="none" w:sz="0" w:space="0" w:color="auto"/>
        <w:left w:val="none" w:sz="0" w:space="0" w:color="auto"/>
        <w:bottom w:val="none" w:sz="0" w:space="0" w:color="auto"/>
        <w:right w:val="none" w:sz="0" w:space="0" w:color="auto"/>
      </w:divBdr>
    </w:div>
    <w:div w:id="1031225920">
      <w:bodyDiv w:val="1"/>
      <w:marLeft w:val="0"/>
      <w:marRight w:val="0"/>
      <w:marTop w:val="0"/>
      <w:marBottom w:val="0"/>
      <w:divBdr>
        <w:top w:val="none" w:sz="0" w:space="0" w:color="auto"/>
        <w:left w:val="none" w:sz="0" w:space="0" w:color="auto"/>
        <w:bottom w:val="none" w:sz="0" w:space="0" w:color="auto"/>
        <w:right w:val="none" w:sz="0" w:space="0" w:color="auto"/>
      </w:divBdr>
      <w:divsChild>
        <w:div w:id="1593081553">
          <w:marLeft w:val="0"/>
          <w:marRight w:val="0"/>
          <w:marTop w:val="150"/>
          <w:marBottom w:val="0"/>
          <w:divBdr>
            <w:top w:val="none" w:sz="0" w:space="0" w:color="auto"/>
            <w:left w:val="single" w:sz="6" w:space="0" w:color="FFFFFF"/>
            <w:bottom w:val="single" w:sz="6" w:space="31" w:color="BFBFBF"/>
            <w:right w:val="single" w:sz="6" w:space="0" w:color="FFFFFF"/>
          </w:divBdr>
          <w:divsChild>
            <w:div w:id="709693880">
              <w:marLeft w:val="0"/>
              <w:marRight w:val="0"/>
              <w:marTop w:val="0"/>
              <w:marBottom w:val="0"/>
              <w:divBdr>
                <w:top w:val="single" w:sz="6" w:space="0" w:color="FFFFFF"/>
                <w:left w:val="single" w:sz="6" w:space="17" w:color="FFFFFF"/>
                <w:bottom w:val="single" w:sz="6" w:space="0" w:color="FFFFFF"/>
                <w:right w:val="single" w:sz="6" w:space="17" w:color="FFFFFF"/>
              </w:divBdr>
              <w:divsChild>
                <w:div w:id="397630018">
                  <w:marLeft w:val="0"/>
                  <w:marRight w:val="0"/>
                  <w:marTop w:val="0"/>
                  <w:marBottom w:val="0"/>
                  <w:divBdr>
                    <w:top w:val="none" w:sz="0" w:space="0" w:color="auto"/>
                    <w:left w:val="none" w:sz="0" w:space="0" w:color="auto"/>
                    <w:bottom w:val="none" w:sz="0" w:space="0" w:color="auto"/>
                    <w:right w:val="none" w:sz="0" w:space="0" w:color="auto"/>
                  </w:divBdr>
                  <w:divsChild>
                    <w:div w:id="640615692">
                      <w:marLeft w:val="0"/>
                      <w:marRight w:val="0"/>
                      <w:marTop w:val="0"/>
                      <w:marBottom w:val="0"/>
                      <w:divBdr>
                        <w:top w:val="none" w:sz="0" w:space="0" w:color="auto"/>
                        <w:left w:val="none" w:sz="0" w:space="0" w:color="auto"/>
                        <w:bottom w:val="none" w:sz="0" w:space="0" w:color="auto"/>
                        <w:right w:val="none" w:sz="0" w:space="0" w:color="auto"/>
                      </w:divBdr>
                      <w:divsChild>
                        <w:div w:id="1118328754">
                          <w:marLeft w:val="0"/>
                          <w:marRight w:val="0"/>
                          <w:marTop w:val="0"/>
                          <w:marBottom w:val="0"/>
                          <w:divBdr>
                            <w:top w:val="none" w:sz="0" w:space="0" w:color="auto"/>
                            <w:left w:val="none" w:sz="0" w:space="0" w:color="auto"/>
                            <w:bottom w:val="none" w:sz="0" w:space="0" w:color="auto"/>
                            <w:right w:val="none" w:sz="0" w:space="0" w:color="auto"/>
                          </w:divBdr>
                        </w:div>
                        <w:div w:id="1526016261">
                          <w:marLeft w:val="0"/>
                          <w:marRight w:val="0"/>
                          <w:marTop w:val="0"/>
                          <w:marBottom w:val="0"/>
                          <w:divBdr>
                            <w:top w:val="none" w:sz="0" w:space="0" w:color="auto"/>
                            <w:left w:val="none" w:sz="0" w:space="0" w:color="auto"/>
                            <w:bottom w:val="none" w:sz="0" w:space="0" w:color="auto"/>
                            <w:right w:val="none" w:sz="0" w:space="0" w:color="auto"/>
                          </w:divBdr>
                        </w:div>
                        <w:div w:id="1836989699">
                          <w:marLeft w:val="0"/>
                          <w:marRight w:val="0"/>
                          <w:marTop w:val="0"/>
                          <w:marBottom w:val="0"/>
                          <w:divBdr>
                            <w:top w:val="none" w:sz="0" w:space="0" w:color="auto"/>
                            <w:left w:val="none" w:sz="0" w:space="0" w:color="auto"/>
                            <w:bottom w:val="none" w:sz="0" w:space="0" w:color="auto"/>
                            <w:right w:val="none" w:sz="0" w:space="0" w:color="auto"/>
                          </w:divBdr>
                          <w:divsChild>
                            <w:div w:id="146870656">
                              <w:marLeft w:val="0"/>
                              <w:marRight w:val="0"/>
                              <w:marTop w:val="0"/>
                              <w:marBottom w:val="0"/>
                              <w:divBdr>
                                <w:top w:val="none" w:sz="0" w:space="0" w:color="auto"/>
                                <w:left w:val="none" w:sz="0" w:space="0" w:color="auto"/>
                                <w:bottom w:val="none" w:sz="0" w:space="0" w:color="auto"/>
                                <w:right w:val="none" w:sz="0" w:space="0" w:color="auto"/>
                              </w:divBdr>
                            </w:div>
                            <w:div w:id="456527480">
                              <w:marLeft w:val="0"/>
                              <w:marRight w:val="0"/>
                              <w:marTop w:val="0"/>
                              <w:marBottom w:val="0"/>
                              <w:divBdr>
                                <w:top w:val="none" w:sz="0" w:space="0" w:color="auto"/>
                                <w:left w:val="none" w:sz="0" w:space="0" w:color="auto"/>
                                <w:bottom w:val="none" w:sz="0" w:space="0" w:color="auto"/>
                                <w:right w:val="none" w:sz="0" w:space="0" w:color="auto"/>
                              </w:divBdr>
                            </w:div>
                            <w:div w:id="663319657">
                              <w:marLeft w:val="0"/>
                              <w:marRight w:val="0"/>
                              <w:marTop w:val="0"/>
                              <w:marBottom w:val="0"/>
                              <w:divBdr>
                                <w:top w:val="none" w:sz="0" w:space="0" w:color="auto"/>
                                <w:left w:val="none" w:sz="0" w:space="0" w:color="auto"/>
                                <w:bottom w:val="none" w:sz="0" w:space="0" w:color="auto"/>
                                <w:right w:val="none" w:sz="0" w:space="0" w:color="auto"/>
                              </w:divBdr>
                            </w:div>
                            <w:div w:id="697897634">
                              <w:marLeft w:val="0"/>
                              <w:marRight w:val="0"/>
                              <w:marTop w:val="0"/>
                              <w:marBottom w:val="0"/>
                              <w:divBdr>
                                <w:top w:val="none" w:sz="0" w:space="0" w:color="auto"/>
                                <w:left w:val="none" w:sz="0" w:space="0" w:color="auto"/>
                                <w:bottom w:val="none" w:sz="0" w:space="0" w:color="auto"/>
                                <w:right w:val="none" w:sz="0" w:space="0" w:color="auto"/>
                              </w:divBdr>
                            </w:div>
                            <w:div w:id="15972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284350">
      <w:marLeft w:val="0"/>
      <w:marRight w:val="0"/>
      <w:marTop w:val="0"/>
      <w:marBottom w:val="0"/>
      <w:divBdr>
        <w:top w:val="none" w:sz="0" w:space="0" w:color="auto"/>
        <w:left w:val="none" w:sz="0" w:space="0" w:color="auto"/>
        <w:bottom w:val="none" w:sz="0" w:space="0" w:color="auto"/>
        <w:right w:val="none" w:sz="0" w:space="0" w:color="auto"/>
      </w:divBdr>
    </w:div>
    <w:div w:id="1077284351">
      <w:marLeft w:val="0"/>
      <w:marRight w:val="0"/>
      <w:marTop w:val="0"/>
      <w:marBottom w:val="0"/>
      <w:divBdr>
        <w:top w:val="none" w:sz="0" w:space="0" w:color="auto"/>
        <w:left w:val="none" w:sz="0" w:space="0" w:color="auto"/>
        <w:bottom w:val="none" w:sz="0" w:space="0" w:color="auto"/>
        <w:right w:val="none" w:sz="0" w:space="0" w:color="auto"/>
      </w:divBdr>
      <w:divsChild>
        <w:div w:id="1077284354">
          <w:marLeft w:val="0"/>
          <w:marRight w:val="0"/>
          <w:marTop w:val="150"/>
          <w:marBottom w:val="0"/>
          <w:divBdr>
            <w:top w:val="none" w:sz="0" w:space="0" w:color="auto"/>
            <w:left w:val="single" w:sz="6" w:space="0" w:color="FFFFFF"/>
            <w:bottom w:val="single" w:sz="6" w:space="31" w:color="BFBFBF"/>
            <w:right w:val="single" w:sz="6" w:space="0" w:color="FFFFFF"/>
          </w:divBdr>
          <w:divsChild>
            <w:div w:id="1077284349">
              <w:marLeft w:val="0"/>
              <w:marRight w:val="0"/>
              <w:marTop w:val="0"/>
              <w:marBottom w:val="0"/>
              <w:divBdr>
                <w:top w:val="single" w:sz="6" w:space="0" w:color="FFFFFF"/>
                <w:left w:val="single" w:sz="6" w:space="17" w:color="FFFFFF"/>
                <w:bottom w:val="single" w:sz="6" w:space="0" w:color="FFFFFF"/>
                <w:right w:val="single" w:sz="6" w:space="17" w:color="FFFFFF"/>
              </w:divBdr>
              <w:divsChild>
                <w:div w:id="1077284344">
                  <w:marLeft w:val="0"/>
                  <w:marRight w:val="0"/>
                  <w:marTop w:val="0"/>
                  <w:marBottom w:val="0"/>
                  <w:divBdr>
                    <w:top w:val="none" w:sz="0" w:space="0" w:color="auto"/>
                    <w:left w:val="none" w:sz="0" w:space="0" w:color="auto"/>
                    <w:bottom w:val="none" w:sz="0" w:space="0" w:color="auto"/>
                    <w:right w:val="none" w:sz="0" w:space="0" w:color="auto"/>
                  </w:divBdr>
                  <w:divsChild>
                    <w:div w:id="1077284346">
                      <w:marLeft w:val="0"/>
                      <w:marRight w:val="0"/>
                      <w:marTop w:val="0"/>
                      <w:marBottom w:val="0"/>
                      <w:divBdr>
                        <w:top w:val="none" w:sz="0" w:space="0" w:color="auto"/>
                        <w:left w:val="none" w:sz="0" w:space="0" w:color="auto"/>
                        <w:bottom w:val="none" w:sz="0" w:space="0" w:color="auto"/>
                        <w:right w:val="none" w:sz="0" w:space="0" w:color="auto"/>
                      </w:divBdr>
                      <w:divsChild>
                        <w:div w:id="1077284352">
                          <w:marLeft w:val="0"/>
                          <w:marRight w:val="0"/>
                          <w:marTop w:val="0"/>
                          <w:marBottom w:val="0"/>
                          <w:divBdr>
                            <w:top w:val="none" w:sz="0" w:space="0" w:color="auto"/>
                            <w:left w:val="none" w:sz="0" w:space="0" w:color="auto"/>
                            <w:bottom w:val="none" w:sz="0" w:space="0" w:color="auto"/>
                            <w:right w:val="none" w:sz="0" w:space="0" w:color="auto"/>
                          </w:divBdr>
                        </w:div>
                        <w:div w:id="1077284353">
                          <w:marLeft w:val="0"/>
                          <w:marRight w:val="0"/>
                          <w:marTop w:val="0"/>
                          <w:marBottom w:val="0"/>
                          <w:divBdr>
                            <w:top w:val="none" w:sz="0" w:space="0" w:color="auto"/>
                            <w:left w:val="none" w:sz="0" w:space="0" w:color="auto"/>
                            <w:bottom w:val="none" w:sz="0" w:space="0" w:color="auto"/>
                            <w:right w:val="none" w:sz="0" w:space="0" w:color="auto"/>
                          </w:divBdr>
                        </w:div>
                        <w:div w:id="1077284356">
                          <w:marLeft w:val="0"/>
                          <w:marRight w:val="0"/>
                          <w:marTop w:val="0"/>
                          <w:marBottom w:val="0"/>
                          <w:divBdr>
                            <w:top w:val="none" w:sz="0" w:space="0" w:color="auto"/>
                            <w:left w:val="none" w:sz="0" w:space="0" w:color="auto"/>
                            <w:bottom w:val="none" w:sz="0" w:space="0" w:color="auto"/>
                            <w:right w:val="none" w:sz="0" w:space="0" w:color="auto"/>
                          </w:divBdr>
                          <w:divsChild>
                            <w:div w:id="1077284343">
                              <w:marLeft w:val="0"/>
                              <w:marRight w:val="0"/>
                              <w:marTop w:val="0"/>
                              <w:marBottom w:val="0"/>
                              <w:divBdr>
                                <w:top w:val="none" w:sz="0" w:space="0" w:color="auto"/>
                                <w:left w:val="none" w:sz="0" w:space="0" w:color="auto"/>
                                <w:bottom w:val="none" w:sz="0" w:space="0" w:color="auto"/>
                                <w:right w:val="none" w:sz="0" w:space="0" w:color="auto"/>
                              </w:divBdr>
                            </w:div>
                            <w:div w:id="1077284345">
                              <w:marLeft w:val="0"/>
                              <w:marRight w:val="0"/>
                              <w:marTop w:val="0"/>
                              <w:marBottom w:val="0"/>
                              <w:divBdr>
                                <w:top w:val="none" w:sz="0" w:space="0" w:color="auto"/>
                                <w:left w:val="none" w:sz="0" w:space="0" w:color="auto"/>
                                <w:bottom w:val="none" w:sz="0" w:space="0" w:color="auto"/>
                                <w:right w:val="none" w:sz="0" w:space="0" w:color="auto"/>
                              </w:divBdr>
                            </w:div>
                            <w:div w:id="1077284347">
                              <w:marLeft w:val="0"/>
                              <w:marRight w:val="0"/>
                              <w:marTop w:val="0"/>
                              <w:marBottom w:val="0"/>
                              <w:divBdr>
                                <w:top w:val="none" w:sz="0" w:space="0" w:color="auto"/>
                                <w:left w:val="none" w:sz="0" w:space="0" w:color="auto"/>
                                <w:bottom w:val="none" w:sz="0" w:space="0" w:color="auto"/>
                                <w:right w:val="none" w:sz="0" w:space="0" w:color="auto"/>
                              </w:divBdr>
                            </w:div>
                            <w:div w:id="1077284348">
                              <w:marLeft w:val="0"/>
                              <w:marRight w:val="0"/>
                              <w:marTop w:val="0"/>
                              <w:marBottom w:val="0"/>
                              <w:divBdr>
                                <w:top w:val="none" w:sz="0" w:space="0" w:color="auto"/>
                                <w:left w:val="none" w:sz="0" w:space="0" w:color="auto"/>
                                <w:bottom w:val="none" w:sz="0" w:space="0" w:color="auto"/>
                                <w:right w:val="none" w:sz="0" w:space="0" w:color="auto"/>
                              </w:divBdr>
                            </w:div>
                            <w:div w:id="1077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68182">
      <w:marLeft w:val="0"/>
      <w:marRight w:val="0"/>
      <w:marTop w:val="0"/>
      <w:marBottom w:val="0"/>
      <w:divBdr>
        <w:top w:val="none" w:sz="0" w:space="0" w:color="auto"/>
        <w:left w:val="none" w:sz="0" w:space="0" w:color="auto"/>
        <w:bottom w:val="none" w:sz="0" w:space="0" w:color="auto"/>
        <w:right w:val="none" w:sz="0" w:space="0" w:color="auto"/>
      </w:divBdr>
    </w:div>
    <w:div w:id="1691368183">
      <w:marLeft w:val="0"/>
      <w:marRight w:val="0"/>
      <w:marTop w:val="0"/>
      <w:marBottom w:val="0"/>
      <w:divBdr>
        <w:top w:val="none" w:sz="0" w:space="0" w:color="auto"/>
        <w:left w:val="none" w:sz="0" w:space="0" w:color="auto"/>
        <w:bottom w:val="none" w:sz="0" w:space="0" w:color="auto"/>
        <w:right w:val="none" w:sz="0" w:space="0" w:color="auto"/>
      </w:divBdr>
      <w:divsChild>
        <w:div w:id="1691368186">
          <w:marLeft w:val="0"/>
          <w:marRight w:val="0"/>
          <w:marTop w:val="150"/>
          <w:marBottom w:val="0"/>
          <w:divBdr>
            <w:top w:val="none" w:sz="0" w:space="0" w:color="auto"/>
            <w:left w:val="single" w:sz="6" w:space="0" w:color="FFFFFF"/>
            <w:bottom w:val="single" w:sz="6" w:space="31" w:color="BFBFBF"/>
            <w:right w:val="single" w:sz="6" w:space="0" w:color="FFFFFF"/>
          </w:divBdr>
          <w:divsChild>
            <w:div w:id="1691368181">
              <w:marLeft w:val="0"/>
              <w:marRight w:val="0"/>
              <w:marTop w:val="0"/>
              <w:marBottom w:val="0"/>
              <w:divBdr>
                <w:top w:val="single" w:sz="6" w:space="0" w:color="FFFFFF"/>
                <w:left w:val="single" w:sz="6" w:space="17" w:color="FFFFFF"/>
                <w:bottom w:val="single" w:sz="6" w:space="0" w:color="FFFFFF"/>
                <w:right w:val="single" w:sz="6" w:space="17" w:color="FFFFFF"/>
              </w:divBdr>
              <w:divsChild>
                <w:div w:id="1691368176">
                  <w:marLeft w:val="0"/>
                  <w:marRight w:val="0"/>
                  <w:marTop w:val="0"/>
                  <w:marBottom w:val="0"/>
                  <w:divBdr>
                    <w:top w:val="none" w:sz="0" w:space="0" w:color="auto"/>
                    <w:left w:val="none" w:sz="0" w:space="0" w:color="auto"/>
                    <w:bottom w:val="none" w:sz="0" w:space="0" w:color="auto"/>
                    <w:right w:val="none" w:sz="0" w:space="0" w:color="auto"/>
                  </w:divBdr>
                  <w:divsChild>
                    <w:div w:id="1691368178">
                      <w:marLeft w:val="0"/>
                      <w:marRight w:val="0"/>
                      <w:marTop w:val="0"/>
                      <w:marBottom w:val="0"/>
                      <w:divBdr>
                        <w:top w:val="none" w:sz="0" w:space="0" w:color="auto"/>
                        <w:left w:val="none" w:sz="0" w:space="0" w:color="auto"/>
                        <w:bottom w:val="none" w:sz="0" w:space="0" w:color="auto"/>
                        <w:right w:val="none" w:sz="0" w:space="0" w:color="auto"/>
                      </w:divBdr>
                      <w:divsChild>
                        <w:div w:id="1691368184">
                          <w:marLeft w:val="0"/>
                          <w:marRight w:val="0"/>
                          <w:marTop w:val="0"/>
                          <w:marBottom w:val="0"/>
                          <w:divBdr>
                            <w:top w:val="none" w:sz="0" w:space="0" w:color="auto"/>
                            <w:left w:val="none" w:sz="0" w:space="0" w:color="auto"/>
                            <w:bottom w:val="none" w:sz="0" w:space="0" w:color="auto"/>
                            <w:right w:val="none" w:sz="0" w:space="0" w:color="auto"/>
                          </w:divBdr>
                        </w:div>
                        <w:div w:id="1691368185">
                          <w:marLeft w:val="0"/>
                          <w:marRight w:val="0"/>
                          <w:marTop w:val="0"/>
                          <w:marBottom w:val="0"/>
                          <w:divBdr>
                            <w:top w:val="none" w:sz="0" w:space="0" w:color="auto"/>
                            <w:left w:val="none" w:sz="0" w:space="0" w:color="auto"/>
                            <w:bottom w:val="none" w:sz="0" w:space="0" w:color="auto"/>
                            <w:right w:val="none" w:sz="0" w:space="0" w:color="auto"/>
                          </w:divBdr>
                        </w:div>
                        <w:div w:id="1691368188">
                          <w:marLeft w:val="0"/>
                          <w:marRight w:val="0"/>
                          <w:marTop w:val="0"/>
                          <w:marBottom w:val="0"/>
                          <w:divBdr>
                            <w:top w:val="none" w:sz="0" w:space="0" w:color="auto"/>
                            <w:left w:val="none" w:sz="0" w:space="0" w:color="auto"/>
                            <w:bottom w:val="none" w:sz="0" w:space="0" w:color="auto"/>
                            <w:right w:val="none" w:sz="0" w:space="0" w:color="auto"/>
                          </w:divBdr>
                          <w:divsChild>
                            <w:div w:id="1691368175">
                              <w:marLeft w:val="0"/>
                              <w:marRight w:val="0"/>
                              <w:marTop w:val="0"/>
                              <w:marBottom w:val="0"/>
                              <w:divBdr>
                                <w:top w:val="none" w:sz="0" w:space="0" w:color="auto"/>
                                <w:left w:val="none" w:sz="0" w:space="0" w:color="auto"/>
                                <w:bottom w:val="none" w:sz="0" w:space="0" w:color="auto"/>
                                <w:right w:val="none" w:sz="0" w:space="0" w:color="auto"/>
                              </w:divBdr>
                            </w:div>
                            <w:div w:id="1691368177">
                              <w:marLeft w:val="0"/>
                              <w:marRight w:val="0"/>
                              <w:marTop w:val="0"/>
                              <w:marBottom w:val="0"/>
                              <w:divBdr>
                                <w:top w:val="none" w:sz="0" w:space="0" w:color="auto"/>
                                <w:left w:val="none" w:sz="0" w:space="0" w:color="auto"/>
                                <w:bottom w:val="none" w:sz="0" w:space="0" w:color="auto"/>
                                <w:right w:val="none" w:sz="0" w:space="0" w:color="auto"/>
                              </w:divBdr>
                            </w:div>
                            <w:div w:id="1691368179">
                              <w:marLeft w:val="0"/>
                              <w:marRight w:val="0"/>
                              <w:marTop w:val="0"/>
                              <w:marBottom w:val="0"/>
                              <w:divBdr>
                                <w:top w:val="none" w:sz="0" w:space="0" w:color="auto"/>
                                <w:left w:val="none" w:sz="0" w:space="0" w:color="auto"/>
                                <w:bottom w:val="none" w:sz="0" w:space="0" w:color="auto"/>
                                <w:right w:val="none" w:sz="0" w:space="0" w:color="auto"/>
                              </w:divBdr>
                            </w:div>
                            <w:div w:id="1691368180">
                              <w:marLeft w:val="0"/>
                              <w:marRight w:val="0"/>
                              <w:marTop w:val="0"/>
                              <w:marBottom w:val="0"/>
                              <w:divBdr>
                                <w:top w:val="none" w:sz="0" w:space="0" w:color="auto"/>
                                <w:left w:val="none" w:sz="0" w:space="0" w:color="auto"/>
                                <w:bottom w:val="none" w:sz="0" w:space="0" w:color="auto"/>
                                <w:right w:val="none" w:sz="0" w:space="0" w:color="auto"/>
                              </w:divBdr>
                            </w:div>
                            <w:div w:id="16913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DDBVenCity xmlns="21825695-5fbc-4f8f-8909-2f62151a4dcc">Hawaii</MDDBVenCity>
    <MDDBVenEco xmlns="21825695-5fbc-4f8f-8909-2f62151a4dcc">United States</MDDBVenEco>
    <MDDBStatus xmlns="21825695-5fbc-4f8f-8909-2f62151a4dcc">Completed</MDDBStatus>
    <MDDBDocNum xmlns="21825695-5fbc-4f8f-8909-2f62151a4dcc">2011/CSOM/009</MDDBDocNum>
    <MDDBEndDate xmlns="21825695-5fbc-4f8f-8909-2f62151a4dcc">2011-11-09T00:00:00Z</MDDBEndDate>
    <MDDBSubEco xmlns="21825695-5fbc-4f8f-8909-2f62151a4dcc"/>
    <MDDBOrder xmlns="21825695-5fbc-4f8f-8909-2f62151a4dcc">99999</MDDBOrder>
    <MDDBClass xmlns="21825695-5fbc-4f8f-8909-2f62151a4dcc">Public</MDDBClass>
    <MDDBDocType xmlns="21825695-5fbc-4f8f-8909-2f62151a4dcc">Paper</MDDBDocType>
    <MDDBSubOrg xmlns="21825695-5fbc-4f8f-8909-2f62151a4dcc"/>
    <MDDBStartDate xmlns="21825695-5fbc-4f8f-8909-2f62151a4dcc">2011-11-08T00:00:00Z</MDDBStartDate>
    <MDDBMeetingName xmlns="21825695-5fbc-4f8f-8909-2f62151a4dcc">Concluding Senior Officials' Meeting 2011</MDDBMeetingName>
    <MDDBSubGroup xmlns="21825695-5fbc-4f8f-8909-2f62151a4dcc">
      <Value>Business Mobility Group (BMG)</Value>
      <Value>Counter-Terrorism Task Force (CTTF)</Value>
      <Value>Sub-Committee on Customs Procedures (SCCP)</Value>
      <Value>Transportation Working Group (TPTWG)</Value>
    </MDDBSubGroup>
    <MDDBTitle xmlns="21825695-5fbc-4f8f-8909-2f62151a4dcc">APEC Consolidated Counter-Terrorism and Secure Trade Strategy</MDDBTitle>
    <MDDBGroup xmlns="21825695-5fbc-4f8f-8909-2f62151a4dcc">
      <Value>Senior Officials' Meetings (SOM)</Value>
    </MDDB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492ceb5944b1b78589e79eb4f06ac627">
  <xsd:schema xmlns:xsd="http://www.w3.org/2001/XMLSchema" xmlns:p="http://schemas.microsoft.com/office/2006/metadata/properties" xmlns:ns2="21825695-5fbc-4f8f-8909-2f62151a4dcc" targetNamespace="http://schemas.microsoft.com/office/2006/metadata/properties" ma:root="true" ma:fieldsID="7204edf23488f5d0bb328f86a9ae3592"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A3F4-B469-4C0D-A1C4-4EAC92369DB4}">
  <ds:schemaRefs>
    <ds:schemaRef ds:uri="http://schemas.microsoft.com/office/2006/metadata/longProperties"/>
  </ds:schemaRefs>
</ds:datastoreItem>
</file>

<file path=customXml/itemProps2.xml><?xml version="1.0" encoding="utf-8"?>
<ds:datastoreItem xmlns:ds="http://schemas.openxmlformats.org/officeDocument/2006/customXml" ds:itemID="{8B06F8DD-98AC-4296-9270-8C54460870B8}">
  <ds:schemaRefs>
    <ds:schemaRef ds:uri="http://schemas.microsoft.com/office/2006/metadata/properties"/>
    <ds:schemaRef ds:uri="http://schemas.microsoft.com/office/infopath/2007/PartnerControls"/>
    <ds:schemaRef ds:uri="21825695-5fbc-4f8f-8909-2f62151a4dcc"/>
  </ds:schemaRefs>
</ds:datastoreItem>
</file>

<file path=customXml/itemProps3.xml><?xml version="1.0" encoding="utf-8"?>
<ds:datastoreItem xmlns:ds="http://schemas.openxmlformats.org/officeDocument/2006/customXml" ds:itemID="{3472B4B2-8889-4DF8-AA19-76DC7D61AC21}">
  <ds:schemaRefs>
    <ds:schemaRef ds:uri="http://schemas.microsoft.com/sharepoint/v3/contenttype/forms"/>
  </ds:schemaRefs>
</ds:datastoreItem>
</file>

<file path=customXml/itemProps4.xml><?xml version="1.0" encoding="utf-8"?>
<ds:datastoreItem xmlns:ds="http://schemas.openxmlformats.org/officeDocument/2006/customXml" ds:itemID="{8B056EC7-D236-470D-A04B-DD5216CCA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8C77515-8684-495D-8CB0-AFC11361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4825</Words>
  <Characters>26541</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 Department of State</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CheungRE</dc:creator>
  <cp:keywords/>
  <cp:lastModifiedBy>Julio Torres</cp:lastModifiedBy>
  <cp:revision>5</cp:revision>
  <cp:lastPrinted>2018-05-31T10:27:00Z</cp:lastPrinted>
  <dcterms:created xsi:type="dcterms:W3CDTF">2019-09-30T14:28:00Z</dcterms:created>
  <dcterms:modified xsi:type="dcterms:W3CDTF">2019-09-30T21:01:00Z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415000.000000000</vt:lpwstr>
  </property>
  <property fmtid="{D5CDD505-2E9C-101B-9397-08002B2CF9AE}" pid="3" name="Created">
    <vt:lpwstr>2011-11-11T15:47:51Z</vt:lpwstr>
  </property>
  <property fmtid="{D5CDD505-2E9C-101B-9397-08002B2CF9AE}" pid="4" name="Modified">
    <vt:lpwstr>2011-11-15T00:39:59Z</vt:lpwstr>
  </property>
  <property fmtid="{D5CDD505-2E9C-101B-9397-08002B2CF9AE}" pid="5" name="TitusGUID">
    <vt:lpwstr>04e086ed-3261-41d1-b071-a1fde831231b</vt:lpwstr>
  </property>
  <property fmtid="{D5CDD505-2E9C-101B-9397-08002B2CF9AE}" pid="6" name="SEC">
    <vt:lpwstr>UNCLASSIFIED</vt:lpwstr>
  </property>
  <property fmtid="{D5CDD505-2E9C-101B-9397-08002B2CF9AE}" pid="7" name="DLM">
    <vt:lpwstr>No DLM</vt:lpwstr>
  </property>
</Properties>
</file>