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FCD3" w14:textId="3E667BD1" w:rsidR="001E61F5" w:rsidRDefault="003F25D9" w:rsidP="001E61F5">
      <w:pPr>
        <w:ind w:right="20"/>
        <w:jc w:val="center"/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The Twenty-f</w:t>
      </w:r>
      <w:r w:rsidR="009D553B">
        <w:rPr>
          <w:rFonts w:eastAsia="Calibri" w:cs="Calibri"/>
          <w:b/>
          <w:bCs/>
          <w:u w:val="single"/>
        </w:rPr>
        <w:t>ifth</w:t>
      </w:r>
      <w:r>
        <w:rPr>
          <w:rFonts w:eastAsia="Calibri" w:cs="Calibri"/>
          <w:b/>
          <w:bCs/>
          <w:u w:val="single"/>
        </w:rPr>
        <w:t xml:space="preserve"> Meeting of the</w:t>
      </w:r>
      <w:r w:rsidR="005E7E24">
        <w:rPr>
          <w:rFonts w:eastAsia="Calibri" w:cs="Calibri"/>
          <w:b/>
          <w:bCs/>
          <w:u w:val="single"/>
        </w:rPr>
        <w:t xml:space="preserve"> APEC</w:t>
      </w:r>
      <w:r w:rsidR="00600C35" w:rsidRPr="004C7523">
        <w:rPr>
          <w:rFonts w:eastAsia="Calibri" w:cs="Calibri"/>
          <w:b/>
          <w:bCs/>
          <w:u w:val="single"/>
        </w:rPr>
        <w:t xml:space="preserve"> </w:t>
      </w:r>
      <w:r w:rsidR="001E61F5" w:rsidRPr="004C7523">
        <w:rPr>
          <w:rFonts w:eastAsia="Calibri" w:cs="Calibri"/>
          <w:b/>
          <w:bCs/>
          <w:u w:val="single"/>
        </w:rPr>
        <w:t>Chemical Dialogue (“CD2</w:t>
      </w:r>
      <w:r w:rsidR="009D553B">
        <w:rPr>
          <w:rFonts w:eastAsia="Calibri" w:cs="Calibri"/>
          <w:b/>
          <w:bCs/>
          <w:u w:val="single"/>
        </w:rPr>
        <w:t>5</w:t>
      </w:r>
      <w:r w:rsidR="001E61F5" w:rsidRPr="004C7523">
        <w:rPr>
          <w:rFonts w:eastAsia="Calibri" w:cs="Calibri"/>
          <w:b/>
          <w:bCs/>
          <w:u w:val="single"/>
        </w:rPr>
        <w:t>”)</w:t>
      </w:r>
    </w:p>
    <w:p w14:paraId="1F133AE0" w14:textId="77777777" w:rsidR="003F25D9" w:rsidRDefault="003F25D9" w:rsidP="001E61F5">
      <w:pPr>
        <w:ind w:right="20"/>
        <w:jc w:val="center"/>
        <w:rPr>
          <w:rFonts w:eastAsia="Calibri" w:cs="Calibri"/>
          <w:b/>
          <w:bCs/>
          <w:u w:val="single"/>
        </w:rPr>
      </w:pPr>
    </w:p>
    <w:p w14:paraId="3FC65547" w14:textId="36C25D95" w:rsidR="003F25D9" w:rsidRPr="004C7523" w:rsidRDefault="003F25D9" w:rsidP="001E61F5">
      <w:pPr>
        <w:ind w:right="20"/>
        <w:jc w:val="center"/>
        <w:rPr>
          <w:rFonts w:eastAsia="Calibri" w:cs="Calibri"/>
          <w:u w:val="single"/>
        </w:rPr>
      </w:pPr>
      <w:r>
        <w:rPr>
          <w:rFonts w:eastAsia="Calibri" w:cs="Calibri"/>
          <w:b/>
          <w:bCs/>
          <w:u w:val="single"/>
        </w:rPr>
        <w:t>Final Report</w:t>
      </w:r>
    </w:p>
    <w:p w14:paraId="3EF5FA60" w14:textId="77777777" w:rsidR="005F3835" w:rsidRPr="004C7523" w:rsidRDefault="005F3835" w:rsidP="001E61F5">
      <w:pPr>
        <w:pStyle w:val="BodyText"/>
        <w:jc w:val="center"/>
        <w:rPr>
          <w:i/>
        </w:rPr>
      </w:pPr>
    </w:p>
    <w:p w14:paraId="4D9BD7AB" w14:textId="73D16E05" w:rsidR="0011278D" w:rsidRDefault="0011278D" w:rsidP="001E61F5">
      <w:pPr>
        <w:pStyle w:val="BodyText"/>
        <w:jc w:val="center"/>
        <w:rPr>
          <w:i/>
        </w:rPr>
      </w:pPr>
      <w:r>
        <w:rPr>
          <w:i/>
        </w:rPr>
        <w:t>4 – 5 November, 2020 (Americas)</w:t>
      </w:r>
    </w:p>
    <w:p w14:paraId="7D9318E7" w14:textId="5B7F4BE2" w:rsidR="001E61F5" w:rsidRPr="00600C35" w:rsidRDefault="009D553B" w:rsidP="001E61F5">
      <w:pPr>
        <w:pStyle w:val="BodyText"/>
        <w:jc w:val="center"/>
        <w:rPr>
          <w:i/>
        </w:rPr>
      </w:pPr>
      <w:r>
        <w:rPr>
          <w:i/>
        </w:rPr>
        <w:t>5</w:t>
      </w:r>
      <w:r w:rsidR="0011278D">
        <w:rPr>
          <w:i/>
        </w:rPr>
        <w:t xml:space="preserve"> – </w:t>
      </w:r>
      <w:r>
        <w:rPr>
          <w:i/>
        </w:rPr>
        <w:t>6 November</w:t>
      </w:r>
      <w:r w:rsidR="0011278D">
        <w:rPr>
          <w:i/>
        </w:rPr>
        <w:t>, 2020</w:t>
      </w:r>
      <w:r w:rsidR="00EC4A9B">
        <w:rPr>
          <w:i/>
        </w:rPr>
        <w:t xml:space="preserve"> </w:t>
      </w:r>
      <w:r w:rsidR="0011278D">
        <w:rPr>
          <w:i/>
        </w:rPr>
        <w:t xml:space="preserve">(Asia) </w:t>
      </w:r>
    </w:p>
    <w:p w14:paraId="231976D7" w14:textId="6C806032" w:rsidR="001E61F5" w:rsidRDefault="00A2455A" w:rsidP="009D553B">
      <w:pPr>
        <w:pStyle w:val="BodyText"/>
        <w:jc w:val="center"/>
        <w:rPr>
          <w:i/>
        </w:rPr>
      </w:pPr>
      <w:r>
        <w:rPr>
          <w:i/>
        </w:rPr>
        <w:t xml:space="preserve">Location: </w:t>
      </w:r>
      <w:r w:rsidR="009D553B">
        <w:rPr>
          <w:i/>
        </w:rPr>
        <w:t xml:space="preserve">Virtual </w:t>
      </w:r>
    </w:p>
    <w:p w14:paraId="0CAE3111" w14:textId="77777777" w:rsidR="001E61F5" w:rsidRDefault="001E61F5" w:rsidP="001E61F5">
      <w:pPr>
        <w:jc w:val="both"/>
      </w:pPr>
    </w:p>
    <w:p w14:paraId="598D0055" w14:textId="5B42A5BB" w:rsidR="003F25D9" w:rsidRDefault="006778D1" w:rsidP="002A2E5F">
      <w:pPr>
        <w:ind w:right="30"/>
        <w:jc w:val="both"/>
      </w:pPr>
      <w:r>
        <w:t>The Twenty-F</w:t>
      </w:r>
      <w:r w:rsidR="009D553B">
        <w:t>ifth</w:t>
      </w:r>
      <w:r>
        <w:t xml:space="preserve"> Meeting of the </w:t>
      </w:r>
      <w:r w:rsidR="005E7E24">
        <w:t xml:space="preserve">APEC </w:t>
      </w:r>
      <w:r>
        <w:t>Chemical Dialogue (“CD” or “Dialogue” (“CD2</w:t>
      </w:r>
      <w:r w:rsidR="009D553B">
        <w:t>5</w:t>
      </w:r>
      <w:r>
        <w:t xml:space="preserve">”) was convened </w:t>
      </w:r>
      <w:r w:rsidR="009D553B">
        <w:t>virtually</w:t>
      </w:r>
      <w:r>
        <w:t xml:space="preserve"> </w:t>
      </w:r>
      <w:r w:rsidR="009D553B">
        <w:t>a</w:t>
      </w:r>
      <w:r w:rsidR="009540ED">
        <w:t>n</w:t>
      </w:r>
      <w:r w:rsidR="009D553B">
        <w:t xml:space="preserve">d </w:t>
      </w:r>
      <w:r>
        <w:t xml:space="preserve">was attended by </w:t>
      </w:r>
      <w:r w:rsidR="000D2213">
        <w:t>17</w:t>
      </w:r>
      <w:r w:rsidR="009D553B">
        <w:t xml:space="preserve"> </w:t>
      </w:r>
      <w:r>
        <w:t xml:space="preserve">APEC economies; including </w:t>
      </w:r>
      <w:r w:rsidR="00BD1C31" w:rsidRPr="00BD1C31">
        <w:t>Australia (Government &amp; Industry);</w:t>
      </w:r>
      <w:r w:rsidR="000D5028">
        <w:t xml:space="preserve"> </w:t>
      </w:r>
      <w:r w:rsidR="002A5692">
        <w:t>Canada (</w:t>
      </w:r>
      <w:r w:rsidR="000D2213">
        <w:t xml:space="preserve">Industry); </w:t>
      </w:r>
      <w:r w:rsidR="00BD1C31" w:rsidRPr="00BD1C31">
        <w:t xml:space="preserve">Chile (Government &amp; Industry); </w:t>
      </w:r>
      <w:r w:rsidR="000D2213" w:rsidRPr="00BD1C31">
        <w:t>Chinese Taipei (Government</w:t>
      </w:r>
      <w:r w:rsidR="009540ED">
        <w:t xml:space="preserve"> &amp; Industry</w:t>
      </w:r>
      <w:r w:rsidR="000D2213" w:rsidRPr="00BD1C31">
        <w:t>)</w:t>
      </w:r>
      <w:r w:rsidR="000D2213">
        <w:t xml:space="preserve">; </w:t>
      </w:r>
      <w:r w:rsidR="00BD1C31" w:rsidRPr="00BD1C31">
        <w:t xml:space="preserve">Indonesia (Government &amp; Industry); Japan (Government  &amp; Industry); </w:t>
      </w:r>
      <w:r w:rsidR="00910870">
        <w:t xml:space="preserve">The Republic of </w:t>
      </w:r>
      <w:r w:rsidR="00BD1C31" w:rsidRPr="00BD1C31">
        <w:t xml:space="preserve">Korea (Government &amp; Industry); Malaysia (Government &amp; Industry); Mexico (Industry); </w:t>
      </w:r>
      <w:r w:rsidR="00C42BC1">
        <w:t xml:space="preserve">New Zealand (Government); Peru (Government); </w:t>
      </w:r>
      <w:r w:rsidR="00BD1C31" w:rsidRPr="00BD1C31">
        <w:t>Philippines (Government &amp; Industry); Russia (Industry); Singapore (Industry);</w:t>
      </w:r>
      <w:r w:rsidR="0008036E">
        <w:t xml:space="preserve"> </w:t>
      </w:r>
      <w:r w:rsidR="00BD1C31" w:rsidRPr="00BD1C31">
        <w:t xml:space="preserve">Thailand (Industry); </w:t>
      </w:r>
      <w:r w:rsidR="002934D9">
        <w:t xml:space="preserve">The Philippines (Government); </w:t>
      </w:r>
      <w:r w:rsidR="00BD1C31" w:rsidRPr="00BD1C31">
        <w:t>United States (Government &amp; Industry); Viet Nam (Government).</w:t>
      </w:r>
      <w:r>
        <w:t xml:space="preserve"> </w:t>
      </w:r>
      <w:r w:rsidRPr="006778D1">
        <w:t>CD2</w:t>
      </w:r>
      <w:r w:rsidR="000D2213">
        <w:t>5</w:t>
      </w:r>
      <w:r w:rsidRPr="006778D1">
        <w:t xml:space="preserve"> was co-chaired by </w:t>
      </w:r>
      <w:r w:rsidR="000D2213">
        <w:t>Ms</w:t>
      </w:r>
      <w:r w:rsidRPr="006778D1">
        <w:t xml:space="preserve">. </w:t>
      </w:r>
      <w:r w:rsidR="000D2213">
        <w:t>Renee Hancher</w:t>
      </w:r>
      <w:r w:rsidRPr="006778D1">
        <w:t xml:space="preserve"> as the </w:t>
      </w:r>
      <w:r w:rsidR="000D2213">
        <w:t xml:space="preserve">acting </w:t>
      </w:r>
      <w:r w:rsidRPr="006778D1">
        <w:t xml:space="preserve">Government Co-Chair and </w:t>
      </w:r>
      <w:r w:rsidR="000D2213">
        <w:t>Mr. Sergio Barrientos</w:t>
      </w:r>
      <w:r w:rsidRPr="006778D1">
        <w:t xml:space="preserve"> as the Industry Co-Chair.  </w:t>
      </w:r>
    </w:p>
    <w:p w14:paraId="38F49075" w14:textId="77777777" w:rsidR="006A2314" w:rsidRDefault="006A2314" w:rsidP="002A2E5F">
      <w:pPr>
        <w:ind w:right="30"/>
        <w:jc w:val="both"/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A2314" w:rsidRPr="00EB497C" w14:paraId="046D0950" w14:textId="77777777" w:rsidTr="006A2314">
        <w:trPr>
          <w:trHeight w:val="755"/>
        </w:trPr>
        <w:tc>
          <w:tcPr>
            <w:tcW w:w="9360" w:type="dxa"/>
            <w:shd w:val="clear" w:color="auto" w:fill="DBE5F1" w:themeFill="accent1" w:themeFillTint="33"/>
          </w:tcPr>
          <w:p w14:paraId="3271ADE2" w14:textId="77777777" w:rsidR="006A2314" w:rsidRDefault="006A2314" w:rsidP="00E6633C">
            <w:pPr>
              <w:pStyle w:val="BodyText"/>
              <w:jc w:val="center"/>
              <w:rPr>
                <w:b/>
              </w:rPr>
            </w:pPr>
          </w:p>
          <w:p w14:paraId="4E288B18" w14:textId="1C6F73BC" w:rsidR="006A2314" w:rsidRPr="00EB497C" w:rsidRDefault="006A2314" w:rsidP="00E6633C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 November</w:t>
            </w:r>
            <w:r w:rsidRPr="00EB497C">
              <w:rPr>
                <w:b/>
              </w:rPr>
              <w:t xml:space="preserve"> 2020</w:t>
            </w:r>
            <w:r>
              <w:rPr>
                <w:b/>
              </w:rPr>
              <w:t xml:space="preserve"> – APEC Chemical Dialogue Meeting (Day 1)</w:t>
            </w:r>
          </w:p>
        </w:tc>
      </w:tr>
    </w:tbl>
    <w:p w14:paraId="1956B39F" w14:textId="77777777" w:rsidR="006A2314" w:rsidRDefault="006A2314" w:rsidP="002A2E5F">
      <w:pPr>
        <w:ind w:right="30"/>
        <w:jc w:val="both"/>
      </w:pPr>
    </w:p>
    <w:p w14:paraId="2B4141ED" w14:textId="77777777" w:rsidR="003F25D9" w:rsidRPr="006701A3" w:rsidRDefault="003F25D9" w:rsidP="001E61F5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7573"/>
      </w:tblGrid>
      <w:tr w:rsidR="00216AD0" w:rsidRPr="006701A3" w14:paraId="2A140254" w14:textId="77777777" w:rsidTr="006A2314">
        <w:tc>
          <w:tcPr>
            <w:tcW w:w="1710" w:type="dxa"/>
            <w:shd w:val="clear" w:color="auto" w:fill="D9D9D9" w:themeFill="background1" w:themeFillShade="D9"/>
          </w:tcPr>
          <w:p w14:paraId="119D241B" w14:textId="0B4FF3CC" w:rsidR="00216AD0" w:rsidRPr="006701A3" w:rsidRDefault="00216AD0" w:rsidP="009744DA">
            <w:pPr>
              <w:jc w:val="both"/>
              <w:rPr>
                <w:b/>
              </w:rPr>
            </w:pPr>
            <w:r w:rsidRPr="006701A3">
              <w:rPr>
                <w:b/>
              </w:rPr>
              <w:t>09:00 – 09:</w:t>
            </w:r>
            <w:r>
              <w:rPr>
                <w:b/>
              </w:rPr>
              <w:t>15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242B3EC6" w14:textId="45C243E0" w:rsidR="00216AD0" w:rsidRPr="006701A3" w:rsidRDefault="00216AD0" w:rsidP="000626F5">
            <w:pPr>
              <w:jc w:val="both"/>
              <w:rPr>
                <w:b/>
              </w:rPr>
            </w:pPr>
            <w:r>
              <w:rPr>
                <w:b/>
              </w:rPr>
              <w:t xml:space="preserve">OPENING SESSION </w:t>
            </w:r>
          </w:p>
        </w:tc>
      </w:tr>
    </w:tbl>
    <w:p w14:paraId="5CAA2688" w14:textId="77777777" w:rsidR="001E61F5" w:rsidRPr="006701A3" w:rsidRDefault="001E61F5" w:rsidP="001E61F5">
      <w:pPr>
        <w:jc w:val="both"/>
      </w:pPr>
    </w:p>
    <w:p w14:paraId="06951D54" w14:textId="77777777" w:rsidR="001E61F5" w:rsidRPr="006701A3" w:rsidRDefault="001E61F5" w:rsidP="000D3671">
      <w:pPr>
        <w:pStyle w:val="BodyText"/>
        <w:tabs>
          <w:tab w:val="left" w:pos="1440"/>
          <w:tab w:val="right" w:pos="9360"/>
        </w:tabs>
        <w:ind w:left="1440"/>
      </w:pPr>
      <w:r w:rsidRPr="006701A3">
        <w:rPr>
          <w:b/>
          <w:u w:val="single" w:color="000000"/>
        </w:rPr>
        <w:t>Welcome from Government Co-Chair</w:t>
      </w:r>
      <w:r w:rsidRPr="006701A3">
        <w:tab/>
      </w:r>
      <w:r w:rsidRPr="006701A3">
        <w:rPr>
          <w:b/>
          <w:u w:val="single" w:color="000000"/>
        </w:rPr>
        <w:t>Government Co-Chair</w:t>
      </w:r>
    </w:p>
    <w:p w14:paraId="2192E4E7" w14:textId="77777777" w:rsidR="001E61F5" w:rsidRPr="006701A3" w:rsidRDefault="001E61F5" w:rsidP="001E61F5">
      <w:pPr>
        <w:jc w:val="both"/>
      </w:pPr>
    </w:p>
    <w:p w14:paraId="71A13215" w14:textId="661C19AF" w:rsidR="00B51055" w:rsidRPr="006701A3" w:rsidRDefault="001E61F5" w:rsidP="00BD1C31">
      <w:pPr>
        <w:pStyle w:val="BodyText"/>
        <w:ind w:firstLine="720"/>
      </w:pPr>
      <w:r w:rsidRPr="006701A3">
        <w:t xml:space="preserve">The </w:t>
      </w:r>
      <w:r w:rsidR="005F68F2">
        <w:t xml:space="preserve">acting </w:t>
      </w:r>
      <w:r w:rsidRPr="006701A3">
        <w:t xml:space="preserve">Government Co-Chair </w:t>
      </w:r>
      <w:r w:rsidR="00541D39">
        <w:t>convene</w:t>
      </w:r>
      <w:r w:rsidR="00CE06AA">
        <w:t>d</w:t>
      </w:r>
      <w:r w:rsidRPr="006701A3">
        <w:t xml:space="preserve"> the </w:t>
      </w:r>
      <w:r w:rsidR="0008036E">
        <w:t>second</w:t>
      </w:r>
      <w:r w:rsidR="00600C35">
        <w:t xml:space="preserve"> </w:t>
      </w:r>
      <w:r w:rsidRPr="006701A3">
        <w:t>meeting of the Chemical Dialogue (“Dialogue”</w:t>
      </w:r>
      <w:r>
        <w:t xml:space="preserve"> or “CD”</w:t>
      </w:r>
      <w:r w:rsidRPr="006701A3">
        <w:t>)</w:t>
      </w:r>
      <w:r>
        <w:t xml:space="preserve"> in </w:t>
      </w:r>
      <w:r w:rsidR="00600C35">
        <w:t>20</w:t>
      </w:r>
      <w:r w:rsidR="00781AC1">
        <w:t>20</w:t>
      </w:r>
      <w:r w:rsidR="002F78A4">
        <w:t xml:space="preserve"> in a virtual format. The Government Co-Chair highlighted </w:t>
      </w:r>
      <w:r w:rsidR="00525C11">
        <w:t xml:space="preserve">that </w:t>
      </w:r>
      <w:r w:rsidR="002F78A4">
        <w:t>t</w:t>
      </w:r>
      <w:r w:rsidR="009744DA">
        <w:t xml:space="preserve">he meeting </w:t>
      </w:r>
      <w:r w:rsidR="002F78A4" w:rsidRPr="002F78A4">
        <w:t>will be the first virtual meeting of the APEC Chemical Dialogue</w:t>
      </w:r>
      <w:r w:rsidR="00600C35" w:rsidRPr="006701A3">
        <w:t xml:space="preserve"> </w:t>
      </w:r>
      <w:r w:rsidR="00B51055">
        <w:t xml:space="preserve">and </w:t>
      </w:r>
      <w:r w:rsidR="002F78A4">
        <w:t>noted</w:t>
      </w:r>
      <w:r w:rsidR="002F78A4" w:rsidRPr="002F78A4">
        <w:t xml:space="preserve"> that despite the condensed</w:t>
      </w:r>
      <w:r w:rsidR="00525C11">
        <w:t xml:space="preserve"> agenda</w:t>
      </w:r>
      <w:r w:rsidR="005B213C">
        <w:t xml:space="preserve"> </w:t>
      </w:r>
      <w:r w:rsidR="002F78A4" w:rsidRPr="002F78A4">
        <w:t xml:space="preserve">it is </w:t>
      </w:r>
      <w:r w:rsidR="009744DA">
        <w:t>the Co-Chairs</w:t>
      </w:r>
      <w:r w:rsidR="00186524">
        <w:t>’</w:t>
      </w:r>
      <w:r w:rsidR="009744DA">
        <w:t xml:space="preserve"> </w:t>
      </w:r>
      <w:r w:rsidR="002F78A4" w:rsidRPr="002F78A4">
        <w:t>hope that delegates w</w:t>
      </w:r>
      <w:r w:rsidR="00173AFE">
        <w:t xml:space="preserve">ill find the meeting useful, and that </w:t>
      </w:r>
      <w:r w:rsidR="009744DA">
        <w:t>they are</w:t>
      </w:r>
      <w:r w:rsidR="002F78A4" w:rsidRPr="002F78A4">
        <w:t xml:space="preserve"> able to advance the CD’s objectives as they relate to regulatory cooperation, GHS implementation, and sustainability.</w:t>
      </w:r>
      <w:r w:rsidR="009744DA">
        <w:t xml:space="preserve"> Due to the limited time frame, the Government Co-Chair</w:t>
      </w:r>
      <w:r w:rsidR="00B51055">
        <w:t xml:space="preserve"> </w:t>
      </w:r>
      <w:r w:rsidR="009744DA">
        <w:t>advised</w:t>
      </w:r>
      <w:r w:rsidR="00B51055">
        <w:t xml:space="preserve"> each delegate to introduce themselves </w:t>
      </w:r>
      <w:r w:rsidR="00173AFE">
        <w:t>via the chat function</w:t>
      </w:r>
      <w:r w:rsidR="009744DA">
        <w:t xml:space="preserve"> of the web platform </w:t>
      </w:r>
      <w:r w:rsidR="00B06645">
        <w:t>to confirm their presence</w:t>
      </w:r>
      <w:r w:rsidR="009744DA">
        <w:t xml:space="preserve">. </w:t>
      </w:r>
    </w:p>
    <w:p w14:paraId="6D20982B" w14:textId="77777777" w:rsidR="001E61F5" w:rsidRPr="006701A3" w:rsidRDefault="001E61F5" w:rsidP="001E61F5">
      <w:pPr>
        <w:jc w:val="both"/>
      </w:pPr>
    </w:p>
    <w:p w14:paraId="167AAB06" w14:textId="77777777" w:rsidR="001E61F5" w:rsidRPr="00216AD0" w:rsidRDefault="001E61F5" w:rsidP="000D3671">
      <w:pPr>
        <w:pStyle w:val="BodyText"/>
        <w:tabs>
          <w:tab w:val="left" w:pos="1440"/>
          <w:tab w:val="right" w:pos="9360"/>
        </w:tabs>
        <w:ind w:left="1440"/>
      </w:pPr>
      <w:r w:rsidRPr="006701A3">
        <w:rPr>
          <w:b/>
          <w:u w:val="single" w:color="000000"/>
        </w:rPr>
        <w:t>Welcome from Industry Co-Chair</w:t>
      </w:r>
      <w:r w:rsidRPr="006701A3">
        <w:tab/>
      </w:r>
      <w:r w:rsidRPr="006701A3">
        <w:rPr>
          <w:b/>
          <w:u w:val="single" w:color="000000"/>
        </w:rPr>
        <w:t>Industry Co-Chair</w:t>
      </w:r>
    </w:p>
    <w:p w14:paraId="6DDB2554" w14:textId="77777777" w:rsidR="00216AD0" w:rsidRDefault="00216AD0" w:rsidP="00216AD0">
      <w:pPr>
        <w:pStyle w:val="BodyText"/>
        <w:tabs>
          <w:tab w:val="left" w:pos="1440"/>
          <w:tab w:val="right" w:pos="9360"/>
        </w:tabs>
        <w:ind w:left="720"/>
        <w:rPr>
          <w:b/>
          <w:u w:val="single" w:color="000000"/>
        </w:rPr>
      </w:pPr>
    </w:p>
    <w:p w14:paraId="0B340134" w14:textId="651EDAC4" w:rsidR="00216AD0" w:rsidRPr="00E657EB" w:rsidRDefault="00216AD0" w:rsidP="00216AD0">
      <w:pPr>
        <w:pStyle w:val="BodyText"/>
        <w:tabs>
          <w:tab w:val="left" w:pos="1440"/>
          <w:tab w:val="right" w:pos="9360"/>
        </w:tabs>
        <w:rPr>
          <w:u w:val="single"/>
        </w:rPr>
      </w:pPr>
      <w:r w:rsidRPr="00E657EB">
        <w:rPr>
          <w:u w:val="single"/>
        </w:rPr>
        <w:t>Meeting Documents</w:t>
      </w:r>
    </w:p>
    <w:p w14:paraId="07C3756D" w14:textId="14F45C6D" w:rsidR="00216AD0" w:rsidRPr="000D3671" w:rsidRDefault="009672C2" w:rsidP="000A7351">
      <w:pPr>
        <w:pStyle w:val="ListParagraph"/>
        <w:numPr>
          <w:ilvl w:val="0"/>
          <w:numId w:val="9"/>
        </w:numPr>
        <w:ind w:left="720"/>
      </w:pPr>
      <w:hyperlink r:id="rId7" w:history="1">
        <w:r w:rsidR="001964CE" w:rsidRPr="000D3671">
          <w:rPr>
            <w:rStyle w:val="Hyperlink"/>
          </w:rPr>
          <w:t>2020/CD2/002</w:t>
        </w:r>
      </w:hyperlink>
      <w:r w:rsidR="001964CE" w:rsidRPr="000D3671">
        <w:t xml:space="preserve"> – Chemical Industry Calls for Greater Regional Economic Integration</w:t>
      </w:r>
    </w:p>
    <w:p w14:paraId="6C210DD9" w14:textId="77777777" w:rsidR="00560E90" w:rsidRPr="000D3671" w:rsidRDefault="00560E90" w:rsidP="00560E90">
      <w:pPr>
        <w:jc w:val="both"/>
      </w:pPr>
    </w:p>
    <w:p w14:paraId="4B1D3DF6" w14:textId="4E28BBC0" w:rsidR="00560E90" w:rsidRPr="000D3671" w:rsidRDefault="00560E90" w:rsidP="00560E90">
      <w:pPr>
        <w:jc w:val="both"/>
      </w:pPr>
      <w:r w:rsidRPr="00E657EB">
        <w:rPr>
          <w:u w:val="single"/>
        </w:rPr>
        <w:t>Action Item</w:t>
      </w:r>
      <w:r w:rsidRPr="00E657EB">
        <w:t>:</w:t>
      </w:r>
      <w:r w:rsidRPr="000D3671">
        <w:t xml:space="preserve"> The CD –</w:t>
      </w:r>
    </w:p>
    <w:p w14:paraId="2651E11E" w14:textId="3533B148" w:rsidR="00560E90" w:rsidRPr="000D3671" w:rsidRDefault="00BF2DBE" w:rsidP="00E657EB">
      <w:pPr>
        <w:pStyle w:val="ListParagraph"/>
        <w:numPr>
          <w:ilvl w:val="0"/>
          <w:numId w:val="18"/>
        </w:numPr>
        <w:ind w:right="720"/>
        <w:jc w:val="both"/>
      </w:pPr>
      <w:r w:rsidRPr="000D3671">
        <w:t>Noted the intention of industry to submit a letter to APEC Ministers via the CTI report to Ministers</w:t>
      </w:r>
    </w:p>
    <w:p w14:paraId="739247B6" w14:textId="77777777" w:rsidR="00BF2DBE" w:rsidRPr="000D3671" w:rsidRDefault="00BF2DBE" w:rsidP="00BF2DBE">
      <w:pPr>
        <w:pStyle w:val="ListParagraph"/>
        <w:ind w:left="720"/>
        <w:jc w:val="both"/>
      </w:pPr>
    </w:p>
    <w:p w14:paraId="5FB1B7D1" w14:textId="5F123EE4" w:rsidR="00216AD0" w:rsidRDefault="001E61F5" w:rsidP="00560E90">
      <w:pPr>
        <w:ind w:firstLine="720"/>
        <w:jc w:val="both"/>
      </w:pPr>
      <w:r w:rsidRPr="000D3671">
        <w:t>On behalf</w:t>
      </w:r>
      <w:r w:rsidRPr="006701A3">
        <w:t xml:space="preserve"> of the Asia-Pacific Chemical Industry Coalition (“APCIC”), the </w:t>
      </w:r>
      <w:r w:rsidR="00B06645">
        <w:t xml:space="preserve">new </w:t>
      </w:r>
      <w:r w:rsidR="00BD1C31">
        <w:t>Industry Co-Chair welcomed all delegates</w:t>
      </w:r>
      <w:r w:rsidR="00B06645">
        <w:t>.</w:t>
      </w:r>
      <w:r w:rsidR="00847B7B">
        <w:t xml:space="preserve"> He provided</w:t>
      </w:r>
      <w:r w:rsidR="00B06645">
        <w:t xml:space="preserve"> </w:t>
      </w:r>
      <w:r w:rsidR="00847B7B">
        <w:t>a</w:t>
      </w:r>
      <w:r w:rsidR="00B06645">
        <w:t xml:space="preserve"> br</w:t>
      </w:r>
      <w:r w:rsidR="00085CC4">
        <w:t xml:space="preserve">ief background on his role in </w:t>
      </w:r>
      <w:r w:rsidR="00847B7B">
        <w:t>ASIQUIM</w:t>
      </w:r>
      <w:r w:rsidR="00B06645">
        <w:t xml:space="preserve"> and </w:t>
      </w:r>
      <w:r w:rsidR="00847B7B">
        <w:t>his</w:t>
      </w:r>
      <w:r w:rsidR="00B06645">
        <w:t xml:space="preserve"> experience in the chemicals sector.</w:t>
      </w:r>
      <w:r w:rsidR="00847B7B">
        <w:t xml:space="preserve"> He thanked</w:t>
      </w:r>
      <w:r w:rsidR="00B06645">
        <w:t xml:space="preserve"> Dr. </w:t>
      </w:r>
      <w:proofErr w:type="spellStart"/>
      <w:r w:rsidR="00B06645">
        <w:t>Shinoi</w:t>
      </w:r>
      <w:proofErr w:type="spellEnd"/>
      <w:r w:rsidR="00B06645">
        <w:t xml:space="preserve"> Sakata, Executive Director of the Japan Chemical Industry Association</w:t>
      </w:r>
      <w:r w:rsidR="00E8118F">
        <w:t xml:space="preserve"> (</w:t>
      </w:r>
      <w:r w:rsidR="005B213C">
        <w:t>“</w:t>
      </w:r>
      <w:r w:rsidR="00E8118F">
        <w:t>JCIA</w:t>
      </w:r>
      <w:r w:rsidR="005B213C">
        <w:t>”</w:t>
      </w:r>
      <w:r w:rsidR="00E8118F">
        <w:t>)</w:t>
      </w:r>
      <w:r w:rsidR="00B06645">
        <w:t xml:space="preserve"> for her excellent work as</w:t>
      </w:r>
      <w:r w:rsidR="00B25DC6">
        <w:t xml:space="preserve"> the previous</w:t>
      </w:r>
      <w:r w:rsidR="00B06645">
        <w:t xml:space="preserve"> industry </w:t>
      </w:r>
      <w:proofErr w:type="spellStart"/>
      <w:r w:rsidR="00B06645">
        <w:t>co-chair</w:t>
      </w:r>
      <w:proofErr w:type="spellEnd"/>
      <w:r w:rsidR="00B06645">
        <w:t xml:space="preserve"> and for JCIA’s longstanding commitment</w:t>
      </w:r>
      <w:r w:rsidR="00AC5E9B">
        <w:t xml:space="preserve"> to the APEC Chemic</w:t>
      </w:r>
      <w:r w:rsidR="00085CC4">
        <w:t>al Dialogue. H</w:t>
      </w:r>
      <w:r w:rsidR="00E8118F">
        <w:t xml:space="preserve">e </w:t>
      </w:r>
      <w:r w:rsidR="00085CC4">
        <w:t xml:space="preserve">also </w:t>
      </w:r>
      <w:r w:rsidR="00E8118F">
        <w:t>thanked the</w:t>
      </w:r>
      <w:r w:rsidR="00B06645">
        <w:t xml:space="preserve"> APEC Secretariat and the </w:t>
      </w:r>
      <w:r w:rsidR="00AC5E9B">
        <w:t xml:space="preserve">host economy </w:t>
      </w:r>
      <w:r w:rsidR="00AC5E9B">
        <w:lastRenderedPageBreak/>
        <w:t>for their support</w:t>
      </w:r>
      <w:r w:rsidR="00E8118F">
        <w:t xml:space="preserve">. </w:t>
      </w:r>
      <w:r w:rsidR="00012508">
        <w:t xml:space="preserve">The Industry Co-Chair </w:t>
      </w:r>
      <w:r w:rsidR="00B06645">
        <w:t>provide</w:t>
      </w:r>
      <w:r w:rsidR="00A347A3">
        <w:t>d</w:t>
      </w:r>
      <w:r w:rsidR="00B06645">
        <w:t xml:space="preserve"> a brief update regarding the letter from Chemical Industry Associations in the APEC region to APEC Ministers</w:t>
      </w:r>
      <w:r w:rsidR="00B25DC6">
        <w:t>. The letter</w:t>
      </w:r>
      <w:r w:rsidR="00012508">
        <w:t xml:space="preserve"> called</w:t>
      </w:r>
      <w:r w:rsidR="00B06645">
        <w:t xml:space="preserve"> for greater region</w:t>
      </w:r>
      <w:r w:rsidR="00B25DC6">
        <w:t>al economic integration and</w:t>
      </w:r>
      <w:r w:rsidR="00A347A3">
        <w:t xml:space="preserve"> was </w:t>
      </w:r>
      <w:r w:rsidR="00B06645">
        <w:t xml:space="preserve">tabled at the first meeting of the Committee on Trade and Investment </w:t>
      </w:r>
      <w:r w:rsidR="00A347A3">
        <w:t xml:space="preserve">(CTI) </w:t>
      </w:r>
      <w:r w:rsidR="00012508">
        <w:t>in 2020</w:t>
      </w:r>
      <w:r w:rsidR="00B25DC6">
        <w:t xml:space="preserve">. The Industry Co-Chair noted the letter will </w:t>
      </w:r>
      <w:r w:rsidR="00B06645">
        <w:t xml:space="preserve">be transmitted through </w:t>
      </w:r>
      <w:r w:rsidR="00B25DC6">
        <w:t xml:space="preserve">the </w:t>
      </w:r>
      <w:r w:rsidR="00B06645">
        <w:t>C</w:t>
      </w:r>
      <w:r w:rsidR="00B25DC6">
        <w:t>ommittee on Trade and Investment (C</w:t>
      </w:r>
      <w:r w:rsidR="00B06645">
        <w:t>TI</w:t>
      </w:r>
      <w:r w:rsidR="00B25DC6">
        <w:t>)</w:t>
      </w:r>
      <w:r w:rsidR="00B06645">
        <w:t xml:space="preserve"> to APEC Ministers.</w:t>
      </w:r>
      <w:r w:rsidR="00A347A3">
        <w:t xml:space="preserve"> </w:t>
      </w:r>
      <w:r w:rsidR="00012508">
        <w:t>He noted t</w:t>
      </w:r>
      <w:r w:rsidR="00B06645">
        <w:t xml:space="preserve">here is no further action required from the CD </w:t>
      </w:r>
      <w:r w:rsidR="0041085C">
        <w:t>and</w:t>
      </w:r>
      <w:r w:rsidR="00A347A3">
        <w:t xml:space="preserve"> </w:t>
      </w:r>
      <w:r w:rsidR="00B06645">
        <w:t>thank</w:t>
      </w:r>
      <w:r w:rsidR="00A347A3">
        <w:t>ed</w:t>
      </w:r>
      <w:r w:rsidR="00B06645">
        <w:t xml:space="preserve"> all of the industry associations that contrib</w:t>
      </w:r>
      <w:r w:rsidR="00A347A3">
        <w:t xml:space="preserve">uted </w:t>
      </w:r>
      <w:r w:rsidR="00B25DC6">
        <w:t>to the development of the letter</w:t>
      </w:r>
      <w:r w:rsidR="00A347A3">
        <w:t xml:space="preserve">. </w:t>
      </w:r>
      <w:r w:rsidR="00B06645">
        <w:t xml:space="preserve"> </w:t>
      </w:r>
    </w:p>
    <w:p w14:paraId="6345DA43" w14:textId="77777777" w:rsidR="00B25DC6" w:rsidRDefault="00B25DC6" w:rsidP="00560E90">
      <w:pPr>
        <w:ind w:firstLine="720"/>
        <w:jc w:val="both"/>
      </w:pPr>
    </w:p>
    <w:p w14:paraId="48A675B4" w14:textId="0178B62B" w:rsidR="00216AD0" w:rsidRPr="006701A3" w:rsidRDefault="00EA4D4A" w:rsidP="000D3671">
      <w:pPr>
        <w:pStyle w:val="BodyText"/>
        <w:tabs>
          <w:tab w:val="left" w:pos="1440"/>
          <w:tab w:val="right" w:pos="9360"/>
        </w:tabs>
        <w:ind w:left="1440"/>
      </w:pPr>
      <w:r>
        <w:rPr>
          <w:b/>
          <w:u w:val="single" w:color="000000"/>
        </w:rPr>
        <w:t>Welcome and Update From Host</w:t>
      </w:r>
      <w:r w:rsidR="00216AD0" w:rsidRPr="004516B3">
        <w:tab/>
      </w:r>
      <w:r w:rsidR="00216AD0" w:rsidRPr="00A50E71">
        <w:rPr>
          <w:b/>
          <w:u w:val="single"/>
        </w:rPr>
        <w:t>SOM Chair &amp;</w:t>
      </w:r>
      <w:r w:rsidR="00216AD0" w:rsidRPr="00A50E71">
        <w:rPr>
          <w:u w:val="single"/>
        </w:rPr>
        <w:t xml:space="preserve"> </w:t>
      </w:r>
      <w:r w:rsidR="00216AD0" w:rsidRPr="00A50E71">
        <w:rPr>
          <w:b/>
          <w:u w:val="single"/>
        </w:rPr>
        <w:t>Malaysia</w:t>
      </w:r>
      <w:r w:rsidR="00216AD0" w:rsidRPr="0070659F">
        <w:rPr>
          <w:b/>
          <w:u w:val="single" w:color="000000"/>
        </w:rPr>
        <w:t xml:space="preserve"> Representative</w:t>
      </w:r>
    </w:p>
    <w:p w14:paraId="34FE5129" w14:textId="77777777" w:rsidR="00216AD0" w:rsidRPr="006701A3" w:rsidRDefault="00216AD0" w:rsidP="00216AD0">
      <w:pPr>
        <w:jc w:val="both"/>
      </w:pPr>
    </w:p>
    <w:p w14:paraId="55648C76" w14:textId="5A039561" w:rsidR="00216AD0" w:rsidRPr="00EA4D4A" w:rsidRDefault="00216AD0" w:rsidP="00EA4D4A">
      <w:pPr>
        <w:pStyle w:val="BodyText"/>
        <w:ind w:firstLine="720"/>
      </w:pPr>
      <w:r>
        <w:t>The SOM Chair's Office welcomed the Co-Chairs and delegates to the APEC CD and delivered a brief presentation on Malaysia's accomplishments for 2020 – particularly in</w:t>
      </w:r>
      <w:r w:rsidR="00A1279A">
        <w:t xml:space="preserve"> light of the COVID-19 pandemic. She highlighted that Malaysia has hosted </w:t>
      </w:r>
      <w:r w:rsidR="00A1279A" w:rsidRPr="00A1279A">
        <w:t xml:space="preserve">65 </w:t>
      </w:r>
      <w:r w:rsidR="00A1279A">
        <w:t xml:space="preserve">virtual </w:t>
      </w:r>
      <w:r w:rsidR="00A1279A" w:rsidRPr="00A1279A">
        <w:t>meeting</w:t>
      </w:r>
      <w:r w:rsidR="00A1279A">
        <w:t>s</w:t>
      </w:r>
      <w:r w:rsidR="00A1279A" w:rsidRPr="00A1279A">
        <w:t xml:space="preserve"> since July</w:t>
      </w:r>
      <w:r w:rsidR="00A1279A">
        <w:t xml:space="preserve"> 2020</w:t>
      </w:r>
      <w:r w:rsidR="00EA4D4A">
        <w:t xml:space="preserve"> and that the Ministers Responsible for Trade met virtually for the first time</w:t>
      </w:r>
      <w:r w:rsidR="00B66535">
        <w:t xml:space="preserve"> ever</w:t>
      </w:r>
      <w:r w:rsidR="00EA4D4A">
        <w:t xml:space="preserve"> and reached</w:t>
      </w:r>
      <w:r w:rsidR="00186524">
        <w:t xml:space="preserve"> agreement on a </w:t>
      </w:r>
      <w:r w:rsidR="00EA4D4A">
        <w:t xml:space="preserve">consensus statement that is </w:t>
      </w:r>
      <w:r w:rsidR="00B66535">
        <w:t xml:space="preserve">driving </w:t>
      </w:r>
      <w:r w:rsidR="00EA4D4A">
        <w:t xml:space="preserve">work and initiatives under most </w:t>
      </w:r>
      <w:r w:rsidR="00B66535">
        <w:t>APEC</w:t>
      </w:r>
      <w:r w:rsidR="00EA4D4A">
        <w:t xml:space="preserve"> working groups. </w:t>
      </w:r>
    </w:p>
    <w:p w14:paraId="56558641" w14:textId="77777777" w:rsidR="00BD1C31" w:rsidRPr="006701A3" w:rsidRDefault="00BD1C31" w:rsidP="00BD1C31">
      <w:pPr>
        <w:pStyle w:val="BodyText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7576"/>
      </w:tblGrid>
      <w:tr w:rsidR="00216AD0" w:rsidRPr="001F64A2" w14:paraId="583BE574" w14:textId="77777777" w:rsidTr="00216AD0">
        <w:tc>
          <w:tcPr>
            <w:tcW w:w="1818" w:type="dxa"/>
            <w:shd w:val="clear" w:color="auto" w:fill="D9D9D9" w:themeFill="background1" w:themeFillShade="D9"/>
          </w:tcPr>
          <w:p w14:paraId="097F29A1" w14:textId="624251FB" w:rsidR="00216AD0" w:rsidRPr="001F64A2" w:rsidRDefault="00216AD0" w:rsidP="00546F40">
            <w:pPr>
              <w:pStyle w:val="BodyText"/>
              <w:rPr>
                <w:b/>
              </w:rPr>
            </w:pPr>
            <w:r w:rsidRPr="001F64A2">
              <w:rPr>
                <w:b/>
              </w:rPr>
              <w:t>09:</w:t>
            </w:r>
            <w:r>
              <w:rPr>
                <w:b/>
              </w:rPr>
              <w:t>15 – 9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5BA4B18A" w14:textId="61368DEC" w:rsidR="00216AD0" w:rsidRPr="001F64A2" w:rsidRDefault="00216AD0" w:rsidP="000626F5">
            <w:pPr>
              <w:pStyle w:val="BodyText"/>
              <w:rPr>
                <w:b/>
              </w:rPr>
            </w:pPr>
            <w:r w:rsidRPr="001F64A2">
              <w:rPr>
                <w:b/>
              </w:rPr>
              <w:t>STRATEGY AND ADMINISTRATION OF THE</w:t>
            </w:r>
            <w:r>
              <w:rPr>
                <w:b/>
              </w:rPr>
              <w:t xml:space="preserve"> CHEMICAL</w:t>
            </w:r>
            <w:r w:rsidRPr="001F64A2">
              <w:rPr>
                <w:b/>
              </w:rPr>
              <w:t xml:space="preserve"> DIALOGUE</w:t>
            </w:r>
          </w:p>
        </w:tc>
      </w:tr>
    </w:tbl>
    <w:p w14:paraId="0CDE89AE" w14:textId="77777777" w:rsidR="001E61F5" w:rsidRPr="001F64A2" w:rsidRDefault="001E61F5" w:rsidP="001E61F5">
      <w:pPr>
        <w:pStyle w:val="BodyText"/>
      </w:pPr>
    </w:p>
    <w:p w14:paraId="50549953" w14:textId="5686A14C" w:rsidR="00184E52" w:rsidRPr="00140B8B" w:rsidRDefault="00804EDD" w:rsidP="00E657EB">
      <w:pPr>
        <w:pStyle w:val="BodyText"/>
        <w:keepNext/>
        <w:tabs>
          <w:tab w:val="left" w:pos="1440"/>
          <w:tab w:val="right" w:pos="9360"/>
        </w:tabs>
        <w:ind w:left="1440" w:right="1109"/>
        <w:rPr>
          <w:b/>
          <w:u w:val="single"/>
        </w:rPr>
      </w:pPr>
      <w:r>
        <w:rPr>
          <w:b/>
          <w:u w:val="single"/>
        </w:rPr>
        <w:t>APEC Secretariat Update</w:t>
      </w:r>
      <w:r w:rsidR="00A4614F">
        <w:rPr>
          <w:u w:color="000000"/>
        </w:rPr>
        <w:tab/>
      </w:r>
      <w:r w:rsidR="001E61F5" w:rsidRPr="001F64A2">
        <w:rPr>
          <w:b/>
          <w:u w:val="single" w:color="000000"/>
        </w:rPr>
        <w:t>APEC Secretariat</w:t>
      </w:r>
    </w:p>
    <w:p w14:paraId="588AD912" w14:textId="77777777" w:rsidR="002837AF" w:rsidRDefault="002837AF" w:rsidP="00A95BA5">
      <w:pPr>
        <w:ind w:right="1110"/>
        <w:jc w:val="both"/>
        <w:rPr>
          <w:u w:val="single"/>
        </w:rPr>
      </w:pPr>
    </w:p>
    <w:p w14:paraId="61B67229" w14:textId="77777777" w:rsidR="002837AF" w:rsidRPr="00E657EB" w:rsidRDefault="002837AF" w:rsidP="002837AF">
      <w:pPr>
        <w:jc w:val="both"/>
        <w:rPr>
          <w:u w:val="single"/>
        </w:rPr>
      </w:pPr>
      <w:r w:rsidRPr="00E657EB">
        <w:rPr>
          <w:u w:val="single"/>
        </w:rPr>
        <w:t>Meeting Documents</w:t>
      </w:r>
    </w:p>
    <w:p w14:paraId="71EA1FC9" w14:textId="1B53B3A0" w:rsidR="003D38AF" w:rsidRPr="00F45739" w:rsidRDefault="009672C2" w:rsidP="000A7351">
      <w:pPr>
        <w:pStyle w:val="ListParagraph"/>
        <w:numPr>
          <w:ilvl w:val="0"/>
          <w:numId w:val="1"/>
        </w:numPr>
        <w:tabs>
          <w:tab w:val="left" w:pos="720"/>
        </w:tabs>
        <w:ind w:right="720"/>
        <w:jc w:val="both"/>
      </w:pPr>
      <w:hyperlink r:id="rId8" w:history="1">
        <w:r w:rsidR="00F45739" w:rsidRPr="000D3671">
          <w:rPr>
            <w:rStyle w:val="Hyperlink"/>
          </w:rPr>
          <w:t>2020/</w:t>
        </w:r>
        <w:r w:rsidR="00FB0D98" w:rsidRPr="000D3671">
          <w:rPr>
            <w:rStyle w:val="Hyperlink"/>
          </w:rPr>
          <w:t>CD</w:t>
        </w:r>
        <w:r w:rsidR="00F45739" w:rsidRPr="000D3671">
          <w:rPr>
            <w:rStyle w:val="Hyperlink"/>
          </w:rPr>
          <w:t>2/003</w:t>
        </w:r>
      </w:hyperlink>
      <w:r w:rsidR="00FB0D98" w:rsidRPr="00F45739">
        <w:t xml:space="preserve"> </w:t>
      </w:r>
      <w:r w:rsidR="002A30BF" w:rsidRPr="00F45739">
        <w:t xml:space="preserve">–- </w:t>
      </w:r>
      <w:r w:rsidR="00FB0D98" w:rsidRPr="00F45739">
        <w:t xml:space="preserve">APEC </w:t>
      </w:r>
      <w:r w:rsidR="00F45739" w:rsidRPr="00F45739">
        <w:t xml:space="preserve">Secretariat </w:t>
      </w:r>
      <w:r w:rsidR="00FB0D98" w:rsidRPr="00F45739">
        <w:t xml:space="preserve">Management Update </w:t>
      </w:r>
    </w:p>
    <w:p w14:paraId="383A8838" w14:textId="77777777" w:rsidR="00361211" w:rsidRDefault="00361211" w:rsidP="00361211">
      <w:pPr>
        <w:ind w:right="720"/>
        <w:jc w:val="both"/>
      </w:pPr>
    </w:p>
    <w:p w14:paraId="59A64BF5" w14:textId="6644F008" w:rsidR="002F2D84" w:rsidRDefault="005E7E24" w:rsidP="00800BAD">
      <w:pPr>
        <w:ind w:right="30" w:firstLine="720"/>
        <w:jc w:val="both"/>
      </w:pPr>
      <w:r>
        <w:t>Johnny Lin of t</w:t>
      </w:r>
      <w:r w:rsidR="003D38AF" w:rsidRPr="003D38AF">
        <w:t xml:space="preserve">he APEC Secretariat </w:t>
      </w:r>
      <w:r w:rsidR="0033218C">
        <w:t>shared</w:t>
      </w:r>
      <w:r w:rsidR="003D38AF">
        <w:t xml:space="preserve"> a presentation </w:t>
      </w:r>
      <w:r w:rsidR="00F22C25">
        <w:t xml:space="preserve">on </w:t>
      </w:r>
      <w:r>
        <w:t xml:space="preserve">2020 </w:t>
      </w:r>
      <w:r w:rsidR="00FB0D98">
        <w:t xml:space="preserve">APEC </w:t>
      </w:r>
      <w:r>
        <w:t>p</w:t>
      </w:r>
      <w:r w:rsidR="00F22C25">
        <w:t>rojects and the project submission process.</w:t>
      </w:r>
      <w:r w:rsidR="00E236F1">
        <w:t xml:space="preserve"> </w:t>
      </w:r>
      <w:r w:rsidR="000611D0">
        <w:t xml:space="preserve">He noted </w:t>
      </w:r>
      <w:r w:rsidR="00FE094E">
        <w:t>in Session 1, 97 Concept N</w:t>
      </w:r>
      <w:r w:rsidR="000611D0">
        <w:t xml:space="preserve">otes were submitted and </w:t>
      </w:r>
      <w:r w:rsidR="00FE094E">
        <w:t>54 Concept N</w:t>
      </w:r>
      <w:r w:rsidR="0033218C">
        <w:t xml:space="preserve">otes were approved in-principle, making the approval rate </w:t>
      </w:r>
      <w:r w:rsidR="000611D0">
        <w:t xml:space="preserve">55%. </w:t>
      </w:r>
      <w:r w:rsidR="00FE094E">
        <w:t>He noted in Session 2, 97 Concept Notes were submitted, and 6</w:t>
      </w:r>
      <w:r w:rsidR="0033218C">
        <w:t xml:space="preserve">5 Concept Notes were approved, making the approval rate </w:t>
      </w:r>
      <w:r w:rsidR="00FE094E">
        <w:t xml:space="preserve">65%. </w:t>
      </w:r>
      <w:r w:rsidR="002F2D84">
        <w:t>T</w:t>
      </w:r>
      <w:r w:rsidR="003D38AF">
        <w:t xml:space="preserve">he Secretariat </w:t>
      </w:r>
      <w:r w:rsidR="00803516">
        <w:t>also highlighted</w:t>
      </w:r>
      <w:r w:rsidR="003D38AF">
        <w:t xml:space="preserve"> </w:t>
      </w:r>
      <w:r w:rsidR="00F22C25">
        <w:t>a CD proposal by the United States tha</w:t>
      </w:r>
      <w:r w:rsidR="002F2D84">
        <w:t>t was</w:t>
      </w:r>
      <w:r w:rsidR="00803516">
        <w:t xml:space="preserve"> approved for 2020</w:t>
      </w:r>
      <w:r w:rsidR="00275514">
        <w:t xml:space="preserve"> </w:t>
      </w:r>
      <w:r w:rsidR="00803516">
        <w:t>- 2021, titled “</w:t>
      </w:r>
      <w:r w:rsidR="00F22C25" w:rsidRPr="00F22C25">
        <w:rPr>
          <w:i/>
        </w:rPr>
        <w:t>Facilitating Trade by Improving Risk Assessment Capacity</w:t>
      </w:r>
      <w:r w:rsidR="00F22C25">
        <w:t>.</w:t>
      </w:r>
      <w:r w:rsidR="00803516">
        <w:t>”</w:t>
      </w:r>
      <w:r w:rsidR="00F22C25">
        <w:t xml:space="preserve"> </w:t>
      </w:r>
      <w:r w:rsidR="00AF68CB">
        <w:t xml:space="preserve"> </w:t>
      </w:r>
    </w:p>
    <w:p w14:paraId="375F9A9F" w14:textId="77777777" w:rsidR="002F2D84" w:rsidRDefault="002F2D84" w:rsidP="002F2D84">
      <w:pPr>
        <w:ind w:right="30"/>
        <w:jc w:val="both"/>
      </w:pPr>
    </w:p>
    <w:p w14:paraId="504FD6BD" w14:textId="615E61AB" w:rsidR="00325415" w:rsidRDefault="002F2D84" w:rsidP="00803516">
      <w:pPr>
        <w:ind w:right="30" w:firstLine="720"/>
        <w:jc w:val="both"/>
      </w:pPr>
      <w:r>
        <w:t>Looking ahead, the Secretariat outlined expected p</w:t>
      </w:r>
      <w:r w:rsidR="00803516">
        <w:t xml:space="preserve">riorities for APEC Projects in 2021, including: a post-2020 vision; the free flow of essential medical goods; and any other COVID-19 related topics. </w:t>
      </w:r>
      <w:r>
        <w:t xml:space="preserve"> He noted any amendments to project proposals must be p</w:t>
      </w:r>
      <w:r w:rsidR="00803516">
        <w:t xml:space="preserve">rovided with 4 months’ notice. </w:t>
      </w:r>
      <w:r w:rsidR="00325415" w:rsidRPr="00803516">
        <w:t>Finally,</w:t>
      </w:r>
      <w:r w:rsidR="00325415" w:rsidRPr="00864CA1">
        <w:t xml:space="preserve"> the Secretariat provided a list of resources for APEC CD delegates </w:t>
      </w:r>
      <w:r w:rsidR="00803516">
        <w:t xml:space="preserve">if they are </w:t>
      </w:r>
      <w:r w:rsidR="00325415" w:rsidRPr="00864CA1">
        <w:t xml:space="preserve">interested in submitting a </w:t>
      </w:r>
      <w:r w:rsidR="00803516">
        <w:t xml:space="preserve">project </w:t>
      </w:r>
      <w:r w:rsidR="00325415" w:rsidRPr="00864CA1">
        <w:t>proposal</w:t>
      </w:r>
      <w:r w:rsidR="00803516">
        <w:t xml:space="preserve"> for next year</w:t>
      </w:r>
      <w:r w:rsidR="002D49F7">
        <w:t xml:space="preserve"> and noted the new project sub-fund on marine debris </w:t>
      </w:r>
      <w:r w:rsidR="00403854">
        <w:t>management and innovation which will be overseen by the APEC Ocean and Fisheries Working Group is now accepting proposals.</w:t>
      </w:r>
    </w:p>
    <w:p w14:paraId="6EB474ED" w14:textId="68D248EF" w:rsidR="00BF37D6" w:rsidRPr="00FB4F3F" w:rsidRDefault="00503947" w:rsidP="00E657EB">
      <w:pPr>
        <w:keepNext/>
        <w:tabs>
          <w:tab w:val="left" w:pos="1440"/>
          <w:tab w:val="right" w:pos="9360"/>
        </w:tabs>
        <w:ind w:left="1440"/>
        <w:jc w:val="both"/>
      </w:pPr>
      <w:r>
        <w:br/>
      </w:r>
      <w:r w:rsidR="005B58C9" w:rsidRPr="0069378A">
        <w:rPr>
          <w:b/>
          <w:u w:val="single"/>
        </w:rPr>
        <w:t>Review of Strategic Framework</w:t>
      </w:r>
      <w:r w:rsidR="005B58C9">
        <w:tab/>
        <w:t xml:space="preserve">                  </w:t>
      </w:r>
      <w:r w:rsidR="005B58C9" w:rsidRPr="0069378A">
        <w:rPr>
          <w:b/>
          <w:u w:val="single"/>
        </w:rPr>
        <w:t>Government Co-Chair</w:t>
      </w:r>
    </w:p>
    <w:p w14:paraId="1BF68922" w14:textId="77777777" w:rsidR="005B58C9" w:rsidRDefault="005B58C9" w:rsidP="005B58C9">
      <w:pPr>
        <w:keepNext/>
        <w:jc w:val="both"/>
        <w:rPr>
          <w:b/>
          <w:u w:val="single"/>
        </w:rPr>
      </w:pPr>
    </w:p>
    <w:p w14:paraId="097D6835" w14:textId="77777777" w:rsidR="00F45739" w:rsidRPr="00E657EB" w:rsidRDefault="005B58C9" w:rsidP="00F45739">
      <w:pPr>
        <w:jc w:val="both"/>
        <w:rPr>
          <w:u w:val="single"/>
        </w:rPr>
      </w:pPr>
      <w:r w:rsidRPr="00E657EB">
        <w:rPr>
          <w:u w:val="single"/>
        </w:rPr>
        <w:t>Meeting Documents</w:t>
      </w:r>
    </w:p>
    <w:p w14:paraId="44C957B0" w14:textId="72D7A7CD" w:rsidR="005B58C9" w:rsidRPr="000D3671" w:rsidRDefault="009672C2" w:rsidP="00E657EB">
      <w:pPr>
        <w:pStyle w:val="ListParagraph"/>
        <w:numPr>
          <w:ilvl w:val="0"/>
          <w:numId w:val="10"/>
        </w:numPr>
        <w:ind w:right="720"/>
        <w:jc w:val="both"/>
        <w:rPr>
          <w:u w:val="single"/>
        </w:rPr>
      </w:pPr>
      <w:hyperlink r:id="rId9" w:history="1">
        <w:r w:rsidR="00F45739" w:rsidRPr="000D3671">
          <w:rPr>
            <w:rStyle w:val="Hyperlink"/>
          </w:rPr>
          <w:t>2020/CD2/021</w:t>
        </w:r>
      </w:hyperlink>
      <w:r w:rsidR="00F45739" w:rsidRPr="000D3671">
        <w:t xml:space="preserve"> - APEC Chemical Dialogue: Strategic Framework for Chemicals in the Asia-Pacific Region 2020-2023</w:t>
      </w:r>
    </w:p>
    <w:p w14:paraId="784FF2B8" w14:textId="77777777" w:rsidR="00604EBB" w:rsidRPr="00E657EB" w:rsidRDefault="00604EBB" w:rsidP="00604EBB">
      <w:pPr>
        <w:pStyle w:val="BodyText"/>
        <w:tabs>
          <w:tab w:val="left" w:pos="0"/>
          <w:tab w:val="right" w:pos="9360"/>
        </w:tabs>
        <w:rPr>
          <w:rFonts w:cs="Calibri"/>
        </w:rPr>
      </w:pPr>
    </w:p>
    <w:p w14:paraId="2E1F87FD" w14:textId="0AB0B43A" w:rsidR="00604EBB" w:rsidRPr="000D3671" w:rsidRDefault="00604EBB" w:rsidP="00604EBB">
      <w:pPr>
        <w:pStyle w:val="BodyText"/>
        <w:tabs>
          <w:tab w:val="left" w:pos="0"/>
          <w:tab w:val="right" w:pos="9360"/>
        </w:tabs>
        <w:rPr>
          <w:rFonts w:cs="Calibri"/>
        </w:rPr>
      </w:pPr>
      <w:r w:rsidRPr="00E657EB">
        <w:rPr>
          <w:rFonts w:cs="Calibri"/>
          <w:u w:val="single"/>
        </w:rPr>
        <w:t>Action Items</w:t>
      </w:r>
      <w:r w:rsidRPr="00E657EB">
        <w:rPr>
          <w:rFonts w:cs="Calibri"/>
        </w:rPr>
        <w:t>:</w:t>
      </w:r>
      <w:r w:rsidRPr="000D3671">
        <w:rPr>
          <w:rFonts w:cs="Calibri"/>
        </w:rPr>
        <w:t xml:space="preserve"> The CD-</w:t>
      </w:r>
    </w:p>
    <w:p w14:paraId="23962EC8" w14:textId="77777777" w:rsidR="009C4A37" w:rsidRPr="009C4A37" w:rsidRDefault="009C4A37" w:rsidP="000A7351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0D3671">
        <w:rPr>
          <w:rFonts w:ascii="Calibri" w:eastAsia="Calibri" w:hAnsi="Calibri" w:cs="Calibri"/>
        </w:rPr>
        <w:t>Welcomed</w:t>
      </w:r>
      <w:r w:rsidRPr="009C4A37">
        <w:rPr>
          <w:rFonts w:ascii="Calibri" w:eastAsia="Calibri" w:hAnsi="Calibri" w:cs="Calibri"/>
        </w:rPr>
        <w:t xml:space="preserve"> the development of the 2020 – 2023 Strategic Framework and set a date of November 11 for additional comments. </w:t>
      </w:r>
    </w:p>
    <w:p w14:paraId="1A9380F7" w14:textId="77777777" w:rsidR="00604EBB" w:rsidRDefault="00604EBB" w:rsidP="00604EBB">
      <w:pPr>
        <w:pStyle w:val="BodyText"/>
        <w:tabs>
          <w:tab w:val="left" w:pos="0"/>
          <w:tab w:val="right" w:pos="9360"/>
        </w:tabs>
        <w:rPr>
          <w:rFonts w:cs="Calibri"/>
        </w:rPr>
      </w:pPr>
    </w:p>
    <w:p w14:paraId="02694009" w14:textId="47713EE7" w:rsidR="00461E74" w:rsidRDefault="00B52625" w:rsidP="005259D7">
      <w:pPr>
        <w:pStyle w:val="BodyText"/>
        <w:tabs>
          <w:tab w:val="left" w:pos="0"/>
          <w:tab w:val="left" w:pos="720"/>
          <w:tab w:val="right" w:pos="9360"/>
        </w:tabs>
        <w:ind w:firstLine="360"/>
        <w:rPr>
          <w:rFonts w:cs="Calibri"/>
        </w:rPr>
      </w:pPr>
      <w:r>
        <w:rPr>
          <w:rFonts w:cs="Calibri"/>
        </w:rPr>
        <w:tab/>
      </w:r>
      <w:r w:rsidR="00033B3C">
        <w:rPr>
          <w:rFonts w:cs="Calibri"/>
        </w:rPr>
        <w:t xml:space="preserve">The </w:t>
      </w:r>
      <w:r w:rsidR="00604EBB">
        <w:rPr>
          <w:rFonts w:cs="Calibri"/>
        </w:rPr>
        <w:tab/>
      </w:r>
      <w:r w:rsidR="004068E2">
        <w:rPr>
          <w:rFonts w:cs="Calibri"/>
        </w:rPr>
        <w:t xml:space="preserve">acting </w:t>
      </w:r>
      <w:r w:rsidR="00604EBB" w:rsidRPr="00604EBB">
        <w:rPr>
          <w:rFonts w:cs="Calibri"/>
        </w:rPr>
        <w:t>Gov</w:t>
      </w:r>
      <w:r w:rsidR="00033B3C">
        <w:rPr>
          <w:rFonts w:cs="Calibri"/>
        </w:rPr>
        <w:t>ernment</w:t>
      </w:r>
      <w:r w:rsidR="002C1B02">
        <w:rPr>
          <w:rFonts w:cs="Calibri"/>
        </w:rPr>
        <w:t xml:space="preserve"> Co-Chair noted </w:t>
      </w:r>
      <w:r w:rsidR="002C1B02" w:rsidRPr="002C1B02">
        <w:rPr>
          <w:rFonts w:cs="Calibri"/>
        </w:rPr>
        <w:t xml:space="preserve">the revised </w:t>
      </w:r>
      <w:r w:rsidR="002C1B02">
        <w:rPr>
          <w:rFonts w:cs="Calibri"/>
        </w:rPr>
        <w:t>Strategic F</w:t>
      </w:r>
      <w:r w:rsidR="002C1B02" w:rsidRPr="002C1B02">
        <w:rPr>
          <w:rFonts w:cs="Calibri"/>
        </w:rPr>
        <w:t>ramework</w:t>
      </w:r>
      <w:r w:rsidR="009C4A37">
        <w:rPr>
          <w:rFonts w:cs="Calibri"/>
        </w:rPr>
        <w:t xml:space="preserve"> for 2020-2023</w:t>
      </w:r>
      <w:r w:rsidR="002C1B02" w:rsidRPr="002C1B02">
        <w:rPr>
          <w:rFonts w:cs="Calibri"/>
        </w:rPr>
        <w:t xml:space="preserve"> was circulated to the CD on October 15 with a deadline of October 29 for comments</w:t>
      </w:r>
      <w:r w:rsidR="00325415">
        <w:rPr>
          <w:rFonts w:cs="Calibri"/>
        </w:rPr>
        <w:t xml:space="preserve">. </w:t>
      </w:r>
      <w:r w:rsidR="002C1B02">
        <w:rPr>
          <w:rFonts w:cs="Calibri"/>
        </w:rPr>
        <w:t>B</w:t>
      </w:r>
      <w:r w:rsidR="002C1B02" w:rsidRPr="002C1B02">
        <w:rPr>
          <w:rFonts w:cs="Calibri"/>
        </w:rPr>
        <w:t xml:space="preserve">ased on the comments </w:t>
      </w:r>
      <w:r w:rsidR="002C1B02" w:rsidRPr="002C1B02">
        <w:rPr>
          <w:rFonts w:cs="Calibri"/>
        </w:rPr>
        <w:lastRenderedPageBreak/>
        <w:t xml:space="preserve">received a revised document was circulated on November 4.  </w:t>
      </w:r>
      <w:r w:rsidR="007E5581">
        <w:rPr>
          <w:rFonts w:cs="Calibri"/>
        </w:rPr>
        <w:t xml:space="preserve">She </w:t>
      </w:r>
      <w:r w:rsidR="00191B16">
        <w:rPr>
          <w:rFonts w:cs="Calibri"/>
        </w:rPr>
        <w:t xml:space="preserve">briefly outlined the shared goals and </w:t>
      </w:r>
      <w:r w:rsidR="007E5581">
        <w:rPr>
          <w:rFonts w:cs="Calibri"/>
        </w:rPr>
        <w:t xml:space="preserve">noted </w:t>
      </w:r>
      <w:r w:rsidR="00191B16">
        <w:rPr>
          <w:rFonts w:cs="Calibri"/>
        </w:rPr>
        <w:t xml:space="preserve">that </w:t>
      </w:r>
      <w:r w:rsidR="007E5581">
        <w:rPr>
          <w:rFonts w:cs="Calibri"/>
        </w:rPr>
        <w:t>the updated framework is more streamlined</w:t>
      </w:r>
      <w:r w:rsidR="00461E74">
        <w:rPr>
          <w:rFonts w:cs="Calibri"/>
        </w:rPr>
        <w:t xml:space="preserve"> than the previous document, with more </w:t>
      </w:r>
      <w:r w:rsidR="007E5581" w:rsidRPr="007E5581">
        <w:rPr>
          <w:rFonts w:cs="Calibri"/>
        </w:rPr>
        <w:t xml:space="preserve">focus on </w:t>
      </w:r>
      <w:r w:rsidR="005259D7">
        <w:rPr>
          <w:rFonts w:cs="Calibri"/>
        </w:rPr>
        <w:t xml:space="preserve">the </w:t>
      </w:r>
      <w:r w:rsidR="007E5581" w:rsidRPr="007E5581">
        <w:rPr>
          <w:rFonts w:cs="Calibri"/>
        </w:rPr>
        <w:t>shared goals and</w:t>
      </w:r>
      <w:r w:rsidR="00172785">
        <w:rPr>
          <w:rFonts w:cs="Calibri"/>
        </w:rPr>
        <w:t xml:space="preserve"> COVID-19 response. </w:t>
      </w:r>
    </w:p>
    <w:p w14:paraId="6256C15E" w14:textId="77777777" w:rsidR="009A602B" w:rsidRDefault="009A602B" w:rsidP="00461E74">
      <w:pPr>
        <w:pStyle w:val="BodyText"/>
        <w:tabs>
          <w:tab w:val="left" w:pos="0"/>
          <w:tab w:val="left" w:pos="720"/>
          <w:tab w:val="right" w:pos="9360"/>
        </w:tabs>
        <w:ind w:left="360" w:firstLine="360"/>
        <w:rPr>
          <w:rFonts w:cs="Calibri"/>
        </w:rPr>
      </w:pPr>
    </w:p>
    <w:p w14:paraId="7789DE57" w14:textId="617307C6" w:rsidR="00604EBB" w:rsidRPr="00604EBB" w:rsidRDefault="009A629F" w:rsidP="00EF61DB">
      <w:pPr>
        <w:pStyle w:val="BodyText"/>
        <w:tabs>
          <w:tab w:val="left" w:pos="0"/>
          <w:tab w:val="left" w:pos="720"/>
          <w:tab w:val="right" w:pos="9360"/>
        </w:tabs>
        <w:ind w:left="360" w:firstLine="360"/>
        <w:rPr>
          <w:rFonts w:cs="Calibri"/>
        </w:rPr>
      </w:pPr>
      <w:r w:rsidRPr="009A629F">
        <w:rPr>
          <w:rFonts w:cs="Calibri"/>
        </w:rPr>
        <w:t xml:space="preserve">Chile </w:t>
      </w:r>
      <w:r w:rsidR="00EF61DB">
        <w:rPr>
          <w:rFonts w:cs="Calibri"/>
        </w:rPr>
        <w:t xml:space="preserve">noted the strategic document should be aligned with the </w:t>
      </w:r>
      <w:r w:rsidRPr="009A629F">
        <w:rPr>
          <w:rFonts w:cs="Calibri"/>
        </w:rPr>
        <w:t>post-</w:t>
      </w:r>
      <w:r w:rsidR="005259D7">
        <w:rPr>
          <w:rFonts w:cs="Calibri"/>
        </w:rPr>
        <w:t>2020</w:t>
      </w:r>
      <w:r w:rsidR="00A206F9">
        <w:rPr>
          <w:rFonts w:cs="Calibri"/>
        </w:rPr>
        <w:t xml:space="preserve"> </w:t>
      </w:r>
      <w:r w:rsidR="005259D7">
        <w:rPr>
          <w:rFonts w:cs="Calibri"/>
        </w:rPr>
        <w:t xml:space="preserve">vision </w:t>
      </w:r>
      <w:r w:rsidR="00EF61DB">
        <w:rPr>
          <w:rFonts w:cs="Calibri"/>
        </w:rPr>
        <w:t>document. Because the strategic framework was shared with CD participants in November 2020, the Government C</w:t>
      </w:r>
      <w:r w:rsidR="005259D7">
        <w:rPr>
          <w:rFonts w:cs="Calibri"/>
        </w:rPr>
        <w:t>o</w:t>
      </w:r>
      <w:r w:rsidR="00EF61DB">
        <w:rPr>
          <w:rFonts w:cs="Calibri"/>
        </w:rPr>
        <w:t xml:space="preserve">-Chair noted additional </w:t>
      </w:r>
      <w:r w:rsidRPr="009A629F">
        <w:rPr>
          <w:rFonts w:cs="Calibri"/>
        </w:rPr>
        <w:t xml:space="preserve">time </w:t>
      </w:r>
      <w:r w:rsidR="00EF61DB">
        <w:rPr>
          <w:rFonts w:cs="Calibri"/>
        </w:rPr>
        <w:t xml:space="preserve">is needed for </w:t>
      </w:r>
      <w:r w:rsidR="00695316">
        <w:rPr>
          <w:rFonts w:cs="Calibri"/>
        </w:rPr>
        <w:t xml:space="preserve">review of </w:t>
      </w:r>
      <w:r w:rsidR="00EF61DB">
        <w:rPr>
          <w:rFonts w:cs="Calibri"/>
        </w:rPr>
        <w:t>the framework and the CD plans to</w:t>
      </w:r>
      <w:r w:rsidR="005259D7">
        <w:rPr>
          <w:rFonts w:cs="Calibri"/>
        </w:rPr>
        <w:t xml:space="preserve"> have</w:t>
      </w:r>
      <w:r w:rsidRPr="009A629F">
        <w:rPr>
          <w:rFonts w:cs="Calibri"/>
        </w:rPr>
        <w:t xml:space="preserve"> </w:t>
      </w:r>
      <w:r w:rsidR="00EF61DB">
        <w:rPr>
          <w:rFonts w:cs="Calibri"/>
        </w:rPr>
        <w:t xml:space="preserve">the document </w:t>
      </w:r>
      <w:r w:rsidR="005259D7">
        <w:rPr>
          <w:rFonts w:cs="Calibri"/>
        </w:rPr>
        <w:t>en</w:t>
      </w:r>
      <w:r w:rsidRPr="009A629F">
        <w:rPr>
          <w:rFonts w:cs="Calibri"/>
        </w:rPr>
        <w:t xml:space="preserve">dorsed </w:t>
      </w:r>
      <w:proofErr w:type="spellStart"/>
      <w:r w:rsidRPr="009A629F">
        <w:rPr>
          <w:rFonts w:cs="Calibri"/>
        </w:rPr>
        <w:t>inter</w:t>
      </w:r>
      <w:r w:rsidR="005259D7">
        <w:rPr>
          <w:rFonts w:cs="Calibri"/>
        </w:rPr>
        <w:t>s</w:t>
      </w:r>
      <w:r w:rsidRPr="009A629F">
        <w:rPr>
          <w:rFonts w:cs="Calibri"/>
        </w:rPr>
        <w:t>essionally</w:t>
      </w:r>
      <w:proofErr w:type="spellEnd"/>
      <w:r w:rsidR="00EF61DB">
        <w:rPr>
          <w:rFonts w:cs="Calibri"/>
        </w:rPr>
        <w:t xml:space="preserve"> after the CD meeting.</w:t>
      </w:r>
    </w:p>
    <w:p w14:paraId="36186E95" w14:textId="2DFFE468" w:rsidR="001E61F5" w:rsidRPr="001F64A2" w:rsidRDefault="001E61F5" w:rsidP="00604EBB">
      <w:pPr>
        <w:pStyle w:val="BodyText"/>
        <w:tabs>
          <w:tab w:val="left" w:pos="0"/>
          <w:tab w:val="right" w:pos="9360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77170D" w:rsidRPr="001F64A2" w14:paraId="36BBDA4D" w14:textId="77777777" w:rsidTr="00230083">
        <w:trPr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2570A6A" w14:textId="3EAB2080" w:rsidR="0077170D" w:rsidRPr="001F64A2" w:rsidRDefault="0077170D" w:rsidP="0077170D">
            <w:pPr>
              <w:keepNext/>
              <w:rPr>
                <w:b/>
              </w:rPr>
            </w:pPr>
            <w:r>
              <w:rPr>
                <w:b/>
              </w:rPr>
              <w:t>9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35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9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C0AD5E1" w14:textId="74AD960A" w:rsidR="0077170D" w:rsidRPr="001F64A2" w:rsidRDefault="0077170D" w:rsidP="0077170D">
            <w:pPr>
              <w:keepNext/>
              <w:rPr>
                <w:b/>
              </w:rPr>
            </w:pPr>
            <w:r>
              <w:rPr>
                <w:b/>
              </w:rPr>
              <w:t>GLOBALLY HARMONIZED SYSTEM FOR THE LABELLING AND CLASSIFICATION OF CHEMICALS (GHS)</w:t>
            </w:r>
          </w:p>
        </w:tc>
      </w:tr>
    </w:tbl>
    <w:p w14:paraId="5FB29356" w14:textId="77777777" w:rsidR="001E61F5" w:rsidRPr="001F64A2" w:rsidRDefault="001E61F5" w:rsidP="0033728C">
      <w:pPr>
        <w:keepNext/>
        <w:jc w:val="both"/>
      </w:pPr>
    </w:p>
    <w:p w14:paraId="60CB4280" w14:textId="32C91BEF" w:rsidR="001E61F5" w:rsidRPr="001D3821" w:rsidRDefault="0077170D" w:rsidP="000D3671">
      <w:pPr>
        <w:pStyle w:val="BodyText"/>
        <w:keepNext/>
        <w:tabs>
          <w:tab w:val="left" w:pos="1440"/>
          <w:tab w:val="right" w:pos="9360"/>
        </w:tabs>
        <w:ind w:left="720"/>
        <w:rPr>
          <w:b/>
          <w:u w:val="single"/>
        </w:rPr>
      </w:pPr>
      <w:r w:rsidRPr="0077170D">
        <w:rPr>
          <w:b/>
        </w:rPr>
        <w:tab/>
      </w:r>
      <w:r>
        <w:rPr>
          <w:b/>
          <w:u w:val="single" w:color="000000"/>
        </w:rPr>
        <w:t>Virtual Working Group on GHS</w:t>
      </w:r>
      <w:r w:rsidR="001E61F5" w:rsidRPr="001F64A2">
        <w:rPr>
          <w:b/>
          <w:u w:color="000000"/>
        </w:rPr>
        <w:tab/>
      </w:r>
      <w:r w:rsidR="000626F5">
        <w:rPr>
          <w:b/>
          <w:u w:color="000000"/>
        </w:rPr>
        <w:t xml:space="preserve"> </w:t>
      </w:r>
      <w:r w:rsidR="00C51E35" w:rsidRPr="00E657EB">
        <w:rPr>
          <w:b/>
          <w:u w:val="single" w:color="000000"/>
        </w:rPr>
        <w:t>Industry Co-Chair</w:t>
      </w:r>
    </w:p>
    <w:p w14:paraId="70C316CB" w14:textId="77777777" w:rsidR="001D3821" w:rsidRDefault="001D3821" w:rsidP="001D3821">
      <w:pPr>
        <w:pStyle w:val="BodyText"/>
        <w:keepNext/>
        <w:tabs>
          <w:tab w:val="left" w:pos="1440"/>
          <w:tab w:val="right" w:pos="9360"/>
        </w:tabs>
        <w:rPr>
          <w:b/>
          <w:u w:val="single" w:color="000000"/>
        </w:rPr>
      </w:pPr>
    </w:p>
    <w:p w14:paraId="6BF3AB13" w14:textId="00398C95" w:rsidR="000C3135" w:rsidRPr="000D3671" w:rsidRDefault="001D3821" w:rsidP="000C3135">
      <w:pPr>
        <w:keepNext/>
        <w:jc w:val="both"/>
      </w:pPr>
      <w:r w:rsidRPr="00E657EB">
        <w:rPr>
          <w:u w:val="single"/>
        </w:rPr>
        <w:t>Meeting Documents</w:t>
      </w:r>
    </w:p>
    <w:p w14:paraId="41028C22" w14:textId="3AAD2321" w:rsidR="0077170D" w:rsidRPr="000D3671" w:rsidRDefault="009672C2" w:rsidP="00E657EB">
      <w:pPr>
        <w:pStyle w:val="ListParagraph"/>
        <w:numPr>
          <w:ilvl w:val="0"/>
          <w:numId w:val="10"/>
        </w:numPr>
        <w:rPr>
          <w:u w:val="single"/>
        </w:rPr>
      </w:pPr>
      <w:hyperlink r:id="rId10" w:history="1">
        <w:r w:rsidR="00F35D9B" w:rsidRPr="000D3671">
          <w:rPr>
            <w:rStyle w:val="Hyperlink"/>
          </w:rPr>
          <w:t>2020/CD2/019</w:t>
        </w:r>
      </w:hyperlink>
      <w:r w:rsidR="00F35D9B" w:rsidRPr="000D3671">
        <w:t xml:space="preserve"> - </w:t>
      </w:r>
      <w:r w:rsidR="00CA3462" w:rsidRPr="000D3671">
        <w:t>Report to Ministers on Implementation Convergence of the Globally Harmonized System for the Classification and Labelling of Chemicals in APEC Economies - Executive Summary</w:t>
      </w:r>
    </w:p>
    <w:p w14:paraId="6A300EBC" w14:textId="77777777" w:rsidR="00CA3462" w:rsidRPr="00E657EB" w:rsidRDefault="00CA3462" w:rsidP="00DA28DA">
      <w:pPr>
        <w:keepNext/>
        <w:ind w:right="720"/>
        <w:jc w:val="both"/>
        <w:rPr>
          <w:u w:val="single"/>
        </w:rPr>
      </w:pPr>
    </w:p>
    <w:p w14:paraId="5E4F717F" w14:textId="0FE1F2E6" w:rsidR="00DA28DA" w:rsidRPr="000D3671" w:rsidRDefault="00DA28DA" w:rsidP="00DA28DA">
      <w:pPr>
        <w:keepNext/>
        <w:ind w:right="720"/>
        <w:jc w:val="both"/>
      </w:pPr>
      <w:r w:rsidRPr="00E657EB">
        <w:rPr>
          <w:u w:val="single"/>
        </w:rPr>
        <w:t>Action Item</w:t>
      </w:r>
      <w:r w:rsidR="00E743D7" w:rsidRPr="00E657EB">
        <w:rPr>
          <w:u w:val="single"/>
        </w:rPr>
        <w:t>s</w:t>
      </w:r>
      <w:r w:rsidRPr="00E657EB">
        <w:t>:</w:t>
      </w:r>
      <w:r w:rsidRPr="000D3671">
        <w:t xml:space="preserve"> The CD</w:t>
      </w:r>
      <w:r w:rsidR="003C3589" w:rsidRPr="000D3671">
        <w:t xml:space="preserve"> </w:t>
      </w:r>
      <w:r w:rsidRPr="000D3671">
        <w:t>-</w:t>
      </w:r>
    </w:p>
    <w:p w14:paraId="74CAEB4B" w14:textId="6981AAC7" w:rsidR="00123D23" w:rsidRPr="00123D23" w:rsidRDefault="00123D23" w:rsidP="000A7351">
      <w:pPr>
        <w:pStyle w:val="BodyText"/>
        <w:numPr>
          <w:ilvl w:val="0"/>
          <w:numId w:val="8"/>
        </w:numPr>
        <w:rPr>
          <w:rFonts w:asciiTheme="minorHAnsi" w:eastAsiaTheme="minorHAnsi" w:hAnsiTheme="minorHAnsi"/>
        </w:rPr>
      </w:pPr>
      <w:r w:rsidRPr="000D3671">
        <w:rPr>
          <w:rFonts w:asciiTheme="minorHAnsi" w:eastAsiaTheme="minorHAnsi" w:hAnsiTheme="minorHAnsi"/>
        </w:rPr>
        <w:t>Welcomed</w:t>
      </w:r>
      <w:r w:rsidRPr="00123D23">
        <w:rPr>
          <w:rFonts w:asciiTheme="minorHAnsi" w:eastAsiaTheme="minorHAnsi" w:hAnsiTheme="minorHAnsi"/>
        </w:rPr>
        <w:t xml:space="preserve"> the </w:t>
      </w:r>
      <w:r w:rsidR="00024407">
        <w:rPr>
          <w:rFonts w:asciiTheme="minorHAnsi" w:eastAsiaTheme="minorHAnsi" w:hAnsiTheme="minorHAnsi"/>
        </w:rPr>
        <w:t>I</w:t>
      </w:r>
      <w:r w:rsidRPr="00123D23">
        <w:rPr>
          <w:rFonts w:asciiTheme="minorHAnsi" w:eastAsiaTheme="minorHAnsi" w:hAnsiTheme="minorHAnsi"/>
        </w:rPr>
        <w:t xml:space="preserve">ndustry </w:t>
      </w:r>
      <w:r w:rsidR="00024407">
        <w:rPr>
          <w:rFonts w:asciiTheme="minorHAnsi" w:eastAsiaTheme="minorHAnsi" w:hAnsiTheme="minorHAnsi"/>
        </w:rPr>
        <w:t>C</w:t>
      </w:r>
      <w:r w:rsidRPr="00123D23">
        <w:rPr>
          <w:rFonts w:asciiTheme="minorHAnsi" w:eastAsiaTheme="minorHAnsi" w:hAnsiTheme="minorHAnsi"/>
        </w:rPr>
        <w:t>o-</w:t>
      </w:r>
      <w:r w:rsidR="00024407">
        <w:rPr>
          <w:rFonts w:asciiTheme="minorHAnsi" w:eastAsiaTheme="minorHAnsi" w:hAnsiTheme="minorHAnsi"/>
        </w:rPr>
        <w:t>C</w:t>
      </w:r>
      <w:r w:rsidRPr="00123D23">
        <w:rPr>
          <w:rFonts w:asciiTheme="minorHAnsi" w:eastAsiaTheme="minorHAnsi" w:hAnsiTheme="minorHAnsi"/>
        </w:rPr>
        <w:t>hair of the VWG on GHS;</w:t>
      </w:r>
    </w:p>
    <w:p w14:paraId="27B182AD" w14:textId="77777777" w:rsidR="00123D23" w:rsidRPr="00123D23" w:rsidRDefault="00123D23" w:rsidP="000A7351">
      <w:pPr>
        <w:pStyle w:val="BodyText"/>
        <w:numPr>
          <w:ilvl w:val="0"/>
          <w:numId w:val="8"/>
        </w:numPr>
        <w:rPr>
          <w:rFonts w:asciiTheme="minorHAnsi" w:eastAsiaTheme="minorHAnsi" w:hAnsiTheme="minorHAnsi"/>
        </w:rPr>
      </w:pPr>
      <w:r w:rsidRPr="00123D23">
        <w:rPr>
          <w:rFonts w:asciiTheme="minorHAnsi" w:eastAsiaTheme="minorHAnsi" w:hAnsiTheme="minorHAnsi"/>
        </w:rPr>
        <w:t>Called for nominations for a Government Co-Chair of the VWG on GHS; and</w:t>
      </w:r>
    </w:p>
    <w:p w14:paraId="5FEEE603" w14:textId="77777777" w:rsidR="00123D23" w:rsidRPr="00123D23" w:rsidRDefault="00123D23" w:rsidP="000A7351">
      <w:pPr>
        <w:pStyle w:val="BodyText"/>
        <w:numPr>
          <w:ilvl w:val="0"/>
          <w:numId w:val="8"/>
        </w:numPr>
        <w:rPr>
          <w:rFonts w:asciiTheme="minorHAnsi" w:eastAsiaTheme="minorHAnsi" w:hAnsiTheme="minorHAnsi"/>
        </w:rPr>
      </w:pPr>
      <w:r w:rsidRPr="00123D23">
        <w:rPr>
          <w:rFonts w:asciiTheme="minorHAnsi" w:eastAsiaTheme="minorHAnsi" w:hAnsiTheme="minorHAnsi"/>
        </w:rPr>
        <w:t xml:space="preserve">Welcomed the GHS report and its transmission through CTI to APEC Ministers.  </w:t>
      </w:r>
    </w:p>
    <w:p w14:paraId="48CAC297" w14:textId="509FDB38" w:rsidR="00DA28DA" w:rsidRDefault="00DA28DA" w:rsidP="00DA28DA">
      <w:pPr>
        <w:pStyle w:val="BodyText"/>
      </w:pPr>
    </w:p>
    <w:p w14:paraId="037B2BA4" w14:textId="0005E31F" w:rsidR="006F31E7" w:rsidRDefault="006F31E7" w:rsidP="006302FA">
      <w:pPr>
        <w:pStyle w:val="BodyText"/>
        <w:ind w:firstLine="720"/>
      </w:pPr>
      <w:r>
        <w:t xml:space="preserve">Cissie Yeung, </w:t>
      </w:r>
      <w:r w:rsidR="00DC2EE4" w:rsidRPr="00DC2EE4">
        <w:t>Singapore Chemical Industry Council (</w:t>
      </w:r>
      <w:r w:rsidR="005F68F2">
        <w:t>“</w:t>
      </w:r>
      <w:r w:rsidR="00DC2EE4" w:rsidRPr="00DC2EE4">
        <w:t>SCIC</w:t>
      </w:r>
      <w:r w:rsidR="005F68F2">
        <w:t>”</w:t>
      </w:r>
      <w:r w:rsidR="00DC2EE4" w:rsidRPr="00DC2EE4">
        <w:t>)</w:t>
      </w:r>
      <w:r>
        <w:t xml:space="preserve">, introduced the new industry </w:t>
      </w:r>
      <w:proofErr w:type="spellStart"/>
      <w:r>
        <w:t>co-chair</w:t>
      </w:r>
      <w:proofErr w:type="spellEnd"/>
      <w:r>
        <w:t xml:space="preserve"> for the VWG on GHS and tha</w:t>
      </w:r>
      <w:r w:rsidR="005A779D">
        <w:t xml:space="preserve">nked the </w:t>
      </w:r>
      <w:r>
        <w:t xml:space="preserve">previous </w:t>
      </w:r>
      <w:proofErr w:type="spellStart"/>
      <w:r>
        <w:t>co-chair</w:t>
      </w:r>
      <w:proofErr w:type="spellEnd"/>
      <w:r>
        <w:t xml:space="preserve"> for his contribution. </w:t>
      </w:r>
      <w:r w:rsidR="005A779D">
        <w:t xml:space="preserve"> </w:t>
      </w:r>
      <w:r w:rsidR="00E16ADB">
        <w:t>She r</w:t>
      </w:r>
      <w:r w:rsidR="005A779D">
        <w:t>eminded CD delegates that the VWG on GHS needs</w:t>
      </w:r>
      <w:r w:rsidR="00B03D10">
        <w:t xml:space="preserve"> a Government Co-Chair and requested </w:t>
      </w:r>
      <w:r w:rsidR="00BE72CC">
        <w:t xml:space="preserve">if any delegates are interested, to reach out </w:t>
      </w:r>
      <w:r w:rsidR="006302FA">
        <w:t xml:space="preserve">to the virtual working group. </w:t>
      </w:r>
      <w:r>
        <w:t xml:space="preserve"> </w:t>
      </w:r>
    </w:p>
    <w:p w14:paraId="1236DB70" w14:textId="77777777" w:rsidR="006302FA" w:rsidRDefault="006302FA" w:rsidP="006302FA">
      <w:pPr>
        <w:pStyle w:val="BodyText"/>
        <w:ind w:firstLine="360"/>
      </w:pPr>
      <w:r>
        <w:tab/>
      </w:r>
    </w:p>
    <w:p w14:paraId="266B8A97" w14:textId="2E817746" w:rsidR="006F31E7" w:rsidRDefault="006302FA" w:rsidP="00B71D8E">
      <w:pPr>
        <w:pStyle w:val="BodyText"/>
        <w:ind w:firstLine="720"/>
      </w:pPr>
      <w:r>
        <w:t xml:space="preserve">The new </w:t>
      </w:r>
      <w:r w:rsidR="005F68F2">
        <w:t xml:space="preserve">VWG on GHS </w:t>
      </w:r>
      <w:r>
        <w:t>Industry Co-Chair</w:t>
      </w:r>
      <w:r w:rsidR="00E16ADB">
        <w:t xml:space="preserve">, Mr. Fabien Henry of the </w:t>
      </w:r>
      <w:r w:rsidR="005F68F2">
        <w:t xml:space="preserve">Singapore office of the </w:t>
      </w:r>
      <w:r w:rsidR="00E16ADB">
        <w:t>Nickel Institute,</w:t>
      </w:r>
      <w:r>
        <w:t xml:space="preserve"> </w:t>
      </w:r>
      <w:r w:rsidR="00C71FAD">
        <w:t>thanked the CD for the opportunity</w:t>
      </w:r>
      <w:r w:rsidR="005A779D">
        <w:t xml:space="preserve"> for his new role</w:t>
      </w:r>
      <w:r w:rsidR="00C71FAD">
        <w:t>, and noted he</w:t>
      </w:r>
      <w:r w:rsidR="00E16ADB">
        <w:t xml:space="preserve"> that</w:t>
      </w:r>
      <w:r w:rsidR="00C71FAD">
        <w:t xml:space="preserve"> looked forward to contributing to the great work that</w:t>
      </w:r>
      <w:r w:rsidR="005A779D">
        <w:t xml:space="preserve"> has already been done. He e</w:t>
      </w:r>
      <w:r w:rsidR="00C71FAD">
        <w:t xml:space="preserve">xpressed how 2020 has been a challenging year, so work progress has been </w:t>
      </w:r>
      <w:r w:rsidR="005A779D">
        <w:t xml:space="preserve">delayed. However, he noted the </w:t>
      </w:r>
      <w:r w:rsidR="005F68F2">
        <w:t>VWG</w:t>
      </w:r>
      <w:r w:rsidR="00C71FAD">
        <w:t xml:space="preserve"> will meet </w:t>
      </w:r>
      <w:r w:rsidR="005F68F2">
        <w:t xml:space="preserve">virtually </w:t>
      </w:r>
      <w:r w:rsidR="00C71FAD">
        <w:t xml:space="preserve">after the CD to build on the existing work plan. The Industry Co-Chair then welcomed three new members from industry, including </w:t>
      </w:r>
      <w:r w:rsidR="00B71D8E">
        <w:t xml:space="preserve">SCIC, </w:t>
      </w:r>
      <w:r w:rsidR="00F62259">
        <w:t>Responsible Care Indonesia (</w:t>
      </w:r>
      <w:r w:rsidR="00CD06A7">
        <w:t>“</w:t>
      </w:r>
      <w:r w:rsidR="00F62259">
        <w:t>RCI</w:t>
      </w:r>
      <w:r w:rsidR="00CD06A7">
        <w:t>”</w:t>
      </w:r>
      <w:r w:rsidR="00F62259">
        <w:t>)</w:t>
      </w:r>
      <w:r w:rsidR="005F68F2">
        <w:t>,</w:t>
      </w:r>
      <w:r w:rsidR="00B71D8E">
        <w:t xml:space="preserve"> and SPIK Philippines.</w:t>
      </w:r>
      <w:r>
        <w:t xml:space="preserve">  </w:t>
      </w:r>
      <w:r w:rsidR="00B71D8E">
        <w:t xml:space="preserve">Finally, he expressed a special thank you </w:t>
      </w:r>
      <w:r w:rsidR="00AF0164">
        <w:t>to Australia, wh</w:t>
      </w:r>
      <w:r w:rsidR="00695316">
        <w:t>ich</w:t>
      </w:r>
      <w:r w:rsidR="00B71D8E">
        <w:t xml:space="preserve"> </w:t>
      </w:r>
      <w:r w:rsidR="00AF0164">
        <w:t xml:space="preserve">provided leadership putting the </w:t>
      </w:r>
      <w:r w:rsidR="0045403A">
        <w:t xml:space="preserve">GHS implementation convergence </w:t>
      </w:r>
      <w:r w:rsidR="00AF0164">
        <w:t>report together</w:t>
      </w:r>
      <w:r w:rsidR="0045403A">
        <w:t xml:space="preserve"> for many years</w:t>
      </w:r>
      <w:r w:rsidR="00AF0164">
        <w:t xml:space="preserve"> </w:t>
      </w:r>
      <w:r>
        <w:t xml:space="preserve">and </w:t>
      </w:r>
      <w:r w:rsidR="0045403A">
        <w:t xml:space="preserve">to </w:t>
      </w:r>
      <w:r>
        <w:t>Chinese Taipei</w:t>
      </w:r>
      <w:r w:rsidR="00AF0164">
        <w:t xml:space="preserve">, for </w:t>
      </w:r>
      <w:r w:rsidR="0045403A">
        <w:t>volunteering to take over the responsibilities for developing the annual GHS report from Australia</w:t>
      </w:r>
      <w:r w:rsidR="00B71D8E">
        <w:t>.</w:t>
      </w:r>
    </w:p>
    <w:p w14:paraId="68F815F8" w14:textId="77777777" w:rsidR="005465E9" w:rsidRDefault="005465E9" w:rsidP="00B71D8E">
      <w:pPr>
        <w:pStyle w:val="BodyText"/>
        <w:ind w:firstLine="720"/>
      </w:pPr>
    </w:p>
    <w:p w14:paraId="27513190" w14:textId="0106B38C" w:rsidR="008A000C" w:rsidRDefault="008A000C" w:rsidP="00005BE7">
      <w:pPr>
        <w:pStyle w:val="BodyText"/>
        <w:ind w:firstLine="720"/>
      </w:pPr>
      <w:r>
        <w:t>After the Industry Co-Chair</w:t>
      </w:r>
      <w:r w:rsidR="00B71D8E">
        <w:t xml:space="preserve">, </w:t>
      </w:r>
      <w:r w:rsidR="0045403A">
        <w:t xml:space="preserve">Doris Tsai </w:t>
      </w:r>
      <w:r w:rsidR="00B71D8E">
        <w:t xml:space="preserve">from the </w:t>
      </w:r>
      <w:r w:rsidR="00B71D8E" w:rsidRPr="00B71D8E">
        <w:t>Safety and Hea</w:t>
      </w:r>
      <w:r w:rsidR="00B71D8E">
        <w:t>lth Technology Center (</w:t>
      </w:r>
      <w:r w:rsidR="00CD06A7">
        <w:t>“</w:t>
      </w:r>
      <w:r w:rsidR="00B71D8E">
        <w:t>SAHTECH</w:t>
      </w:r>
      <w:r w:rsidR="00CD06A7">
        <w:t>”</w:t>
      </w:r>
      <w:r w:rsidR="00B71D8E">
        <w:t>) in</w:t>
      </w:r>
      <w:r w:rsidR="00B71D8E" w:rsidRPr="00B71D8E">
        <w:t xml:space="preserve"> Chinese Taipei</w:t>
      </w:r>
      <w:r w:rsidR="00B71D8E">
        <w:t xml:space="preserve"> provided an updated on the GHS implementation convergence questionnaire. S</w:t>
      </w:r>
      <w:r w:rsidR="00005BE7">
        <w:t xml:space="preserve">he noted </w:t>
      </w:r>
      <w:r w:rsidR="005465E9">
        <w:t>the 20</w:t>
      </w:r>
      <w:r w:rsidR="00BD075F">
        <w:t>2</w:t>
      </w:r>
      <w:r w:rsidR="005465E9">
        <w:t xml:space="preserve">0 GHS questionnaire has been endorsed. She </w:t>
      </w:r>
      <w:r>
        <w:t xml:space="preserve">also </w:t>
      </w:r>
      <w:r w:rsidR="005465E9">
        <w:t>highlighted that responses from APEC economies have been analyzed across the region, and more collaboration and alignment is required. Finally, she welcomed</w:t>
      </w:r>
      <w:r w:rsidR="00B71D8E">
        <w:t xml:space="preserve"> the new </w:t>
      </w:r>
      <w:r w:rsidR="005465E9">
        <w:t xml:space="preserve">Industry </w:t>
      </w:r>
      <w:r w:rsidR="00005BE7">
        <w:t>Co-C</w:t>
      </w:r>
      <w:r>
        <w:t>hair of the Working G</w:t>
      </w:r>
      <w:r w:rsidR="00B71D8E">
        <w:t>roup</w:t>
      </w:r>
      <w:r w:rsidR="00005BE7">
        <w:t xml:space="preserve">. </w:t>
      </w:r>
    </w:p>
    <w:p w14:paraId="6D574C91" w14:textId="77777777" w:rsidR="008A000C" w:rsidRDefault="008A000C" w:rsidP="00005BE7">
      <w:pPr>
        <w:pStyle w:val="BodyText"/>
        <w:ind w:firstLine="720"/>
      </w:pPr>
    </w:p>
    <w:p w14:paraId="59F19DEA" w14:textId="4921553B" w:rsidR="00B71D8E" w:rsidRDefault="00005BE7" w:rsidP="00005BE7">
      <w:pPr>
        <w:pStyle w:val="BodyText"/>
        <w:ind w:firstLine="720"/>
      </w:pPr>
      <w:r>
        <w:t>The United States expressed appreciation to the VWG</w:t>
      </w:r>
      <w:r w:rsidR="008A000C">
        <w:t xml:space="preserve"> on </w:t>
      </w:r>
      <w:r>
        <w:t>GHS for its work.</w:t>
      </w:r>
    </w:p>
    <w:p w14:paraId="7CB4D2A5" w14:textId="77777777" w:rsidR="00D3375C" w:rsidRDefault="00D3375C" w:rsidP="00F63AEC">
      <w:pPr>
        <w:snapToGrid w:val="0"/>
        <w:rPr>
          <w:b/>
          <w:u w:val="single"/>
        </w:rPr>
      </w:pPr>
    </w:p>
    <w:p w14:paraId="3EA6B2FF" w14:textId="45ACFDBB" w:rsidR="00230083" w:rsidRPr="00230083" w:rsidRDefault="00230083" w:rsidP="00E657EB">
      <w:pPr>
        <w:keepNext/>
        <w:tabs>
          <w:tab w:val="left" w:pos="1440"/>
          <w:tab w:val="right" w:pos="9360"/>
        </w:tabs>
        <w:snapToGrid w:val="0"/>
        <w:ind w:left="720" w:firstLine="720"/>
        <w:rPr>
          <w:b/>
        </w:rPr>
      </w:pPr>
      <w:r w:rsidRPr="00B20F8B">
        <w:rPr>
          <w:b/>
          <w:u w:val="single"/>
        </w:rPr>
        <w:lastRenderedPageBreak/>
        <w:t>Extensions and Status of the G.R.E.A.T. Project </w:t>
      </w:r>
      <w:r w:rsidRPr="00230083">
        <w:rPr>
          <w:b/>
        </w:rPr>
        <w:tab/>
      </w:r>
      <w:r w:rsidRPr="00230083">
        <w:rPr>
          <w:b/>
          <w:u w:val="single"/>
        </w:rPr>
        <w:t>Chinese Taipei</w:t>
      </w:r>
      <w:r w:rsidRPr="00230083">
        <w:rPr>
          <w:b/>
        </w:rPr>
        <w:t xml:space="preserve"> </w:t>
      </w:r>
    </w:p>
    <w:p w14:paraId="705C90C6" w14:textId="77777777" w:rsidR="00230083" w:rsidRDefault="00230083" w:rsidP="00E657EB">
      <w:pPr>
        <w:keepNext/>
        <w:snapToGrid w:val="0"/>
        <w:rPr>
          <w:u w:val="single"/>
        </w:rPr>
      </w:pPr>
    </w:p>
    <w:p w14:paraId="2A2AF9BC" w14:textId="77777777" w:rsidR="00230083" w:rsidRPr="00E657EB" w:rsidRDefault="00230083" w:rsidP="00E657EB">
      <w:pPr>
        <w:keepNext/>
        <w:snapToGrid w:val="0"/>
        <w:rPr>
          <w:u w:val="single"/>
        </w:rPr>
      </w:pPr>
      <w:r w:rsidRPr="00E657EB">
        <w:rPr>
          <w:u w:val="single"/>
        </w:rPr>
        <w:t>Meeting Documents</w:t>
      </w:r>
    </w:p>
    <w:p w14:paraId="4DBB7A3C" w14:textId="1EF34973" w:rsidR="00230083" w:rsidRPr="000D3671" w:rsidRDefault="009672C2" w:rsidP="00E657EB">
      <w:pPr>
        <w:pStyle w:val="ListParagraph"/>
        <w:keepNext/>
        <w:numPr>
          <w:ilvl w:val="0"/>
          <w:numId w:val="4"/>
        </w:numPr>
        <w:autoSpaceDE w:val="0"/>
        <w:autoSpaceDN w:val="0"/>
        <w:snapToGrid w:val="0"/>
        <w:ind w:left="676" w:right="102"/>
        <w:jc w:val="both"/>
      </w:pPr>
      <w:hyperlink r:id="rId11" w:history="1">
        <w:r w:rsidR="000C6726" w:rsidRPr="000D3671">
          <w:rPr>
            <w:rStyle w:val="Hyperlink"/>
          </w:rPr>
          <w:t>2020/CD2/004</w:t>
        </w:r>
      </w:hyperlink>
      <w:r w:rsidR="000C6726" w:rsidRPr="000D3671">
        <w:t xml:space="preserve"> - </w:t>
      </w:r>
      <w:r w:rsidR="00230083" w:rsidRPr="000D3671">
        <w:t>Update on the G.R.E.A.T. project</w:t>
      </w:r>
    </w:p>
    <w:p w14:paraId="2C4D40F1" w14:textId="77777777" w:rsidR="00230083" w:rsidRPr="000D3671" w:rsidRDefault="00230083" w:rsidP="00230083">
      <w:pPr>
        <w:snapToGrid w:val="0"/>
      </w:pPr>
    </w:p>
    <w:p w14:paraId="38B44F6F" w14:textId="1CBD354D" w:rsidR="003C2986" w:rsidRDefault="00BD075F" w:rsidP="00E657EB">
      <w:pPr>
        <w:snapToGrid w:val="0"/>
        <w:ind w:firstLine="676"/>
        <w:jc w:val="both"/>
      </w:pPr>
      <w:r w:rsidRPr="000D3671">
        <w:t xml:space="preserve">Ellen Lin, SAHTECH, Chinese Taipei </w:t>
      </w:r>
      <w:r w:rsidR="00230083" w:rsidRPr="000D3671">
        <w:t>delivered a</w:t>
      </w:r>
      <w:r w:rsidR="00CD06A7" w:rsidRPr="000D3671">
        <w:t xml:space="preserve">n </w:t>
      </w:r>
      <w:r w:rsidR="00230083" w:rsidRPr="000D3671">
        <w:t>update on the GHS Reference Exchange and Tool (“G.R.E.A.T.”)</w:t>
      </w:r>
      <w:r w:rsidR="00E17255" w:rsidRPr="000D3671">
        <w:t xml:space="preserve"> project</w:t>
      </w:r>
      <w:r w:rsidR="00230083" w:rsidRPr="000D3671">
        <w:t>.</w:t>
      </w:r>
      <w:r w:rsidR="005C475D" w:rsidRPr="000D3671">
        <w:t xml:space="preserve"> </w:t>
      </w:r>
      <w:r w:rsidR="00FE7DB4" w:rsidRPr="000D3671">
        <w:t xml:space="preserve">She </w:t>
      </w:r>
      <w:r w:rsidR="005C475D" w:rsidRPr="000D3671">
        <w:t>n</w:t>
      </w:r>
      <w:r w:rsidR="00230083" w:rsidRPr="000D3671">
        <w:t xml:space="preserve">oted the </w:t>
      </w:r>
      <w:r w:rsidR="009E7924" w:rsidRPr="000D3671">
        <w:t xml:space="preserve">initiative </w:t>
      </w:r>
      <w:r w:rsidR="00230083" w:rsidRPr="000D3671">
        <w:t>was established t</w:t>
      </w:r>
      <w:r w:rsidR="00FE7DB4" w:rsidRPr="000D3671">
        <w:t>o facilitate GHS implementation and international trade</w:t>
      </w:r>
      <w:r w:rsidR="00B6666E">
        <w:t xml:space="preserve"> in the APEC region</w:t>
      </w:r>
      <w:r w:rsidR="00FE7DB4">
        <w:t>.</w:t>
      </w:r>
      <w:r w:rsidR="00230083">
        <w:t xml:space="preserve"> </w:t>
      </w:r>
      <w:r w:rsidR="00B6666E">
        <w:t>With support from APEC economies, Chinese Taipei developed the GHS Clearinghouse Website to provide GHS labeling elements and relevant information</w:t>
      </w:r>
      <w:r w:rsidR="009E7924">
        <w:t xml:space="preserve"> </w:t>
      </w:r>
      <w:r w:rsidR="00B6666E">
        <w:t>from member and non‐member economies around the world.</w:t>
      </w:r>
      <w:r w:rsidR="00692578">
        <w:t xml:space="preserve"> She </w:t>
      </w:r>
      <w:r w:rsidR="00A31510">
        <w:t xml:space="preserve">highlighted that </w:t>
      </w:r>
      <w:r w:rsidR="00CD06A7">
        <w:t xml:space="preserve">in 2020, </w:t>
      </w:r>
      <w:r w:rsidR="00A31510">
        <w:t xml:space="preserve">it </w:t>
      </w:r>
      <w:r w:rsidR="00A31510" w:rsidRPr="00A31510">
        <w:t xml:space="preserve">launched a new feature in accordance with the consensus </w:t>
      </w:r>
      <w:r w:rsidR="00692578">
        <w:t>at</w:t>
      </w:r>
      <w:r w:rsidR="00A31510" w:rsidRPr="00A31510">
        <w:t xml:space="preserve"> the 24th CD meeting for a visual tool depicting GHS implementation status across the APEC member economies.</w:t>
      </w:r>
      <w:r w:rsidR="00D775B1">
        <w:t xml:space="preserve"> Chinese Taipei noted</w:t>
      </w:r>
      <w:r w:rsidR="00D775B1" w:rsidRPr="00D775B1">
        <w:t xml:space="preserve"> the new feature can clearly present the results of the survey and reinforce the importance of the GHS convergence progress in the APEC region.</w:t>
      </w:r>
    </w:p>
    <w:p w14:paraId="39642ABF" w14:textId="77777777" w:rsidR="003C2986" w:rsidRDefault="003C2986" w:rsidP="003C2986">
      <w:pPr>
        <w:snapToGrid w:val="0"/>
      </w:pPr>
    </w:p>
    <w:p w14:paraId="4F8AC58C" w14:textId="230FB8A8" w:rsidR="00923B1C" w:rsidRDefault="00CD06A7" w:rsidP="00923B1C">
      <w:pPr>
        <w:snapToGrid w:val="0"/>
      </w:pPr>
      <w:r w:rsidRPr="00E657EB">
        <w:rPr>
          <w:b/>
        </w:rPr>
        <w:tab/>
      </w:r>
      <w:r w:rsidR="00692578" w:rsidRPr="00CD06A7">
        <w:t>Several</w:t>
      </w:r>
      <w:r w:rsidR="00692578">
        <w:t xml:space="preserve"> APEC member economies</w:t>
      </w:r>
      <w:r w:rsidR="008F7BE7">
        <w:t xml:space="preserve"> and the Government Co-Chair</w:t>
      </w:r>
      <w:r w:rsidR="00692578">
        <w:t xml:space="preserve"> thanked Chinese Taipei for</w:t>
      </w:r>
      <w:r w:rsidR="008F7BE7">
        <w:t xml:space="preserve"> the update and</w:t>
      </w:r>
      <w:r w:rsidR="00692578">
        <w:t xml:space="preserve"> the substantial work on the G.R.E.A.T. project</w:t>
      </w:r>
      <w:r w:rsidR="008F7BE7">
        <w:t>.</w:t>
      </w:r>
    </w:p>
    <w:p w14:paraId="12098DDD" w14:textId="77777777" w:rsidR="00692578" w:rsidRDefault="00692578" w:rsidP="00923B1C">
      <w:pPr>
        <w:snapToGrid w:val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923B1C" w:rsidRPr="001F64A2" w14:paraId="000697CD" w14:textId="77777777" w:rsidTr="00F44CB9">
        <w:trPr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D21D1C7" w14:textId="057413CA" w:rsidR="00923B1C" w:rsidRPr="001F64A2" w:rsidRDefault="00923B1C" w:rsidP="00F44CB9">
            <w:pPr>
              <w:keepNext/>
              <w:rPr>
                <w:b/>
              </w:rPr>
            </w:pPr>
            <w:r>
              <w:rPr>
                <w:b/>
              </w:rPr>
              <w:t>9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50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579783D" w14:textId="6F7967C9" w:rsidR="00923B1C" w:rsidRPr="001F64A2" w:rsidRDefault="00923B1C" w:rsidP="00F44CB9">
            <w:pPr>
              <w:keepNext/>
              <w:rPr>
                <w:b/>
              </w:rPr>
            </w:pPr>
            <w:r>
              <w:rPr>
                <w:b/>
              </w:rPr>
              <w:t>DATA EXCHANGE</w:t>
            </w:r>
          </w:p>
        </w:tc>
      </w:tr>
    </w:tbl>
    <w:p w14:paraId="39556675" w14:textId="77777777" w:rsidR="00230083" w:rsidRDefault="00230083" w:rsidP="00834501">
      <w:pPr>
        <w:jc w:val="both"/>
      </w:pPr>
    </w:p>
    <w:p w14:paraId="205EBC13" w14:textId="6C313505" w:rsidR="00834501" w:rsidRPr="00032FC1" w:rsidRDefault="00834501" w:rsidP="00E657EB">
      <w:pPr>
        <w:pStyle w:val="ListParagraph"/>
        <w:tabs>
          <w:tab w:val="left" w:pos="1440"/>
          <w:tab w:val="right" w:pos="9360"/>
        </w:tabs>
        <w:ind w:left="720" w:firstLine="720"/>
        <w:rPr>
          <w:b/>
          <w:u w:val="single"/>
        </w:rPr>
      </w:pPr>
      <w:r w:rsidRPr="00032FC1">
        <w:rPr>
          <w:b/>
          <w:u w:val="single" w:color="000000"/>
        </w:rPr>
        <w:t>Virtual Working Group on Data Exchange</w:t>
      </w:r>
      <w:r w:rsidRPr="00032FC1">
        <w:rPr>
          <w:b/>
        </w:rPr>
        <w:tab/>
      </w:r>
      <w:r w:rsidR="00FC66BD">
        <w:rPr>
          <w:b/>
        </w:rPr>
        <w:t xml:space="preserve">       </w:t>
      </w:r>
      <w:r w:rsidRPr="00032FC1">
        <w:rPr>
          <w:b/>
          <w:u w:val="single" w:color="000000"/>
        </w:rPr>
        <w:t>Singapore</w:t>
      </w:r>
      <w:r w:rsidR="00FC66BD">
        <w:rPr>
          <w:b/>
          <w:u w:val="single" w:color="000000"/>
        </w:rPr>
        <w:t xml:space="preserve"> &amp; </w:t>
      </w:r>
      <w:r>
        <w:rPr>
          <w:b/>
          <w:u w:val="single" w:color="000000"/>
        </w:rPr>
        <w:t>Russian Federation</w:t>
      </w:r>
    </w:p>
    <w:p w14:paraId="5348825A" w14:textId="77777777" w:rsidR="00834501" w:rsidRDefault="00834501" w:rsidP="00834501">
      <w:pPr>
        <w:keepNext/>
        <w:jc w:val="both"/>
      </w:pPr>
    </w:p>
    <w:p w14:paraId="2ED37B6F" w14:textId="77777777" w:rsidR="00FC66BD" w:rsidRPr="00E657EB" w:rsidRDefault="00FC66BD" w:rsidP="00FC66BD">
      <w:pPr>
        <w:snapToGrid w:val="0"/>
        <w:rPr>
          <w:u w:val="single"/>
        </w:rPr>
      </w:pPr>
      <w:r w:rsidRPr="00E657EB">
        <w:rPr>
          <w:u w:val="single"/>
        </w:rPr>
        <w:t>Meeting Documents</w:t>
      </w:r>
    </w:p>
    <w:p w14:paraId="6BDFEC79" w14:textId="2D2BCD7D" w:rsidR="000C6726" w:rsidRPr="000D3671" w:rsidRDefault="009672C2" w:rsidP="00E657EB">
      <w:pPr>
        <w:pStyle w:val="ListParagraph"/>
        <w:numPr>
          <w:ilvl w:val="0"/>
          <w:numId w:val="5"/>
        </w:numPr>
        <w:autoSpaceDE w:val="0"/>
        <w:autoSpaceDN w:val="0"/>
        <w:snapToGrid w:val="0"/>
        <w:ind w:right="720"/>
        <w:jc w:val="both"/>
      </w:pPr>
      <w:hyperlink r:id="rId12" w:history="1">
        <w:r w:rsidR="000C6726" w:rsidRPr="000D3671">
          <w:rPr>
            <w:rStyle w:val="Hyperlink"/>
          </w:rPr>
          <w:t>2020/CD2/005</w:t>
        </w:r>
      </w:hyperlink>
      <w:r w:rsidR="000C6726" w:rsidRPr="000D3671">
        <w:t xml:space="preserve"> - </w:t>
      </w:r>
      <w:r w:rsidR="00A206F9" w:rsidRPr="000D3671">
        <w:t xml:space="preserve">Self-Funded Project - Globally </w:t>
      </w:r>
      <w:proofErr w:type="spellStart"/>
      <w:r w:rsidR="00A206F9" w:rsidRPr="000D3671">
        <w:t>Harmonised</w:t>
      </w:r>
      <w:proofErr w:type="spellEnd"/>
      <w:r w:rsidR="00A206F9" w:rsidRPr="000D3671">
        <w:t xml:space="preserve"> System of Classification and Labelling of Chemicals (GHS) Seminars for Regulators and Industry</w:t>
      </w:r>
    </w:p>
    <w:p w14:paraId="02332818" w14:textId="047700B1" w:rsidR="00FC66BD" w:rsidRPr="000D3671" w:rsidRDefault="009672C2" w:rsidP="000A7351">
      <w:pPr>
        <w:pStyle w:val="ListParagraph"/>
        <w:numPr>
          <w:ilvl w:val="0"/>
          <w:numId w:val="5"/>
        </w:numPr>
        <w:autoSpaceDE w:val="0"/>
        <w:autoSpaceDN w:val="0"/>
        <w:snapToGrid w:val="0"/>
        <w:ind w:right="102"/>
        <w:jc w:val="both"/>
      </w:pPr>
      <w:hyperlink r:id="rId13" w:history="1">
        <w:r w:rsidR="000C6726" w:rsidRPr="000D3671">
          <w:rPr>
            <w:rStyle w:val="Hyperlink"/>
          </w:rPr>
          <w:t>2020/CD2/006</w:t>
        </w:r>
      </w:hyperlink>
      <w:r w:rsidR="000C6726" w:rsidRPr="000D3671">
        <w:t xml:space="preserve"> - </w:t>
      </w:r>
      <w:r w:rsidR="00A206F9" w:rsidRPr="000D3671">
        <w:t xml:space="preserve"> Interactive Guide on Chemical Regulations</w:t>
      </w:r>
    </w:p>
    <w:p w14:paraId="33EE7D56" w14:textId="77777777" w:rsidR="00FC66BD" w:rsidRPr="00E657EB" w:rsidRDefault="00FC66BD" w:rsidP="00FC66BD">
      <w:pPr>
        <w:snapToGrid w:val="0"/>
        <w:rPr>
          <w:bCs/>
          <w:color w:val="000000"/>
        </w:rPr>
      </w:pPr>
    </w:p>
    <w:p w14:paraId="10877BD2" w14:textId="24570218" w:rsidR="006E6507" w:rsidRDefault="009F350B" w:rsidP="00E657EB">
      <w:pPr>
        <w:keepNext/>
        <w:ind w:firstLine="720"/>
        <w:jc w:val="both"/>
      </w:pPr>
      <w:r w:rsidRPr="000D3671">
        <w:t>Ms.</w:t>
      </w:r>
      <w:r>
        <w:t xml:space="preserve"> Cissie Yeung of </w:t>
      </w:r>
      <w:r w:rsidR="00A206F9" w:rsidRPr="00DC2EE4">
        <w:t>SCIC</w:t>
      </w:r>
      <w:r w:rsidR="00A206F9">
        <w:t xml:space="preserve">, </w:t>
      </w:r>
      <w:r w:rsidR="0075434B" w:rsidRPr="00A31510">
        <w:t xml:space="preserve">on behalf of the </w:t>
      </w:r>
      <w:r w:rsidR="00A206F9">
        <w:t xml:space="preserve">CIS Center of the </w:t>
      </w:r>
      <w:r w:rsidR="0075434B" w:rsidRPr="00A31510">
        <w:t xml:space="preserve">Russian Federation, provided an </w:t>
      </w:r>
      <w:r w:rsidR="00FC66BD" w:rsidRPr="00A31510">
        <w:t>update regarding implementation of the VWG on Data Exchange work plan</w:t>
      </w:r>
      <w:r w:rsidR="0075434B" w:rsidRPr="00A31510">
        <w:t>,</w:t>
      </w:r>
      <w:r w:rsidR="00FC66BD" w:rsidRPr="00A31510">
        <w:t xml:space="preserve"> including plans to develop a series of informa</w:t>
      </w:r>
      <w:r w:rsidR="0075434B" w:rsidRPr="00A31510">
        <w:t>tional webinars.</w:t>
      </w:r>
      <w:r w:rsidR="00F24A9D">
        <w:t xml:space="preserve"> The </w:t>
      </w:r>
      <w:r w:rsidR="00E96A85">
        <w:t xml:space="preserve">webinars will focus on </w:t>
      </w:r>
      <w:r w:rsidR="00F24A9D">
        <w:t xml:space="preserve">GHS </w:t>
      </w:r>
      <w:r w:rsidR="00E96A85">
        <w:t>implementation and</w:t>
      </w:r>
      <w:r w:rsidR="00F24A9D">
        <w:t xml:space="preserve"> aim to: encourage</w:t>
      </w:r>
      <w:r w:rsidR="00F24A9D" w:rsidRPr="00F24A9D">
        <w:t xml:space="preserve"> experience exchange</w:t>
      </w:r>
      <w:r w:rsidR="00D12297">
        <w:t>;</w:t>
      </w:r>
      <w:r w:rsidR="00F24A9D" w:rsidRPr="00F24A9D">
        <w:t xml:space="preserve"> </w:t>
      </w:r>
      <w:r w:rsidR="00F24A9D">
        <w:t xml:space="preserve">promote the </w:t>
      </w:r>
      <w:r w:rsidR="00F24A9D" w:rsidRPr="00F24A9D">
        <w:t>consideration of best practices</w:t>
      </w:r>
      <w:r w:rsidR="00D12297">
        <w:t>;</w:t>
      </w:r>
      <w:r w:rsidR="00F24A9D" w:rsidRPr="00F24A9D">
        <w:t xml:space="preserve"> </w:t>
      </w:r>
      <w:r w:rsidR="006E6507">
        <w:t xml:space="preserve">and </w:t>
      </w:r>
      <w:r w:rsidR="00022302">
        <w:t>foster</w:t>
      </w:r>
      <w:r w:rsidR="00F24A9D">
        <w:t xml:space="preserve"> </w:t>
      </w:r>
      <w:r w:rsidR="00F24A9D" w:rsidRPr="00F24A9D">
        <w:t>discussion of difficulties</w:t>
      </w:r>
      <w:r w:rsidR="006E6507">
        <w:t xml:space="preserve"> and challenges</w:t>
      </w:r>
      <w:r w:rsidR="00F24A9D">
        <w:t>.</w:t>
      </w:r>
      <w:r w:rsidR="00D323A0">
        <w:t xml:space="preserve"> </w:t>
      </w:r>
    </w:p>
    <w:p w14:paraId="56F8BE02" w14:textId="77777777" w:rsidR="006E6507" w:rsidRDefault="006E6507" w:rsidP="00E657EB">
      <w:pPr>
        <w:keepNext/>
        <w:ind w:firstLine="720"/>
        <w:jc w:val="both"/>
      </w:pPr>
    </w:p>
    <w:p w14:paraId="16AD8DF8" w14:textId="01D1677C" w:rsidR="00834501" w:rsidRDefault="00E96A85" w:rsidP="00E657EB">
      <w:pPr>
        <w:keepNext/>
        <w:ind w:firstLine="720"/>
        <w:jc w:val="both"/>
      </w:pPr>
      <w:r>
        <w:t xml:space="preserve">The Russian Federation’s CIS Center </w:t>
      </w:r>
      <w:r w:rsidR="00D323A0">
        <w:t>provided a brief overview of Russia</w:t>
      </w:r>
      <w:r>
        <w:t>’</w:t>
      </w:r>
      <w:r w:rsidR="00D323A0">
        <w:t xml:space="preserve">s Interactive Guide on Chemical Regulations, which </w:t>
      </w:r>
      <w:r w:rsidR="003F6DC4">
        <w:t>includes</w:t>
      </w:r>
      <w:r w:rsidR="004E1420">
        <w:t xml:space="preserve"> </w:t>
      </w:r>
      <w:r w:rsidR="00EF6F3B">
        <w:t>information on</w:t>
      </w:r>
      <w:r w:rsidR="0094425D">
        <w:t xml:space="preserve"> databases, chemical inventories, how confidential business information is handled, GHS implementation, status of multilateral environmental agreements</w:t>
      </w:r>
      <w:r w:rsidR="00165DB2">
        <w:t xml:space="preserve"> (MEAs), </w:t>
      </w:r>
      <w:r w:rsidR="007529E9">
        <w:t xml:space="preserve">and </w:t>
      </w:r>
      <w:r w:rsidR="00165DB2">
        <w:t xml:space="preserve">regulations regarding the transportation of chemicals as well as additional information. </w:t>
      </w:r>
    </w:p>
    <w:p w14:paraId="65B589C7" w14:textId="4117DC32" w:rsidR="00D323A0" w:rsidRDefault="00D323A0" w:rsidP="00E657EB">
      <w:pPr>
        <w:keepNext/>
        <w:ind w:right="720"/>
        <w:jc w:val="both"/>
      </w:pPr>
    </w:p>
    <w:p w14:paraId="1B2C1586" w14:textId="77777777" w:rsidR="00834501" w:rsidRDefault="00834501" w:rsidP="00834501">
      <w:pPr>
        <w:jc w:val="both"/>
        <w:rPr>
          <w:color w:val="00B05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75434B" w:rsidRPr="001F64A2" w14:paraId="1FD5DE70" w14:textId="77777777" w:rsidTr="0075434B">
        <w:trPr>
          <w:trHeight w:val="113"/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8B85781" w14:textId="5C2498F0" w:rsidR="0075434B" w:rsidRPr="001F64A2" w:rsidRDefault="0075434B" w:rsidP="00F44CB9">
            <w:pPr>
              <w:keepNext/>
              <w:rPr>
                <w:b/>
              </w:rPr>
            </w:pPr>
            <w:r>
              <w:rPr>
                <w:b/>
              </w:rPr>
              <w:t>10:00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1F64A2">
              <w:rPr>
                <w:b/>
              </w:rPr>
              <w:t>:</w:t>
            </w:r>
            <w:r w:rsidR="00DF072C">
              <w:rPr>
                <w:b/>
              </w:rPr>
              <w:t>25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3019C4B" w14:textId="6526D40E" w:rsidR="0075434B" w:rsidRPr="001F64A2" w:rsidRDefault="0075434B" w:rsidP="006D261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MARINE DEBRIS AND SUSTAINABILITY</w:t>
            </w:r>
          </w:p>
        </w:tc>
      </w:tr>
    </w:tbl>
    <w:p w14:paraId="1D9F8819" w14:textId="77777777" w:rsidR="00FC66BD" w:rsidRDefault="00FC66BD" w:rsidP="001E61F5">
      <w:pPr>
        <w:pStyle w:val="BodyText"/>
        <w:ind w:firstLine="720"/>
      </w:pPr>
    </w:p>
    <w:p w14:paraId="4199C960" w14:textId="62E861C2" w:rsidR="00CF004B" w:rsidRPr="00CF004B" w:rsidRDefault="00CF004B" w:rsidP="00E657EB">
      <w:pPr>
        <w:pStyle w:val="BodyText"/>
        <w:tabs>
          <w:tab w:val="left" w:pos="720"/>
          <w:tab w:val="left" w:pos="1440"/>
          <w:tab w:val="right" w:pos="9360"/>
        </w:tabs>
        <w:ind w:left="1440"/>
        <w:rPr>
          <w:b/>
          <w:u w:val="single"/>
        </w:rPr>
      </w:pPr>
      <w:r w:rsidRPr="00CF004B">
        <w:rPr>
          <w:b/>
          <w:u w:val="single"/>
        </w:rPr>
        <w:t>Virtual Working Group on Marine Debris</w:t>
      </w:r>
      <w:r w:rsidR="005D342B" w:rsidRPr="005D342B">
        <w:t xml:space="preserve"> </w:t>
      </w:r>
      <w:r w:rsidR="00AC32FB">
        <w:tab/>
      </w:r>
      <w:r w:rsidR="005D342B" w:rsidRPr="005D342B">
        <w:rPr>
          <w:b/>
          <w:u w:val="single"/>
        </w:rPr>
        <w:t>Representative of the Marine Debris VWG</w:t>
      </w:r>
    </w:p>
    <w:p w14:paraId="2722EAE0" w14:textId="77777777" w:rsidR="00CF004B" w:rsidRPr="00CF004B" w:rsidRDefault="00CF004B" w:rsidP="00CF004B">
      <w:pPr>
        <w:pStyle w:val="BodyText"/>
        <w:tabs>
          <w:tab w:val="left" w:pos="720"/>
          <w:tab w:val="right" w:pos="9360"/>
        </w:tabs>
        <w:rPr>
          <w:b/>
          <w:u w:val="single"/>
        </w:rPr>
      </w:pPr>
    </w:p>
    <w:p w14:paraId="0199576B" w14:textId="77777777" w:rsidR="00CF004B" w:rsidRPr="00E657EB" w:rsidRDefault="00CF004B" w:rsidP="00CF004B">
      <w:pPr>
        <w:pStyle w:val="BodyText"/>
        <w:tabs>
          <w:tab w:val="left" w:pos="720"/>
          <w:tab w:val="right" w:pos="9360"/>
        </w:tabs>
        <w:rPr>
          <w:u w:val="single"/>
        </w:rPr>
      </w:pPr>
      <w:r w:rsidRPr="00E657EB">
        <w:rPr>
          <w:u w:val="single"/>
        </w:rPr>
        <w:t>Meeting Documents</w:t>
      </w:r>
    </w:p>
    <w:p w14:paraId="72BB4549" w14:textId="11E2B28C" w:rsidR="00CF004B" w:rsidRPr="000D3671" w:rsidRDefault="009672C2" w:rsidP="000A7351">
      <w:pPr>
        <w:pStyle w:val="BodyText"/>
        <w:numPr>
          <w:ilvl w:val="0"/>
          <w:numId w:val="6"/>
        </w:numPr>
        <w:tabs>
          <w:tab w:val="left" w:pos="720"/>
          <w:tab w:val="right" w:pos="9360"/>
        </w:tabs>
      </w:pPr>
      <w:hyperlink r:id="rId14" w:history="1">
        <w:r w:rsidR="000C6726" w:rsidRPr="000D3671">
          <w:rPr>
            <w:rStyle w:val="Hyperlink"/>
          </w:rPr>
          <w:t>2020/CD2/018</w:t>
        </w:r>
      </w:hyperlink>
      <w:r w:rsidR="000C6726" w:rsidRPr="000D3671">
        <w:t xml:space="preserve"> </w:t>
      </w:r>
      <w:r w:rsidR="008C02BE" w:rsidRPr="000D3671">
        <w:t>–</w:t>
      </w:r>
      <w:r w:rsidR="000C6726" w:rsidRPr="000D3671">
        <w:t xml:space="preserve"> </w:t>
      </w:r>
      <w:r w:rsidR="00CF004B" w:rsidRPr="000D3671">
        <w:t>V</w:t>
      </w:r>
      <w:r w:rsidR="008C02BE" w:rsidRPr="000D3671">
        <w:t xml:space="preserve">irtual </w:t>
      </w:r>
      <w:r w:rsidR="00CF004B" w:rsidRPr="000D3671">
        <w:t>W</w:t>
      </w:r>
      <w:r w:rsidR="008C02BE" w:rsidRPr="000D3671">
        <w:t xml:space="preserve">orking </w:t>
      </w:r>
      <w:r w:rsidR="00CF004B" w:rsidRPr="000D3671">
        <w:t>G</w:t>
      </w:r>
      <w:r w:rsidR="008C02BE" w:rsidRPr="000D3671">
        <w:t>roup</w:t>
      </w:r>
      <w:r w:rsidR="00CF004B" w:rsidRPr="000D3671">
        <w:t xml:space="preserve"> on Marine Debris Update</w:t>
      </w:r>
    </w:p>
    <w:p w14:paraId="155E022D" w14:textId="77777777" w:rsidR="00CF004B" w:rsidRPr="00E657EB" w:rsidRDefault="00CF004B" w:rsidP="00CF004B">
      <w:pPr>
        <w:pStyle w:val="BodyText"/>
        <w:tabs>
          <w:tab w:val="left" w:pos="720"/>
          <w:tab w:val="right" w:pos="9360"/>
        </w:tabs>
      </w:pPr>
    </w:p>
    <w:p w14:paraId="52863291" w14:textId="539D5924" w:rsidR="00CF004B" w:rsidRPr="005D342B" w:rsidRDefault="007529E9" w:rsidP="005D342B">
      <w:pPr>
        <w:pStyle w:val="BodyText"/>
        <w:tabs>
          <w:tab w:val="left" w:pos="90"/>
          <w:tab w:val="right" w:pos="9360"/>
        </w:tabs>
        <w:ind w:firstLine="720"/>
      </w:pPr>
      <w:r>
        <w:t>D</w:t>
      </w:r>
      <w:r w:rsidRPr="000D3671">
        <w:t>r</w:t>
      </w:r>
      <w:r w:rsidR="009F350B" w:rsidRPr="000D3671">
        <w:t xml:space="preserve">. Ryan </w:t>
      </w:r>
      <w:r w:rsidR="009F350B">
        <w:t>MacFarlane,</w:t>
      </w:r>
      <w:r w:rsidR="00CF004B" w:rsidRPr="005D342B">
        <w:t xml:space="preserve"> coordinator for the Virtual Working Gro</w:t>
      </w:r>
      <w:r w:rsidR="005D342B" w:rsidRPr="005D342B">
        <w:t>up on Marine Debris</w:t>
      </w:r>
      <w:r w:rsidR="00CD06A7">
        <w:t xml:space="preserve"> (“MDVWG”),</w:t>
      </w:r>
      <w:r w:rsidR="005D342B" w:rsidRPr="005D342B">
        <w:t xml:space="preserve"> provided</w:t>
      </w:r>
      <w:r w:rsidR="00554593">
        <w:t xml:space="preserve"> </w:t>
      </w:r>
      <w:r w:rsidR="009C4A37">
        <w:t>background</w:t>
      </w:r>
      <w:r w:rsidR="00554593">
        <w:t xml:space="preserve"> on the </w:t>
      </w:r>
      <w:r w:rsidR="00CD06A7">
        <w:t>MDVWG</w:t>
      </w:r>
      <w:r w:rsidR="001A243A">
        <w:t>, and shared</w:t>
      </w:r>
      <w:r w:rsidR="009C4A37">
        <w:t xml:space="preserve"> previous accomplishments, including the </w:t>
      </w:r>
      <w:r w:rsidR="001A243A">
        <w:t xml:space="preserve">creation of the </w:t>
      </w:r>
      <w:r w:rsidR="009C4A37">
        <w:t>Policy and Practice Recommendations and the APEC Roadmap on Marine Debris. H</w:t>
      </w:r>
      <w:r w:rsidR="001A243A">
        <w:t xml:space="preserve">e noted the </w:t>
      </w:r>
      <w:r w:rsidR="001A243A">
        <w:lastRenderedPageBreak/>
        <w:t xml:space="preserve">availability of the APEC Marine Debris Sub-Fund as an opportunity to fund marine-debris related projects, and provided </w:t>
      </w:r>
      <w:r w:rsidR="00554593">
        <w:t xml:space="preserve">an </w:t>
      </w:r>
      <w:r w:rsidR="00554593" w:rsidRPr="005D342B">
        <w:t>overview</w:t>
      </w:r>
      <w:r w:rsidR="001A243A">
        <w:t xml:space="preserve"> of the 2020</w:t>
      </w:r>
      <w:r w:rsidR="005D342B" w:rsidRPr="005D342B">
        <w:t xml:space="preserve"> </w:t>
      </w:r>
      <w:r w:rsidR="00CF004B" w:rsidRPr="005D342B">
        <w:t>webinar series developed in collaboration with the Ocean and Fisheries Working Group</w:t>
      </w:r>
      <w:r w:rsidR="005D342B">
        <w:t xml:space="preserve">, which focused on innovative funding models and innovative technologies for land-based waste management in the APEC region. He also </w:t>
      </w:r>
      <w:r w:rsidR="001A243A">
        <w:t xml:space="preserve">referenced the </w:t>
      </w:r>
      <w:r w:rsidR="00CD06A7">
        <w:t>MDVWG</w:t>
      </w:r>
      <w:r w:rsidR="00115FAA">
        <w:t>’s</w:t>
      </w:r>
      <w:r w:rsidR="00CD06A7" w:rsidDel="00CD06A7">
        <w:t xml:space="preserve"> </w:t>
      </w:r>
      <w:r w:rsidR="001A243A">
        <w:t xml:space="preserve">website as a </w:t>
      </w:r>
      <w:r w:rsidR="00554593">
        <w:t>good resource to find</w:t>
      </w:r>
      <w:r w:rsidR="001A243A">
        <w:t xml:space="preserve"> all marine debris related activity in APEC.</w:t>
      </w:r>
    </w:p>
    <w:p w14:paraId="1CD4695B" w14:textId="27477701" w:rsidR="0086546B" w:rsidRDefault="0086546B" w:rsidP="0086546B">
      <w:pPr>
        <w:pStyle w:val="BodyText"/>
        <w:tabs>
          <w:tab w:val="left" w:pos="720"/>
          <w:tab w:val="right" w:pos="9360"/>
        </w:tabs>
      </w:pPr>
    </w:p>
    <w:p w14:paraId="1B46C093" w14:textId="669E92A5" w:rsidR="00656C3B" w:rsidRDefault="00656C3B" w:rsidP="00E657EB">
      <w:pPr>
        <w:tabs>
          <w:tab w:val="left" w:pos="1440"/>
          <w:tab w:val="right" w:pos="9360"/>
        </w:tabs>
        <w:snapToGrid w:val="0"/>
        <w:ind w:left="720" w:firstLine="720"/>
        <w:rPr>
          <w:b/>
          <w:bCs/>
          <w:color w:val="000000"/>
          <w:u w:val="single"/>
        </w:rPr>
      </w:pPr>
      <w:r w:rsidRPr="00FD7BE4">
        <w:rPr>
          <w:rFonts w:hint="eastAsia"/>
          <w:b/>
          <w:bCs/>
          <w:color w:val="000000"/>
          <w:u w:val="single"/>
        </w:rPr>
        <w:t>Marine Debris and Sustainability</w:t>
      </w:r>
      <w:r w:rsidRPr="00656C3B"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Japan Industry</w:t>
      </w:r>
    </w:p>
    <w:p w14:paraId="24E8CAE0" w14:textId="77777777" w:rsidR="00656C3B" w:rsidRDefault="00656C3B" w:rsidP="00656C3B">
      <w:pPr>
        <w:snapToGrid w:val="0"/>
        <w:rPr>
          <w:bCs/>
          <w:color w:val="000000"/>
        </w:rPr>
      </w:pPr>
    </w:p>
    <w:p w14:paraId="11BBAD4C" w14:textId="77777777" w:rsidR="00656C3B" w:rsidRPr="00E657EB" w:rsidRDefault="00656C3B" w:rsidP="00656C3B">
      <w:pPr>
        <w:snapToGrid w:val="0"/>
        <w:rPr>
          <w:bCs/>
          <w:color w:val="000000"/>
          <w:u w:val="single"/>
        </w:rPr>
      </w:pPr>
      <w:r w:rsidRPr="00E657EB">
        <w:rPr>
          <w:bCs/>
          <w:color w:val="000000"/>
          <w:u w:val="single"/>
        </w:rPr>
        <w:t>Meeting Documents</w:t>
      </w:r>
    </w:p>
    <w:p w14:paraId="67F3FFBE" w14:textId="1FD0BD9B" w:rsidR="00656C3B" w:rsidRPr="00E657EB" w:rsidRDefault="009672C2" w:rsidP="00E657EB">
      <w:pPr>
        <w:pStyle w:val="ListParagraph"/>
        <w:numPr>
          <w:ilvl w:val="0"/>
          <w:numId w:val="7"/>
        </w:numPr>
        <w:autoSpaceDE w:val="0"/>
        <w:autoSpaceDN w:val="0"/>
        <w:snapToGrid w:val="0"/>
        <w:ind w:right="720"/>
        <w:jc w:val="both"/>
        <w:rPr>
          <w:bCs/>
          <w:color w:val="000000"/>
        </w:rPr>
      </w:pPr>
      <w:hyperlink r:id="rId15" w:history="1">
        <w:r w:rsidR="000C6726" w:rsidRPr="000D3671">
          <w:rPr>
            <w:rStyle w:val="Hyperlink"/>
            <w:bCs/>
          </w:rPr>
          <w:t>2020/CD2/007</w:t>
        </w:r>
      </w:hyperlink>
      <w:r w:rsidR="000C6726">
        <w:rPr>
          <w:bCs/>
          <w:color w:val="000000"/>
        </w:rPr>
        <w:t xml:space="preserve"> - </w:t>
      </w:r>
      <w:r w:rsidR="00B420F2" w:rsidRPr="00B420F2">
        <w:rPr>
          <w:bCs/>
          <w:color w:val="000000"/>
        </w:rPr>
        <w:t>Introduction of Training Seminar on Plastic Waste</w:t>
      </w:r>
      <w:r w:rsidR="00B420F2">
        <w:rPr>
          <w:bCs/>
          <w:color w:val="000000"/>
        </w:rPr>
        <w:t xml:space="preserve"> </w:t>
      </w:r>
      <w:r w:rsidR="00B420F2" w:rsidRPr="00E657EB">
        <w:rPr>
          <w:bCs/>
          <w:color w:val="000000"/>
        </w:rPr>
        <w:t>Management by Japan Initiative for Marine</w:t>
      </w:r>
      <w:r w:rsidR="00B420F2">
        <w:rPr>
          <w:bCs/>
          <w:color w:val="000000"/>
        </w:rPr>
        <w:t xml:space="preserve"> </w:t>
      </w:r>
      <w:r w:rsidR="00B420F2" w:rsidRPr="00E657EB">
        <w:rPr>
          <w:bCs/>
          <w:color w:val="000000"/>
        </w:rPr>
        <w:t>Environment</w:t>
      </w:r>
    </w:p>
    <w:p w14:paraId="16A712A3" w14:textId="77777777" w:rsidR="00656C3B" w:rsidRDefault="00656C3B" w:rsidP="00656C3B">
      <w:pPr>
        <w:snapToGrid w:val="0"/>
        <w:rPr>
          <w:b/>
          <w:bCs/>
          <w:color w:val="000000"/>
          <w:u w:val="single"/>
        </w:rPr>
      </w:pPr>
    </w:p>
    <w:p w14:paraId="7E880C4A" w14:textId="7CE6BC8D" w:rsidR="00656C3B" w:rsidRDefault="009F350B" w:rsidP="00E657EB">
      <w:pPr>
        <w:snapToGri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Mr. </w:t>
      </w:r>
      <w:r w:rsidRPr="009F350B">
        <w:rPr>
          <w:bCs/>
          <w:color w:val="000000"/>
        </w:rPr>
        <w:t>Toshihiko Higuchi,</w:t>
      </w:r>
      <w:r>
        <w:rPr>
          <w:bCs/>
          <w:color w:val="000000"/>
        </w:rPr>
        <w:t xml:space="preserve"> of </w:t>
      </w:r>
      <w:r w:rsidR="007C458B">
        <w:rPr>
          <w:bCs/>
          <w:color w:val="000000"/>
        </w:rPr>
        <w:t>JCIA</w:t>
      </w:r>
      <w:r w:rsidR="00115FAA">
        <w:rPr>
          <w:bCs/>
          <w:color w:val="000000"/>
        </w:rPr>
        <w:t>,</w:t>
      </w:r>
      <w:r w:rsidR="007C458B">
        <w:rPr>
          <w:bCs/>
          <w:color w:val="000000"/>
        </w:rPr>
        <w:t xml:space="preserve"> </w:t>
      </w:r>
      <w:r w:rsidR="00656C3B">
        <w:rPr>
          <w:bCs/>
          <w:color w:val="000000"/>
        </w:rPr>
        <w:t xml:space="preserve">provided a brief presentation regarding a training seminar on plastic waste management under the </w:t>
      </w:r>
      <w:r w:rsidR="00656C3B" w:rsidRPr="00B124D5">
        <w:rPr>
          <w:b/>
          <w:bCs/>
          <w:color w:val="000000"/>
        </w:rPr>
        <w:t>Ja</w:t>
      </w:r>
      <w:r w:rsidR="00656C3B">
        <w:rPr>
          <w:bCs/>
          <w:color w:val="000000"/>
        </w:rPr>
        <w:t xml:space="preserve">pan </w:t>
      </w:r>
      <w:r w:rsidR="00656C3B" w:rsidRPr="00B124D5">
        <w:rPr>
          <w:b/>
          <w:bCs/>
          <w:color w:val="000000"/>
        </w:rPr>
        <w:t>I</w:t>
      </w:r>
      <w:r w:rsidR="00656C3B">
        <w:rPr>
          <w:bCs/>
          <w:color w:val="000000"/>
        </w:rPr>
        <w:t xml:space="preserve">nitiative for </w:t>
      </w:r>
      <w:r w:rsidR="00656C3B" w:rsidRPr="00B124D5">
        <w:rPr>
          <w:b/>
          <w:bCs/>
          <w:color w:val="000000"/>
        </w:rPr>
        <w:t>M</w:t>
      </w:r>
      <w:r w:rsidR="00656C3B">
        <w:rPr>
          <w:bCs/>
          <w:color w:val="000000"/>
        </w:rPr>
        <w:t xml:space="preserve">arine </w:t>
      </w:r>
      <w:r w:rsidR="00656C3B" w:rsidRPr="00B124D5">
        <w:rPr>
          <w:b/>
          <w:bCs/>
          <w:color w:val="000000"/>
        </w:rPr>
        <w:t>E</w:t>
      </w:r>
      <w:r w:rsidR="00656C3B">
        <w:rPr>
          <w:bCs/>
          <w:color w:val="000000"/>
        </w:rPr>
        <w:t>nvironment (</w:t>
      </w:r>
      <w:r w:rsidR="00115FAA">
        <w:rPr>
          <w:bCs/>
          <w:color w:val="000000"/>
        </w:rPr>
        <w:t>“</w:t>
      </w:r>
      <w:proofErr w:type="spellStart"/>
      <w:r w:rsidR="00656C3B">
        <w:rPr>
          <w:bCs/>
          <w:color w:val="000000"/>
        </w:rPr>
        <w:t>JaIME</w:t>
      </w:r>
      <w:proofErr w:type="spellEnd"/>
      <w:r w:rsidR="00115FAA">
        <w:rPr>
          <w:bCs/>
          <w:color w:val="000000"/>
        </w:rPr>
        <w:t>”</w:t>
      </w:r>
      <w:r w:rsidR="00656C3B">
        <w:rPr>
          <w:bCs/>
          <w:color w:val="000000"/>
        </w:rPr>
        <w:t>)</w:t>
      </w:r>
      <w:r w:rsidR="00FB75FF">
        <w:rPr>
          <w:bCs/>
          <w:color w:val="000000"/>
        </w:rPr>
        <w:t xml:space="preserve">. The training </w:t>
      </w:r>
      <w:r w:rsidR="00656C3B">
        <w:rPr>
          <w:bCs/>
          <w:color w:val="000000"/>
        </w:rPr>
        <w:t xml:space="preserve">took place in February 2020. </w:t>
      </w:r>
      <w:r w:rsidR="007C458B">
        <w:rPr>
          <w:bCs/>
          <w:color w:val="000000"/>
        </w:rPr>
        <w:t xml:space="preserve">JCIA </w:t>
      </w:r>
      <w:r w:rsidR="00656C3B">
        <w:rPr>
          <w:bCs/>
          <w:color w:val="000000"/>
        </w:rPr>
        <w:t xml:space="preserve">noted </w:t>
      </w:r>
      <w:r w:rsidR="007C458B">
        <w:rPr>
          <w:bCs/>
          <w:color w:val="000000"/>
        </w:rPr>
        <w:t xml:space="preserve">that </w:t>
      </w:r>
      <w:r w:rsidR="00656C3B">
        <w:rPr>
          <w:bCs/>
          <w:color w:val="000000"/>
        </w:rPr>
        <w:t>participants</w:t>
      </w:r>
      <w:r w:rsidR="00DF072C">
        <w:rPr>
          <w:bCs/>
          <w:color w:val="000000"/>
        </w:rPr>
        <w:t xml:space="preserve"> of the</w:t>
      </w:r>
      <w:r w:rsidR="000E7639">
        <w:rPr>
          <w:bCs/>
          <w:color w:val="000000"/>
        </w:rPr>
        <w:t xml:space="preserve"> week-long</w:t>
      </w:r>
      <w:r w:rsidR="00DF072C">
        <w:rPr>
          <w:bCs/>
          <w:color w:val="000000"/>
        </w:rPr>
        <w:t xml:space="preserve"> training</w:t>
      </w:r>
      <w:r w:rsidR="001A243A">
        <w:rPr>
          <w:bCs/>
          <w:color w:val="000000"/>
        </w:rPr>
        <w:t xml:space="preserve"> seminar</w:t>
      </w:r>
      <w:r w:rsidR="00656C3B">
        <w:rPr>
          <w:bCs/>
          <w:color w:val="000000"/>
        </w:rPr>
        <w:t xml:space="preserve"> included policy makers, </w:t>
      </w:r>
      <w:r w:rsidR="00656C3B" w:rsidRPr="00656C3B">
        <w:rPr>
          <w:bCs/>
          <w:color w:val="000000"/>
        </w:rPr>
        <w:t xml:space="preserve">national and local governments, plastic manufactures, retailers, </w:t>
      </w:r>
      <w:r w:rsidR="00656C3B">
        <w:rPr>
          <w:bCs/>
          <w:color w:val="000000"/>
        </w:rPr>
        <w:t xml:space="preserve">and </w:t>
      </w:r>
      <w:r w:rsidR="00656C3B" w:rsidRPr="00656C3B">
        <w:rPr>
          <w:bCs/>
          <w:color w:val="000000"/>
        </w:rPr>
        <w:t>w</w:t>
      </w:r>
      <w:r w:rsidR="00656C3B">
        <w:rPr>
          <w:bCs/>
          <w:color w:val="000000"/>
        </w:rPr>
        <w:t>aste treatment companies –</w:t>
      </w:r>
      <w:r w:rsidR="00DF072C">
        <w:rPr>
          <w:bCs/>
          <w:color w:val="000000"/>
        </w:rPr>
        <w:t xml:space="preserve"> with</w:t>
      </w:r>
      <w:r w:rsidR="00656C3B">
        <w:rPr>
          <w:bCs/>
          <w:color w:val="000000"/>
        </w:rPr>
        <w:t xml:space="preserve"> 29 individuals</w:t>
      </w:r>
      <w:r w:rsidR="007C458B">
        <w:rPr>
          <w:bCs/>
          <w:color w:val="000000"/>
        </w:rPr>
        <w:t xml:space="preserve"> in</w:t>
      </w:r>
      <w:r w:rsidR="00656C3B">
        <w:rPr>
          <w:bCs/>
          <w:color w:val="000000"/>
        </w:rPr>
        <w:t xml:space="preserve"> total</w:t>
      </w:r>
      <w:r w:rsidR="007C458B">
        <w:rPr>
          <w:bCs/>
          <w:color w:val="000000"/>
        </w:rPr>
        <w:t xml:space="preserve"> participating</w:t>
      </w:r>
      <w:r w:rsidR="00656C3B">
        <w:rPr>
          <w:bCs/>
          <w:color w:val="000000"/>
        </w:rPr>
        <w:t>. The</w:t>
      </w:r>
      <w:r w:rsidR="001A243A">
        <w:rPr>
          <w:bCs/>
          <w:color w:val="000000"/>
        </w:rPr>
        <w:t xml:space="preserve"> overall</w:t>
      </w:r>
      <w:r w:rsidR="00656C3B">
        <w:rPr>
          <w:bCs/>
          <w:color w:val="000000"/>
        </w:rPr>
        <w:t xml:space="preserve"> goal of the</w:t>
      </w:r>
      <w:r w:rsidR="001A243A">
        <w:rPr>
          <w:bCs/>
          <w:color w:val="000000"/>
        </w:rPr>
        <w:t xml:space="preserve"> training</w:t>
      </w:r>
      <w:r w:rsidR="00656C3B">
        <w:rPr>
          <w:bCs/>
          <w:color w:val="000000"/>
        </w:rPr>
        <w:t xml:space="preserve"> seminar was to understand the con</w:t>
      </w:r>
      <w:r w:rsidR="001A243A">
        <w:rPr>
          <w:bCs/>
          <w:color w:val="000000"/>
        </w:rPr>
        <w:t xml:space="preserve">cept </w:t>
      </w:r>
      <w:r w:rsidR="00FB75FF">
        <w:rPr>
          <w:bCs/>
          <w:color w:val="000000"/>
        </w:rPr>
        <w:t>of material flow analysis. T</w:t>
      </w:r>
      <w:r w:rsidR="001A243A">
        <w:rPr>
          <w:bCs/>
          <w:color w:val="000000"/>
        </w:rPr>
        <w:t xml:space="preserve">he representative noted </w:t>
      </w:r>
      <w:r w:rsidR="00FB75FF">
        <w:rPr>
          <w:bCs/>
          <w:color w:val="000000"/>
        </w:rPr>
        <w:t>common challenges were raised among</w:t>
      </w:r>
      <w:r w:rsidR="00503947">
        <w:rPr>
          <w:bCs/>
          <w:color w:val="000000"/>
        </w:rPr>
        <w:t xml:space="preserve"> participants, including: e</w:t>
      </w:r>
      <w:r w:rsidR="00503947" w:rsidRPr="00503947">
        <w:rPr>
          <w:bCs/>
          <w:color w:val="000000"/>
        </w:rPr>
        <w:t>ffective methods of operating laws and regulations</w:t>
      </w:r>
      <w:r w:rsidR="00503947">
        <w:rPr>
          <w:bCs/>
          <w:color w:val="000000"/>
        </w:rPr>
        <w:t>; h</w:t>
      </w:r>
      <w:r w:rsidR="00503947" w:rsidRPr="00503947">
        <w:rPr>
          <w:bCs/>
          <w:color w:val="000000"/>
        </w:rPr>
        <w:t>ow to raise operating funds for waste management</w:t>
      </w:r>
      <w:r w:rsidR="00503947">
        <w:rPr>
          <w:bCs/>
          <w:color w:val="000000"/>
        </w:rPr>
        <w:t>; h</w:t>
      </w:r>
      <w:r w:rsidR="00503947" w:rsidRPr="00503947">
        <w:rPr>
          <w:bCs/>
          <w:color w:val="000000"/>
        </w:rPr>
        <w:t>ow to communicate with the general public</w:t>
      </w:r>
      <w:r w:rsidR="007529E9">
        <w:rPr>
          <w:bCs/>
          <w:color w:val="000000"/>
        </w:rPr>
        <w:t>;</w:t>
      </w:r>
      <w:r w:rsidR="00503947">
        <w:rPr>
          <w:bCs/>
          <w:color w:val="000000"/>
        </w:rPr>
        <w:t xml:space="preserve"> h</w:t>
      </w:r>
      <w:r w:rsidR="00503947" w:rsidRPr="00503947">
        <w:rPr>
          <w:bCs/>
          <w:color w:val="000000"/>
        </w:rPr>
        <w:t xml:space="preserve">ow to collect the data for </w:t>
      </w:r>
      <w:r w:rsidR="007E2FB8">
        <w:rPr>
          <w:bCs/>
          <w:color w:val="000000"/>
        </w:rPr>
        <w:t>c</w:t>
      </w:r>
      <w:r w:rsidR="00503947" w:rsidRPr="00503947">
        <w:rPr>
          <w:bCs/>
          <w:color w:val="000000"/>
        </w:rPr>
        <w:t xml:space="preserve">reating </w:t>
      </w:r>
      <w:r w:rsidR="007E2FB8">
        <w:rPr>
          <w:bCs/>
          <w:color w:val="000000"/>
        </w:rPr>
        <w:t xml:space="preserve">a </w:t>
      </w:r>
      <w:r w:rsidR="00503947" w:rsidRPr="00503947">
        <w:rPr>
          <w:bCs/>
          <w:color w:val="000000"/>
        </w:rPr>
        <w:t>Material Flow Chart</w:t>
      </w:r>
      <w:r w:rsidR="00503947">
        <w:rPr>
          <w:bCs/>
          <w:color w:val="000000"/>
        </w:rPr>
        <w:t xml:space="preserve">; and </w:t>
      </w:r>
      <w:r w:rsidR="007E2FB8">
        <w:rPr>
          <w:bCs/>
          <w:color w:val="000000"/>
        </w:rPr>
        <w:t xml:space="preserve">how to develop </w:t>
      </w:r>
      <w:r w:rsidR="00503947">
        <w:rPr>
          <w:bCs/>
          <w:color w:val="000000"/>
        </w:rPr>
        <w:t>e</w:t>
      </w:r>
      <w:r w:rsidR="00503947" w:rsidRPr="00503947">
        <w:rPr>
          <w:bCs/>
          <w:color w:val="000000"/>
        </w:rPr>
        <w:t>ffective waste separation and collection system</w:t>
      </w:r>
      <w:r w:rsidR="007E2FB8">
        <w:rPr>
          <w:bCs/>
          <w:color w:val="000000"/>
        </w:rPr>
        <w:t>s</w:t>
      </w:r>
      <w:r w:rsidR="00503947">
        <w:rPr>
          <w:bCs/>
          <w:color w:val="000000"/>
        </w:rPr>
        <w:t>.</w:t>
      </w:r>
    </w:p>
    <w:p w14:paraId="6111F581" w14:textId="77777777" w:rsidR="00DF072C" w:rsidRPr="00656C3B" w:rsidRDefault="00DF072C" w:rsidP="00E657EB">
      <w:pPr>
        <w:snapToGrid w:val="0"/>
        <w:rPr>
          <w:bCs/>
          <w:color w:val="000000"/>
        </w:rPr>
      </w:pPr>
    </w:p>
    <w:p w14:paraId="26E89ED8" w14:textId="249EC941" w:rsidR="00DF072C" w:rsidRDefault="00DF072C" w:rsidP="00E657EB">
      <w:pPr>
        <w:tabs>
          <w:tab w:val="left" w:pos="1440"/>
          <w:tab w:val="right" w:pos="9360"/>
        </w:tabs>
        <w:snapToGrid w:val="0"/>
        <w:ind w:left="720" w:firstLine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Strategies of Sustainable Chemistry</w:t>
      </w:r>
      <w:r w:rsidRPr="00DF072C"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Chinese Taipei </w:t>
      </w:r>
    </w:p>
    <w:p w14:paraId="52ED47D6" w14:textId="77777777" w:rsidR="00DF072C" w:rsidRPr="00E657EB" w:rsidRDefault="00DF072C" w:rsidP="00DF072C">
      <w:pPr>
        <w:snapToGrid w:val="0"/>
        <w:rPr>
          <w:bCs/>
          <w:color w:val="000000"/>
        </w:rPr>
      </w:pPr>
    </w:p>
    <w:p w14:paraId="73E9C3D7" w14:textId="77777777" w:rsidR="00DF072C" w:rsidRPr="00E657EB" w:rsidRDefault="00DF072C" w:rsidP="00DF072C">
      <w:pPr>
        <w:snapToGrid w:val="0"/>
        <w:rPr>
          <w:bCs/>
          <w:color w:val="000000"/>
          <w:u w:val="single"/>
        </w:rPr>
      </w:pPr>
      <w:r w:rsidRPr="00E657EB">
        <w:rPr>
          <w:bCs/>
          <w:color w:val="000000"/>
          <w:u w:val="single"/>
        </w:rPr>
        <w:t>Meeting Documents</w:t>
      </w:r>
    </w:p>
    <w:p w14:paraId="1A0DCBBA" w14:textId="1EE08B92" w:rsidR="00987309" w:rsidRPr="00E657EB" w:rsidRDefault="009672C2" w:rsidP="00E657EB">
      <w:pPr>
        <w:pStyle w:val="ListParagraph"/>
        <w:numPr>
          <w:ilvl w:val="0"/>
          <w:numId w:val="7"/>
        </w:numPr>
        <w:autoSpaceDE w:val="0"/>
        <w:autoSpaceDN w:val="0"/>
        <w:snapToGrid w:val="0"/>
        <w:ind w:right="102"/>
        <w:jc w:val="both"/>
        <w:rPr>
          <w:bCs/>
          <w:color w:val="000000"/>
        </w:rPr>
      </w:pPr>
      <w:hyperlink r:id="rId16" w:history="1">
        <w:r w:rsidR="00954B6F" w:rsidRPr="000D3671">
          <w:rPr>
            <w:rStyle w:val="Hyperlink"/>
            <w:bCs/>
          </w:rPr>
          <w:t>2020/CD2/008</w:t>
        </w:r>
      </w:hyperlink>
      <w:r w:rsidR="00954B6F" w:rsidRPr="000D3671">
        <w:rPr>
          <w:bCs/>
          <w:color w:val="000000"/>
        </w:rPr>
        <w:t xml:space="preserve"> - </w:t>
      </w:r>
      <w:r w:rsidR="00B11524" w:rsidRPr="00E657EB">
        <w:rPr>
          <w:bCs/>
          <w:color w:val="000000"/>
        </w:rPr>
        <w:t>The Strategy of Sustainable Chemistry in Chinese</w:t>
      </w:r>
      <w:r w:rsidR="00987309" w:rsidRPr="000D3671">
        <w:rPr>
          <w:bCs/>
          <w:color w:val="000000"/>
        </w:rPr>
        <w:t xml:space="preserve"> </w:t>
      </w:r>
      <w:r w:rsidR="00B11524" w:rsidRPr="000D3671">
        <w:rPr>
          <w:bCs/>
          <w:color w:val="000000"/>
        </w:rPr>
        <w:t>Taipei</w:t>
      </w:r>
    </w:p>
    <w:p w14:paraId="44FB1F96" w14:textId="77777777" w:rsidR="00DF072C" w:rsidRPr="000D3671" w:rsidRDefault="00DF072C" w:rsidP="00E657EB">
      <w:pPr>
        <w:pStyle w:val="ListParagraph"/>
        <w:rPr>
          <w:bCs/>
          <w:color w:val="000000"/>
        </w:rPr>
      </w:pPr>
    </w:p>
    <w:p w14:paraId="308F26BB" w14:textId="616DBFAF" w:rsidR="00C54C0C" w:rsidRDefault="0011278D" w:rsidP="00E657EB">
      <w:pPr>
        <w:snapToGrid w:val="0"/>
        <w:ind w:firstLine="720"/>
        <w:jc w:val="both"/>
        <w:rPr>
          <w:bCs/>
        </w:rPr>
      </w:pPr>
      <w:r w:rsidRPr="0011278D">
        <w:rPr>
          <w:bCs/>
        </w:rPr>
        <w:t xml:space="preserve">Mr. Chung-Shen Wu </w:t>
      </w:r>
      <w:r w:rsidR="00EF6459">
        <w:rPr>
          <w:bCs/>
        </w:rPr>
        <w:t xml:space="preserve">from </w:t>
      </w:r>
      <w:r w:rsidR="003B3173" w:rsidRPr="00AD6EF8">
        <w:rPr>
          <w:bCs/>
        </w:rPr>
        <w:t>Chinese Taipei</w:t>
      </w:r>
      <w:r w:rsidR="00EF6459">
        <w:rPr>
          <w:bCs/>
        </w:rPr>
        <w:t>’</w:t>
      </w:r>
      <w:r w:rsidR="003B3173" w:rsidRPr="00AD6EF8">
        <w:rPr>
          <w:bCs/>
        </w:rPr>
        <w:t>s</w:t>
      </w:r>
      <w:r w:rsidR="00EF6459">
        <w:rPr>
          <w:bCs/>
        </w:rPr>
        <w:t xml:space="preserve"> Environmental Protection Administration s</w:t>
      </w:r>
      <w:r w:rsidR="003B3173" w:rsidRPr="00AD6EF8">
        <w:rPr>
          <w:bCs/>
        </w:rPr>
        <w:t xml:space="preserve">hared </w:t>
      </w:r>
      <w:r w:rsidR="00EF6459">
        <w:rPr>
          <w:bCs/>
        </w:rPr>
        <w:t xml:space="preserve">Chinese Taipei’s </w:t>
      </w:r>
      <w:r w:rsidR="00DF072C" w:rsidRPr="00AD6EF8">
        <w:rPr>
          <w:bCs/>
        </w:rPr>
        <w:t>experience regarding strategy and implementation of sustainable and green chemistry.</w:t>
      </w:r>
      <w:r w:rsidR="00AD6EF8" w:rsidRPr="00AD6EF8">
        <w:rPr>
          <w:bCs/>
        </w:rPr>
        <w:t xml:space="preserve"> She highlighted five key strategies for the Chemical Substances Management Policy Guidelines</w:t>
      </w:r>
      <w:r w:rsidR="00AD6EF8">
        <w:rPr>
          <w:bCs/>
        </w:rPr>
        <w:t>, including: good governance; risk reduction; capacity building; knowledge and information</w:t>
      </w:r>
      <w:r w:rsidR="00DC7358">
        <w:rPr>
          <w:bCs/>
        </w:rPr>
        <w:t xml:space="preserve"> of chemicals management</w:t>
      </w:r>
      <w:r w:rsidR="00AD6EF8">
        <w:rPr>
          <w:bCs/>
        </w:rPr>
        <w:t xml:space="preserve">; and cooperation to eliminate illegal international traffic. She also provided several examples of </w:t>
      </w:r>
      <w:r w:rsidR="000D5ED1">
        <w:rPr>
          <w:bCs/>
        </w:rPr>
        <w:t>companies’ best practices, including establishing</w:t>
      </w:r>
      <w:r w:rsidR="000D5ED1" w:rsidRPr="000D5ED1">
        <w:rPr>
          <w:bCs/>
        </w:rPr>
        <w:t xml:space="preserve"> 10 quantitative management indicators to evaluate </w:t>
      </w:r>
      <w:r w:rsidR="000D5ED1">
        <w:rPr>
          <w:bCs/>
        </w:rPr>
        <w:t xml:space="preserve">a </w:t>
      </w:r>
      <w:r w:rsidR="000D5ED1" w:rsidRPr="000D5ED1">
        <w:rPr>
          <w:bCs/>
        </w:rPr>
        <w:t>supply chain’s performance in terms of green manuf</w:t>
      </w:r>
      <w:r w:rsidR="000D5ED1">
        <w:rPr>
          <w:bCs/>
        </w:rPr>
        <w:t>acturing.</w:t>
      </w:r>
    </w:p>
    <w:p w14:paraId="7ECDAC45" w14:textId="4151FFFA" w:rsidR="00C54C0C" w:rsidRPr="00C54C0C" w:rsidRDefault="00C54C0C" w:rsidP="006D2614">
      <w:pPr>
        <w:snapToGrid w:val="0"/>
        <w:ind w:left="720"/>
        <w:rPr>
          <w:b/>
          <w:bCs/>
        </w:rPr>
      </w:pPr>
    </w:p>
    <w:p w14:paraId="316C009B" w14:textId="77777777" w:rsidR="00656C3B" w:rsidRDefault="00656C3B" w:rsidP="0086546B">
      <w:pPr>
        <w:pStyle w:val="BodyText"/>
        <w:tabs>
          <w:tab w:val="left" w:pos="720"/>
          <w:tab w:val="right" w:pos="9360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DF072C" w:rsidRPr="001F64A2" w14:paraId="5B231338" w14:textId="77777777" w:rsidTr="00F44CB9">
        <w:trPr>
          <w:trHeight w:val="113"/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2EB5FDFF" w14:textId="1529A0B8" w:rsidR="00DF072C" w:rsidRPr="001F64A2" w:rsidRDefault="00DF072C" w:rsidP="00F44CB9">
            <w:pPr>
              <w:keepNext/>
              <w:rPr>
                <w:b/>
              </w:rPr>
            </w:pPr>
            <w:r>
              <w:rPr>
                <w:b/>
              </w:rPr>
              <w:t>10:25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6DDEEE9" w14:textId="2A909A22" w:rsidR="00DF072C" w:rsidRPr="001F64A2" w:rsidRDefault="00DF072C" w:rsidP="00F44CB9">
            <w:pPr>
              <w:keepNext/>
              <w:rPr>
                <w:b/>
              </w:rPr>
            </w:pPr>
            <w:r>
              <w:rPr>
                <w:b/>
              </w:rPr>
              <w:t>DAY 1 CLOSING</w:t>
            </w:r>
          </w:p>
        </w:tc>
      </w:tr>
    </w:tbl>
    <w:p w14:paraId="26F256CE" w14:textId="77777777" w:rsidR="00087A05" w:rsidRDefault="00087A05" w:rsidP="00DC1535">
      <w:pPr>
        <w:pStyle w:val="BodyText"/>
        <w:ind w:firstLine="720"/>
        <w:rPr>
          <w:b/>
          <w:color w:val="00B050"/>
        </w:rPr>
      </w:pPr>
    </w:p>
    <w:p w14:paraId="1118134C" w14:textId="1AB1FA02" w:rsidR="00D712E6" w:rsidRDefault="00123D23" w:rsidP="00E657EB">
      <w:pPr>
        <w:tabs>
          <w:tab w:val="left" w:pos="719"/>
          <w:tab w:val="left" w:pos="1439"/>
          <w:tab w:val="right" w:pos="9360"/>
        </w:tabs>
        <w:rPr>
          <w:b/>
          <w:bCs/>
          <w:color w:val="000000"/>
          <w:u w:val="single"/>
        </w:rPr>
      </w:pPr>
      <w:r w:rsidRPr="00123D23">
        <w:rPr>
          <w:b/>
          <w:bCs/>
          <w:color w:val="000000"/>
        </w:rPr>
        <w:tab/>
      </w:r>
      <w:r w:rsidRPr="00123D23"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Day 1 Closing</w:t>
      </w:r>
      <w:r w:rsidRPr="00123D23"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Government Co-Chair</w:t>
      </w:r>
    </w:p>
    <w:p w14:paraId="11BE5696" w14:textId="77777777" w:rsidR="00A52F50" w:rsidRDefault="00A52F50" w:rsidP="00123D23">
      <w:pPr>
        <w:tabs>
          <w:tab w:val="left" w:pos="719"/>
          <w:tab w:val="left" w:pos="1439"/>
        </w:tabs>
        <w:rPr>
          <w:b/>
          <w:bCs/>
          <w:color w:val="000000"/>
          <w:u w:val="single"/>
        </w:rPr>
      </w:pPr>
    </w:p>
    <w:p w14:paraId="4DA819FD" w14:textId="10386562" w:rsidR="00A52F50" w:rsidRDefault="00DC7358" w:rsidP="00E657EB">
      <w:pPr>
        <w:tabs>
          <w:tab w:val="left" w:pos="0"/>
          <w:tab w:val="left" w:pos="1439"/>
        </w:tabs>
        <w:ind w:firstLine="71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After a brief logistical update from the APEC Secretariat</w:t>
      </w:r>
      <w:r w:rsidR="00115FA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</w:t>
      </w:r>
      <w:r w:rsidR="00A52F50">
        <w:rPr>
          <w:rFonts w:eastAsia="Times New Roman" w:cs="Times New Roman"/>
        </w:rPr>
        <w:t xml:space="preserve">he Government Co-Chair </w:t>
      </w:r>
      <w:r w:rsidR="003B3173">
        <w:rPr>
          <w:rFonts w:eastAsia="Times New Roman" w:cs="Times New Roman"/>
        </w:rPr>
        <w:t xml:space="preserve">thanked everyone </w:t>
      </w:r>
      <w:r w:rsidR="00B47BCF">
        <w:rPr>
          <w:rFonts w:eastAsia="Times New Roman" w:cs="Times New Roman"/>
        </w:rPr>
        <w:t xml:space="preserve">for their participation and noted </w:t>
      </w:r>
      <w:r>
        <w:rPr>
          <w:rFonts w:eastAsia="Times New Roman" w:cs="Times New Roman"/>
        </w:rPr>
        <w:t xml:space="preserve">that </w:t>
      </w:r>
      <w:r w:rsidR="00B47BCF">
        <w:rPr>
          <w:rFonts w:eastAsia="Times New Roman" w:cs="Times New Roman"/>
        </w:rPr>
        <w:t xml:space="preserve">she looked forward to </w:t>
      </w:r>
      <w:r>
        <w:rPr>
          <w:rFonts w:eastAsia="Times New Roman" w:cs="Times New Roman"/>
        </w:rPr>
        <w:t>the second day of discussions.</w:t>
      </w:r>
    </w:p>
    <w:p w14:paraId="489B94EA" w14:textId="77777777" w:rsidR="00BD3D32" w:rsidRDefault="00BD3D32" w:rsidP="00B23CA7">
      <w:pPr>
        <w:tabs>
          <w:tab w:val="left" w:pos="0"/>
          <w:tab w:val="left" w:pos="1439"/>
        </w:tabs>
        <w:ind w:firstLine="719"/>
        <w:rPr>
          <w:rFonts w:eastAsia="Times New Roman" w:cs="Times New Roman"/>
        </w:rPr>
      </w:pPr>
    </w:p>
    <w:p w14:paraId="422F4624" w14:textId="77777777" w:rsidR="00115FAA" w:rsidRDefault="00115FAA" w:rsidP="00F44CB9">
      <w:pPr>
        <w:pStyle w:val="BodyText"/>
        <w:jc w:val="center"/>
        <w:rPr>
          <w:b/>
        </w:rPr>
        <w:sectPr w:rsidR="00115FAA" w:rsidSect="002A2E5F">
          <w:headerReference w:type="default" r:id="rId17"/>
          <w:footerReference w:type="even" r:id="rId18"/>
          <w:footerReference w:type="default" r:id="rId19"/>
          <w:footerReference w:type="first" r:id="rId20"/>
          <w:pgSz w:w="12240" w:h="15840"/>
          <w:pgMar w:top="1380" w:right="1530" w:bottom="940" w:left="1320" w:header="0" w:footer="745" w:gutter="0"/>
          <w:cols w:space="720"/>
        </w:sectPr>
      </w:pP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BD3D32" w:rsidRPr="00EB497C" w14:paraId="50E3A3E4" w14:textId="77777777" w:rsidTr="00BD3D32">
        <w:trPr>
          <w:trHeight w:val="755"/>
        </w:trPr>
        <w:tc>
          <w:tcPr>
            <w:tcW w:w="9270" w:type="dxa"/>
            <w:shd w:val="clear" w:color="auto" w:fill="DBE5F1" w:themeFill="accent1" w:themeFillTint="33"/>
          </w:tcPr>
          <w:p w14:paraId="1407E55D" w14:textId="2DAF8933" w:rsidR="00BD3D32" w:rsidRDefault="00BD3D32" w:rsidP="00F44CB9">
            <w:pPr>
              <w:pStyle w:val="BodyText"/>
              <w:jc w:val="center"/>
              <w:rPr>
                <w:b/>
              </w:rPr>
            </w:pPr>
          </w:p>
          <w:p w14:paraId="0DF6D204" w14:textId="77777777" w:rsidR="00BD3D32" w:rsidRPr="00EB497C" w:rsidRDefault="00BD3D32" w:rsidP="00F44CB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6 November</w:t>
            </w:r>
            <w:r w:rsidRPr="00EB497C">
              <w:rPr>
                <w:b/>
              </w:rPr>
              <w:t xml:space="preserve"> 2020</w:t>
            </w:r>
            <w:r>
              <w:rPr>
                <w:b/>
              </w:rPr>
              <w:t xml:space="preserve"> – APEC Chemical Dialogue Meeting (Day 2)</w:t>
            </w:r>
          </w:p>
        </w:tc>
      </w:tr>
    </w:tbl>
    <w:p w14:paraId="13ACB8AA" w14:textId="77777777" w:rsidR="00BD3D32" w:rsidRDefault="00BD3D32" w:rsidP="00B23CA7">
      <w:pPr>
        <w:tabs>
          <w:tab w:val="left" w:pos="0"/>
          <w:tab w:val="left" w:pos="1439"/>
        </w:tabs>
        <w:ind w:firstLine="719"/>
        <w:rPr>
          <w:rFonts w:eastAsia="Times New Roman" w:cs="Times New Roman"/>
        </w:rPr>
      </w:pPr>
    </w:p>
    <w:p w14:paraId="416F9849" w14:textId="77777777" w:rsidR="00B47BCF" w:rsidRDefault="00B47BCF" w:rsidP="00A52F50">
      <w:pPr>
        <w:tabs>
          <w:tab w:val="left" w:pos="719"/>
          <w:tab w:val="left" w:pos="1439"/>
        </w:tabs>
        <w:rPr>
          <w:rFonts w:eastAsia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B47BCF" w:rsidRPr="001F64A2" w14:paraId="22DA468A" w14:textId="77777777" w:rsidTr="00F44CB9">
        <w:trPr>
          <w:trHeight w:val="113"/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59410CE" w14:textId="5C1F84C2" w:rsidR="00B47BCF" w:rsidRPr="001F64A2" w:rsidRDefault="00B47BCF" w:rsidP="00F44CB9">
            <w:pPr>
              <w:keepNext/>
              <w:rPr>
                <w:b/>
              </w:rPr>
            </w:pPr>
            <w:r>
              <w:rPr>
                <w:b/>
              </w:rPr>
              <w:t>9:00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9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6C556395" w14:textId="307925F5" w:rsidR="00B47BCF" w:rsidRPr="001F64A2" w:rsidRDefault="00BD3D32" w:rsidP="00F44CB9">
            <w:pPr>
              <w:keepNext/>
              <w:rPr>
                <w:b/>
              </w:rPr>
            </w:pPr>
            <w:r>
              <w:rPr>
                <w:b/>
              </w:rPr>
              <w:t>INTRODUCTION FROM GOVERNMENT CO-CHAIR</w:t>
            </w:r>
          </w:p>
        </w:tc>
      </w:tr>
    </w:tbl>
    <w:p w14:paraId="71320295" w14:textId="77777777" w:rsidR="00B47BCF" w:rsidRDefault="00B47BCF" w:rsidP="00A52F50">
      <w:pPr>
        <w:tabs>
          <w:tab w:val="left" w:pos="719"/>
          <w:tab w:val="left" w:pos="1439"/>
        </w:tabs>
        <w:rPr>
          <w:rFonts w:eastAsia="Times New Roman" w:cs="Times New Roman"/>
        </w:rPr>
      </w:pPr>
    </w:p>
    <w:p w14:paraId="4414BC3B" w14:textId="45BF5DF2" w:rsidR="00B23CA7" w:rsidRDefault="00BD3D32" w:rsidP="00E657EB">
      <w:pPr>
        <w:tabs>
          <w:tab w:val="left" w:pos="1440"/>
          <w:tab w:val="right" w:pos="936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C93B5A">
        <w:rPr>
          <w:rFonts w:eastAsia="Times New Roman" w:cs="Times New Roman"/>
          <w:b/>
          <w:u w:val="single"/>
        </w:rPr>
        <w:t>Welcome from Government Co-Chair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C93B5A">
        <w:rPr>
          <w:rFonts w:eastAsia="Times New Roman" w:cs="Times New Roman"/>
          <w:b/>
          <w:u w:val="single"/>
        </w:rPr>
        <w:t>Government Co-Chair</w:t>
      </w:r>
    </w:p>
    <w:p w14:paraId="1A5712C3" w14:textId="77777777" w:rsidR="00C93B5A" w:rsidRDefault="00C93B5A" w:rsidP="00BD3D32">
      <w:pPr>
        <w:ind w:firstLine="720"/>
        <w:rPr>
          <w:rFonts w:eastAsia="Times New Roman" w:cs="Times New Roman"/>
        </w:rPr>
      </w:pPr>
    </w:p>
    <w:p w14:paraId="2840970C" w14:textId="154B3119" w:rsidR="00B23CA7" w:rsidRDefault="00B23CA7" w:rsidP="00E657E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115FAA">
        <w:rPr>
          <w:rFonts w:eastAsia="Times New Roman" w:cs="Times New Roman"/>
        </w:rPr>
        <w:t xml:space="preserve">acting </w:t>
      </w:r>
      <w:r>
        <w:rPr>
          <w:rFonts w:eastAsia="Times New Roman" w:cs="Times New Roman"/>
        </w:rPr>
        <w:t>Govern</w:t>
      </w:r>
      <w:r w:rsidR="00C93B5A">
        <w:rPr>
          <w:rFonts w:eastAsia="Times New Roman" w:cs="Times New Roman"/>
        </w:rPr>
        <w:t>ment</w:t>
      </w:r>
      <w:r w:rsidR="00482ADC">
        <w:rPr>
          <w:rFonts w:eastAsia="Times New Roman" w:cs="Times New Roman"/>
        </w:rPr>
        <w:t xml:space="preserve"> Co-Chair opened </w:t>
      </w:r>
      <w:r w:rsidR="00DC7358">
        <w:rPr>
          <w:rFonts w:eastAsia="Times New Roman" w:cs="Times New Roman"/>
        </w:rPr>
        <w:t>the second day</w:t>
      </w:r>
      <w:r w:rsidR="00482ADC">
        <w:rPr>
          <w:rFonts w:eastAsia="Times New Roman" w:cs="Times New Roman"/>
        </w:rPr>
        <w:t xml:space="preserve"> of</w:t>
      </w:r>
      <w:r w:rsidR="00EB2895">
        <w:rPr>
          <w:rFonts w:eastAsia="Times New Roman" w:cs="Times New Roman"/>
        </w:rPr>
        <w:t xml:space="preserve"> the</w:t>
      </w:r>
      <w:r w:rsidR="00482AD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</w:t>
      </w:r>
      <w:r w:rsidR="00DC7358">
        <w:rPr>
          <w:rFonts w:eastAsia="Times New Roman" w:cs="Times New Roman"/>
        </w:rPr>
        <w:t>hemical Dialogue</w:t>
      </w:r>
      <w:r>
        <w:rPr>
          <w:rFonts w:eastAsia="Times New Roman" w:cs="Times New Roman"/>
        </w:rPr>
        <w:t>. S</w:t>
      </w:r>
      <w:r w:rsidR="00482ADC">
        <w:rPr>
          <w:rFonts w:eastAsia="Times New Roman" w:cs="Times New Roman"/>
        </w:rPr>
        <w:t>he noted that</w:t>
      </w:r>
      <w:r>
        <w:rPr>
          <w:rFonts w:eastAsia="Times New Roman" w:cs="Times New Roman"/>
        </w:rPr>
        <w:t xml:space="preserve"> the day’s </w:t>
      </w:r>
      <w:r w:rsidRPr="00B23CA7">
        <w:rPr>
          <w:rFonts w:eastAsia="Times New Roman" w:cs="Times New Roman"/>
        </w:rPr>
        <w:t xml:space="preserve">session will focus on regulatory cooperation issues </w:t>
      </w:r>
      <w:r w:rsidR="00C93B5A">
        <w:rPr>
          <w:rFonts w:eastAsia="Times New Roman" w:cs="Times New Roman"/>
        </w:rPr>
        <w:t>and reminded</w:t>
      </w:r>
      <w:r w:rsidRPr="00B23CA7">
        <w:rPr>
          <w:rFonts w:eastAsia="Times New Roman" w:cs="Times New Roman"/>
        </w:rPr>
        <w:t xml:space="preserve"> delegates about the partici</w:t>
      </w:r>
      <w:r w:rsidR="00C93B5A">
        <w:rPr>
          <w:rFonts w:eastAsia="Times New Roman" w:cs="Times New Roman"/>
        </w:rPr>
        <w:t>pation rules</w:t>
      </w:r>
      <w:r w:rsidR="00482ADC">
        <w:rPr>
          <w:rFonts w:eastAsia="Times New Roman" w:cs="Times New Roman"/>
        </w:rPr>
        <w:t xml:space="preserve"> from Day </w:t>
      </w:r>
      <w:r w:rsidR="00C93B5A">
        <w:rPr>
          <w:rFonts w:eastAsia="Times New Roman" w:cs="Times New Roman"/>
        </w:rPr>
        <w:t>1. She encouraged</w:t>
      </w:r>
      <w:r w:rsidRPr="00B23CA7">
        <w:rPr>
          <w:rFonts w:eastAsia="Times New Roman" w:cs="Times New Roman"/>
        </w:rPr>
        <w:t xml:space="preserve"> any delegates who may not have joined on Day 1 to please introduce</w:t>
      </w:r>
      <w:r w:rsidR="00EB2895">
        <w:rPr>
          <w:rFonts w:eastAsia="Times New Roman" w:cs="Times New Roman"/>
        </w:rPr>
        <w:t xml:space="preserve"> themselves in the chat f</w:t>
      </w:r>
      <w:r w:rsidR="008D7539">
        <w:rPr>
          <w:rFonts w:eastAsia="Times New Roman" w:cs="Times New Roman"/>
        </w:rPr>
        <w:t>unction</w:t>
      </w:r>
      <w:r w:rsidR="00EB2895">
        <w:rPr>
          <w:rFonts w:eastAsia="Times New Roman" w:cs="Times New Roman"/>
        </w:rPr>
        <w:t xml:space="preserve"> of the web platform (</w:t>
      </w:r>
      <w:r w:rsidRPr="00B23CA7">
        <w:rPr>
          <w:rFonts w:eastAsia="Times New Roman" w:cs="Times New Roman"/>
        </w:rPr>
        <w:t>economy, government/industry</w:t>
      </w:r>
      <w:r w:rsidR="00EB2895">
        <w:rPr>
          <w:rFonts w:eastAsia="Times New Roman" w:cs="Times New Roman"/>
        </w:rPr>
        <w:t xml:space="preserve">, </w:t>
      </w:r>
      <w:proofErr w:type="gramStart"/>
      <w:r w:rsidR="00EB2895">
        <w:rPr>
          <w:rFonts w:eastAsia="Times New Roman" w:cs="Times New Roman"/>
        </w:rPr>
        <w:t>name</w:t>
      </w:r>
      <w:proofErr w:type="gramEnd"/>
      <w:r w:rsidRPr="00B23CA7">
        <w:rPr>
          <w:rFonts w:eastAsia="Times New Roman" w:cs="Times New Roman"/>
        </w:rPr>
        <w:t xml:space="preserve">).  </w:t>
      </w:r>
    </w:p>
    <w:p w14:paraId="581F42D5" w14:textId="77777777" w:rsidR="006D2614" w:rsidRDefault="006D2614" w:rsidP="00BD3D32">
      <w:pPr>
        <w:ind w:firstLine="720"/>
        <w:rPr>
          <w:rFonts w:eastAsia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6D2614" w:rsidRPr="001F64A2" w14:paraId="60906D3A" w14:textId="77777777" w:rsidTr="00F44CB9">
        <w:trPr>
          <w:trHeight w:val="113"/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26B47D60" w14:textId="6A5F7CD8" w:rsidR="006D2614" w:rsidRPr="001F64A2" w:rsidRDefault="006D2614" w:rsidP="00F44CB9">
            <w:pPr>
              <w:keepNext/>
              <w:rPr>
                <w:b/>
              </w:rPr>
            </w:pPr>
            <w:r>
              <w:rPr>
                <w:b/>
              </w:rPr>
              <w:t>9:05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9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53A81BF" w14:textId="198D84A8" w:rsidR="006D2614" w:rsidRPr="001F64A2" w:rsidRDefault="006D2614" w:rsidP="00F44CB9">
            <w:pPr>
              <w:keepNext/>
              <w:rPr>
                <w:b/>
              </w:rPr>
            </w:pPr>
            <w:r>
              <w:rPr>
                <w:b/>
              </w:rPr>
              <w:t xml:space="preserve">CHEMICAL DIALOGUE REGULATOR’S FORUM </w:t>
            </w:r>
          </w:p>
        </w:tc>
      </w:tr>
    </w:tbl>
    <w:p w14:paraId="4253C151" w14:textId="77777777" w:rsidR="006D2614" w:rsidRPr="00B23CA7" w:rsidRDefault="006D2614" w:rsidP="00BD3D32">
      <w:pPr>
        <w:ind w:firstLine="720"/>
        <w:rPr>
          <w:rFonts w:eastAsia="Times New Roman" w:cs="Times New Roman"/>
        </w:rPr>
      </w:pPr>
    </w:p>
    <w:p w14:paraId="5FFF3B82" w14:textId="00A7385E" w:rsidR="006D2614" w:rsidRPr="00FD0E37" w:rsidRDefault="006D2614" w:rsidP="00E657EB">
      <w:pPr>
        <w:tabs>
          <w:tab w:val="left" w:pos="1440"/>
          <w:tab w:val="right" w:pos="9360"/>
        </w:tabs>
        <w:autoSpaceDE w:val="0"/>
        <w:autoSpaceDN w:val="0"/>
        <w:snapToGrid w:val="0"/>
        <w:ind w:left="1440"/>
        <w:rPr>
          <w:rFonts w:eastAsia="Arial" w:cstheme="minorHAnsi"/>
          <w:b/>
          <w:u w:val="single"/>
        </w:rPr>
      </w:pPr>
      <w:r w:rsidRPr="00FD0E37">
        <w:rPr>
          <w:rFonts w:eastAsia="Arial" w:cstheme="minorHAnsi"/>
          <w:b/>
          <w:u w:val="single"/>
        </w:rPr>
        <w:t>Mercury Use Trends in the United States</w:t>
      </w:r>
      <w:r w:rsidRPr="00FD0E37">
        <w:rPr>
          <w:rFonts w:eastAsia="Arial" w:cstheme="minorHAnsi"/>
          <w:b/>
        </w:rPr>
        <w:tab/>
      </w:r>
      <w:r w:rsidRPr="00FD0E37">
        <w:rPr>
          <w:rFonts w:eastAsia="Arial" w:cstheme="minorHAnsi"/>
          <w:b/>
          <w:u w:val="single"/>
        </w:rPr>
        <w:t>United States</w:t>
      </w:r>
    </w:p>
    <w:p w14:paraId="5D9AE09D" w14:textId="77777777" w:rsidR="006D2614" w:rsidRDefault="006D2614" w:rsidP="006D2614">
      <w:pPr>
        <w:autoSpaceDE w:val="0"/>
        <w:autoSpaceDN w:val="0"/>
        <w:snapToGrid w:val="0"/>
        <w:rPr>
          <w:rFonts w:eastAsia="Arial" w:cstheme="minorHAnsi"/>
          <w:u w:val="single"/>
        </w:rPr>
      </w:pPr>
    </w:p>
    <w:p w14:paraId="7255AC87" w14:textId="77777777" w:rsidR="006D2614" w:rsidRPr="00E657EB" w:rsidRDefault="006D2614" w:rsidP="006D2614">
      <w:pPr>
        <w:autoSpaceDE w:val="0"/>
        <w:autoSpaceDN w:val="0"/>
        <w:snapToGrid w:val="0"/>
        <w:rPr>
          <w:rFonts w:eastAsia="Arial" w:cstheme="minorHAnsi"/>
          <w:u w:val="single"/>
        </w:rPr>
      </w:pPr>
      <w:r w:rsidRPr="00E657EB">
        <w:rPr>
          <w:rFonts w:eastAsia="Arial" w:cstheme="minorHAnsi"/>
          <w:u w:val="single"/>
        </w:rPr>
        <w:t>Meeting Documents</w:t>
      </w:r>
    </w:p>
    <w:p w14:paraId="5BC8B765" w14:textId="494F2705" w:rsidR="006D2614" w:rsidRPr="000D3671" w:rsidRDefault="009672C2" w:rsidP="00E657EB">
      <w:pPr>
        <w:numPr>
          <w:ilvl w:val="0"/>
          <w:numId w:val="12"/>
        </w:numPr>
        <w:autoSpaceDE w:val="0"/>
        <w:autoSpaceDN w:val="0"/>
        <w:snapToGrid w:val="0"/>
        <w:ind w:right="720"/>
        <w:jc w:val="both"/>
        <w:rPr>
          <w:rFonts w:eastAsia="Arial" w:cstheme="minorHAnsi"/>
        </w:rPr>
      </w:pPr>
      <w:hyperlink r:id="rId21" w:history="1">
        <w:r w:rsidR="00EE5995" w:rsidRPr="000D3671">
          <w:rPr>
            <w:rStyle w:val="Hyperlink"/>
            <w:rFonts w:eastAsia="Arial" w:cstheme="minorHAnsi"/>
          </w:rPr>
          <w:t>2020/CD2/009</w:t>
        </w:r>
      </w:hyperlink>
      <w:r w:rsidR="00EE5995" w:rsidRPr="000D3671">
        <w:rPr>
          <w:rFonts w:eastAsia="Arial" w:cstheme="minorHAnsi"/>
        </w:rPr>
        <w:t xml:space="preserve"> - </w:t>
      </w:r>
      <w:r w:rsidR="006D2614" w:rsidRPr="000D3671">
        <w:rPr>
          <w:rFonts w:eastAsia="Arial" w:cstheme="minorHAnsi"/>
        </w:rPr>
        <w:t>Inventory of Mercury Supply, Use, and Trade​ in the United States​</w:t>
      </w:r>
    </w:p>
    <w:p w14:paraId="7F174C9C" w14:textId="77777777" w:rsidR="00A97530" w:rsidRPr="000D3671" w:rsidRDefault="00A97530" w:rsidP="00E657EB">
      <w:pPr>
        <w:autoSpaceDE w:val="0"/>
        <w:autoSpaceDN w:val="0"/>
        <w:snapToGrid w:val="0"/>
        <w:ind w:right="720"/>
        <w:jc w:val="both"/>
        <w:rPr>
          <w:rFonts w:eastAsia="Arial" w:cstheme="minorHAnsi"/>
        </w:rPr>
      </w:pPr>
    </w:p>
    <w:p w14:paraId="3BE3086A" w14:textId="2A2A2F0A" w:rsidR="00A97530" w:rsidRPr="000D3671" w:rsidRDefault="00A97530" w:rsidP="00E657EB">
      <w:pPr>
        <w:autoSpaceDE w:val="0"/>
        <w:autoSpaceDN w:val="0"/>
        <w:snapToGrid w:val="0"/>
        <w:ind w:right="720"/>
        <w:jc w:val="both"/>
        <w:rPr>
          <w:rFonts w:eastAsia="Arial" w:cstheme="minorHAnsi"/>
        </w:rPr>
      </w:pPr>
      <w:r w:rsidRPr="00E657EB">
        <w:rPr>
          <w:rFonts w:eastAsia="Arial" w:cstheme="minorHAnsi"/>
          <w:u w:val="single"/>
        </w:rPr>
        <w:t>Action Item</w:t>
      </w:r>
      <w:r w:rsidRPr="000D3671">
        <w:rPr>
          <w:rFonts w:eastAsia="Arial" w:cstheme="minorHAnsi"/>
        </w:rPr>
        <w:t>: The CD</w:t>
      </w:r>
      <w:r w:rsidR="000D3671">
        <w:rPr>
          <w:rFonts w:eastAsia="Arial" w:cstheme="minorHAnsi"/>
        </w:rPr>
        <w:t>:</w:t>
      </w:r>
    </w:p>
    <w:p w14:paraId="0FC69B35" w14:textId="6703890F" w:rsidR="00A97530" w:rsidRPr="00A97530" w:rsidRDefault="00A97530" w:rsidP="00E657EB">
      <w:pPr>
        <w:pStyle w:val="ListParagraph"/>
        <w:numPr>
          <w:ilvl w:val="0"/>
          <w:numId w:val="17"/>
        </w:numPr>
        <w:autoSpaceDE w:val="0"/>
        <w:autoSpaceDN w:val="0"/>
        <w:snapToGrid w:val="0"/>
        <w:ind w:right="720"/>
        <w:jc w:val="both"/>
        <w:rPr>
          <w:rFonts w:eastAsia="Arial" w:cstheme="minorHAnsi"/>
        </w:rPr>
      </w:pPr>
      <w:r w:rsidRPr="000D3671">
        <w:rPr>
          <w:rFonts w:eastAsia="Arial" w:cstheme="minorHAnsi"/>
        </w:rPr>
        <w:t>Welcomed</w:t>
      </w:r>
      <w:r>
        <w:rPr>
          <w:rFonts w:eastAsia="Arial" w:cstheme="minorHAnsi"/>
        </w:rPr>
        <w:t xml:space="preserve"> the presentation on the Inventory of Mercury Supply, Use, and Trade in the United States</w:t>
      </w:r>
    </w:p>
    <w:p w14:paraId="3E307D60" w14:textId="77777777" w:rsidR="006D2614" w:rsidRPr="006D2614" w:rsidRDefault="006D2614" w:rsidP="006D2614">
      <w:pPr>
        <w:autoSpaceDE w:val="0"/>
        <w:autoSpaceDN w:val="0"/>
        <w:snapToGrid w:val="0"/>
        <w:rPr>
          <w:rFonts w:eastAsia="Arial" w:cstheme="minorHAnsi"/>
        </w:rPr>
      </w:pPr>
    </w:p>
    <w:p w14:paraId="49FA1179" w14:textId="2F5B51A6" w:rsidR="00D3375C" w:rsidRDefault="00115FAA" w:rsidP="00E657EB">
      <w:pPr>
        <w:autoSpaceDE w:val="0"/>
        <w:autoSpaceDN w:val="0"/>
        <w:snapToGrid w:val="0"/>
        <w:ind w:firstLine="7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Mr. </w:t>
      </w:r>
      <w:r w:rsidR="009F350B" w:rsidRPr="009F350B">
        <w:rPr>
          <w:rFonts w:eastAsia="Arial" w:cstheme="minorHAnsi"/>
        </w:rPr>
        <w:t xml:space="preserve">Thomas </w:t>
      </w:r>
      <w:proofErr w:type="spellStart"/>
      <w:r w:rsidR="009F350B" w:rsidRPr="009F350B">
        <w:rPr>
          <w:rFonts w:eastAsia="Arial" w:cstheme="minorHAnsi"/>
        </w:rPr>
        <w:t>Groeneveld</w:t>
      </w:r>
      <w:proofErr w:type="spellEnd"/>
      <w:r w:rsidR="009F350B">
        <w:rPr>
          <w:rFonts w:eastAsia="Arial" w:cstheme="minorHAnsi"/>
        </w:rPr>
        <w:t xml:space="preserve"> of t</w:t>
      </w:r>
      <w:r w:rsidR="006D2614" w:rsidRPr="006D2614">
        <w:rPr>
          <w:rFonts w:eastAsia="Arial" w:cstheme="minorHAnsi"/>
        </w:rPr>
        <w:t>he U.S. Environmental</w:t>
      </w:r>
      <w:r w:rsidR="006D2614">
        <w:rPr>
          <w:rFonts w:eastAsia="Arial" w:cstheme="minorHAnsi"/>
        </w:rPr>
        <w:t xml:space="preserve"> Protection Agency</w:t>
      </w:r>
      <w:r w:rsidR="00C81D97">
        <w:rPr>
          <w:rFonts w:eastAsia="Arial" w:cstheme="minorHAnsi"/>
        </w:rPr>
        <w:t xml:space="preserve"> (U.S. EPA)</w:t>
      </w:r>
      <w:r w:rsidR="006D2614">
        <w:rPr>
          <w:rFonts w:eastAsia="Arial" w:cstheme="minorHAnsi"/>
        </w:rPr>
        <w:t xml:space="preserve"> presented </w:t>
      </w:r>
      <w:r w:rsidR="006D2614" w:rsidRPr="006D2614">
        <w:rPr>
          <w:rFonts w:eastAsia="Arial" w:cstheme="minorHAnsi"/>
        </w:rPr>
        <w:t>on mercury use trends in the United States, the Mercury Inventory Reporting Rule, information that must</w:t>
      </w:r>
      <w:r w:rsidR="006D2614">
        <w:rPr>
          <w:rFonts w:eastAsia="Arial" w:cstheme="minorHAnsi"/>
        </w:rPr>
        <w:t xml:space="preserve"> be reported, who must report the information, as</w:t>
      </w:r>
      <w:r w:rsidR="00C81D97">
        <w:rPr>
          <w:rFonts w:eastAsia="Arial" w:cstheme="minorHAnsi"/>
        </w:rPr>
        <w:t xml:space="preserve"> well as an</w:t>
      </w:r>
      <w:r w:rsidR="006D2614" w:rsidRPr="006D2614">
        <w:rPr>
          <w:rFonts w:eastAsia="Arial" w:cstheme="minorHAnsi"/>
        </w:rPr>
        <w:t xml:space="preserve"> overview of the 2020 inventory report. </w:t>
      </w:r>
    </w:p>
    <w:p w14:paraId="3123D8E4" w14:textId="77777777" w:rsidR="004C7635" w:rsidRDefault="004C7635" w:rsidP="00E657EB">
      <w:pPr>
        <w:autoSpaceDE w:val="0"/>
        <w:autoSpaceDN w:val="0"/>
        <w:snapToGrid w:val="0"/>
        <w:ind w:firstLine="720"/>
        <w:jc w:val="both"/>
        <w:rPr>
          <w:rFonts w:eastAsia="Arial" w:cstheme="minorHAnsi"/>
        </w:rPr>
      </w:pPr>
    </w:p>
    <w:p w14:paraId="47446D88" w14:textId="1E297B66" w:rsidR="004C7635" w:rsidRPr="005D30E1" w:rsidRDefault="003B7F41" w:rsidP="00E657EB">
      <w:pPr>
        <w:autoSpaceDE w:val="0"/>
        <w:autoSpaceDN w:val="0"/>
        <w:snapToGrid w:val="0"/>
        <w:ind w:firstLine="7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After the presentation, U.S. Industry thanked U.S. EPA for the presentation and </w:t>
      </w:r>
      <w:r w:rsidR="00EB2895">
        <w:rPr>
          <w:rFonts w:eastAsia="Arial" w:cstheme="minorHAnsi"/>
        </w:rPr>
        <w:t xml:space="preserve">for </w:t>
      </w:r>
      <w:r>
        <w:rPr>
          <w:rFonts w:eastAsia="Arial" w:cstheme="minorHAnsi"/>
        </w:rPr>
        <w:t>attending the CD25</w:t>
      </w:r>
      <w:r w:rsidR="00FD728A">
        <w:rPr>
          <w:rFonts w:eastAsia="Arial" w:cstheme="minorHAnsi"/>
        </w:rPr>
        <w:t xml:space="preserve">. New Zealand thanked the Co-Chairs and host Malaysia for CD25 and noted that New Zealand has completed 3 inventories of mercury </w:t>
      </w:r>
      <w:r w:rsidR="00864CA1">
        <w:rPr>
          <w:rFonts w:eastAsia="Arial" w:cstheme="minorHAnsi"/>
        </w:rPr>
        <w:t xml:space="preserve">and goods containing mercury, and is a signatory to the </w:t>
      </w:r>
      <w:proofErr w:type="spellStart"/>
      <w:r w:rsidR="00864CA1">
        <w:rPr>
          <w:rFonts w:eastAsia="Arial" w:cstheme="minorHAnsi"/>
        </w:rPr>
        <w:t>Minamata</w:t>
      </w:r>
      <w:proofErr w:type="spellEnd"/>
      <w:r w:rsidR="00864CA1">
        <w:rPr>
          <w:rFonts w:eastAsia="Arial" w:cstheme="minorHAnsi"/>
        </w:rPr>
        <w:t xml:space="preserve"> Convention on Mercury. </w:t>
      </w:r>
    </w:p>
    <w:p w14:paraId="126D086F" w14:textId="77777777" w:rsidR="006867AB" w:rsidRDefault="006867AB" w:rsidP="002E7D2D">
      <w:pPr>
        <w:snapToGrid w:val="0"/>
        <w:rPr>
          <w:b/>
          <w:u w:val="single"/>
        </w:rPr>
      </w:pPr>
    </w:p>
    <w:p w14:paraId="31956064" w14:textId="5D58296D" w:rsidR="00FD0E37" w:rsidRPr="00BB3495" w:rsidRDefault="00FD0E37" w:rsidP="00E657EB">
      <w:pPr>
        <w:tabs>
          <w:tab w:val="left" w:pos="1440"/>
          <w:tab w:val="right" w:pos="9360"/>
        </w:tabs>
        <w:snapToGrid w:val="0"/>
        <w:ind w:left="1440"/>
        <w:rPr>
          <w:b/>
          <w:u w:val="single"/>
        </w:rPr>
      </w:pPr>
      <w:r w:rsidRPr="00BB3495">
        <w:rPr>
          <w:b/>
          <w:u w:val="single"/>
        </w:rPr>
        <w:t xml:space="preserve">Regulatory Updates </w:t>
      </w:r>
      <w:r w:rsidRPr="00FD0E37">
        <w:rPr>
          <w:b/>
        </w:rPr>
        <w:tab/>
      </w:r>
      <w:r>
        <w:rPr>
          <w:b/>
          <w:u w:val="single"/>
        </w:rPr>
        <w:t>United States</w:t>
      </w:r>
    </w:p>
    <w:p w14:paraId="7A8B4808" w14:textId="77777777" w:rsidR="00FD0E37" w:rsidRDefault="00FD0E37" w:rsidP="00FD0E37">
      <w:pPr>
        <w:snapToGrid w:val="0"/>
      </w:pPr>
    </w:p>
    <w:p w14:paraId="4C576406" w14:textId="77777777" w:rsidR="00FD0E37" w:rsidRPr="00E657EB" w:rsidRDefault="00FD0E37" w:rsidP="00FD0E37">
      <w:pPr>
        <w:snapToGrid w:val="0"/>
        <w:rPr>
          <w:u w:val="single"/>
        </w:rPr>
      </w:pPr>
      <w:r w:rsidRPr="00E657EB">
        <w:rPr>
          <w:u w:val="single"/>
        </w:rPr>
        <w:t>Meeting Documents</w:t>
      </w:r>
    </w:p>
    <w:p w14:paraId="4FA52374" w14:textId="4CCCC884" w:rsidR="00FD0E37" w:rsidRPr="000D3671" w:rsidRDefault="009672C2" w:rsidP="000A7351">
      <w:pPr>
        <w:pStyle w:val="ListParagraph"/>
        <w:numPr>
          <w:ilvl w:val="0"/>
          <w:numId w:val="13"/>
        </w:numPr>
        <w:autoSpaceDE w:val="0"/>
        <w:autoSpaceDN w:val="0"/>
        <w:snapToGrid w:val="0"/>
        <w:ind w:right="102"/>
        <w:jc w:val="both"/>
      </w:pPr>
      <w:hyperlink r:id="rId22" w:history="1">
        <w:r w:rsidR="00EE5995" w:rsidRPr="000D3671">
          <w:rPr>
            <w:rStyle w:val="Hyperlink"/>
          </w:rPr>
          <w:t>2020/CD2/010</w:t>
        </w:r>
      </w:hyperlink>
      <w:r w:rsidR="00F50B11" w:rsidRPr="000D3671">
        <w:t xml:space="preserve"> </w:t>
      </w:r>
      <w:r w:rsidR="00EE5995" w:rsidRPr="000D3671">
        <w:t xml:space="preserve">- </w:t>
      </w:r>
      <w:r w:rsidR="00FD0E37" w:rsidRPr="000D3671">
        <w:t>Update on Australian Industrial Chemicals Introduction Scheme</w:t>
      </w:r>
    </w:p>
    <w:p w14:paraId="705CC594" w14:textId="5E4936D8" w:rsidR="005D30E1" w:rsidRPr="000D3671" w:rsidRDefault="009672C2" w:rsidP="000A7351">
      <w:pPr>
        <w:pStyle w:val="ListParagraph"/>
        <w:numPr>
          <w:ilvl w:val="0"/>
          <w:numId w:val="13"/>
        </w:numPr>
        <w:autoSpaceDE w:val="0"/>
        <w:autoSpaceDN w:val="0"/>
        <w:snapToGrid w:val="0"/>
        <w:ind w:right="102"/>
        <w:jc w:val="both"/>
      </w:pPr>
      <w:hyperlink r:id="rId23" w:history="1">
        <w:r w:rsidR="00EE5995" w:rsidRPr="000D3671">
          <w:rPr>
            <w:rStyle w:val="Hyperlink"/>
          </w:rPr>
          <w:t>2020/CD2/011</w:t>
        </w:r>
      </w:hyperlink>
      <w:r w:rsidR="00EE5995" w:rsidRPr="000D3671">
        <w:t xml:space="preserve"> - </w:t>
      </w:r>
      <w:r w:rsidR="00FD0E37" w:rsidRPr="000D3671">
        <w:t>Regulatory Developments in the Philippines</w:t>
      </w:r>
    </w:p>
    <w:p w14:paraId="2B1B0DCE" w14:textId="77777777" w:rsidR="006867AB" w:rsidRPr="000D3671" w:rsidRDefault="006867AB" w:rsidP="006867AB">
      <w:pPr>
        <w:pStyle w:val="ListParagraph"/>
        <w:autoSpaceDE w:val="0"/>
        <w:autoSpaceDN w:val="0"/>
        <w:snapToGrid w:val="0"/>
        <w:ind w:left="754" w:right="102"/>
        <w:jc w:val="both"/>
      </w:pPr>
    </w:p>
    <w:p w14:paraId="47106B6D" w14:textId="1A3A342C" w:rsidR="004D7F8F" w:rsidRPr="00B73B1B" w:rsidRDefault="004D7F8F" w:rsidP="004D7F8F">
      <w:pPr>
        <w:autoSpaceDE w:val="0"/>
        <w:autoSpaceDN w:val="0"/>
        <w:snapToGrid w:val="0"/>
        <w:ind w:right="102"/>
        <w:jc w:val="both"/>
      </w:pPr>
      <w:r w:rsidRPr="00E657EB">
        <w:rPr>
          <w:u w:val="single"/>
        </w:rPr>
        <w:t>Action Items</w:t>
      </w:r>
      <w:r w:rsidR="00B73B1B" w:rsidRPr="00E657EB">
        <w:t xml:space="preserve">: </w:t>
      </w:r>
      <w:r w:rsidR="00B73B1B" w:rsidRPr="000D3671">
        <w:t>The</w:t>
      </w:r>
      <w:r w:rsidR="00B73B1B" w:rsidRPr="00B73B1B">
        <w:t xml:space="preserve"> CD</w:t>
      </w:r>
      <w:r w:rsidR="000D3671">
        <w:t>:</w:t>
      </w:r>
    </w:p>
    <w:p w14:paraId="039D2B48" w14:textId="5B4D8B8D" w:rsidR="00FD0E37" w:rsidRDefault="00B73B1B" w:rsidP="00E657EB">
      <w:pPr>
        <w:pStyle w:val="ListParagraph"/>
        <w:numPr>
          <w:ilvl w:val="0"/>
          <w:numId w:val="14"/>
        </w:numPr>
        <w:snapToGrid w:val="0"/>
        <w:ind w:right="720"/>
        <w:jc w:val="both"/>
      </w:pPr>
      <w:r>
        <w:t>Welcomed regulatory updates from Australia, The Philippines, Viet Nam, Chile, New Zealand, and Indonesia</w:t>
      </w:r>
      <w:r w:rsidR="00F50B11">
        <w:t>;</w:t>
      </w:r>
      <w:r>
        <w:t xml:space="preserve"> </w:t>
      </w:r>
    </w:p>
    <w:p w14:paraId="43FD4142" w14:textId="77777777" w:rsidR="000F74C1" w:rsidRDefault="000F74C1" w:rsidP="00E657EB">
      <w:pPr>
        <w:pStyle w:val="ListParagraph"/>
        <w:numPr>
          <w:ilvl w:val="0"/>
          <w:numId w:val="14"/>
        </w:numPr>
        <w:snapToGrid w:val="0"/>
        <w:ind w:right="720"/>
        <w:jc w:val="both"/>
      </w:pPr>
      <w:r>
        <w:t>Called for nominations for the Chair of the Regulators’ Forum;</w:t>
      </w:r>
    </w:p>
    <w:p w14:paraId="65BD545F" w14:textId="77777777" w:rsidR="000F74C1" w:rsidRDefault="000F74C1" w:rsidP="00E657EB">
      <w:pPr>
        <w:pStyle w:val="ListParagraph"/>
        <w:numPr>
          <w:ilvl w:val="0"/>
          <w:numId w:val="14"/>
        </w:numPr>
        <w:snapToGrid w:val="0"/>
        <w:ind w:right="720"/>
        <w:jc w:val="both"/>
      </w:pPr>
      <w:r>
        <w:t xml:space="preserve">Requested that all economies interested in participating in the work of the Regulators’ Forum provide contact information for their regulators to the Secretariat to enable a refresh of the Forum’s distribution list; and </w:t>
      </w:r>
    </w:p>
    <w:p w14:paraId="5898A8B9" w14:textId="727BEC3D" w:rsidR="00B73B1B" w:rsidRDefault="000F74C1" w:rsidP="00E657EB">
      <w:pPr>
        <w:pStyle w:val="ListParagraph"/>
        <w:numPr>
          <w:ilvl w:val="0"/>
          <w:numId w:val="14"/>
        </w:numPr>
        <w:snapToGrid w:val="0"/>
        <w:ind w:right="720"/>
        <w:jc w:val="both"/>
      </w:pPr>
      <w:r>
        <w:t>Directed the Regulators Forum to develop an Action Plan for 2021-22 onc</w:t>
      </w:r>
      <w:r w:rsidR="00C81D97">
        <w:t>e a Chair is endorsed by the CD</w:t>
      </w:r>
      <w:r w:rsidR="00F50B11">
        <w:t>.</w:t>
      </w:r>
    </w:p>
    <w:p w14:paraId="7056D513" w14:textId="77777777" w:rsidR="00B73B1B" w:rsidRDefault="00B73B1B" w:rsidP="00B73B1B">
      <w:pPr>
        <w:snapToGrid w:val="0"/>
        <w:ind w:left="360"/>
      </w:pPr>
    </w:p>
    <w:p w14:paraId="3711AD2C" w14:textId="2B92E572" w:rsidR="00B73B1B" w:rsidRDefault="001D2399" w:rsidP="00E657EB">
      <w:pPr>
        <w:pStyle w:val="Footnote"/>
        <w:ind w:firstLine="754"/>
        <w:jc w:val="both"/>
        <w:rPr>
          <w:sz w:val="22"/>
        </w:rPr>
      </w:pPr>
      <w:r>
        <w:rPr>
          <w:sz w:val="22"/>
        </w:rPr>
        <w:t>Australia provided a</w:t>
      </w:r>
      <w:r w:rsidR="00115FAA">
        <w:rPr>
          <w:sz w:val="22"/>
        </w:rPr>
        <w:t>n</w:t>
      </w:r>
      <w:r>
        <w:rPr>
          <w:sz w:val="22"/>
        </w:rPr>
        <w:t xml:space="preserve"> </w:t>
      </w:r>
      <w:r w:rsidR="00FD0E37" w:rsidRPr="00B73B1B">
        <w:rPr>
          <w:sz w:val="22"/>
        </w:rPr>
        <w:t>update on its Industrial Chemicals Introduction Scheme</w:t>
      </w:r>
      <w:r>
        <w:rPr>
          <w:sz w:val="22"/>
        </w:rPr>
        <w:t xml:space="preserve"> and its revised website</w:t>
      </w:r>
      <w:r w:rsidR="00FD0E37" w:rsidRPr="00B73B1B">
        <w:rPr>
          <w:sz w:val="22"/>
        </w:rPr>
        <w:t xml:space="preserve">. The Philippines presented on </w:t>
      </w:r>
      <w:r w:rsidR="007638FD">
        <w:rPr>
          <w:sz w:val="22"/>
        </w:rPr>
        <w:t xml:space="preserve">its </w:t>
      </w:r>
      <w:r w:rsidR="00FD0E37" w:rsidRPr="00B73B1B">
        <w:rPr>
          <w:sz w:val="22"/>
        </w:rPr>
        <w:t>regulatory developments in chemi</w:t>
      </w:r>
      <w:r w:rsidR="007638FD">
        <w:rPr>
          <w:sz w:val="22"/>
        </w:rPr>
        <w:t xml:space="preserve">cals, including the implementation of a risk assessment workshop and </w:t>
      </w:r>
      <w:r w:rsidR="00EE5995" w:rsidRPr="00B73B1B">
        <w:rPr>
          <w:sz w:val="22"/>
        </w:rPr>
        <w:t>the</w:t>
      </w:r>
      <w:r w:rsidR="007638FD">
        <w:rPr>
          <w:sz w:val="22"/>
        </w:rPr>
        <w:t xml:space="preserve"> ongoing</w:t>
      </w:r>
      <w:r w:rsidR="00EE5995" w:rsidRPr="00B73B1B">
        <w:rPr>
          <w:sz w:val="22"/>
        </w:rPr>
        <w:t xml:space="preserve"> implementation of</w:t>
      </w:r>
      <w:r w:rsidR="007638FD">
        <w:rPr>
          <w:sz w:val="22"/>
        </w:rPr>
        <w:t xml:space="preserve"> </w:t>
      </w:r>
      <w:r w:rsidR="00011651">
        <w:rPr>
          <w:sz w:val="22"/>
        </w:rPr>
        <w:t>GHS</w:t>
      </w:r>
      <w:r w:rsidR="007638FD">
        <w:rPr>
          <w:sz w:val="22"/>
        </w:rPr>
        <w:t>, among other updates.</w:t>
      </w:r>
      <w:r w:rsidR="00EE5995" w:rsidRPr="00B73B1B">
        <w:rPr>
          <w:sz w:val="22"/>
        </w:rPr>
        <w:t xml:space="preserve"> </w:t>
      </w:r>
      <w:r w:rsidR="00FD0E37" w:rsidRPr="00B73B1B">
        <w:rPr>
          <w:sz w:val="22"/>
        </w:rPr>
        <w:t xml:space="preserve"> The Government Co-Chair then opened the floor to CD delegates to provide </w:t>
      </w:r>
      <w:r w:rsidR="007638FD">
        <w:rPr>
          <w:sz w:val="22"/>
        </w:rPr>
        <w:t xml:space="preserve">regulatory </w:t>
      </w:r>
      <w:r w:rsidR="00FD0E37" w:rsidRPr="00B73B1B">
        <w:rPr>
          <w:sz w:val="22"/>
        </w:rPr>
        <w:t xml:space="preserve">updates that </w:t>
      </w:r>
      <w:r w:rsidR="007638FD">
        <w:rPr>
          <w:sz w:val="22"/>
        </w:rPr>
        <w:t xml:space="preserve">had not yet </w:t>
      </w:r>
      <w:r w:rsidR="00FD0E37" w:rsidRPr="00B73B1B">
        <w:rPr>
          <w:sz w:val="22"/>
        </w:rPr>
        <w:t xml:space="preserve">been tabled. </w:t>
      </w:r>
    </w:p>
    <w:p w14:paraId="2F5780F0" w14:textId="59358979" w:rsidR="00B73B1B" w:rsidRDefault="00EE5995" w:rsidP="00E657EB">
      <w:pPr>
        <w:pStyle w:val="Footnote"/>
        <w:ind w:firstLine="754"/>
        <w:jc w:val="both"/>
        <w:rPr>
          <w:sz w:val="22"/>
        </w:rPr>
      </w:pPr>
      <w:r w:rsidRPr="00B73B1B">
        <w:rPr>
          <w:sz w:val="22"/>
        </w:rPr>
        <w:t>Viet Nam</w:t>
      </w:r>
      <w:r w:rsidR="007638FD">
        <w:rPr>
          <w:sz w:val="22"/>
        </w:rPr>
        <w:t xml:space="preserve"> noted it is developing </w:t>
      </w:r>
      <w:r w:rsidRPr="00B73B1B">
        <w:rPr>
          <w:sz w:val="22"/>
        </w:rPr>
        <w:t xml:space="preserve">a plan to enhance </w:t>
      </w:r>
      <w:r w:rsidR="007638FD">
        <w:rPr>
          <w:sz w:val="22"/>
        </w:rPr>
        <w:t xml:space="preserve">its </w:t>
      </w:r>
      <w:r w:rsidRPr="00B73B1B">
        <w:rPr>
          <w:sz w:val="22"/>
        </w:rPr>
        <w:t xml:space="preserve">chemical management system </w:t>
      </w:r>
      <w:r w:rsidR="007638FD">
        <w:rPr>
          <w:sz w:val="22"/>
        </w:rPr>
        <w:t>in the long-ter</w:t>
      </w:r>
      <w:r w:rsidR="00011651">
        <w:rPr>
          <w:sz w:val="22"/>
        </w:rPr>
        <w:t>m</w:t>
      </w:r>
      <w:r w:rsidR="007638FD">
        <w:rPr>
          <w:sz w:val="22"/>
        </w:rPr>
        <w:t xml:space="preserve">. Chile provided an </w:t>
      </w:r>
      <w:r w:rsidR="007638FD" w:rsidRPr="00B73B1B">
        <w:rPr>
          <w:sz w:val="22"/>
        </w:rPr>
        <w:t>update</w:t>
      </w:r>
      <w:r w:rsidR="007638FD">
        <w:rPr>
          <w:sz w:val="22"/>
        </w:rPr>
        <w:t xml:space="preserve"> on</w:t>
      </w:r>
      <w:r w:rsidRPr="00B73B1B">
        <w:rPr>
          <w:sz w:val="22"/>
        </w:rPr>
        <w:t xml:space="preserve"> </w:t>
      </w:r>
      <w:r w:rsidR="007638FD">
        <w:rPr>
          <w:sz w:val="22"/>
        </w:rPr>
        <w:t>its progress to</w:t>
      </w:r>
      <w:r w:rsidRPr="00B73B1B">
        <w:rPr>
          <w:sz w:val="22"/>
        </w:rPr>
        <w:t xml:space="preserve"> improve</w:t>
      </w:r>
      <w:r w:rsidR="007638FD">
        <w:rPr>
          <w:sz w:val="22"/>
        </w:rPr>
        <w:t xml:space="preserve"> the</w:t>
      </w:r>
      <w:r w:rsidRPr="00B73B1B">
        <w:rPr>
          <w:sz w:val="22"/>
        </w:rPr>
        <w:t xml:space="preserve"> </w:t>
      </w:r>
      <w:r w:rsidR="000D402C" w:rsidRPr="00B73B1B">
        <w:rPr>
          <w:sz w:val="22"/>
        </w:rPr>
        <w:t>control of</w:t>
      </w:r>
      <w:r w:rsidR="007638FD">
        <w:rPr>
          <w:sz w:val="22"/>
        </w:rPr>
        <w:t xml:space="preserve"> imported</w:t>
      </w:r>
      <w:r w:rsidR="000D402C" w:rsidRPr="00B73B1B">
        <w:rPr>
          <w:sz w:val="22"/>
        </w:rPr>
        <w:t xml:space="preserve"> products with </w:t>
      </w:r>
      <w:r w:rsidRPr="00B73B1B">
        <w:rPr>
          <w:sz w:val="22"/>
        </w:rPr>
        <w:t>ad</w:t>
      </w:r>
      <w:r w:rsidR="000D402C" w:rsidRPr="00B73B1B">
        <w:rPr>
          <w:sz w:val="22"/>
        </w:rPr>
        <w:t>ded mercury</w:t>
      </w:r>
      <w:r w:rsidR="00612874">
        <w:rPr>
          <w:sz w:val="22"/>
        </w:rPr>
        <w:t>. Chile’s custom service and Environmental Ministry will expand the tariff codes to control and monitor these types of products in greater detail.</w:t>
      </w:r>
      <w:r w:rsidR="007638FD">
        <w:rPr>
          <w:sz w:val="22"/>
        </w:rPr>
        <w:t xml:space="preserve"> </w:t>
      </w:r>
      <w:r w:rsidR="00612874">
        <w:rPr>
          <w:sz w:val="22"/>
        </w:rPr>
        <w:t xml:space="preserve"> Chile is also </w:t>
      </w:r>
      <w:r w:rsidR="007638FD">
        <w:rPr>
          <w:sz w:val="22"/>
        </w:rPr>
        <w:t>engaging with civil society to promote</w:t>
      </w:r>
      <w:r w:rsidR="000D402C" w:rsidRPr="00B73B1B">
        <w:rPr>
          <w:sz w:val="22"/>
        </w:rPr>
        <w:t xml:space="preserve"> products without added mercury</w:t>
      </w:r>
      <w:r w:rsidR="002578AA">
        <w:rPr>
          <w:sz w:val="22"/>
        </w:rPr>
        <w:t>. New Zealand shared that it is planning to implement GHS 7</w:t>
      </w:r>
      <w:r w:rsidR="000D402C" w:rsidRPr="00B73B1B">
        <w:rPr>
          <w:sz w:val="22"/>
        </w:rPr>
        <w:t xml:space="preserve"> in April 2021 </w:t>
      </w:r>
      <w:r w:rsidR="002578AA">
        <w:rPr>
          <w:sz w:val="22"/>
        </w:rPr>
        <w:t>and is</w:t>
      </w:r>
      <w:r w:rsidR="000D402C" w:rsidRPr="00B73B1B">
        <w:rPr>
          <w:sz w:val="22"/>
        </w:rPr>
        <w:t xml:space="preserve"> creating proposals to</w:t>
      </w:r>
      <w:r w:rsidR="006A6AA7">
        <w:rPr>
          <w:sz w:val="22"/>
        </w:rPr>
        <w:t xml:space="preserve"> improve processes for assessing</w:t>
      </w:r>
      <w:r w:rsidR="000D402C" w:rsidRPr="00B73B1B">
        <w:rPr>
          <w:sz w:val="22"/>
        </w:rPr>
        <w:t xml:space="preserve"> and reassessing hazardous substances. Indonesia</w:t>
      </w:r>
      <w:r w:rsidR="00011651">
        <w:rPr>
          <w:sz w:val="22"/>
        </w:rPr>
        <w:t xml:space="preserve"> highlighted</w:t>
      </w:r>
      <w:r w:rsidR="00922644">
        <w:rPr>
          <w:sz w:val="22"/>
        </w:rPr>
        <w:t xml:space="preserve"> it is </w:t>
      </w:r>
      <w:r w:rsidR="000D402C" w:rsidRPr="00B73B1B">
        <w:rPr>
          <w:sz w:val="22"/>
        </w:rPr>
        <w:t>preparing national standard</w:t>
      </w:r>
      <w:r w:rsidR="00922644">
        <w:rPr>
          <w:sz w:val="22"/>
        </w:rPr>
        <w:t>s</w:t>
      </w:r>
      <w:r w:rsidR="000D402C" w:rsidRPr="00B73B1B">
        <w:rPr>
          <w:sz w:val="22"/>
        </w:rPr>
        <w:t xml:space="preserve"> for GHS 7</w:t>
      </w:r>
      <w:r w:rsidR="0050462C">
        <w:rPr>
          <w:sz w:val="22"/>
        </w:rPr>
        <w:t xml:space="preserve"> and provided an update regarding efforts to address marine debris.</w:t>
      </w:r>
    </w:p>
    <w:p w14:paraId="3F921178" w14:textId="68BF3B41" w:rsidR="00FD0E37" w:rsidRDefault="004D7F8F" w:rsidP="00E657EB">
      <w:pPr>
        <w:pStyle w:val="Footnote"/>
        <w:ind w:firstLine="754"/>
        <w:jc w:val="both"/>
        <w:rPr>
          <w:sz w:val="22"/>
        </w:rPr>
      </w:pPr>
      <w:r w:rsidRPr="00B73B1B">
        <w:rPr>
          <w:sz w:val="22"/>
        </w:rPr>
        <w:t xml:space="preserve">The Government Co-Chair thanked all CD </w:t>
      </w:r>
      <w:r w:rsidR="005213F3" w:rsidRPr="00B73B1B">
        <w:rPr>
          <w:sz w:val="22"/>
        </w:rPr>
        <w:t xml:space="preserve">delegates for their updates. She </w:t>
      </w:r>
      <w:r w:rsidRPr="00B73B1B">
        <w:rPr>
          <w:sz w:val="22"/>
        </w:rPr>
        <w:t>reminded participants that a series of questions to help gui</w:t>
      </w:r>
      <w:r w:rsidR="005213F3" w:rsidRPr="00B73B1B">
        <w:rPr>
          <w:sz w:val="22"/>
        </w:rPr>
        <w:t xml:space="preserve">de member economy </w:t>
      </w:r>
      <w:r w:rsidR="00011651">
        <w:rPr>
          <w:sz w:val="22"/>
        </w:rPr>
        <w:t xml:space="preserve">regulatory </w:t>
      </w:r>
      <w:r w:rsidR="005213F3" w:rsidRPr="00B73B1B">
        <w:rPr>
          <w:sz w:val="22"/>
        </w:rPr>
        <w:t>submissions were provided and took a moment to see if there was</w:t>
      </w:r>
      <w:r w:rsidR="00B73B1B">
        <w:rPr>
          <w:sz w:val="22"/>
        </w:rPr>
        <w:t xml:space="preserve"> any feedback from delegates on </w:t>
      </w:r>
      <w:r w:rsidR="00011651">
        <w:rPr>
          <w:sz w:val="22"/>
        </w:rPr>
        <w:t xml:space="preserve">the </w:t>
      </w:r>
      <w:r w:rsidR="00695F9B">
        <w:rPr>
          <w:sz w:val="22"/>
        </w:rPr>
        <w:t>guiding questions</w:t>
      </w:r>
      <w:r w:rsidR="00B73B1B">
        <w:rPr>
          <w:sz w:val="22"/>
        </w:rPr>
        <w:t xml:space="preserve">. Australia noted </w:t>
      </w:r>
      <w:r w:rsidR="00F025B7">
        <w:rPr>
          <w:sz w:val="22"/>
        </w:rPr>
        <w:t xml:space="preserve">that it </w:t>
      </w:r>
      <w:r w:rsidR="00B73B1B">
        <w:rPr>
          <w:sz w:val="22"/>
        </w:rPr>
        <w:t xml:space="preserve">found the guiding questions useful. </w:t>
      </w:r>
    </w:p>
    <w:p w14:paraId="28DEFB85" w14:textId="6758878A" w:rsidR="00C33050" w:rsidRDefault="00B73B1B" w:rsidP="00E657EB">
      <w:pPr>
        <w:pStyle w:val="Footnote"/>
        <w:ind w:firstLine="754"/>
        <w:jc w:val="both"/>
        <w:rPr>
          <w:sz w:val="22"/>
        </w:rPr>
      </w:pPr>
      <w:r>
        <w:rPr>
          <w:sz w:val="22"/>
        </w:rPr>
        <w:t>Finally, the Government Co-C</w:t>
      </w:r>
      <w:r w:rsidR="00DD59E3">
        <w:rPr>
          <w:sz w:val="22"/>
        </w:rPr>
        <w:t>hair noted there is</w:t>
      </w:r>
      <w:r w:rsidR="00695F9B">
        <w:rPr>
          <w:sz w:val="22"/>
        </w:rPr>
        <w:t xml:space="preserve"> no Regulators F</w:t>
      </w:r>
      <w:r>
        <w:rPr>
          <w:sz w:val="22"/>
        </w:rPr>
        <w:t>orum</w:t>
      </w:r>
      <w:r w:rsidR="00695F9B">
        <w:rPr>
          <w:sz w:val="22"/>
        </w:rPr>
        <w:t xml:space="preserve"> Chair</w:t>
      </w:r>
      <w:r w:rsidR="00DD59E3">
        <w:rPr>
          <w:sz w:val="22"/>
        </w:rPr>
        <w:t xml:space="preserve"> and encouraged economies to consider</w:t>
      </w:r>
      <w:r w:rsidR="00695F9B">
        <w:rPr>
          <w:sz w:val="22"/>
        </w:rPr>
        <w:t xml:space="preserve"> nominating a C</w:t>
      </w:r>
      <w:r w:rsidR="00DD59E3">
        <w:rPr>
          <w:sz w:val="22"/>
        </w:rPr>
        <w:t>hair to push work forward, including deve</w:t>
      </w:r>
      <w:r w:rsidR="00695F9B">
        <w:rPr>
          <w:sz w:val="22"/>
        </w:rPr>
        <w:t>loping an action plan and building up participation in the F</w:t>
      </w:r>
      <w:r w:rsidR="00DD59E3">
        <w:rPr>
          <w:sz w:val="22"/>
        </w:rPr>
        <w:t xml:space="preserve">orum. </w:t>
      </w:r>
    </w:p>
    <w:p w14:paraId="55940974" w14:textId="77777777" w:rsidR="00D3375C" w:rsidRDefault="00D3375C" w:rsidP="00D3375C">
      <w:pPr>
        <w:pStyle w:val="Footnote"/>
        <w:ind w:firstLine="754"/>
        <w:rPr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C33050" w:rsidRPr="001F64A2" w14:paraId="52EC74A0" w14:textId="77777777" w:rsidTr="00F44CB9">
        <w:trPr>
          <w:trHeight w:val="113"/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C2A4C9D" w14:textId="7B193717" w:rsidR="00C33050" w:rsidRPr="001F64A2" w:rsidRDefault="00C33050" w:rsidP="00F44CB9">
            <w:pPr>
              <w:keepNext/>
              <w:rPr>
                <w:b/>
              </w:rPr>
            </w:pPr>
            <w:r>
              <w:rPr>
                <w:b/>
              </w:rPr>
              <w:t>9:35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1F64A2">
              <w:rPr>
                <w:b/>
              </w:rPr>
              <w:t>:</w:t>
            </w:r>
            <w:r w:rsidR="00952451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DC9D490" w14:textId="21981648" w:rsidR="00C33050" w:rsidRPr="001F64A2" w:rsidRDefault="00C33050" w:rsidP="00F44CB9">
            <w:pPr>
              <w:keepNext/>
              <w:rPr>
                <w:b/>
              </w:rPr>
            </w:pPr>
            <w:r>
              <w:rPr>
                <w:b/>
              </w:rPr>
              <w:t xml:space="preserve">REGULATORY COOPERATION AND CONVERGENCE </w:t>
            </w:r>
          </w:p>
        </w:tc>
      </w:tr>
    </w:tbl>
    <w:p w14:paraId="38F24601" w14:textId="77777777" w:rsidR="00B73B1B" w:rsidRPr="00B73B1B" w:rsidRDefault="00B73B1B" w:rsidP="000D402C">
      <w:pPr>
        <w:pStyle w:val="Footnote"/>
        <w:ind w:firstLine="754"/>
        <w:rPr>
          <w:sz w:val="22"/>
        </w:rPr>
      </w:pPr>
    </w:p>
    <w:p w14:paraId="75B416A2" w14:textId="3EFB5B9B" w:rsidR="007B6BDC" w:rsidRDefault="007B6BDC" w:rsidP="00E657EB">
      <w:pPr>
        <w:tabs>
          <w:tab w:val="left" w:pos="1440"/>
          <w:tab w:val="right" w:pos="9360"/>
        </w:tabs>
        <w:snapToGrid w:val="0"/>
        <w:ind w:left="14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Good Regulatory Practices</w:t>
      </w:r>
      <w:r w:rsidRPr="007B6BDC"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United States</w:t>
      </w:r>
    </w:p>
    <w:p w14:paraId="4FD4C399" w14:textId="77777777" w:rsidR="007B6BDC" w:rsidRDefault="007B6BDC" w:rsidP="007B6BDC">
      <w:pPr>
        <w:snapToGrid w:val="0"/>
        <w:rPr>
          <w:u w:val="single"/>
        </w:rPr>
      </w:pPr>
    </w:p>
    <w:p w14:paraId="3060AFCE" w14:textId="77777777" w:rsidR="007B6BDC" w:rsidRPr="00E657EB" w:rsidRDefault="007B6BDC" w:rsidP="007B6BDC">
      <w:pPr>
        <w:snapToGrid w:val="0"/>
        <w:rPr>
          <w:u w:val="single"/>
        </w:rPr>
      </w:pPr>
      <w:r w:rsidRPr="00E657EB">
        <w:rPr>
          <w:u w:val="single"/>
        </w:rPr>
        <w:t>Meeting Documents</w:t>
      </w:r>
    </w:p>
    <w:p w14:paraId="084548E8" w14:textId="1BCB9D10" w:rsidR="007B6BDC" w:rsidRPr="000D3671" w:rsidRDefault="009672C2" w:rsidP="00E657EB">
      <w:pPr>
        <w:pStyle w:val="ListParagraph"/>
        <w:numPr>
          <w:ilvl w:val="0"/>
          <w:numId w:val="3"/>
        </w:numPr>
        <w:autoSpaceDE w:val="0"/>
        <w:autoSpaceDN w:val="0"/>
        <w:snapToGrid w:val="0"/>
        <w:ind w:right="720"/>
        <w:jc w:val="both"/>
      </w:pPr>
      <w:hyperlink r:id="rId24" w:history="1">
        <w:r w:rsidR="001B4964" w:rsidRPr="000D3671">
          <w:rPr>
            <w:rStyle w:val="Hyperlink"/>
          </w:rPr>
          <w:t>2020/CD2/012</w:t>
        </w:r>
      </w:hyperlink>
      <w:r w:rsidR="001B4964" w:rsidRPr="000D3671">
        <w:t xml:space="preserve"> - </w:t>
      </w:r>
      <w:r w:rsidR="007B6BDC" w:rsidRPr="000D3671">
        <w:t>Good Regulatory Practices ​and Regulatory Cooperation in APEC and the Chemical Dialogue</w:t>
      </w:r>
    </w:p>
    <w:p w14:paraId="125A7D4A" w14:textId="77777777" w:rsidR="001B4964" w:rsidRPr="000D3671" w:rsidRDefault="001B4964" w:rsidP="001B4964">
      <w:pPr>
        <w:tabs>
          <w:tab w:val="left" w:pos="719"/>
          <w:tab w:val="left" w:pos="1439"/>
        </w:tabs>
      </w:pPr>
    </w:p>
    <w:p w14:paraId="6F1BB405" w14:textId="5D7D2094" w:rsidR="00FD0E37" w:rsidRDefault="009F350B" w:rsidP="00E657EB">
      <w:pPr>
        <w:tabs>
          <w:tab w:val="left" w:pos="719"/>
          <w:tab w:val="left" w:pos="1439"/>
        </w:tabs>
        <w:ind w:firstLine="720"/>
        <w:jc w:val="both"/>
      </w:pPr>
      <w:r>
        <w:t xml:space="preserve">Ms. Renee Hancher, representing the </w:t>
      </w:r>
      <w:r w:rsidR="00C43EBF">
        <w:t xml:space="preserve">Office of the </w:t>
      </w:r>
      <w:r w:rsidR="00EA1002">
        <w:t>U.S. Trade Representative</w:t>
      </w:r>
      <w:r w:rsidR="005279A9">
        <w:t>,</w:t>
      </w:r>
      <w:r w:rsidR="00EA1002">
        <w:t xml:space="preserve"> presented on good regulatory practices (GRPs) and regulatory cooperation. She noted that w</w:t>
      </w:r>
      <w:r w:rsidR="00EA1002" w:rsidRPr="00EA1002">
        <w:t>hen applied uniformly and consistently, GRPs produce more effective and efficient regulatory outcomes</w:t>
      </w:r>
      <w:r w:rsidR="00EA1002">
        <w:t>. She highlighted a number of ways GRPs support trade, including helping</w:t>
      </w:r>
      <w:r w:rsidR="00EA1002" w:rsidRPr="00EA1002">
        <w:t xml:space="preserve"> eliminate burdensome, duplicative and divergent regulatory requirements;</w:t>
      </w:r>
      <w:r w:rsidR="00EA1002">
        <w:t xml:space="preserve"> and </w:t>
      </w:r>
      <w:r w:rsidR="001500B3">
        <w:t xml:space="preserve">emphasized APEC’s role promoting GRPs through the 2002 Transparency Standards, and the 2005 APEC-OECD Checklist on Regulatory Reform, along with numerous GRP Conferences. </w:t>
      </w:r>
    </w:p>
    <w:p w14:paraId="69FAFAB1" w14:textId="77777777" w:rsidR="00D73D61" w:rsidRDefault="00D73D61" w:rsidP="00E657EB">
      <w:pPr>
        <w:tabs>
          <w:tab w:val="left" w:pos="719"/>
          <w:tab w:val="left" w:pos="1439"/>
        </w:tabs>
        <w:ind w:firstLine="720"/>
        <w:jc w:val="both"/>
      </w:pPr>
    </w:p>
    <w:p w14:paraId="5C70368F" w14:textId="3BB80599" w:rsidR="00D73D61" w:rsidRDefault="00EE0AC7" w:rsidP="00E657EB">
      <w:pPr>
        <w:tabs>
          <w:tab w:val="left" w:pos="719"/>
          <w:tab w:val="left" w:pos="1439"/>
        </w:tabs>
        <w:ind w:firstLine="720"/>
        <w:jc w:val="both"/>
      </w:pPr>
      <w:r>
        <w:t>After the presentation, the Philippines highlighted</w:t>
      </w:r>
      <w:r w:rsidR="00D73D61">
        <w:t xml:space="preserve"> their best practices in chemical regulations workshop </w:t>
      </w:r>
      <w:r>
        <w:t xml:space="preserve">which was implemented during Viet Nam’s host year </w:t>
      </w:r>
      <w:r w:rsidR="00D73D61">
        <w:t xml:space="preserve">was a very good collaboration </w:t>
      </w:r>
      <w:r>
        <w:t xml:space="preserve">with the United States and the outcome of the workshop </w:t>
      </w:r>
      <w:r w:rsidR="00D73D61">
        <w:t xml:space="preserve">gave good results. </w:t>
      </w:r>
      <w:r>
        <w:t>The Philippines suggested the CD should</w:t>
      </w:r>
      <w:r w:rsidR="00D73D61">
        <w:t xml:space="preserve"> consider</w:t>
      </w:r>
      <w:r>
        <w:t xml:space="preserve"> having this type of</w:t>
      </w:r>
      <w:r w:rsidR="00D73D61">
        <w:t xml:space="preserve"> workshop again. </w:t>
      </w:r>
      <w:r w:rsidR="00757BBB">
        <w:t xml:space="preserve">Indonesia asked if there </w:t>
      </w:r>
      <w:r>
        <w:t>was any</w:t>
      </w:r>
      <w:r w:rsidR="00757BBB">
        <w:t xml:space="preserve"> opportunity </w:t>
      </w:r>
      <w:r>
        <w:t>to participate in that type of workshop in the near future.</w:t>
      </w:r>
      <w:r w:rsidR="00757BBB">
        <w:t xml:space="preserve"> U.S. Industry thanked the United States for the presentation – noted it would</w:t>
      </w:r>
      <w:r w:rsidR="007D6D71">
        <w:t xml:space="preserve"> be useful for the CD to re-invigorate</w:t>
      </w:r>
      <w:r w:rsidR="00757BBB">
        <w:t xml:space="preserve"> GRPs not only in the</w:t>
      </w:r>
      <w:r w:rsidR="007D6D71">
        <w:t xml:space="preserve"> chemicals sector but across all sectors </w:t>
      </w:r>
      <w:r w:rsidR="00757BBB">
        <w:t>and asked New Zealand if GRPs will be a priority for their host year.</w:t>
      </w:r>
    </w:p>
    <w:p w14:paraId="4C531183" w14:textId="77777777" w:rsidR="001500B3" w:rsidRDefault="001500B3" w:rsidP="007B6BDC">
      <w:pPr>
        <w:tabs>
          <w:tab w:val="left" w:pos="719"/>
          <w:tab w:val="left" w:pos="1439"/>
        </w:tabs>
        <w:ind w:firstLine="720"/>
      </w:pPr>
    </w:p>
    <w:p w14:paraId="1AA9D2BA" w14:textId="77777777" w:rsidR="000E2B9B" w:rsidRDefault="006D5E55" w:rsidP="00E657EB">
      <w:pPr>
        <w:tabs>
          <w:tab w:val="left" w:pos="719"/>
          <w:tab w:val="left" w:pos="1439"/>
          <w:tab w:val="right" w:pos="9360"/>
        </w:tabs>
        <w:ind w:firstLine="720"/>
        <w:rPr>
          <w:rFonts w:eastAsia="Times New Roman" w:cstheme="minorHAnsi"/>
          <w:b/>
        </w:rPr>
      </w:pPr>
      <w:r w:rsidRPr="006D5E55">
        <w:rPr>
          <w:rFonts w:eastAsia="Times New Roman" w:cstheme="minorHAnsi"/>
          <w:b/>
        </w:rPr>
        <w:tab/>
      </w:r>
    </w:p>
    <w:p w14:paraId="29D3AF19" w14:textId="41D81BA8" w:rsidR="001500B3" w:rsidRDefault="006D5E55" w:rsidP="00E657EB">
      <w:pPr>
        <w:tabs>
          <w:tab w:val="left" w:pos="719"/>
          <w:tab w:val="left" w:pos="1439"/>
          <w:tab w:val="right" w:pos="9360"/>
        </w:tabs>
        <w:ind w:firstLine="720"/>
        <w:rPr>
          <w:rFonts w:eastAsia="Times New Roman" w:cstheme="minorHAnsi"/>
          <w:b/>
          <w:u w:val="single"/>
        </w:rPr>
      </w:pPr>
      <w:r w:rsidRPr="006D5E55">
        <w:rPr>
          <w:rFonts w:eastAsia="Times New Roman" w:cstheme="minorHAnsi"/>
          <w:b/>
          <w:u w:val="single"/>
        </w:rPr>
        <w:lastRenderedPageBreak/>
        <w:t>Virtual Working Group on Regulatory Cooperation and Convergence</w:t>
      </w:r>
      <w:r w:rsidRPr="006D5E55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  <w:u w:val="single"/>
        </w:rPr>
        <w:t>U.S. Industry</w:t>
      </w:r>
    </w:p>
    <w:p w14:paraId="1802DE1C" w14:textId="77777777" w:rsidR="006D5E55" w:rsidRDefault="006D5E55" w:rsidP="007B6BDC">
      <w:pPr>
        <w:tabs>
          <w:tab w:val="left" w:pos="719"/>
          <w:tab w:val="left" w:pos="1439"/>
        </w:tabs>
        <w:ind w:firstLine="720"/>
        <w:rPr>
          <w:rFonts w:eastAsia="Times New Roman" w:cstheme="minorHAnsi"/>
          <w:b/>
          <w:u w:val="single"/>
        </w:rPr>
      </w:pPr>
    </w:p>
    <w:p w14:paraId="694472FF" w14:textId="77777777" w:rsidR="006D5E55" w:rsidRPr="00E657EB" w:rsidRDefault="006D5E55" w:rsidP="006D5E55">
      <w:pPr>
        <w:snapToGrid w:val="0"/>
        <w:rPr>
          <w:u w:val="single"/>
        </w:rPr>
      </w:pPr>
      <w:r w:rsidRPr="00E657EB">
        <w:rPr>
          <w:u w:val="single"/>
        </w:rPr>
        <w:t>Meeting Documents</w:t>
      </w:r>
    </w:p>
    <w:p w14:paraId="52461A33" w14:textId="4530C9AC" w:rsidR="006D5E55" w:rsidRPr="000D3671" w:rsidRDefault="009672C2" w:rsidP="00E657EB">
      <w:pPr>
        <w:pStyle w:val="ListParagraph"/>
        <w:numPr>
          <w:ilvl w:val="0"/>
          <w:numId w:val="22"/>
        </w:numPr>
        <w:ind w:right="576"/>
        <w:jc w:val="both"/>
      </w:pPr>
      <w:hyperlink r:id="rId25" w:history="1">
        <w:r w:rsidR="001B4964" w:rsidRPr="000D3671">
          <w:rPr>
            <w:rStyle w:val="Hyperlink"/>
          </w:rPr>
          <w:t>2020/CD2/013</w:t>
        </w:r>
      </w:hyperlink>
      <w:r w:rsidR="001B4964" w:rsidRPr="000D3671">
        <w:t xml:space="preserve"> - </w:t>
      </w:r>
      <w:r w:rsidR="00E6633C" w:rsidRPr="000D3671">
        <w:t xml:space="preserve">Virtual Working Group on Regulatory Cooperation and Convergence - Report to the APEC Chemical Dialogue </w:t>
      </w:r>
      <w:r w:rsidR="00E6633C" w:rsidRPr="000D3671">
        <w:cr/>
      </w:r>
      <w:hyperlink r:id="rId26" w:history="1">
        <w:r w:rsidR="001B4964" w:rsidRPr="000D3671">
          <w:rPr>
            <w:rStyle w:val="Hyperlink"/>
          </w:rPr>
          <w:t>2020/CD2/02</w:t>
        </w:r>
        <w:r w:rsidR="0036261E" w:rsidRPr="000D3671">
          <w:rPr>
            <w:rStyle w:val="Hyperlink"/>
          </w:rPr>
          <w:t>0</w:t>
        </w:r>
      </w:hyperlink>
      <w:r w:rsidR="001B4964" w:rsidRPr="000D3671">
        <w:t xml:space="preserve"> </w:t>
      </w:r>
      <w:r w:rsidR="00E6633C" w:rsidRPr="000D3671">
        <w:t>–</w:t>
      </w:r>
      <w:r w:rsidR="001B4964" w:rsidRPr="000D3671">
        <w:t xml:space="preserve"> </w:t>
      </w:r>
      <w:r w:rsidR="00E6633C" w:rsidRPr="000D3671">
        <w:t xml:space="preserve">APEC Chemical Dialogue: </w:t>
      </w:r>
      <w:r w:rsidR="006D5E55" w:rsidRPr="000D3671">
        <w:t>Regulatory Cooperation Report</w:t>
      </w:r>
    </w:p>
    <w:p w14:paraId="0863A8AE" w14:textId="77777777" w:rsidR="00790C61" w:rsidRPr="000D3671" w:rsidRDefault="00790C61" w:rsidP="00E657EB">
      <w:pPr>
        <w:autoSpaceDE w:val="0"/>
        <w:autoSpaceDN w:val="0"/>
        <w:snapToGrid w:val="0"/>
        <w:ind w:right="576"/>
        <w:jc w:val="both"/>
      </w:pPr>
    </w:p>
    <w:p w14:paraId="731FB05A" w14:textId="33775D6C" w:rsidR="00790C61" w:rsidRPr="00E657EB" w:rsidRDefault="00790C61" w:rsidP="00E657EB">
      <w:pPr>
        <w:autoSpaceDE w:val="0"/>
        <w:autoSpaceDN w:val="0"/>
        <w:snapToGrid w:val="0"/>
        <w:ind w:right="576"/>
        <w:jc w:val="both"/>
      </w:pPr>
      <w:r w:rsidRPr="00E657EB">
        <w:rPr>
          <w:u w:val="single"/>
        </w:rPr>
        <w:t>Action Items</w:t>
      </w:r>
      <w:r w:rsidRPr="00E657EB">
        <w:t xml:space="preserve">: </w:t>
      </w:r>
      <w:r w:rsidRPr="000D3671">
        <w:t>The CD</w:t>
      </w:r>
      <w:r w:rsidR="000D3671">
        <w:t>:</w:t>
      </w:r>
      <w:r w:rsidRPr="00E657EB">
        <w:t xml:space="preserve"> </w:t>
      </w:r>
    </w:p>
    <w:p w14:paraId="01CFF0A1" w14:textId="515E7295" w:rsidR="00F26AB0" w:rsidRDefault="00F26AB0" w:rsidP="00E657EB">
      <w:pPr>
        <w:pStyle w:val="ListParagraph"/>
        <w:numPr>
          <w:ilvl w:val="0"/>
          <w:numId w:val="16"/>
        </w:numPr>
        <w:ind w:right="576"/>
        <w:jc w:val="both"/>
      </w:pPr>
      <w:r w:rsidRPr="000D3671">
        <w:t>Encouraged</w:t>
      </w:r>
      <w:r>
        <w:t xml:space="preserve"> economies to contribute to the Regulatory Cooperation Report by November 19</w:t>
      </w:r>
      <w:r w:rsidRPr="00E657EB">
        <w:rPr>
          <w:vertAlign w:val="superscript"/>
        </w:rPr>
        <w:t>th</w:t>
      </w:r>
    </w:p>
    <w:p w14:paraId="214F083D" w14:textId="4CE15CFE" w:rsidR="00F26AB0" w:rsidRDefault="00F26AB0" w:rsidP="00E657EB">
      <w:pPr>
        <w:pStyle w:val="ListParagraph"/>
        <w:numPr>
          <w:ilvl w:val="0"/>
          <w:numId w:val="16"/>
        </w:numPr>
        <w:ind w:right="576"/>
        <w:jc w:val="both"/>
      </w:pPr>
      <w:r>
        <w:t xml:space="preserve">Called for nominations for government Co-Chair of the VWG on Regulatory Cooperation and Convergence </w:t>
      </w:r>
    </w:p>
    <w:p w14:paraId="5741C040" w14:textId="77777777" w:rsidR="00790C61" w:rsidRDefault="00790C61" w:rsidP="00790C61">
      <w:pPr>
        <w:pStyle w:val="ListParagraph"/>
        <w:ind w:left="720"/>
      </w:pPr>
    </w:p>
    <w:p w14:paraId="401DA50D" w14:textId="1AF3F80D" w:rsidR="006D5E55" w:rsidRDefault="00294099" w:rsidP="00E657EB">
      <w:pPr>
        <w:snapToGrid w:val="0"/>
        <w:ind w:firstLine="720"/>
        <w:jc w:val="both"/>
      </w:pPr>
      <w:r>
        <w:t xml:space="preserve">Mr. Ed </w:t>
      </w:r>
      <w:proofErr w:type="spellStart"/>
      <w:r>
        <w:t>Brzytwa</w:t>
      </w:r>
      <w:proofErr w:type="spellEnd"/>
      <w:r>
        <w:t xml:space="preserve"> of the American Chemistry Council and industry </w:t>
      </w:r>
      <w:proofErr w:type="spellStart"/>
      <w:r>
        <w:t>co-chair</w:t>
      </w:r>
      <w:proofErr w:type="spellEnd"/>
      <w:r>
        <w:t xml:space="preserve"> of the </w:t>
      </w:r>
      <w:r w:rsidR="006D5E55">
        <w:t>V</w:t>
      </w:r>
      <w:r w:rsidR="00833C49">
        <w:t xml:space="preserve">irtual </w:t>
      </w:r>
      <w:r w:rsidR="006D5E55">
        <w:t>W</w:t>
      </w:r>
      <w:r w:rsidR="00833C49">
        <w:t xml:space="preserve">orking </w:t>
      </w:r>
      <w:r w:rsidR="006D5E55">
        <w:t>G</w:t>
      </w:r>
      <w:r w:rsidR="00833C49">
        <w:t>roup on Regulatory C</w:t>
      </w:r>
      <w:r w:rsidR="006D5E55">
        <w:t>ooperation</w:t>
      </w:r>
      <w:r w:rsidR="00833C49">
        <w:t xml:space="preserve"> </w:t>
      </w:r>
      <w:r w:rsidR="00E6633C">
        <w:t xml:space="preserve">and Convergence </w:t>
      </w:r>
      <w:r w:rsidR="00833C49">
        <w:t>(VWGRCC)</w:t>
      </w:r>
      <w:r w:rsidR="006D5E55">
        <w:t xml:space="preserve"> </w:t>
      </w:r>
      <w:r w:rsidR="00833C49">
        <w:t xml:space="preserve">provided a summary of the latest VWGRCC meeting and its focus on two initiatives, including the APEC CD Report on Regulatory Cooperation and the Risk Assessment Workshop.  He noted the </w:t>
      </w:r>
      <w:r w:rsidR="00E81D34">
        <w:t xml:space="preserve">draft </w:t>
      </w:r>
      <w:r w:rsidR="00833C49">
        <w:t xml:space="preserve">Regulatory Cooperation Report </w:t>
      </w:r>
      <w:r w:rsidR="00E81D34">
        <w:t xml:space="preserve">was distributed to CD participants </w:t>
      </w:r>
      <w:r w:rsidR="006E2930">
        <w:t>on November 4</w:t>
      </w:r>
      <w:r w:rsidR="006E2930" w:rsidRPr="006E2930">
        <w:rPr>
          <w:vertAlign w:val="superscript"/>
        </w:rPr>
        <w:t>th</w:t>
      </w:r>
      <w:r w:rsidR="006E2930">
        <w:t xml:space="preserve"> </w:t>
      </w:r>
      <w:r w:rsidR="00E81D34">
        <w:t>and reminded participants</w:t>
      </w:r>
      <w:r w:rsidR="006E2930">
        <w:t xml:space="preserve"> they</w:t>
      </w:r>
      <w:r w:rsidR="00E81D34">
        <w:t xml:space="preserve"> have until November 19</w:t>
      </w:r>
      <w:r w:rsidR="00E81D34" w:rsidRPr="00E81D34">
        <w:rPr>
          <w:vertAlign w:val="superscript"/>
        </w:rPr>
        <w:t>th</w:t>
      </w:r>
      <w:r w:rsidR="00E81D34">
        <w:t xml:space="preserve"> to provide edits to the document. </w:t>
      </w:r>
      <w:r w:rsidR="00083C21">
        <w:t xml:space="preserve">He highlighted the best practices within the report </w:t>
      </w:r>
      <w:r w:rsidR="00D3375C">
        <w:t xml:space="preserve">and noted these best practices will become the foundation for a </w:t>
      </w:r>
      <w:r w:rsidR="00E6633C">
        <w:t>t</w:t>
      </w:r>
      <w:r w:rsidR="00D3375C">
        <w:t xml:space="preserve">oolkit </w:t>
      </w:r>
      <w:r w:rsidR="006E2930">
        <w:t>that will b</w:t>
      </w:r>
      <w:r w:rsidR="00D3375C">
        <w:t>e developed in 202</w:t>
      </w:r>
      <w:r w:rsidR="00E6633C">
        <w:t>1</w:t>
      </w:r>
      <w:r w:rsidR="00D3375C">
        <w:t>.</w:t>
      </w:r>
      <w:r w:rsidR="00EA10CC">
        <w:t xml:space="preserve"> </w:t>
      </w:r>
      <w:r w:rsidR="00D3375C">
        <w:t xml:space="preserve"> </w:t>
      </w:r>
    </w:p>
    <w:p w14:paraId="45D97AF4" w14:textId="77777777" w:rsidR="00F549AB" w:rsidRDefault="00F549AB" w:rsidP="00E657EB">
      <w:pPr>
        <w:snapToGrid w:val="0"/>
        <w:ind w:firstLine="720"/>
        <w:jc w:val="both"/>
      </w:pPr>
    </w:p>
    <w:p w14:paraId="434EAC98" w14:textId="7B8A2238" w:rsidR="00F549AB" w:rsidRPr="00B20F8B" w:rsidRDefault="00F549AB" w:rsidP="00E657EB">
      <w:pPr>
        <w:snapToGrid w:val="0"/>
        <w:ind w:firstLine="720"/>
        <w:jc w:val="both"/>
      </w:pPr>
      <w:r>
        <w:t xml:space="preserve">After the presentation, the Government Co-Chair noted the VWGRCC is missing a Government Co-Chair position and welcomed APEC economies to nominate </w:t>
      </w:r>
      <w:r w:rsidR="00C117DC">
        <w:t>individuals for the position.</w:t>
      </w:r>
      <w:r>
        <w:t xml:space="preserve"> </w:t>
      </w:r>
    </w:p>
    <w:p w14:paraId="410F934A" w14:textId="77777777" w:rsidR="006D5E55" w:rsidRDefault="006D5E55" w:rsidP="007B6BDC">
      <w:pPr>
        <w:tabs>
          <w:tab w:val="left" w:pos="719"/>
          <w:tab w:val="left" w:pos="1439"/>
        </w:tabs>
        <w:ind w:firstLine="720"/>
        <w:rPr>
          <w:rFonts w:eastAsia="Times New Roman" w:cstheme="minorHAnsi"/>
          <w:b/>
          <w:u w:val="single"/>
        </w:rPr>
      </w:pPr>
    </w:p>
    <w:p w14:paraId="2763BA07" w14:textId="6E3A1EF8" w:rsidR="00833C49" w:rsidRPr="00C573D8" w:rsidRDefault="00833C49" w:rsidP="00E657EB">
      <w:pPr>
        <w:tabs>
          <w:tab w:val="left" w:pos="1440"/>
          <w:tab w:val="right" w:pos="9360"/>
        </w:tabs>
        <w:snapToGrid w:val="0"/>
        <w:ind w:left="1440"/>
        <w:rPr>
          <w:b/>
          <w:bCs/>
          <w:color w:val="000000"/>
          <w:u w:val="single"/>
        </w:rPr>
      </w:pPr>
      <w:r w:rsidRPr="00C573D8">
        <w:rPr>
          <w:b/>
          <w:bCs/>
          <w:color w:val="000000"/>
          <w:u w:val="single"/>
        </w:rPr>
        <w:t>Regulatory Cooperation in ASEAN</w:t>
      </w:r>
      <w:r w:rsidRPr="00833C49">
        <w:rPr>
          <w:b/>
          <w:bCs/>
          <w:color w:val="000000"/>
        </w:rPr>
        <w:tab/>
      </w:r>
      <w:r w:rsidRPr="00E657EB">
        <w:rPr>
          <w:b/>
          <w:bCs/>
          <w:color w:val="000000"/>
          <w:u w:val="single"/>
        </w:rPr>
        <w:t>Singapore Industry</w:t>
      </w:r>
    </w:p>
    <w:p w14:paraId="2E7E911F" w14:textId="77777777" w:rsidR="00833C49" w:rsidRDefault="00833C49" w:rsidP="00833C49">
      <w:pPr>
        <w:snapToGrid w:val="0"/>
        <w:rPr>
          <w:color w:val="000000" w:themeColor="text1"/>
        </w:rPr>
      </w:pPr>
    </w:p>
    <w:p w14:paraId="48922F2C" w14:textId="77777777" w:rsidR="00833C49" w:rsidRPr="00E657EB" w:rsidRDefault="00833C49" w:rsidP="00833C49">
      <w:pPr>
        <w:snapToGrid w:val="0"/>
        <w:rPr>
          <w:u w:val="single"/>
        </w:rPr>
      </w:pPr>
      <w:r w:rsidRPr="00E657EB">
        <w:rPr>
          <w:u w:val="single"/>
        </w:rPr>
        <w:t>Meeting Documents</w:t>
      </w:r>
    </w:p>
    <w:p w14:paraId="2B288DD1" w14:textId="5B48571B" w:rsidR="00833C49" w:rsidRPr="000D3671" w:rsidRDefault="009672C2" w:rsidP="000A7351">
      <w:pPr>
        <w:pStyle w:val="ListParagraph"/>
        <w:numPr>
          <w:ilvl w:val="0"/>
          <w:numId w:val="12"/>
        </w:numPr>
        <w:autoSpaceDE w:val="0"/>
        <w:autoSpaceDN w:val="0"/>
        <w:snapToGrid w:val="0"/>
        <w:ind w:left="766" w:right="102"/>
        <w:jc w:val="both"/>
        <w:rPr>
          <w:color w:val="000000" w:themeColor="text1"/>
        </w:rPr>
      </w:pPr>
      <w:hyperlink r:id="rId27" w:history="1">
        <w:r w:rsidR="00F60118" w:rsidRPr="000D3671">
          <w:rPr>
            <w:rStyle w:val="Hyperlink"/>
            <w:bCs/>
          </w:rPr>
          <w:t>2020/CD2/015</w:t>
        </w:r>
      </w:hyperlink>
      <w:r w:rsidR="00F60118" w:rsidRPr="000D3671">
        <w:rPr>
          <w:bCs/>
          <w:color w:val="000000" w:themeColor="text1"/>
        </w:rPr>
        <w:t xml:space="preserve"> - </w:t>
      </w:r>
      <w:r w:rsidR="00833C49" w:rsidRPr="000D3671">
        <w:rPr>
          <w:bCs/>
          <w:color w:val="000000" w:themeColor="text1"/>
        </w:rPr>
        <w:t xml:space="preserve">ASEAN Regulatory Cooperation Project (ARCP) </w:t>
      </w:r>
    </w:p>
    <w:p w14:paraId="73C36AB7" w14:textId="77777777" w:rsidR="00117DE7" w:rsidRPr="000D3671" w:rsidRDefault="00117DE7" w:rsidP="00117DE7">
      <w:pPr>
        <w:autoSpaceDE w:val="0"/>
        <w:autoSpaceDN w:val="0"/>
        <w:snapToGrid w:val="0"/>
        <w:ind w:right="102"/>
        <w:jc w:val="both"/>
        <w:rPr>
          <w:color w:val="000000" w:themeColor="text1"/>
        </w:rPr>
      </w:pPr>
    </w:p>
    <w:p w14:paraId="6EFE575B" w14:textId="46C30535" w:rsidR="00117DE7" w:rsidRPr="000D3671" w:rsidRDefault="00117DE7" w:rsidP="00117DE7">
      <w:pPr>
        <w:autoSpaceDE w:val="0"/>
        <w:autoSpaceDN w:val="0"/>
        <w:snapToGrid w:val="0"/>
        <w:ind w:right="102"/>
        <w:jc w:val="both"/>
        <w:rPr>
          <w:color w:val="000000" w:themeColor="text1"/>
        </w:rPr>
      </w:pPr>
      <w:r w:rsidRPr="00E657EB">
        <w:rPr>
          <w:color w:val="000000" w:themeColor="text1"/>
          <w:u w:val="single"/>
        </w:rPr>
        <w:t>Action Item</w:t>
      </w:r>
      <w:r w:rsidRPr="000D3671">
        <w:rPr>
          <w:color w:val="000000" w:themeColor="text1"/>
        </w:rPr>
        <w:t>: The CD</w:t>
      </w:r>
      <w:r w:rsidR="000D3671">
        <w:rPr>
          <w:color w:val="000000" w:themeColor="text1"/>
        </w:rPr>
        <w:t>:</w:t>
      </w:r>
    </w:p>
    <w:p w14:paraId="2E6A3DAA" w14:textId="570A0EF6" w:rsidR="00117DE7" w:rsidRPr="00117DE7" w:rsidRDefault="00117DE7" w:rsidP="000A7351">
      <w:pPr>
        <w:pStyle w:val="ListParagraph"/>
        <w:numPr>
          <w:ilvl w:val="0"/>
          <w:numId w:val="15"/>
        </w:numPr>
        <w:autoSpaceDE w:val="0"/>
        <w:autoSpaceDN w:val="0"/>
        <w:snapToGrid w:val="0"/>
        <w:ind w:right="102"/>
        <w:jc w:val="both"/>
        <w:rPr>
          <w:color w:val="000000" w:themeColor="text1"/>
        </w:rPr>
      </w:pPr>
      <w:r w:rsidRPr="000D3671">
        <w:rPr>
          <w:color w:val="000000" w:themeColor="text1"/>
        </w:rPr>
        <w:t>Welcomed</w:t>
      </w:r>
      <w:r>
        <w:rPr>
          <w:color w:val="000000" w:themeColor="text1"/>
        </w:rPr>
        <w:t xml:space="preserve"> the report on the ASEAN</w:t>
      </w:r>
      <w:r w:rsidR="008D4CBF">
        <w:rPr>
          <w:color w:val="000000" w:themeColor="text1"/>
        </w:rPr>
        <w:t xml:space="preserve"> Regulatory Cooperation Project</w:t>
      </w:r>
    </w:p>
    <w:p w14:paraId="4DD554CE" w14:textId="77777777" w:rsidR="00833C49" w:rsidRPr="00675FA8" w:rsidRDefault="00833C49" w:rsidP="00833C49">
      <w:pPr>
        <w:snapToGrid w:val="0"/>
        <w:rPr>
          <w:color w:val="000000" w:themeColor="text1"/>
        </w:rPr>
      </w:pPr>
    </w:p>
    <w:p w14:paraId="0C23406D" w14:textId="183EF712" w:rsidR="00833C49" w:rsidRDefault="00294099" w:rsidP="00E657EB">
      <w:pPr>
        <w:snapToGrid w:val="0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Cissie Yeung</w:t>
      </w:r>
      <w:r w:rsidR="00A77B99">
        <w:rPr>
          <w:bCs/>
          <w:color w:val="000000" w:themeColor="text1"/>
        </w:rPr>
        <w:t xml:space="preserve"> from t</w:t>
      </w:r>
      <w:r w:rsidR="00EA10CC">
        <w:rPr>
          <w:bCs/>
          <w:color w:val="000000" w:themeColor="text1"/>
        </w:rPr>
        <w:t xml:space="preserve">he </w:t>
      </w:r>
      <w:r w:rsidR="00EA10CC" w:rsidRPr="00E657EB">
        <w:rPr>
          <w:bCs/>
          <w:color w:val="000000" w:themeColor="text1"/>
        </w:rPr>
        <w:t>Singapore Chemical Industry Council (SCIC)</w:t>
      </w:r>
      <w:r w:rsidR="00EA10CC">
        <w:rPr>
          <w:bCs/>
          <w:color w:val="000000" w:themeColor="text1"/>
        </w:rPr>
        <w:t xml:space="preserve"> </w:t>
      </w:r>
      <w:r w:rsidR="00A77B99">
        <w:rPr>
          <w:bCs/>
          <w:color w:val="000000" w:themeColor="text1"/>
        </w:rPr>
        <w:t>p</w:t>
      </w:r>
      <w:r w:rsidR="00117DE7">
        <w:rPr>
          <w:bCs/>
          <w:color w:val="000000" w:themeColor="text1"/>
        </w:rPr>
        <w:t>rovided an update on the ASEAN R</w:t>
      </w:r>
      <w:r w:rsidR="00A77B99">
        <w:rPr>
          <w:bCs/>
          <w:color w:val="000000" w:themeColor="text1"/>
        </w:rPr>
        <w:t>egulatory Cooperation Project</w:t>
      </w:r>
      <w:r w:rsidR="005D30E1">
        <w:rPr>
          <w:bCs/>
          <w:color w:val="000000" w:themeColor="text1"/>
        </w:rPr>
        <w:t xml:space="preserve"> (ARCP)</w:t>
      </w:r>
      <w:r w:rsidR="00A77B99">
        <w:rPr>
          <w:bCs/>
          <w:color w:val="000000" w:themeColor="text1"/>
        </w:rPr>
        <w:t xml:space="preserve">. </w:t>
      </w:r>
      <w:r w:rsidR="00847BEC" w:rsidRPr="00E657EB">
        <w:rPr>
          <w:bCs/>
          <w:color w:val="000000" w:themeColor="text1"/>
        </w:rPr>
        <w:t>SCIC</w:t>
      </w:r>
      <w:r w:rsidR="00847BEC">
        <w:rPr>
          <w:bCs/>
          <w:color w:val="000000" w:themeColor="text1"/>
        </w:rPr>
        <w:t xml:space="preserve"> noted </w:t>
      </w:r>
      <w:r w:rsidR="005D30E1">
        <w:rPr>
          <w:bCs/>
          <w:color w:val="000000" w:themeColor="text1"/>
        </w:rPr>
        <w:t xml:space="preserve">the ARCP is an </w:t>
      </w:r>
      <w:r w:rsidR="005D30E1" w:rsidRPr="005D30E1">
        <w:rPr>
          <w:bCs/>
          <w:color w:val="000000" w:themeColor="text1"/>
        </w:rPr>
        <w:t>initiative of the International Council of Chemical Associations (ICCA)’s Global Regulatory Cooperation Task Force (GRC TF)</w:t>
      </w:r>
      <w:r w:rsidR="005D30E1">
        <w:rPr>
          <w:bCs/>
          <w:color w:val="000000" w:themeColor="text1"/>
        </w:rPr>
        <w:t xml:space="preserve"> which aims to a</w:t>
      </w:r>
      <w:r w:rsidR="005D30E1" w:rsidRPr="005D30E1">
        <w:rPr>
          <w:bCs/>
          <w:color w:val="000000" w:themeColor="text1"/>
        </w:rPr>
        <w:t>dd</w:t>
      </w:r>
      <w:r w:rsidR="00373A04">
        <w:rPr>
          <w:bCs/>
          <w:color w:val="000000" w:themeColor="text1"/>
        </w:rPr>
        <w:t xml:space="preserve">ress non-tariff barriers </w:t>
      </w:r>
      <w:r w:rsidR="005D30E1" w:rsidRPr="005D30E1">
        <w:rPr>
          <w:bCs/>
          <w:color w:val="000000" w:themeColor="text1"/>
        </w:rPr>
        <w:t>by encouraging regulatory cooperation and convergence</w:t>
      </w:r>
      <w:r w:rsidR="005D30E1">
        <w:rPr>
          <w:bCs/>
          <w:color w:val="000000" w:themeColor="text1"/>
        </w:rPr>
        <w:t>.</w:t>
      </w:r>
      <w:r w:rsidR="001D6C8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She </w:t>
      </w:r>
      <w:r w:rsidR="001D6C88">
        <w:rPr>
          <w:bCs/>
          <w:color w:val="000000" w:themeColor="text1"/>
        </w:rPr>
        <w:t xml:space="preserve">highlighted </w:t>
      </w:r>
      <w:r>
        <w:rPr>
          <w:bCs/>
          <w:color w:val="000000" w:themeColor="text1"/>
        </w:rPr>
        <w:t>three</w:t>
      </w:r>
      <w:r w:rsidR="001D6C88">
        <w:rPr>
          <w:bCs/>
          <w:color w:val="000000" w:themeColor="text1"/>
        </w:rPr>
        <w:t xml:space="preserve"> key areas of focus for the project, including GHS, </w:t>
      </w:r>
      <w:r>
        <w:rPr>
          <w:bCs/>
          <w:color w:val="000000" w:themeColor="text1"/>
        </w:rPr>
        <w:t>c</w:t>
      </w:r>
      <w:r w:rsidR="001D6C88">
        <w:rPr>
          <w:bCs/>
          <w:color w:val="000000" w:themeColor="text1"/>
        </w:rPr>
        <w:t xml:space="preserve">hemical </w:t>
      </w:r>
      <w:r>
        <w:rPr>
          <w:bCs/>
          <w:color w:val="000000" w:themeColor="text1"/>
        </w:rPr>
        <w:t>i</w:t>
      </w:r>
      <w:r w:rsidR="001D6C88">
        <w:rPr>
          <w:bCs/>
          <w:color w:val="000000" w:themeColor="text1"/>
        </w:rPr>
        <w:t xml:space="preserve">nventory, and </w:t>
      </w:r>
      <w:r>
        <w:rPr>
          <w:bCs/>
          <w:color w:val="000000" w:themeColor="text1"/>
        </w:rPr>
        <w:t>r</w:t>
      </w:r>
      <w:r w:rsidR="001D6C88">
        <w:rPr>
          <w:bCs/>
          <w:color w:val="000000" w:themeColor="text1"/>
        </w:rPr>
        <w:t xml:space="preserve">isk </w:t>
      </w:r>
      <w:r>
        <w:rPr>
          <w:bCs/>
          <w:color w:val="000000" w:themeColor="text1"/>
        </w:rPr>
        <w:t>a</w:t>
      </w:r>
      <w:r w:rsidR="001D6C88">
        <w:rPr>
          <w:bCs/>
          <w:color w:val="000000" w:themeColor="text1"/>
        </w:rPr>
        <w:t>ssessment. She also emphasized key accomplishment</w:t>
      </w:r>
      <w:r w:rsidR="00373A04">
        <w:rPr>
          <w:bCs/>
          <w:color w:val="000000" w:themeColor="text1"/>
        </w:rPr>
        <w:t>s</w:t>
      </w:r>
      <w:r w:rsidR="001D6C88">
        <w:rPr>
          <w:bCs/>
          <w:color w:val="000000" w:themeColor="text1"/>
        </w:rPr>
        <w:t>, including the d</w:t>
      </w:r>
      <w:r w:rsidR="001D6C88" w:rsidRPr="001D6C88">
        <w:rPr>
          <w:bCs/>
          <w:color w:val="000000" w:themeColor="text1"/>
        </w:rPr>
        <w:t xml:space="preserve">evelopment of </w:t>
      </w:r>
      <w:r w:rsidR="00373A04">
        <w:rPr>
          <w:bCs/>
          <w:color w:val="000000" w:themeColor="text1"/>
        </w:rPr>
        <w:t>the ASEAN Guidance D</w:t>
      </w:r>
      <w:r w:rsidR="001D6C88" w:rsidRPr="001D6C88">
        <w:rPr>
          <w:bCs/>
          <w:color w:val="000000" w:themeColor="text1"/>
        </w:rPr>
        <w:t>ocument for ASEAN Member State</w:t>
      </w:r>
      <w:r w:rsidR="001D6C88">
        <w:rPr>
          <w:bCs/>
          <w:color w:val="000000" w:themeColor="text1"/>
        </w:rPr>
        <w:t>s and the establishment of an effective ASEAN Member State</w:t>
      </w:r>
      <w:r w:rsidR="00373A04">
        <w:rPr>
          <w:bCs/>
          <w:color w:val="000000" w:themeColor="text1"/>
        </w:rPr>
        <w:t xml:space="preserve"> N</w:t>
      </w:r>
      <w:r w:rsidR="001D6C88" w:rsidRPr="001D6C88">
        <w:rPr>
          <w:bCs/>
          <w:color w:val="000000" w:themeColor="text1"/>
        </w:rPr>
        <w:t>etwork on regular exchanges of updates on chemical regulatory management</w:t>
      </w:r>
      <w:r w:rsidR="00F549AB">
        <w:rPr>
          <w:bCs/>
          <w:color w:val="000000" w:themeColor="text1"/>
        </w:rPr>
        <w:t>.</w:t>
      </w:r>
    </w:p>
    <w:p w14:paraId="325CB953" w14:textId="77777777" w:rsidR="00F60118" w:rsidRDefault="00F60118" w:rsidP="00E657EB">
      <w:pPr>
        <w:snapToGrid w:val="0"/>
        <w:ind w:firstLine="720"/>
        <w:jc w:val="both"/>
        <w:rPr>
          <w:bCs/>
          <w:color w:val="000000" w:themeColor="text1"/>
        </w:rPr>
      </w:pPr>
    </w:p>
    <w:p w14:paraId="2A3E679E" w14:textId="06697594" w:rsidR="00F60118" w:rsidRPr="008B30E1" w:rsidRDefault="00F60118" w:rsidP="00E657EB">
      <w:pPr>
        <w:snapToGrid w:val="0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U.S. Industry thanked SCIC for their great work on the ARCP and noted it looked forward to in-perso</w:t>
      </w:r>
      <w:r w:rsidR="00117DE7">
        <w:rPr>
          <w:bCs/>
          <w:color w:val="000000" w:themeColor="text1"/>
        </w:rPr>
        <w:t xml:space="preserve">n APEC meetings </w:t>
      </w:r>
      <w:r w:rsidR="00373A04">
        <w:rPr>
          <w:bCs/>
          <w:color w:val="000000" w:themeColor="text1"/>
        </w:rPr>
        <w:t xml:space="preserve">on the topic </w:t>
      </w:r>
      <w:r w:rsidR="00117DE7">
        <w:rPr>
          <w:bCs/>
          <w:color w:val="000000" w:themeColor="text1"/>
        </w:rPr>
        <w:t>in 2022. They also m</w:t>
      </w:r>
      <w:r>
        <w:rPr>
          <w:bCs/>
          <w:color w:val="000000" w:themeColor="text1"/>
        </w:rPr>
        <w:t xml:space="preserve">ade a suggestion to put a </w:t>
      </w:r>
      <w:r w:rsidR="00117DE7">
        <w:rPr>
          <w:bCs/>
          <w:color w:val="000000" w:themeColor="text1"/>
        </w:rPr>
        <w:t>“</w:t>
      </w:r>
      <w:r>
        <w:rPr>
          <w:bCs/>
          <w:color w:val="000000" w:themeColor="text1"/>
        </w:rPr>
        <w:t>m</w:t>
      </w:r>
      <w:r w:rsidR="00117DE7">
        <w:rPr>
          <w:bCs/>
          <w:color w:val="000000" w:themeColor="text1"/>
        </w:rPr>
        <w:t>arker</w:t>
      </w:r>
      <w:r>
        <w:rPr>
          <w:bCs/>
          <w:color w:val="000000" w:themeColor="text1"/>
        </w:rPr>
        <w:t xml:space="preserve"> down</w:t>
      </w:r>
      <w:r w:rsidR="00117DE7">
        <w:rPr>
          <w:bCs/>
          <w:color w:val="000000" w:themeColor="text1"/>
        </w:rPr>
        <w:t>”</w:t>
      </w:r>
      <w:r>
        <w:rPr>
          <w:bCs/>
          <w:color w:val="000000" w:themeColor="text1"/>
        </w:rPr>
        <w:t xml:space="preserve"> for regulatory cooperation in ASEAN during the APEC Thailand 2022</w:t>
      </w:r>
      <w:r w:rsidR="00294099">
        <w:rPr>
          <w:bCs/>
          <w:color w:val="000000" w:themeColor="text1"/>
        </w:rPr>
        <w:t xml:space="preserve"> host year</w:t>
      </w:r>
      <w:r w:rsidR="00117DE7">
        <w:rPr>
          <w:bCs/>
          <w:color w:val="000000" w:themeColor="text1"/>
        </w:rPr>
        <w:t xml:space="preserve"> to discuss th</w:t>
      </w:r>
      <w:r w:rsidR="00C417D6">
        <w:rPr>
          <w:bCs/>
          <w:color w:val="000000" w:themeColor="text1"/>
        </w:rPr>
        <w:t>e</w:t>
      </w:r>
      <w:r w:rsidR="00117DE7">
        <w:rPr>
          <w:bCs/>
          <w:color w:val="000000" w:themeColor="text1"/>
        </w:rPr>
        <w:t xml:space="preserve"> issue further</w:t>
      </w:r>
      <w:r>
        <w:rPr>
          <w:bCs/>
          <w:color w:val="000000" w:themeColor="text1"/>
        </w:rPr>
        <w:t xml:space="preserve">. </w:t>
      </w:r>
      <w:r w:rsidR="00373A04">
        <w:rPr>
          <w:bCs/>
          <w:color w:val="000000" w:themeColor="text1"/>
        </w:rPr>
        <w:t>Australia asked</w:t>
      </w:r>
      <w:r w:rsidR="00117DE7">
        <w:rPr>
          <w:bCs/>
          <w:color w:val="000000" w:themeColor="text1"/>
        </w:rPr>
        <w:t xml:space="preserve"> how confidential business information (CBI) is protected. </w:t>
      </w:r>
      <w:r w:rsidR="00117DE7" w:rsidRPr="00E657EB">
        <w:rPr>
          <w:bCs/>
          <w:color w:val="000000" w:themeColor="text1"/>
        </w:rPr>
        <w:t>SCIC</w:t>
      </w:r>
      <w:r w:rsidR="00117DE7">
        <w:rPr>
          <w:bCs/>
          <w:color w:val="000000" w:themeColor="text1"/>
        </w:rPr>
        <w:t xml:space="preserve"> noted it included CBI protection in their ASEAN Guidance Document. </w:t>
      </w:r>
    </w:p>
    <w:p w14:paraId="49C3824C" w14:textId="77777777" w:rsidR="00833C49" w:rsidRDefault="00833C49" w:rsidP="007B6BDC">
      <w:pPr>
        <w:tabs>
          <w:tab w:val="left" w:pos="719"/>
          <w:tab w:val="left" w:pos="1439"/>
        </w:tabs>
        <w:ind w:firstLine="720"/>
        <w:rPr>
          <w:rFonts w:eastAsia="Times New Roman" w:cstheme="minorHAnsi"/>
          <w:b/>
          <w:u w:val="single"/>
        </w:rPr>
      </w:pPr>
    </w:p>
    <w:p w14:paraId="14DE388B" w14:textId="54416B97" w:rsidR="00F60118" w:rsidRPr="00A6682D" w:rsidRDefault="00F60118" w:rsidP="00E657EB">
      <w:pPr>
        <w:keepNext/>
        <w:tabs>
          <w:tab w:val="left" w:pos="1440"/>
          <w:tab w:val="right" w:pos="9360"/>
        </w:tabs>
        <w:snapToGrid w:val="0"/>
        <w:ind w:left="1440"/>
        <w:rPr>
          <w:b/>
          <w:bCs/>
          <w:color w:val="000000"/>
          <w:u w:val="single"/>
        </w:rPr>
      </w:pPr>
      <w:r w:rsidRPr="00A6682D">
        <w:rPr>
          <w:b/>
          <w:bCs/>
          <w:color w:val="000000"/>
          <w:u w:val="single"/>
        </w:rPr>
        <w:lastRenderedPageBreak/>
        <w:t>Risk Assessments Project</w:t>
      </w:r>
      <w:r w:rsidR="00F025B7"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U.S. Industry</w:t>
      </w:r>
    </w:p>
    <w:p w14:paraId="65C0913F" w14:textId="77777777" w:rsidR="00F60118" w:rsidRDefault="00F60118" w:rsidP="00E657EB">
      <w:pPr>
        <w:keepNext/>
        <w:snapToGrid w:val="0"/>
        <w:rPr>
          <w:b/>
        </w:rPr>
      </w:pPr>
    </w:p>
    <w:p w14:paraId="279110E7" w14:textId="77777777" w:rsidR="00F60118" w:rsidRPr="00375301" w:rsidRDefault="00F60118" w:rsidP="00E657EB">
      <w:pPr>
        <w:keepNext/>
        <w:snapToGrid w:val="0"/>
        <w:rPr>
          <w:u w:val="single"/>
        </w:rPr>
      </w:pPr>
      <w:r w:rsidRPr="00375301">
        <w:rPr>
          <w:u w:val="single"/>
        </w:rPr>
        <w:t>Meeting Documents</w:t>
      </w:r>
    </w:p>
    <w:p w14:paraId="034240CB" w14:textId="048B4771" w:rsidR="00F60118" w:rsidRDefault="009672C2" w:rsidP="00E657EB">
      <w:pPr>
        <w:pStyle w:val="ListParagraph"/>
        <w:keepNext/>
        <w:numPr>
          <w:ilvl w:val="0"/>
          <w:numId w:val="3"/>
        </w:numPr>
        <w:autoSpaceDE w:val="0"/>
        <w:autoSpaceDN w:val="0"/>
        <w:snapToGrid w:val="0"/>
        <w:ind w:right="576"/>
        <w:jc w:val="both"/>
      </w:pPr>
      <w:hyperlink r:id="rId28" w:history="1">
        <w:r w:rsidR="00F44CB9" w:rsidRPr="00C417D6">
          <w:rPr>
            <w:rStyle w:val="Hyperlink"/>
          </w:rPr>
          <w:t>2020/CD2/014</w:t>
        </w:r>
      </w:hyperlink>
      <w:r w:rsidR="00F44CB9">
        <w:t xml:space="preserve"> - </w:t>
      </w:r>
      <w:r w:rsidR="00C417D6">
        <w:t>APEC Chemical Dialogue Risk Challenge Virtual Workshop Project: CD 01 2020T</w:t>
      </w:r>
      <w:r w:rsidR="00C417D6" w:rsidRPr="00291E49" w:rsidDel="00C417D6">
        <w:t xml:space="preserve"> </w:t>
      </w:r>
    </w:p>
    <w:p w14:paraId="37ECCA23" w14:textId="77777777" w:rsidR="008D4CBF" w:rsidRDefault="008D4CBF" w:rsidP="00E657EB">
      <w:pPr>
        <w:keepNext/>
        <w:autoSpaceDE w:val="0"/>
        <w:autoSpaceDN w:val="0"/>
        <w:snapToGrid w:val="0"/>
        <w:ind w:right="576"/>
        <w:jc w:val="both"/>
      </w:pPr>
    </w:p>
    <w:p w14:paraId="2AE45C17" w14:textId="6E407192" w:rsidR="008D4CBF" w:rsidRPr="000D3671" w:rsidRDefault="008D4CBF" w:rsidP="00E657EB">
      <w:pPr>
        <w:keepNext/>
        <w:autoSpaceDE w:val="0"/>
        <w:autoSpaceDN w:val="0"/>
        <w:snapToGrid w:val="0"/>
        <w:ind w:right="576"/>
        <w:jc w:val="both"/>
      </w:pPr>
      <w:r w:rsidRPr="00E657EB">
        <w:rPr>
          <w:u w:val="single"/>
        </w:rPr>
        <w:t>Action Item</w:t>
      </w:r>
      <w:r w:rsidRPr="000D3671">
        <w:t>: The CD</w:t>
      </w:r>
      <w:r w:rsidR="000D3671">
        <w:t>:</w:t>
      </w:r>
    </w:p>
    <w:p w14:paraId="42A8BD0C" w14:textId="1F5EC230" w:rsidR="008D4CBF" w:rsidRPr="008454C3" w:rsidRDefault="008D4CBF" w:rsidP="00E657EB">
      <w:pPr>
        <w:pStyle w:val="ListParagraph"/>
        <w:keepNext/>
        <w:numPr>
          <w:ilvl w:val="0"/>
          <w:numId w:val="15"/>
        </w:numPr>
        <w:ind w:right="576"/>
        <w:jc w:val="both"/>
      </w:pPr>
      <w:r w:rsidRPr="000D3671">
        <w:t>Encouraged</w:t>
      </w:r>
      <w:r w:rsidRPr="008D4CBF">
        <w:t xml:space="preserve"> all delegates interested in participati</w:t>
      </w:r>
      <w:r w:rsidR="00C417D6">
        <w:t>ng</w:t>
      </w:r>
      <w:r w:rsidRPr="008D4CBF">
        <w:t xml:space="preserve"> in the virtual </w:t>
      </w:r>
      <w:r w:rsidR="00C417D6">
        <w:t>r</w:t>
      </w:r>
      <w:r w:rsidRPr="008D4CBF">
        <w:t xml:space="preserve">isk </w:t>
      </w:r>
      <w:r w:rsidR="00C417D6">
        <w:t>a</w:t>
      </w:r>
      <w:r w:rsidRPr="008D4CBF">
        <w:t xml:space="preserve">ssessment project to register that interest with the project overseers. </w:t>
      </w:r>
    </w:p>
    <w:p w14:paraId="1FBC5B2E" w14:textId="77777777" w:rsidR="00F60118" w:rsidRDefault="00F60118" w:rsidP="00F60118">
      <w:pPr>
        <w:snapToGrid w:val="0"/>
        <w:rPr>
          <w:b/>
          <w:u w:val="single"/>
        </w:rPr>
      </w:pPr>
    </w:p>
    <w:p w14:paraId="4BA02B96" w14:textId="57CAE5D8" w:rsidR="00EF6594" w:rsidRDefault="00C417D6" w:rsidP="00E657EB">
      <w:pPr>
        <w:snapToGrid w:val="0"/>
        <w:ind w:firstLine="720"/>
        <w:jc w:val="both"/>
      </w:pPr>
      <w:r>
        <w:t xml:space="preserve">Several </w:t>
      </w:r>
      <w:r w:rsidR="00DD0F82">
        <w:t>representative</w:t>
      </w:r>
      <w:r>
        <w:t>s</w:t>
      </w:r>
      <w:r w:rsidR="00DD0F82">
        <w:t xml:space="preserve"> from the VWGRCC provided a brief overview of the APEC CD Risk Challenge Virtual Workshop</w:t>
      </w:r>
      <w:r w:rsidR="00B420C5">
        <w:t>,</w:t>
      </w:r>
      <w:r w:rsidR="00DD0F82">
        <w:t xml:space="preserve"> </w:t>
      </w:r>
      <w:r w:rsidR="00E41BA8">
        <w:t>“</w:t>
      </w:r>
      <w:r w:rsidR="00E41BA8" w:rsidRPr="00214684">
        <w:t>Facilitating Trade by Improving Risk Assessment Capacity</w:t>
      </w:r>
      <w:r w:rsidR="00E41BA8">
        <w:t>”</w:t>
      </w:r>
      <w:r w:rsidR="00B420C5">
        <w:t>,</w:t>
      </w:r>
      <w:r w:rsidR="00EF6594">
        <w:t xml:space="preserve"> </w:t>
      </w:r>
      <w:r w:rsidR="00EA52A8">
        <w:t xml:space="preserve">which will take place in February 2021. </w:t>
      </w:r>
      <w:r w:rsidR="00E41BA8">
        <w:t xml:space="preserve">The </w:t>
      </w:r>
      <w:r w:rsidR="00FE6753">
        <w:t>w</w:t>
      </w:r>
      <w:r w:rsidR="00E41BA8">
        <w:t>orkshop</w:t>
      </w:r>
      <w:r w:rsidR="00FE6753">
        <w:t xml:space="preserve"> aims to promote understanding of assessing risk in resource limited settings using actual examples. </w:t>
      </w:r>
    </w:p>
    <w:p w14:paraId="2DC43E5E" w14:textId="77777777" w:rsidR="00FE6753" w:rsidRDefault="00FE6753" w:rsidP="00E657EB">
      <w:pPr>
        <w:snapToGrid w:val="0"/>
        <w:ind w:firstLine="720"/>
        <w:jc w:val="both"/>
      </w:pPr>
    </w:p>
    <w:p w14:paraId="1802A65E" w14:textId="373E56BC" w:rsidR="00F60118" w:rsidRDefault="00EF6594" w:rsidP="00E657EB">
      <w:pPr>
        <w:snapToGrid w:val="0"/>
        <w:ind w:firstLine="720"/>
        <w:jc w:val="both"/>
      </w:pPr>
      <w:r>
        <w:t>The representative noted an i</w:t>
      </w:r>
      <w:r w:rsidR="000C0ED9">
        <w:t>nformational e</w:t>
      </w:r>
      <w:r>
        <w:t xml:space="preserve">-mail </w:t>
      </w:r>
      <w:r w:rsidR="00B420C5">
        <w:t>will</w:t>
      </w:r>
      <w:r w:rsidR="007D0972">
        <w:t xml:space="preserve"> be sent to APEC CD</w:t>
      </w:r>
      <w:r w:rsidR="00FE6753">
        <w:t xml:space="preserve"> members</w:t>
      </w:r>
      <w:r w:rsidR="007D0972">
        <w:t xml:space="preserve"> </w:t>
      </w:r>
      <w:r w:rsidR="00865B20">
        <w:t>in November 2020</w:t>
      </w:r>
      <w:r w:rsidR="007D0972">
        <w:t xml:space="preserve"> and w</w:t>
      </w:r>
      <w:r>
        <w:t>ill contain</w:t>
      </w:r>
      <w:r w:rsidR="00642CBF">
        <w:t xml:space="preserve"> </w:t>
      </w:r>
      <w:r w:rsidR="00B420C5">
        <w:t>a</w:t>
      </w:r>
      <w:r>
        <w:t xml:space="preserve"> request for nominations from economies</w:t>
      </w:r>
      <w:r w:rsidR="007D0972">
        <w:t xml:space="preserve"> to attend the workshop</w:t>
      </w:r>
      <w:r>
        <w:t xml:space="preserve"> </w:t>
      </w:r>
      <w:r w:rsidR="00642CBF">
        <w:t xml:space="preserve">as well as information on how to register. </w:t>
      </w:r>
    </w:p>
    <w:p w14:paraId="7F1A504B" w14:textId="77777777" w:rsidR="00A91AED" w:rsidRDefault="00A91AED" w:rsidP="00E657EB">
      <w:pPr>
        <w:snapToGrid w:val="0"/>
        <w:ind w:firstLine="360"/>
        <w:jc w:val="both"/>
      </w:pPr>
    </w:p>
    <w:p w14:paraId="6E81A816" w14:textId="465FBFEC" w:rsidR="00A91AED" w:rsidRPr="00214684" w:rsidRDefault="00A91AED" w:rsidP="00E657EB">
      <w:pPr>
        <w:snapToGrid w:val="0"/>
        <w:ind w:firstLine="720"/>
        <w:jc w:val="both"/>
      </w:pPr>
      <w:r>
        <w:t>Chile</w:t>
      </w:r>
      <w:r w:rsidR="00FE6753">
        <w:t>an industry</w:t>
      </w:r>
      <w:r>
        <w:t xml:space="preserve"> expressed its appreciation for the APEC CD Risk Assessment Workshop which was </w:t>
      </w:r>
      <w:r w:rsidR="00FE6753">
        <w:t xml:space="preserve">held in Puerto </w:t>
      </w:r>
      <w:proofErr w:type="spellStart"/>
      <w:r w:rsidR="00FE6753">
        <w:t>Varas</w:t>
      </w:r>
      <w:proofErr w:type="spellEnd"/>
      <w:r w:rsidR="00FE6753">
        <w:t xml:space="preserve">, </w:t>
      </w:r>
      <w:r>
        <w:t>Chile</w:t>
      </w:r>
      <w:r w:rsidR="00FE6753">
        <w:t xml:space="preserve"> in</w:t>
      </w:r>
      <w:r>
        <w:t xml:space="preserve"> 2019 and noted its success</w:t>
      </w:r>
      <w:r w:rsidR="00B325AF">
        <w:t xml:space="preserve"> with participation from governments and the private sector. </w:t>
      </w:r>
      <w:r w:rsidR="00021BD4">
        <w:t>The United States noted it is pleased the workshop will be going forward in a virtual format</w:t>
      </w:r>
      <w:r w:rsidR="006F2D6C">
        <w:t xml:space="preserve">. </w:t>
      </w:r>
      <w:r w:rsidR="00B420C5">
        <w:t>The U</w:t>
      </w:r>
      <w:r w:rsidR="006F2D6C">
        <w:t xml:space="preserve">nited States </w:t>
      </w:r>
      <w:r w:rsidR="00B420C5">
        <w:t xml:space="preserve">also </w:t>
      </w:r>
      <w:r w:rsidR="006F2D6C">
        <w:t>shared a number of current risk evaluations that the U.S. EPA is reviewing in the chat function of the web platform.</w:t>
      </w:r>
    </w:p>
    <w:p w14:paraId="360B5E6B" w14:textId="77777777" w:rsidR="00F60118" w:rsidRDefault="00F60118" w:rsidP="007B6BDC">
      <w:pPr>
        <w:tabs>
          <w:tab w:val="left" w:pos="719"/>
          <w:tab w:val="left" w:pos="1439"/>
        </w:tabs>
        <w:ind w:firstLine="720"/>
        <w:rPr>
          <w:rFonts w:eastAsia="Times New Roman" w:cstheme="minorHAnsi"/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6804"/>
      </w:tblGrid>
      <w:tr w:rsidR="00952451" w:rsidRPr="001F64A2" w14:paraId="30301C84" w14:textId="77777777" w:rsidTr="00E6633C">
        <w:trPr>
          <w:trHeight w:val="113"/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D3DA8D1" w14:textId="051C5027" w:rsidR="00952451" w:rsidRPr="001F64A2" w:rsidRDefault="00952451" w:rsidP="00E6633C">
            <w:pPr>
              <w:keepNext/>
              <w:rPr>
                <w:b/>
              </w:rPr>
            </w:pPr>
            <w:r>
              <w:rPr>
                <w:b/>
              </w:rPr>
              <w:t>10:25</w:t>
            </w:r>
            <w:r w:rsidRPr="001F64A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1F64A2">
              <w:rPr>
                <w:b/>
              </w:rPr>
              <w:t>:</w:t>
            </w:r>
            <w:r>
              <w:rPr>
                <w:b/>
              </w:rPr>
              <w:t>4</w:t>
            </w:r>
            <w:r w:rsidR="001976B5">
              <w:rPr>
                <w:b/>
              </w:rPr>
              <w:t>0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1825627" w14:textId="56C817B7" w:rsidR="00952451" w:rsidRPr="001F64A2" w:rsidRDefault="00952451" w:rsidP="009524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MEETING SUMMARY AND NEXT STEPS</w:t>
            </w:r>
          </w:p>
        </w:tc>
      </w:tr>
    </w:tbl>
    <w:p w14:paraId="4F91AD3C" w14:textId="77777777" w:rsidR="00952451" w:rsidRDefault="00952451" w:rsidP="007B6BDC">
      <w:pPr>
        <w:tabs>
          <w:tab w:val="left" w:pos="719"/>
          <w:tab w:val="left" w:pos="1439"/>
        </w:tabs>
        <w:ind w:firstLine="720"/>
        <w:rPr>
          <w:rFonts w:eastAsia="Times New Roman" w:cstheme="minorHAnsi"/>
          <w:b/>
          <w:u w:val="single"/>
        </w:rPr>
      </w:pPr>
    </w:p>
    <w:p w14:paraId="038FE6D8" w14:textId="62529387" w:rsidR="00F44CB9" w:rsidRPr="00F44CB9" w:rsidRDefault="00F44CB9" w:rsidP="00E657EB">
      <w:pPr>
        <w:tabs>
          <w:tab w:val="left" w:pos="1439"/>
          <w:tab w:val="right" w:pos="9360"/>
        </w:tabs>
        <w:ind w:firstLine="720"/>
        <w:rPr>
          <w:rFonts w:eastAsia="Times New Roman" w:cstheme="minorHAnsi"/>
          <w:b/>
          <w:u w:val="single"/>
        </w:rPr>
      </w:pPr>
      <w:r w:rsidRPr="00F44CB9">
        <w:rPr>
          <w:rFonts w:eastAsia="Times New Roman" w:cstheme="minorHAnsi"/>
          <w:b/>
        </w:rPr>
        <w:tab/>
      </w:r>
      <w:r w:rsidRPr="00F44CB9">
        <w:rPr>
          <w:rFonts w:eastAsia="Times New Roman" w:cstheme="minorHAnsi"/>
          <w:b/>
          <w:u w:val="single"/>
        </w:rPr>
        <w:t>Update from 2021 Host New Zealand</w:t>
      </w:r>
      <w:r w:rsidR="00F025B7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  <w:u w:val="single"/>
        </w:rPr>
        <w:t>New Zealand</w:t>
      </w:r>
    </w:p>
    <w:p w14:paraId="429792FB" w14:textId="77777777" w:rsidR="00F44CB9" w:rsidRPr="00F44CB9" w:rsidRDefault="00F44CB9" w:rsidP="00F44CB9">
      <w:pPr>
        <w:tabs>
          <w:tab w:val="left" w:pos="719"/>
          <w:tab w:val="left" w:pos="1439"/>
        </w:tabs>
        <w:ind w:firstLine="720"/>
        <w:rPr>
          <w:rFonts w:eastAsia="Times New Roman" w:cstheme="minorHAnsi"/>
          <w:b/>
          <w:u w:val="single"/>
        </w:rPr>
      </w:pPr>
    </w:p>
    <w:p w14:paraId="241BEA2A" w14:textId="0515013C" w:rsidR="00F44CB9" w:rsidRDefault="00C44A20" w:rsidP="00E657EB">
      <w:pPr>
        <w:keepNext/>
        <w:tabs>
          <w:tab w:val="left" w:pos="719"/>
          <w:tab w:val="left" w:pos="1439"/>
        </w:tabs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Rio Yoon from </w:t>
      </w:r>
      <w:r w:rsidR="0002194C" w:rsidRPr="0002194C">
        <w:rPr>
          <w:rFonts w:eastAsia="Times New Roman" w:cstheme="minorHAnsi"/>
        </w:rPr>
        <w:t>New Zealand</w:t>
      </w:r>
      <w:r>
        <w:rPr>
          <w:rFonts w:eastAsia="Times New Roman" w:cstheme="minorHAnsi"/>
        </w:rPr>
        <w:t xml:space="preserve">’s </w:t>
      </w:r>
      <w:r w:rsidR="00D06B60" w:rsidRPr="00D06B60">
        <w:rPr>
          <w:rFonts w:eastAsia="Times New Roman" w:cstheme="minorHAnsi"/>
        </w:rPr>
        <w:t xml:space="preserve">Ministry for the Environment </w:t>
      </w:r>
      <w:bookmarkStart w:id="0" w:name="_GoBack"/>
      <w:bookmarkEnd w:id="0"/>
      <w:r w:rsidR="0002194C" w:rsidRPr="0002194C">
        <w:rPr>
          <w:rFonts w:eastAsia="Times New Roman" w:cstheme="minorHAnsi"/>
        </w:rPr>
        <w:t xml:space="preserve">provided a </w:t>
      </w:r>
      <w:r w:rsidR="00F44CB9" w:rsidRPr="0002194C">
        <w:rPr>
          <w:rFonts w:eastAsia="Times New Roman" w:cstheme="minorHAnsi"/>
        </w:rPr>
        <w:t>brief update regarding preparations for Ne</w:t>
      </w:r>
      <w:r w:rsidR="0002194C" w:rsidRPr="0002194C">
        <w:rPr>
          <w:rFonts w:eastAsia="Times New Roman" w:cstheme="minorHAnsi"/>
        </w:rPr>
        <w:t>w Zealand’s 2021 APEC host year.</w:t>
      </w:r>
      <w:r w:rsidR="00CA6920">
        <w:rPr>
          <w:rFonts w:eastAsia="Times New Roman" w:cstheme="minorHAnsi"/>
        </w:rPr>
        <w:t xml:space="preserve"> New Zealand</w:t>
      </w:r>
      <w:r w:rsidR="00D40B7D">
        <w:rPr>
          <w:rFonts w:eastAsia="Times New Roman" w:cstheme="minorHAnsi"/>
        </w:rPr>
        <w:t xml:space="preserve"> noted it</w:t>
      </w:r>
      <w:r w:rsidR="00CA6920">
        <w:rPr>
          <w:rFonts w:eastAsia="Times New Roman" w:cstheme="minorHAnsi"/>
        </w:rPr>
        <w:t xml:space="preserve"> decided to host all APEC 2021 meetings on a virtual basis. </w:t>
      </w:r>
      <w:r w:rsidR="00112698">
        <w:rPr>
          <w:rFonts w:eastAsia="Times New Roman" w:cstheme="minorHAnsi"/>
        </w:rPr>
        <w:t>The objective</w:t>
      </w:r>
      <w:r w:rsidR="00D40B7D">
        <w:rPr>
          <w:rFonts w:eastAsia="Times New Roman" w:cstheme="minorHAnsi"/>
        </w:rPr>
        <w:t>s of its host year</w:t>
      </w:r>
      <w:r w:rsidR="00112698">
        <w:rPr>
          <w:rFonts w:eastAsia="Times New Roman" w:cstheme="minorHAnsi"/>
        </w:rPr>
        <w:t xml:space="preserve"> is to lead a collaborative, regional response to COVID-19</w:t>
      </w:r>
      <w:r w:rsidR="005640D4">
        <w:rPr>
          <w:rFonts w:eastAsia="Times New Roman" w:cstheme="minorHAnsi"/>
        </w:rPr>
        <w:t>,</w:t>
      </w:r>
      <w:r w:rsidR="00D40B7D">
        <w:rPr>
          <w:rFonts w:eastAsia="Times New Roman" w:cstheme="minorHAnsi"/>
        </w:rPr>
        <w:t xml:space="preserve"> reaffirm the relevance of APEC</w:t>
      </w:r>
      <w:r w:rsidR="003652C9">
        <w:rPr>
          <w:rFonts w:eastAsia="Times New Roman" w:cstheme="minorHAnsi"/>
        </w:rPr>
        <w:t xml:space="preserve">, </w:t>
      </w:r>
      <w:r w:rsidR="005640D4">
        <w:rPr>
          <w:rFonts w:eastAsia="Times New Roman" w:cstheme="minorHAnsi"/>
        </w:rPr>
        <w:t>particularly in times of crisis,</w:t>
      </w:r>
      <w:r w:rsidR="00112698">
        <w:rPr>
          <w:rFonts w:eastAsia="Times New Roman" w:cstheme="minorHAnsi"/>
        </w:rPr>
        <w:t xml:space="preserve"> and take full advantage of digital diplomacy. </w:t>
      </w:r>
      <w:r w:rsidR="00D40B7D">
        <w:rPr>
          <w:rFonts w:eastAsia="Times New Roman" w:cstheme="minorHAnsi"/>
        </w:rPr>
        <w:t>New Zealand highlighted that it aims</w:t>
      </w:r>
      <w:r w:rsidR="005640D4">
        <w:rPr>
          <w:rFonts w:eastAsia="Times New Roman" w:cstheme="minorHAnsi"/>
        </w:rPr>
        <w:t xml:space="preserve"> to </w:t>
      </w:r>
      <w:r w:rsidR="00112698">
        <w:rPr>
          <w:rFonts w:eastAsia="Times New Roman" w:cstheme="minorHAnsi"/>
        </w:rPr>
        <w:t xml:space="preserve">design a calendar </w:t>
      </w:r>
      <w:r w:rsidR="00D40B7D">
        <w:rPr>
          <w:rFonts w:eastAsia="Times New Roman" w:cstheme="minorHAnsi"/>
        </w:rPr>
        <w:t xml:space="preserve">of </w:t>
      </w:r>
      <w:r w:rsidR="00112698">
        <w:rPr>
          <w:rFonts w:eastAsia="Times New Roman" w:cstheme="minorHAnsi"/>
        </w:rPr>
        <w:t>meetings and events that look like a normal APEC year</w:t>
      </w:r>
      <w:r w:rsidR="00D40B7D">
        <w:rPr>
          <w:rFonts w:eastAsia="Times New Roman" w:cstheme="minorHAnsi"/>
        </w:rPr>
        <w:t xml:space="preserve">, but will </w:t>
      </w:r>
      <w:r w:rsidR="00112698">
        <w:rPr>
          <w:rFonts w:eastAsia="Times New Roman" w:cstheme="minorHAnsi"/>
        </w:rPr>
        <w:t>aim for shorter</w:t>
      </w:r>
      <w:r w:rsidR="00D40B7D">
        <w:rPr>
          <w:rFonts w:eastAsia="Times New Roman" w:cstheme="minorHAnsi"/>
        </w:rPr>
        <w:t xml:space="preserve"> meetings that are</w:t>
      </w:r>
      <w:r w:rsidR="00B06699">
        <w:rPr>
          <w:rFonts w:eastAsia="Times New Roman" w:cstheme="minorHAnsi"/>
        </w:rPr>
        <w:t xml:space="preserve"> spread across a larger</w:t>
      </w:r>
      <w:r w:rsidR="00112698">
        <w:rPr>
          <w:rFonts w:eastAsia="Times New Roman" w:cstheme="minorHAnsi"/>
        </w:rPr>
        <w:t xml:space="preserve"> number of days </w:t>
      </w:r>
      <w:r w:rsidR="00B06699">
        <w:rPr>
          <w:rFonts w:eastAsia="Times New Roman" w:cstheme="minorHAnsi"/>
        </w:rPr>
        <w:t>to accommodate multiple time zones</w:t>
      </w:r>
      <w:r w:rsidR="00D40B7D">
        <w:rPr>
          <w:rFonts w:eastAsia="Times New Roman" w:cstheme="minorHAnsi"/>
        </w:rPr>
        <w:t>.</w:t>
      </w:r>
      <w:r w:rsidR="00112698">
        <w:rPr>
          <w:rFonts w:eastAsia="Times New Roman" w:cstheme="minorHAnsi"/>
        </w:rPr>
        <w:t xml:space="preserve"> </w:t>
      </w:r>
    </w:p>
    <w:p w14:paraId="67F74FA3" w14:textId="77777777" w:rsidR="00D40B7D" w:rsidRDefault="00D40B7D" w:rsidP="00E657EB">
      <w:pPr>
        <w:tabs>
          <w:tab w:val="left" w:pos="719"/>
          <w:tab w:val="left" w:pos="1439"/>
        </w:tabs>
        <w:ind w:firstLine="720"/>
        <w:jc w:val="both"/>
        <w:rPr>
          <w:rFonts w:eastAsia="Times New Roman" w:cstheme="minorHAnsi"/>
        </w:rPr>
      </w:pPr>
    </w:p>
    <w:p w14:paraId="3C784974" w14:textId="41B42C51" w:rsidR="00B06699" w:rsidRDefault="00F63C32" w:rsidP="00E657EB">
      <w:pPr>
        <w:tabs>
          <w:tab w:val="left" w:pos="719"/>
          <w:tab w:val="left" w:pos="1439"/>
        </w:tabs>
        <w:ind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New Zealand emphasized it will</w:t>
      </w:r>
      <w:r w:rsidR="00B06699">
        <w:rPr>
          <w:rFonts w:eastAsia="Times New Roman" w:cstheme="minorHAnsi"/>
        </w:rPr>
        <w:t xml:space="preserve"> be encouraging capacity building workshop</w:t>
      </w:r>
      <w:r w:rsidR="00250C57">
        <w:rPr>
          <w:rFonts w:eastAsia="Times New Roman" w:cstheme="minorHAnsi"/>
        </w:rPr>
        <w:t>s</w:t>
      </w:r>
      <w:r w:rsidR="00B06699">
        <w:rPr>
          <w:rFonts w:eastAsia="Times New Roman" w:cstheme="minorHAnsi"/>
        </w:rPr>
        <w:t xml:space="preserve"> like any</w:t>
      </w:r>
      <w:r>
        <w:rPr>
          <w:rFonts w:eastAsia="Times New Roman" w:cstheme="minorHAnsi"/>
        </w:rPr>
        <w:t xml:space="preserve"> other</w:t>
      </w:r>
      <w:r w:rsidR="00B06699">
        <w:rPr>
          <w:rFonts w:eastAsia="Times New Roman" w:cstheme="minorHAnsi"/>
        </w:rPr>
        <w:t xml:space="preserve"> year and expects to provide meeting platforms for meetings and workshops. New Zealand </w:t>
      </w:r>
      <w:r>
        <w:rPr>
          <w:rFonts w:eastAsia="Times New Roman" w:cstheme="minorHAnsi"/>
        </w:rPr>
        <w:t>plans to</w:t>
      </w:r>
      <w:r w:rsidR="00B06699">
        <w:rPr>
          <w:rFonts w:eastAsia="Times New Roman" w:cstheme="minorHAnsi"/>
        </w:rPr>
        <w:t xml:space="preserve"> replicate the S</w:t>
      </w:r>
      <w:r>
        <w:rPr>
          <w:rFonts w:eastAsia="Times New Roman" w:cstheme="minorHAnsi"/>
        </w:rPr>
        <w:t xml:space="preserve">enior </w:t>
      </w:r>
      <w:r w:rsidR="00B06699">
        <w:rPr>
          <w:rFonts w:eastAsia="Times New Roman" w:cstheme="minorHAnsi"/>
        </w:rPr>
        <w:t>O</w:t>
      </w:r>
      <w:r>
        <w:rPr>
          <w:rFonts w:eastAsia="Times New Roman" w:cstheme="minorHAnsi"/>
        </w:rPr>
        <w:t xml:space="preserve">fficial </w:t>
      </w:r>
      <w:r w:rsidR="00B06699">
        <w:rPr>
          <w:rFonts w:eastAsia="Times New Roman" w:cstheme="minorHAnsi"/>
        </w:rPr>
        <w:t>M</w:t>
      </w:r>
      <w:r>
        <w:rPr>
          <w:rFonts w:eastAsia="Times New Roman" w:cstheme="minorHAnsi"/>
        </w:rPr>
        <w:t>eeting</w:t>
      </w:r>
      <w:r w:rsidR="00B066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clusters</w:t>
      </w:r>
      <w:r w:rsidR="00B06699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>overall meeting order</w:t>
      </w:r>
      <w:r w:rsidR="00B06699">
        <w:rPr>
          <w:rFonts w:eastAsia="Times New Roman" w:cstheme="minorHAnsi"/>
        </w:rPr>
        <w:t xml:space="preserve"> as much as possible. </w:t>
      </w:r>
      <w:r>
        <w:rPr>
          <w:rFonts w:eastAsia="Times New Roman" w:cstheme="minorHAnsi"/>
        </w:rPr>
        <w:t xml:space="preserve">They noted </w:t>
      </w:r>
      <w:r w:rsidR="00C44A20">
        <w:rPr>
          <w:rFonts w:eastAsia="Times New Roman" w:cstheme="minorHAnsi"/>
        </w:rPr>
        <w:t xml:space="preserve">their </w:t>
      </w:r>
      <w:r>
        <w:rPr>
          <w:rFonts w:eastAsia="Times New Roman" w:cstheme="minorHAnsi"/>
        </w:rPr>
        <w:t xml:space="preserve">regret that they will </w:t>
      </w:r>
      <w:r w:rsidR="00B06699">
        <w:rPr>
          <w:rFonts w:eastAsia="Times New Roman" w:cstheme="minorHAnsi"/>
        </w:rPr>
        <w:t>not be able</w:t>
      </w:r>
      <w:r>
        <w:rPr>
          <w:rFonts w:eastAsia="Times New Roman" w:cstheme="minorHAnsi"/>
        </w:rPr>
        <w:t xml:space="preserve"> to host APEC meetings in-</w:t>
      </w:r>
      <w:r w:rsidR="00B06699">
        <w:rPr>
          <w:rFonts w:eastAsia="Times New Roman" w:cstheme="minorHAnsi"/>
        </w:rPr>
        <w:t>person, but</w:t>
      </w:r>
      <w:r w:rsidR="00250C57">
        <w:rPr>
          <w:rFonts w:eastAsia="Times New Roman" w:cstheme="minorHAnsi"/>
        </w:rPr>
        <w:t xml:space="preserve"> expressed hope that</w:t>
      </w:r>
      <w:r w:rsidR="00B06699">
        <w:rPr>
          <w:rFonts w:eastAsia="Times New Roman" w:cstheme="minorHAnsi"/>
        </w:rPr>
        <w:t xml:space="preserve"> the virtual format will give certainty</w:t>
      </w:r>
      <w:r>
        <w:rPr>
          <w:rFonts w:eastAsia="Times New Roman" w:cstheme="minorHAnsi"/>
        </w:rPr>
        <w:t xml:space="preserve"> to economies for next year</w:t>
      </w:r>
      <w:r w:rsidR="00B06699">
        <w:rPr>
          <w:rFonts w:eastAsia="Times New Roman" w:cstheme="minorHAnsi"/>
        </w:rPr>
        <w:t>. New Zealand</w:t>
      </w:r>
      <w:r w:rsidR="00250C57">
        <w:rPr>
          <w:rFonts w:eastAsia="Times New Roman" w:cstheme="minorHAnsi"/>
        </w:rPr>
        <w:t xml:space="preserve"> noted it is</w:t>
      </w:r>
      <w:r w:rsidR="00B06699">
        <w:rPr>
          <w:rFonts w:eastAsia="Times New Roman" w:cstheme="minorHAnsi"/>
        </w:rPr>
        <w:t xml:space="preserve"> currently in the process of recalibrating host priorities</w:t>
      </w:r>
      <w:r>
        <w:rPr>
          <w:rFonts w:eastAsia="Times New Roman" w:cstheme="minorHAnsi"/>
        </w:rPr>
        <w:t xml:space="preserve"> </w:t>
      </w:r>
      <w:r w:rsidR="00250C57">
        <w:rPr>
          <w:rFonts w:eastAsia="Times New Roman" w:cstheme="minorHAnsi"/>
        </w:rPr>
        <w:t xml:space="preserve">and </w:t>
      </w:r>
      <w:r w:rsidR="00B06699">
        <w:rPr>
          <w:rFonts w:eastAsia="Times New Roman" w:cstheme="minorHAnsi"/>
        </w:rPr>
        <w:t xml:space="preserve">looks forward to working with </w:t>
      </w:r>
      <w:r>
        <w:rPr>
          <w:rFonts w:eastAsia="Times New Roman" w:cstheme="minorHAnsi"/>
        </w:rPr>
        <w:t>the CD and its</w:t>
      </w:r>
      <w:r w:rsidR="00B06699">
        <w:rPr>
          <w:rFonts w:eastAsia="Times New Roman" w:cstheme="minorHAnsi"/>
        </w:rPr>
        <w:t xml:space="preserve"> participants to ensure 2021 is a success. </w:t>
      </w:r>
    </w:p>
    <w:p w14:paraId="2A3B8E3C" w14:textId="77777777" w:rsidR="001976B5" w:rsidRDefault="001976B5" w:rsidP="0002194C">
      <w:pPr>
        <w:tabs>
          <w:tab w:val="left" w:pos="719"/>
          <w:tab w:val="left" w:pos="1439"/>
        </w:tabs>
        <w:ind w:firstLine="720"/>
        <w:rPr>
          <w:rFonts w:eastAsia="Times New Roman" w:cstheme="minorHAnsi"/>
        </w:rPr>
      </w:pPr>
    </w:p>
    <w:p w14:paraId="46EA52DB" w14:textId="39A08F92" w:rsidR="001976B5" w:rsidRPr="00A91AED" w:rsidRDefault="001976B5" w:rsidP="00E657EB">
      <w:pPr>
        <w:tabs>
          <w:tab w:val="left" w:pos="1440"/>
          <w:tab w:val="right" w:pos="9360"/>
        </w:tabs>
        <w:snapToGrid w:val="0"/>
        <w:ind w:left="720" w:firstLine="720"/>
        <w:rPr>
          <w:b/>
          <w:bCs/>
          <w:color w:val="000000"/>
          <w:u w:val="single"/>
        </w:rPr>
      </w:pPr>
      <w:r w:rsidRPr="00A91AED">
        <w:rPr>
          <w:b/>
          <w:bCs/>
          <w:color w:val="000000"/>
          <w:u w:val="single"/>
        </w:rPr>
        <w:t>Meeting Summary</w:t>
      </w:r>
      <w:r w:rsidR="00F025B7" w:rsidRPr="00E657EB">
        <w:rPr>
          <w:b/>
          <w:bCs/>
          <w:color w:val="000000"/>
        </w:rPr>
        <w:tab/>
      </w:r>
      <w:r w:rsidR="00A91AED">
        <w:rPr>
          <w:b/>
          <w:bCs/>
          <w:color w:val="000000"/>
          <w:u w:val="single"/>
        </w:rPr>
        <w:t>APCIC</w:t>
      </w:r>
    </w:p>
    <w:p w14:paraId="1C41B79D" w14:textId="77777777" w:rsidR="001976B5" w:rsidRDefault="001976B5" w:rsidP="001976B5">
      <w:pPr>
        <w:snapToGrid w:val="0"/>
        <w:rPr>
          <w:bCs/>
          <w:color w:val="000000"/>
        </w:rPr>
      </w:pPr>
    </w:p>
    <w:p w14:paraId="202DB776" w14:textId="25E2937B" w:rsidR="001976B5" w:rsidRDefault="004068E2" w:rsidP="00E657EB">
      <w:pPr>
        <w:snapToGrid w:val="0"/>
        <w:ind w:left="-90" w:firstLine="810"/>
        <w:jc w:val="both"/>
        <w:rPr>
          <w:bCs/>
          <w:color w:val="000000"/>
        </w:rPr>
      </w:pPr>
      <w:r>
        <w:rPr>
          <w:bCs/>
          <w:color w:val="000000"/>
        </w:rPr>
        <w:t>Mr. Dj Wolf</w:t>
      </w:r>
      <w:r w:rsidR="00F025B7">
        <w:rPr>
          <w:bCs/>
          <w:color w:val="000000"/>
        </w:rPr>
        <w:t>f</w:t>
      </w:r>
      <w:r>
        <w:rPr>
          <w:bCs/>
          <w:color w:val="000000"/>
        </w:rPr>
        <w:t xml:space="preserve">, representing the </w:t>
      </w:r>
      <w:r w:rsidR="001976B5" w:rsidRPr="00250F6C">
        <w:rPr>
          <w:bCs/>
          <w:color w:val="000000"/>
        </w:rPr>
        <w:t>APCIC</w:t>
      </w:r>
      <w:r w:rsidR="0070171F">
        <w:rPr>
          <w:bCs/>
          <w:color w:val="000000"/>
        </w:rPr>
        <w:t>,</w:t>
      </w:r>
      <w:r w:rsidR="001976B5" w:rsidRPr="00250F6C">
        <w:rPr>
          <w:bCs/>
          <w:color w:val="000000"/>
        </w:rPr>
        <w:t xml:space="preserve"> </w:t>
      </w:r>
      <w:r w:rsidR="005640D4">
        <w:rPr>
          <w:bCs/>
          <w:color w:val="000000"/>
        </w:rPr>
        <w:t>summarized the CD</w:t>
      </w:r>
      <w:r w:rsidR="001976B5" w:rsidRPr="00250F6C">
        <w:rPr>
          <w:bCs/>
          <w:color w:val="000000"/>
        </w:rPr>
        <w:t xml:space="preserve"> discussions and read the list of agreed</w:t>
      </w:r>
      <w:r w:rsidR="001976B5">
        <w:rPr>
          <w:bCs/>
          <w:color w:val="000000"/>
        </w:rPr>
        <w:t xml:space="preserve"> </w:t>
      </w:r>
      <w:r w:rsidR="001976B5" w:rsidRPr="00250F6C">
        <w:rPr>
          <w:bCs/>
          <w:color w:val="000000"/>
        </w:rPr>
        <w:t>upon action items for revision and endorsement by delegates.</w:t>
      </w:r>
    </w:p>
    <w:p w14:paraId="5EB7665D" w14:textId="77777777" w:rsidR="007A2260" w:rsidRDefault="007A2260" w:rsidP="00C81D97">
      <w:pPr>
        <w:snapToGrid w:val="0"/>
        <w:rPr>
          <w:b/>
          <w:bCs/>
          <w:color w:val="000000"/>
          <w:u w:val="single"/>
        </w:rPr>
      </w:pPr>
    </w:p>
    <w:p w14:paraId="45E0AFAF" w14:textId="16C69107" w:rsidR="00351DBC" w:rsidRPr="00E657EB" w:rsidRDefault="00351DBC" w:rsidP="00E657EB">
      <w:pPr>
        <w:keepNext/>
        <w:tabs>
          <w:tab w:val="left" w:pos="1440"/>
          <w:tab w:val="right" w:pos="9360"/>
        </w:tabs>
        <w:snapToGrid w:val="0"/>
        <w:ind w:left="720" w:firstLine="720"/>
        <w:rPr>
          <w:b/>
          <w:bCs/>
          <w:color w:val="000000"/>
          <w:u w:val="single"/>
          <w:lang w:val="fr-BE"/>
        </w:rPr>
      </w:pPr>
      <w:r w:rsidRPr="00E657EB">
        <w:rPr>
          <w:b/>
          <w:bCs/>
          <w:color w:val="000000"/>
          <w:u w:val="single"/>
          <w:lang w:val="fr-BE"/>
        </w:rPr>
        <w:t>Document Classification</w:t>
      </w:r>
      <w:r w:rsidRPr="00E657EB">
        <w:rPr>
          <w:b/>
          <w:bCs/>
          <w:color w:val="000000"/>
          <w:lang w:val="fr-BE"/>
        </w:rPr>
        <w:tab/>
      </w:r>
      <w:r w:rsidRPr="00E657EB">
        <w:rPr>
          <w:b/>
          <w:bCs/>
          <w:color w:val="000000"/>
          <w:u w:val="single"/>
          <w:lang w:val="fr-BE"/>
        </w:rPr>
        <w:t>APEC Secretariat</w:t>
      </w:r>
    </w:p>
    <w:p w14:paraId="78B19652" w14:textId="77777777" w:rsidR="00351DBC" w:rsidRPr="00E657EB" w:rsidRDefault="00351DBC" w:rsidP="00E657EB">
      <w:pPr>
        <w:keepNext/>
        <w:snapToGrid w:val="0"/>
        <w:rPr>
          <w:lang w:val="fr-BE"/>
        </w:rPr>
      </w:pPr>
    </w:p>
    <w:p w14:paraId="4FE0C538" w14:textId="77777777" w:rsidR="00351DBC" w:rsidRPr="00E657EB" w:rsidRDefault="00351DBC" w:rsidP="00E657EB">
      <w:pPr>
        <w:keepNext/>
        <w:snapToGrid w:val="0"/>
        <w:rPr>
          <w:u w:val="single"/>
          <w:lang w:val="fr-BE"/>
        </w:rPr>
      </w:pPr>
      <w:r w:rsidRPr="00E657EB">
        <w:rPr>
          <w:u w:val="single"/>
          <w:lang w:val="fr-BE"/>
        </w:rPr>
        <w:t>Meeting Documents</w:t>
      </w:r>
    </w:p>
    <w:p w14:paraId="7CFAD1BA" w14:textId="551061B2" w:rsidR="00351DBC" w:rsidRPr="00E657EB" w:rsidRDefault="009672C2" w:rsidP="00E657EB">
      <w:pPr>
        <w:pStyle w:val="ListParagraph"/>
        <w:keepNext/>
        <w:numPr>
          <w:ilvl w:val="0"/>
          <w:numId w:val="3"/>
        </w:numPr>
        <w:autoSpaceDE w:val="0"/>
        <w:autoSpaceDN w:val="0"/>
        <w:snapToGrid w:val="0"/>
        <w:ind w:right="102"/>
        <w:jc w:val="both"/>
      </w:pPr>
      <w:hyperlink r:id="rId29" w:history="1">
        <w:r w:rsidR="00351DBC" w:rsidRPr="000D3671">
          <w:rPr>
            <w:rStyle w:val="Hyperlink"/>
          </w:rPr>
          <w:t>2020/CD2/00</w:t>
        </w:r>
      </w:hyperlink>
      <w:r w:rsidR="00351DBC" w:rsidRPr="000D3671">
        <w:t xml:space="preserve"> - Document Classification List</w:t>
      </w:r>
    </w:p>
    <w:p w14:paraId="3D4CCB59" w14:textId="77777777" w:rsidR="00351DBC" w:rsidRPr="000D3671" w:rsidRDefault="00351DBC" w:rsidP="00E657EB">
      <w:pPr>
        <w:keepNext/>
        <w:snapToGrid w:val="0"/>
      </w:pPr>
    </w:p>
    <w:p w14:paraId="4621FC0F" w14:textId="6A86ABC0" w:rsidR="00351DBC" w:rsidRDefault="00351DBC" w:rsidP="00E657EB">
      <w:pPr>
        <w:keepNext/>
        <w:snapToGrid w:val="0"/>
        <w:ind w:firstLine="720"/>
        <w:jc w:val="both"/>
      </w:pPr>
      <w:r w:rsidRPr="000D3671">
        <w:t xml:space="preserve">The APEC Secretariat reviewed the Document Classification List and delegates endorsed the document. </w:t>
      </w:r>
      <w:r w:rsidR="008B38E7" w:rsidRPr="000D3671">
        <w:t>After the endorsement</w:t>
      </w:r>
      <w:r w:rsidR="008B38E7">
        <w:t xml:space="preserve">, the Government Co-Chair and the Industry Co-Chair thanked the APEC Secretariat and the CD participants for a successful CD25 and closed the meeting. </w:t>
      </w:r>
    </w:p>
    <w:p w14:paraId="3617C9F2" w14:textId="77777777" w:rsidR="00351DBC" w:rsidRPr="00250F6C" w:rsidRDefault="00351DBC" w:rsidP="005640D4">
      <w:pPr>
        <w:snapToGrid w:val="0"/>
        <w:ind w:left="-90" w:firstLine="810"/>
        <w:rPr>
          <w:bCs/>
          <w:color w:val="000000"/>
        </w:rPr>
      </w:pPr>
    </w:p>
    <w:p w14:paraId="49CC51C3" w14:textId="77777777" w:rsidR="001976B5" w:rsidRPr="0002194C" w:rsidRDefault="001976B5" w:rsidP="0002194C">
      <w:pPr>
        <w:tabs>
          <w:tab w:val="left" w:pos="719"/>
          <w:tab w:val="left" w:pos="1439"/>
        </w:tabs>
        <w:ind w:firstLine="720"/>
        <w:rPr>
          <w:rFonts w:eastAsia="Times New Roman" w:cstheme="minorHAnsi"/>
        </w:rPr>
      </w:pPr>
    </w:p>
    <w:sectPr w:rsidR="001976B5" w:rsidRPr="0002194C" w:rsidSect="002A2E5F">
      <w:pgSz w:w="12240" w:h="15840"/>
      <w:pgMar w:top="1380" w:right="153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F4C93" w14:textId="77777777" w:rsidR="009672C2" w:rsidRDefault="009672C2">
      <w:r>
        <w:separator/>
      </w:r>
    </w:p>
  </w:endnote>
  <w:endnote w:type="continuationSeparator" w:id="0">
    <w:p w14:paraId="6BE246E4" w14:textId="77777777" w:rsidR="009672C2" w:rsidRDefault="009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54F0" w14:textId="75A2F3F5" w:rsidR="00E6633C" w:rsidRDefault="00E6633C" w:rsidP="00675766">
    <w:pPr>
      <w:pStyle w:val="DocID"/>
    </w:pPr>
    <w:r w:rsidRPr="00675766">
      <w:t xml:space="preserve">DCACTIVE 52736465 v.1 </w:t>
    </w:r>
  </w:p>
  <w:p w14:paraId="0776009C" w14:textId="403012BD" w:rsidR="00E6633C" w:rsidRPr="00D83F66" w:rsidRDefault="00E657EB" w:rsidP="00D83F66">
    <w:pPr>
      <w:pStyle w:val="DocID"/>
    </w:pPr>
    <w:r>
      <w:t xml:space="preserve">CMIACTIVE 1100626977 v.1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4FCF" w14:textId="3954575A" w:rsidR="0011278D" w:rsidRDefault="009672C2" w:rsidP="00271175">
    <w:pPr>
      <w:pStyle w:val="Footer"/>
      <w:jc w:val="center"/>
      <w:rPr>
        <w:noProof/>
      </w:rPr>
    </w:pPr>
    <w:sdt>
      <w:sdtPr>
        <w:id w:val="1479335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633C">
          <w:fldChar w:fldCharType="begin"/>
        </w:r>
        <w:r w:rsidR="00E6633C">
          <w:instrText xml:space="preserve"> PAGE   \* MERGEFORMAT </w:instrText>
        </w:r>
        <w:r w:rsidR="00E6633C">
          <w:fldChar w:fldCharType="separate"/>
        </w:r>
        <w:r w:rsidR="00D06B60">
          <w:rPr>
            <w:noProof/>
          </w:rPr>
          <w:t>10</w:t>
        </w:r>
        <w:r w:rsidR="00E6633C">
          <w:rPr>
            <w:noProof/>
          </w:rPr>
          <w:fldChar w:fldCharType="end"/>
        </w:r>
      </w:sdtContent>
    </w:sdt>
  </w:p>
  <w:p w14:paraId="4066BC57" w14:textId="77777777" w:rsidR="0011278D" w:rsidRDefault="009672C2">
    <w:pPr>
      <w:pStyle w:val="Footer"/>
    </w:pPr>
    <w:r>
      <w:rPr>
        <w:noProof/>
      </w:rPr>
      <w:pict w14:anchorId="494815F7">
        <v:shapetype id="_x0000_t202" coordsize="21600,21600" o:spt="202" path="m,l,21600r21600,l21600,xe">
          <v:stroke joinstyle="miter"/>
          <v:path gradientshapeok="t" o:connecttype="rect"/>
        </v:shapetype>
        <v:shape id="zzmpTrailer_2832_19" o:spid="_x0000_s2053" type="#_x0000_t202" alt="" style="position:absolute;margin-left:0;margin-top:813.6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" filled="f" stroked="f">
          <v:textbox inset="0,0,0,0">
            <w:txbxContent>
              <w:p w14:paraId="6D7F75E0" w14:textId="6F59EA5D" w:rsidR="0011278D" w:rsidRDefault="0011278D">
                <w:pPr>
                  <w:pStyle w:val="MacPacTrailer"/>
                </w:pPr>
                <w:r>
                  <w:t>CMIACTIVE-1100627894.1</w:t>
                </w:r>
              </w:p>
              <w:p w14:paraId="4DDA07B6" w14:textId="7F9A62AE" w:rsidR="0011278D" w:rsidRDefault="0011278D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1D8F" w14:textId="3B218E81" w:rsidR="00E6633C" w:rsidRDefault="00E6633C" w:rsidP="00675766">
    <w:pPr>
      <w:pStyle w:val="DocID"/>
    </w:pPr>
    <w:r w:rsidRPr="00675766">
      <w:t xml:space="preserve">DCACTIVE 52736465 v.1 </w:t>
    </w:r>
  </w:p>
  <w:p w14:paraId="0DF35189" w14:textId="77777777" w:rsidR="0011278D" w:rsidRDefault="00E657EB" w:rsidP="00D83F66">
    <w:pPr>
      <w:pStyle w:val="DocID"/>
    </w:pPr>
    <w:r>
      <w:t xml:space="preserve">CMIACTIVE 1100626977 v.1 </w:t>
    </w:r>
  </w:p>
  <w:p w14:paraId="5997E818" w14:textId="77777777" w:rsidR="0011278D" w:rsidRDefault="009672C2">
    <w:pPr>
      <w:pStyle w:val="Footer"/>
    </w:pPr>
    <w:r>
      <w:rPr>
        <w:noProof/>
      </w:rPr>
      <w:pict w14:anchorId="4E081040">
        <v:shapetype id="_x0000_t202" coordsize="21600,21600" o:spt="202" path="m,l,21600r21600,l21600,xe">
          <v:stroke joinstyle="miter"/>
          <v:path gradientshapeok="t" o:connecttype="rect"/>
        </v:shapetype>
        <v:shape id="zzmpTrailer_2832_1B" o:spid="_x0000_s2054" type="#_x0000_t202" alt="" style="position:absolute;margin-left:0;margin-top:813.6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" filled="f" stroked="f">
          <v:textbox inset="0,0,0,0">
            <w:txbxContent>
              <w:p w14:paraId="2664565F" w14:textId="3CE137A3" w:rsidR="0011278D" w:rsidRDefault="0011278D">
                <w:pPr>
                  <w:pStyle w:val="MacPacTrailer"/>
                </w:pPr>
                <w:r>
                  <w:t>CMIACTIVE-1100627894.1</w:t>
                </w:r>
              </w:p>
              <w:p w14:paraId="725247C3" w14:textId="057A7F4E" w:rsidR="0011278D" w:rsidRDefault="0011278D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E027" w14:textId="77777777" w:rsidR="009672C2" w:rsidRDefault="009672C2">
      <w:r>
        <w:separator/>
      </w:r>
    </w:p>
  </w:footnote>
  <w:footnote w:type="continuationSeparator" w:id="0">
    <w:p w14:paraId="1BB58F92" w14:textId="77777777" w:rsidR="009672C2" w:rsidRDefault="0096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94B2" w14:textId="77777777" w:rsidR="002E2801" w:rsidRDefault="002E2801" w:rsidP="000E2B9B">
    <w:pPr>
      <w:pStyle w:val="Header"/>
      <w:jc w:val="right"/>
      <w:rPr>
        <w:i/>
      </w:rPr>
    </w:pPr>
  </w:p>
  <w:p w14:paraId="0DB2A045" w14:textId="2C1392B9" w:rsidR="00E6633C" w:rsidRPr="002E2801" w:rsidRDefault="002E2801" w:rsidP="000E2B9B">
    <w:pPr>
      <w:pStyle w:val="Header"/>
      <w:jc w:val="right"/>
      <w:rPr>
        <w:i/>
      </w:rPr>
    </w:pPr>
    <w:r w:rsidRPr="002E2801">
      <w:rPr>
        <w:i/>
      </w:rPr>
      <w:t xml:space="preserve">Draft – </w:t>
    </w:r>
    <w:r w:rsidR="0011278D">
      <w:rPr>
        <w:i/>
      </w:rPr>
      <w:t>2</w:t>
    </w:r>
    <w:r w:rsidRPr="002E2801">
      <w:rPr>
        <w:i/>
      </w:rPr>
      <w:t xml:space="preserve"> Dec 2020</w:t>
    </w:r>
  </w:p>
  <w:p w14:paraId="18BB40F3" w14:textId="77777777" w:rsidR="00E6633C" w:rsidRDefault="00E6633C" w:rsidP="005F3835">
    <w:pPr>
      <w:pStyle w:val="Header"/>
    </w:pPr>
  </w:p>
  <w:p w14:paraId="62B7617F" w14:textId="3532DA6C" w:rsidR="00E6633C" w:rsidRPr="00514D48" w:rsidRDefault="00E6633C" w:rsidP="005F383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400"/>
    <w:multiLevelType w:val="hybridMultilevel"/>
    <w:tmpl w:val="B52AB3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60DEA"/>
    <w:multiLevelType w:val="hybridMultilevel"/>
    <w:tmpl w:val="0CB83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B6F"/>
    <w:multiLevelType w:val="hybridMultilevel"/>
    <w:tmpl w:val="E27667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277C1"/>
    <w:multiLevelType w:val="hybridMultilevel"/>
    <w:tmpl w:val="1858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24EF"/>
    <w:multiLevelType w:val="hybridMultilevel"/>
    <w:tmpl w:val="590A4462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AC90B65"/>
    <w:multiLevelType w:val="hybridMultilevel"/>
    <w:tmpl w:val="BC966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0085"/>
    <w:multiLevelType w:val="hybridMultilevel"/>
    <w:tmpl w:val="4440D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22B9"/>
    <w:multiLevelType w:val="hybridMultilevel"/>
    <w:tmpl w:val="8018C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24AC9"/>
    <w:multiLevelType w:val="hybridMultilevel"/>
    <w:tmpl w:val="A02C5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935EB"/>
    <w:multiLevelType w:val="hybridMultilevel"/>
    <w:tmpl w:val="D9AE6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13E31"/>
    <w:multiLevelType w:val="hybridMultilevel"/>
    <w:tmpl w:val="4B2C5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11BD5"/>
    <w:multiLevelType w:val="hybridMultilevel"/>
    <w:tmpl w:val="97589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82A778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2EE2"/>
    <w:multiLevelType w:val="hybridMultilevel"/>
    <w:tmpl w:val="A8B6F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7388F"/>
    <w:multiLevelType w:val="hybridMultilevel"/>
    <w:tmpl w:val="094028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43D0B"/>
    <w:multiLevelType w:val="hybridMultilevel"/>
    <w:tmpl w:val="FCA62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3519F"/>
    <w:multiLevelType w:val="hybridMultilevel"/>
    <w:tmpl w:val="04BE4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3562"/>
    <w:multiLevelType w:val="hybridMultilevel"/>
    <w:tmpl w:val="52A2A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B6923"/>
    <w:multiLevelType w:val="hybridMultilevel"/>
    <w:tmpl w:val="476A4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82A778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24613"/>
    <w:multiLevelType w:val="hybridMultilevel"/>
    <w:tmpl w:val="258CD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16DB"/>
    <w:multiLevelType w:val="hybridMultilevel"/>
    <w:tmpl w:val="C73CE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596"/>
    <w:multiLevelType w:val="hybridMultilevel"/>
    <w:tmpl w:val="EFBCB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6138"/>
    <w:multiLevelType w:val="hybridMultilevel"/>
    <w:tmpl w:val="DFD20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2"/>
  </w:num>
  <w:num w:numId="10">
    <w:abstractNumId w:val="20"/>
  </w:num>
  <w:num w:numId="11">
    <w:abstractNumId w:val="1"/>
  </w:num>
  <w:num w:numId="12">
    <w:abstractNumId w:val="15"/>
  </w:num>
  <w:num w:numId="13">
    <w:abstractNumId w:val="4"/>
  </w:num>
  <w:num w:numId="14">
    <w:abstractNumId w:val="18"/>
  </w:num>
  <w:num w:numId="15">
    <w:abstractNumId w:val="21"/>
  </w:num>
  <w:num w:numId="16">
    <w:abstractNumId w:val="5"/>
  </w:num>
  <w:num w:numId="17">
    <w:abstractNumId w:val="7"/>
  </w:num>
  <w:num w:numId="18">
    <w:abstractNumId w:val="3"/>
  </w:num>
  <w:num w:numId="19">
    <w:abstractNumId w:val="6"/>
  </w:num>
  <w:num w:numId="20">
    <w:abstractNumId w:val="8"/>
  </w:num>
  <w:num w:numId="21">
    <w:abstractNumId w:val="0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6"/>
    <w:rsid w:val="00003003"/>
    <w:rsid w:val="00005BE7"/>
    <w:rsid w:val="00005E21"/>
    <w:rsid w:val="000111CF"/>
    <w:rsid w:val="00011651"/>
    <w:rsid w:val="00012508"/>
    <w:rsid w:val="00012B48"/>
    <w:rsid w:val="00013255"/>
    <w:rsid w:val="000138D8"/>
    <w:rsid w:val="000138E7"/>
    <w:rsid w:val="00013FE4"/>
    <w:rsid w:val="000175DA"/>
    <w:rsid w:val="0002194C"/>
    <w:rsid w:val="00021BD4"/>
    <w:rsid w:val="00022302"/>
    <w:rsid w:val="00024246"/>
    <w:rsid w:val="00024407"/>
    <w:rsid w:val="00024FC9"/>
    <w:rsid w:val="00032FC1"/>
    <w:rsid w:val="00033B3C"/>
    <w:rsid w:val="00033FD2"/>
    <w:rsid w:val="000351AB"/>
    <w:rsid w:val="00035612"/>
    <w:rsid w:val="00040F69"/>
    <w:rsid w:val="0004239E"/>
    <w:rsid w:val="0004263D"/>
    <w:rsid w:val="00047AA8"/>
    <w:rsid w:val="00050E5B"/>
    <w:rsid w:val="00052B71"/>
    <w:rsid w:val="000572E4"/>
    <w:rsid w:val="00057E51"/>
    <w:rsid w:val="00060A9E"/>
    <w:rsid w:val="000611D0"/>
    <w:rsid w:val="00061D77"/>
    <w:rsid w:val="0006212C"/>
    <w:rsid w:val="000626F5"/>
    <w:rsid w:val="00064F18"/>
    <w:rsid w:val="00067FFD"/>
    <w:rsid w:val="0007447A"/>
    <w:rsid w:val="00074F28"/>
    <w:rsid w:val="00076729"/>
    <w:rsid w:val="00076765"/>
    <w:rsid w:val="0008036E"/>
    <w:rsid w:val="00080E45"/>
    <w:rsid w:val="00083C21"/>
    <w:rsid w:val="00085CC4"/>
    <w:rsid w:val="00087A05"/>
    <w:rsid w:val="000933BD"/>
    <w:rsid w:val="000A33DC"/>
    <w:rsid w:val="000A556E"/>
    <w:rsid w:val="000A7351"/>
    <w:rsid w:val="000A7E8B"/>
    <w:rsid w:val="000B11A4"/>
    <w:rsid w:val="000B5DF9"/>
    <w:rsid w:val="000B6F76"/>
    <w:rsid w:val="000C018A"/>
    <w:rsid w:val="000C0ED9"/>
    <w:rsid w:val="000C2C8C"/>
    <w:rsid w:val="000C3135"/>
    <w:rsid w:val="000C587B"/>
    <w:rsid w:val="000C6726"/>
    <w:rsid w:val="000D1CA8"/>
    <w:rsid w:val="000D2213"/>
    <w:rsid w:val="000D3671"/>
    <w:rsid w:val="000D402C"/>
    <w:rsid w:val="000D4B3C"/>
    <w:rsid w:val="000D5028"/>
    <w:rsid w:val="000D5ED1"/>
    <w:rsid w:val="000D7366"/>
    <w:rsid w:val="000D75D8"/>
    <w:rsid w:val="000E2B9B"/>
    <w:rsid w:val="000E7386"/>
    <w:rsid w:val="000E7639"/>
    <w:rsid w:val="000E778E"/>
    <w:rsid w:val="000F2F22"/>
    <w:rsid w:val="000F74C1"/>
    <w:rsid w:val="00102F19"/>
    <w:rsid w:val="001036E3"/>
    <w:rsid w:val="00103FF2"/>
    <w:rsid w:val="0010580A"/>
    <w:rsid w:val="00112698"/>
    <w:rsid w:val="0011278D"/>
    <w:rsid w:val="00114E94"/>
    <w:rsid w:val="00115051"/>
    <w:rsid w:val="00115677"/>
    <w:rsid w:val="00115BE4"/>
    <w:rsid w:val="00115FAA"/>
    <w:rsid w:val="00116980"/>
    <w:rsid w:val="00117966"/>
    <w:rsid w:val="00117DE7"/>
    <w:rsid w:val="00117E42"/>
    <w:rsid w:val="0012119D"/>
    <w:rsid w:val="00123D23"/>
    <w:rsid w:val="00134FD1"/>
    <w:rsid w:val="00140B8B"/>
    <w:rsid w:val="00141E51"/>
    <w:rsid w:val="00144B06"/>
    <w:rsid w:val="00144C10"/>
    <w:rsid w:val="001500B3"/>
    <w:rsid w:val="001514DD"/>
    <w:rsid w:val="001518E4"/>
    <w:rsid w:val="001600F4"/>
    <w:rsid w:val="001643C0"/>
    <w:rsid w:val="00165DB2"/>
    <w:rsid w:val="00167325"/>
    <w:rsid w:val="00167D4C"/>
    <w:rsid w:val="00170245"/>
    <w:rsid w:val="00170CE1"/>
    <w:rsid w:val="00171027"/>
    <w:rsid w:val="00172785"/>
    <w:rsid w:val="00172A4D"/>
    <w:rsid w:val="00173AFE"/>
    <w:rsid w:val="00175471"/>
    <w:rsid w:val="00177271"/>
    <w:rsid w:val="001772CC"/>
    <w:rsid w:val="001777C5"/>
    <w:rsid w:val="00184E52"/>
    <w:rsid w:val="00184E54"/>
    <w:rsid w:val="00186524"/>
    <w:rsid w:val="0018756B"/>
    <w:rsid w:val="00191B16"/>
    <w:rsid w:val="001964CE"/>
    <w:rsid w:val="001976B5"/>
    <w:rsid w:val="001A243A"/>
    <w:rsid w:val="001A7817"/>
    <w:rsid w:val="001B4964"/>
    <w:rsid w:val="001B6C7A"/>
    <w:rsid w:val="001C1393"/>
    <w:rsid w:val="001C612F"/>
    <w:rsid w:val="001C7959"/>
    <w:rsid w:val="001D22B8"/>
    <w:rsid w:val="001D2399"/>
    <w:rsid w:val="001D2EAD"/>
    <w:rsid w:val="001D3395"/>
    <w:rsid w:val="001D3821"/>
    <w:rsid w:val="001D3A7D"/>
    <w:rsid w:val="001D6C88"/>
    <w:rsid w:val="001D7767"/>
    <w:rsid w:val="001D7A98"/>
    <w:rsid w:val="001E0683"/>
    <w:rsid w:val="001E0920"/>
    <w:rsid w:val="001E16DF"/>
    <w:rsid w:val="001E25B7"/>
    <w:rsid w:val="001E29BD"/>
    <w:rsid w:val="001E61F5"/>
    <w:rsid w:val="001F0DB2"/>
    <w:rsid w:val="001F134C"/>
    <w:rsid w:val="001F1733"/>
    <w:rsid w:val="001F559E"/>
    <w:rsid w:val="001F64A2"/>
    <w:rsid w:val="00202B01"/>
    <w:rsid w:val="002063DA"/>
    <w:rsid w:val="00206BA7"/>
    <w:rsid w:val="0021147B"/>
    <w:rsid w:val="00216AD0"/>
    <w:rsid w:val="00216CF6"/>
    <w:rsid w:val="00217720"/>
    <w:rsid w:val="002209AD"/>
    <w:rsid w:val="00223822"/>
    <w:rsid w:val="00224A05"/>
    <w:rsid w:val="00225C4D"/>
    <w:rsid w:val="00227E4F"/>
    <w:rsid w:val="00230083"/>
    <w:rsid w:val="00250C57"/>
    <w:rsid w:val="00250E06"/>
    <w:rsid w:val="00251B41"/>
    <w:rsid w:val="00255FA5"/>
    <w:rsid w:val="002562BE"/>
    <w:rsid w:val="002578AA"/>
    <w:rsid w:val="00261B2A"/>
    <w:rsid w:val="002649D6"/>
    <w:rsid w:val="00267F5C"/>
    <w:rsid w:val="00271175"/>
    <w:rsid w:val="00273632"/>
    <w:rsid w:val="00274D59"/>
    <w:rsid w:val="00275514"/>
    <w:rsid w:val="00275597"/>
    <w:rsid w:val="002837AF"/>
    <w:rsid w:val="00285FC7"/>
    <w:rsid w:val="0028759E"/>
    <w:rsid w:val="002875AD"/>
    <w:rsid w:val="0029252A"/>
    <w:rsid w:val="002934D9"/>
    <w:rsid w:val="00294099"/>
    <w:rsid w:val="0029668B"/>
    <w:rsid w:val="002A063E"/>
    <w:rsid w:val="002A1F36"/>
    <w:rsid w:val="002A2E5F"/>
    <w:rsid w:val="002A30BF"/>
    <w:rsid w:val="002A5692"/>
    <w:rsid w:val="002B167D"/>
    <w:rsid w:val="002B1F33"/>
    <w:rsid w:val="002B270B"/>
    <w:rsid w:val="002B5004"/>
    <w:rsid w:val="002B5E5A"/>
    <w:rsid w:val="002B714D"/>
    <w:rsid w:val="002C1B02"/>
    <w:rsid w:val="002D0F02"/>
    <w:rsid w:val="002D3414"/>
    <w:rsid w:val="002D49F7"/>
    <w:rsid w:val="002D4DA4"/>
    <w:rsid w:val="002D5316"/>
    <w:rsid w:val="002D5CB0"/>
    <w:rsid w:val="002D7238"/>
    <w:rsid w:val="002D77E8"/>
    <w:rsid w:val="002E15B3"/>
    <w:rsid w:val="002E2801"/>
    <w:rsid w:val="002E3299"/>
    <w:rsid w:val="002E7D2D"/>
    <w:rsid w:val="002F2D84"/>
    <w:rsid w:val="002F5420"/>
    <w:rsid w:val="002F6FED"/>
    <w:rsid w:val="002F78A4"/>
    <w:rsid w:val="003052D6"/>
    <w:rsid w:val="00306BBF"/>
    <w:rsid w:val="003075DC"/>
    <w:rsid w:val="00310AF9"/>
    <w:rsid w:val="003144E9"/>
    <w:rsid w:val="00317CFE"/>
    <w:rsid w:val="00320DB8"/>
    <w:rsid w:val="00324C5E"/>
    <w:rsid w:val="00325185"/>
    <w:rsid w:val="00325415"/>
    <w:rsid w:val="003273D6"/>
    <w:rsid w:val="00330C57"/>
    <w:rsid w:val="0033218C"/>
    <w:rsid w:val="00333DFB"/>
    <w:rsid w:val="0033728C"/>
    <w:rsid w:val="003433AF"/>
    <w:rsid w:val="003440C3"/>
    <w:rsid w:val="00346F57"/>
    <w:rsid w:val="00350DA9"/>
    <w:rsid w:val="00351DBC"/>
    <w:rsid w:val="003522E5"/>
    <w:rsid w:val="00352873"/>
    <w:rsid w:val="003565DA"/>
    <w:rsid w:val="00361211"/>
    <w:rsid w:val="0036261E"/>
    <w:rsid w:val="003652C9"/>
    <w:rsid w:val="003665F4"/>
    <w:rsid w:val="00370D2A"/>
    <w:rsid w:val="00371E3F"/>
    <w:rsid w:val="00372589"/>
    <w:rsid w:val="00373A04"/>
    <w:rsid w:val="00377163"/>
    <w:rsid w:val="00377D0E"/>
    <w:rsid w:val="0038081B"/>
    <w:rsid w:val="0038429E"/>
    <w:rsid w:val="003A189F"/>
    <w:rsid w:val="003A2D98"/>
    <w:rsid w:val="003A38D7"/>
    <w:rsid w:val="003A56BE"/>
    <w:rsid w:val="003B2637"/>
    <w:rsid w:val="003B2BD3"/>
    <w:rsid w:val="003B3173"/>
    <w:rsid w:val="003B7F41"/>
    <w:rsid w:val="003C2986"/>
    <w:rsid w:val="003C3589"/>
    <w:rsid w:val="003C6BBF"/>
    <w:rsid w:val="003D04DE"/>
    <w:rsid w:val="003D383C"/>
    <w:rsid w:val="003D38AF"/>
    <w:rsid w:val="003D42EC"/>
    <w:rsid w:val="003D757A"/>
    <w:rsid w:val="003D7AA4"/>
    <w:rsid w:val="003E1987"/>
    <w:rsid w:val="003E5A50"/>
    <w:rsid w:val="003F25D9"/>
    <w:rsid w:val="003F62D7"/>
    <w:rsid w:val="003F6DC4"/>
    <w:rsid w:val="00403344"/>
    <w:rsid w:val="0040345B"/>
    <w:rsid w:val="00403854"/>
    <w:rsid w:val="004039F6"/>
    <w:rsid w:val="004055AA"/>
    <w:rsid w:val="004068E2"/>
    <w:rsid w:val="00410585"/>
    <w:rsid w:val="0041085C"/>
    <w:rsid w:val="00412682"/>
    <w:rsid w:val="00414D52"/>
    <w:rsid w:val="0042449C"/>
    <w:rsid w:val="004274DF"/>
    <w:rsid w:val="00427AB4"/>
    <w:rsid w:val="00430A5A"/>
    <w:rsid w:val="00433D09"/>
    <w:rsid w:val="00442DCE"/>
    <w:rsid w:val="004516B3"/>
    <w:rsid w:val="00451D4E"/>
    <w:rsid w:val="0045403A"/>
    <w:rsid w:val="00461E74"/>
    <w:rsid w:val="004640FE"/>
    <w:rsid w:val="00465B93"/>
    <w:rsid w:val="0046690B"/>
    <w:rsid w:val="0047148F"/>
    <w:rsid w:val="004738D5"/>
    <w:rsid w:val="004758F9"/>
    <w:rsid w:val="004763AA"/>
    <w:rsid w:val="00481C00"/>
    <w:rsid w:val="00482ADC"/>
    <w:rsid w:val="004865E0"/>
    <w:rsid w:val="004959AE"/>
    <w:rsid w:val="004A239B"/>
    <w:rsid w:val="004A612F"/>
    <w:rsid w:val="004A71D7"/>
    <w:rsid w:val="004A7394"/>
    <w:rsid w:val="004B2C63"/>
    <w:rsid w:val="004B53EC"/>
    <w:rsid w:val="004B7F84"/>
    <w:rsid w:val="004C1157"/>
    <w:rsid w:val="004C6ABA"/>
    <w:rsid w:val="004C7523"/>
    <w:rsid w:val="004C7635"/>
    <w:rsid w:val="004D22B9"/>
    <w:rsid w:val="004D4C2A"/>
    <w:rsid w:val="004D5FA9"/>
    <w:rsid w:val="004D7CB0"/>
    <w:rsid w:val="004D7F8F"/>
    <w:rsid w:val="004E1420"/>
    <w:rsid w:val="004E14F8"/>
    <w:rsid w:val="004E68D1"/>
    <w:rsid w:val="004F2C6C"/>
    <w:rsid w:val="004F6D7E"/>
    <w:rsid w:val="00500BC8"/>
    <w:rsid w:val="005033B9"/>
    <w:rsid w:val="00503947"/>
    <w:rsid w:val="0050462C"/>
    <w:rsid w:val="005117FD"/>
    <w:rsid w:val="00512F05"/>
    <w:rsid w:val="0051377B"/>
    <w:rsid w:val="00513780"/>
    <w:rsid w:val="00514D48"/>
    <w:rsid w:val="005213F3"/>
    <w:rsid w:val="00521F21"/>
    <w:rsid w:val="005247BF"/>
    <w:rsid w:val="005259D7"/>
    <w:rsid w:val="00525C11"/>
    <w:rsid w:val="005279A9"/>
    <w:rsid w:val="00531AEE"/>
    <w:rsid w:val="00531EAD"/>
    <w:rsid w:val="005332CB"/>
    <w:rsid w:val="00534E21"/>
    <w:rsid w:val="005361FA"/>
    <w:rsid w:val="005400AB"/>
    <w:rsid w:val="005417ED"/>
    <w:rsid w:val="00541D39"/>
    <w:rsid w:val="00542EBD"/>
    <w:rsid w:val="0054431B"/>
    <w:rsid w:val="005465E9"/>
    <w:rsid w:val="00546F40"/>
    <w:rsid w:val="005528F8"/>
    <w:rsid w:val="00553077"/>
    <w:rsid w:val="00554593"/>
    <w:rsid w:val="005569E3"/>
    <w:rsid w:val="0055720C"/>
    <w:rsid w:val="005575C7"/>
    <w:rsid w:val="00560E90"/>
    <w:rsid w:val="005640D4"/>
    <w:rsid w:val="00565A1A"/>
    <w:rsid w:val="00565DE2"/>
    <w:rsid w:val="005708A8"/>
    <w:rsid w:val="00571696"/>
    <w:rsid w:val="00571E52"/>
    <w:rsid w:val="00572746"/>
    <w:rsid w:val="0057655B"/>
    <w:rsid w:val="00577345"/>
    <w:rsid w:val="005822C3"/>
    <w:rsid w:val="00585079"/>
    <w:rsid w:val="00586F48"/>
    <w:rsid w:val="005938BC"/>
    <w:rsid w:val="005A7280"/>
    <w:rsid w:val="005A72E3"/>
    <w:rsid w:val="005A779D"/>
    <w:rsid w:val="005B0AC1"/>
    <w:rsid w:val="005B213C"/>
    <w:rsid w:val="005B376F"/>
    <w:rsid w:val="005B58C9"/>
    <w:rsid w:val="005B781E"/>
    <w:rsid w:val="005C1676"/>
    <w:rsid w:val="005C3DA1"/>
    <w:rsid w:val="005C416E"/>
    <w:rsid w:val="005C475D"/>
    <w:rsid w:val="005C6F40"/>
    <w:rsid w:val="005C712F"/>
    <w:rsid w:val="005D01F9"/>
    <w:rsid w:val="005D08BA"/>
    <w:rsid w:val="005D30E1"/>
    <w:rsid w:val="005D342B"/>
    <w:rsid w:val="005D3D86"/>
    <w:rsid w:val="005E1410"/>
    <w:rsid w:val="005E2293"/>
    <w:rsid w:val="005E7E24"/>
    <w:rsid w:val="005F04E9"/>
    <w:rsid w:val="005F3835"/>
    <w:rsid w:val="005F56A8"/>
    <w:rsid w:val="005F68F2"/>
    <w:rsid w:val="00600C35"/>
    <w:rsid w:val="006032BB"/>
    <w:rsid w:val="00604EBB"/>
    <w:rsid w:val="0060572D"/>
    <w:rsid w:val="00612874"/>
    <w:rsid w:val="00614096"/>
    <w:rsid w:val="00616F83"/>
    <w:rsid w:val="00621D33"/>
    <w:rsid w:val="00627910"/>
    <w:rsid w:val="006302FA"/>
    <w:rsid w:val="00631A5F"/>
    <w:rsid w:val="00633C5F"/>
    <w:rsid w:val="0063591F"/>
    <w:rsid w:val="00636C28"/>
    <w:rsid w:val="006419F1"/>
    <w:rsid w:val="00642CBF"/>
    <w:rsid w:val="00644C52"/>
    <w:rsid w:val="006527D9"/>
    <w:rsid w:val="00656C3B"/>
    <w:rsid w:val="00660078"/>
    <w:rsid w:val="006603CB"/>
    <w:rsid w:val="00667429"/>
    <w:rsid w:val="006674D5"/>
    <w:rsid w:val="006701A3"/>
    <w:rsid w:val="00673830"/>
    <w:rsid w:val="0067569A"/>
    <w:rsid w:val="00675766"/>
    <w:rsid w:val="00677414"/>
    <w:rsid w:val="006778D1"/>
    <w:rsid w:val="006827B5"/>
    <w:rsid w:val="00683834"/>
    <w:rsid w:val="006867AB"/>
    <w:rsid w:val="00686F4E"/>
    <w:rsid w:val="00690E5E"/>
    <w:rsid w:val="00692578"/>
    <w:rsid w:val="0069378A"/>
    <w:rsid w:val="00695316"/>
    <w:rsid w:val="00695F9B"/>
    <w:rsid w:val="006A2051"/>
    <w:rsid w:val="006A2314"/>
    <w:rsid w:val="006A30AB"/>
    <w:rsid w:val="006A3853"/>
    <w:rsid w:val="006A6AA7"/>
    <w:rsid w:val="006B284E"/>
    <w:rsid w:val="006B3150"/>
    <w:rsid w:val="006B534C"/>
    <w:rsid w:val="006B6682"/>
    <w:rsid w:val="006B7276"/>
    <w:rsid w:val="006C11B5"/>
    <w:rsid w:val="006C7A61"/>
    <w:rsid w:val="006D1552"/>
    <w:rsid w:val="006D2614"/>
    <w:rsid w:val="006D3CE6"/>
    <w:rsid w:val="006D5E55"/>
    <w:rsid w:val="006E00B1"/>
    <w:rsid w:val="006E198E"/>
    <w:rsid w:val="006E2930"/>
    <w:rsid w:val="006E3DB3"/>
    <w:rsid w:val="006E5E71"/>
    <w:rsid w:val="006E6507"/>
    <w:rsid w:val="006F2D6C"/>
    <w:rsid w:val="006F31E7"/>
    <w:rsid w:val="006F3897"/>
    <w:rsid w:val="0070171F"/>
    <w:rsid w:val="007049D4"/>
    <w:rsid w:val="0070659F"/>
    <w:rsid w:val="00706F59"/>
    <w:rsid w:val="00710225"/>
    <w:rsid w:val="0071212B"/>
    <w:rsid w:val="007174BE"/>
    <w:rsid w:val="00717683"/>
    <w:rsid w:val="00726A34"/>
    <w:rsid w:val="00733D0C"/>
    <w:rsid w:val="0073606F"/>
    <w:rsid w:val="00741C66"/>
    <w:rsid w:val="00741E51"/>
    <w:rsid w:val="007433D4"/>
    <w:rsid w:val="007529E9"/>
    <w:rsid w:val="00753F6F"/>
    <w:rsid w:val="0075434B"/>
    <w:rsid w:val="007558AE"/>
    <w:rsid w:val="00757BBB"/>
    <w:rsid w:val="007638FD"/>
    <w:rsid w:val="00763F51"/>
    <w:rsid w:val="007665AC"/>
    <w:rsid w:val="007670AD"/>
    <w:rsid w:val="00767CEF"/>
    <w:rsid w:val="007708D7"/>
    <w:rsid w:val="00770AC7"/>
    <w:rsid w:val="0077170D"/>
    <w:rsid w:val="007773A9"/>
    <w:rsid w:val="00781AC1"/>
    <w:rsid w:val="007822F6"/>
    <w:rsid w:val="00783F61"/>
    <w:rsid w:val="00784FC4"/>
    <w:rsid w:val="00787A08"/>
    <w:rsid w:val="00787D26"/>
    <w:rsid w:val="00790C61"/>
    <w:rsid w:val="00792AAB"/>
    <w:rsid w:val="00794823"/>
    <w:rsid w:val="0079608A"/>
    <w:rsid w:val="007A2260"/>
    <w:rsid w:val="007A3E02"/>
    <w:rsid w:val="007A51D9"/>
    <w:rsid w:val="007A544F"/>
    <w:rsid w:val="007A550C"/>
    <w:rsid w:val="007A5C9D"/>
    <w:rsid w:val="007A697B"/>
    <w:rsid w:val="007A6F58"/>
    <w:rsid w:val="007B04FD"/>
    <w:rsid w:val="007B1287"/>
    <w:rsid w:val="007B5E26"/>
    <w:rsid w:val="007B6BDC"/>
    <w:rsid w:val="007C0FE2"/>
    <w:rsid w:val="007C2B4A"/>
    <w:rsid w:val="007C458B"/>
    <w:rsid w:val="007C636F"/>
    <w:rsid w:val="007C7FBF"/>
    <w:rsid w:val="007D0972"/>
    <w:rsid w:val="007D0F6E"/>
    <w:rsid w:val="007D20F0"/>
    <w:rsid w:val="007D4328"/>
    <w:rsid w:val="007D6D71"/>
    <w:rsid w:val="007E2FB8"/>
    <w:rsid w:val="007E5581"/>
    <w:rsid w:val="007F4045"/>
    <w:rsid w:val="00800663"/>
    <w:rsid w:val="00800B65"/>
    <w:rsid w:val="00800BAD"/>
    <w:rsid w:val="00803516"/>
    <w:rsid w:val="00803AE4"/>
    <w:rsid w:val="00804EDD"/>
    <w:rsid w:val="00805287"/>
    <w:rsid w:val="00806E10"/>
    <w:rsid w:val="00813715"/>
    <w:rsid w:val="00814E97"/>
    <w:rsid w:val="008226E0"/>
    <w:rsid w:val="008249CA"/>
    <w:rsid w:val="008321A3"/>
    <w:rsid w:val="008323A5"/>
    <w:rsid w:val="00833399"/>
    <w:rsid w:val="00833C49"/>
    <w:rsid w:val="00834501"/>
    <w:rsid w:val="00840C5A"/>
    <w:rsid w:val="008458BD"/>
    <w:rsid w:val="008466CD"/>
    <w:rsid w:val="00847B7B"/>
    <w:rsid w:val="00847BEC"/>
    <w:rsid w:val="00850479"/>
    <w:rsid w:val="00853606"/>
    <w:rsid w:val="00854A0A"/>
    <w:rsid w:val="00856606"/>
    <w:rsid w:val="00862084"/>
    <w:rsid w:val="00864CA1"/>
    <w:rsid w:val="0086546B"/>
    <w:rsid w:val="00865B20"/>
    <w:rsid w:val="00865CD7"/>
    <w:rsid w:val="00876F7E"/>
    <w:rsid w:val="0087726F"/>
    <w:rsid w:val="00883306"/>
    <w:rsid w:val="00884E52"/>
    <w:rsid w:val="00890DEA"/>
    <w:rsid w:val="0089113B"/>
    <w:rsid w:val="008915E5"/>
    <w:rsid w:val="008932BD"/>
    <w:rsid w:val="008A000C"/>
    <w:rsid w:val="008A0D49"/>
    <w:rsid w:val="008A143E"/>
    <w:rsid w:val="008A4B13"/>
    <w:rsid w:val="008A4B58"/>
    <w:rsid w:val="008B27D4"/>
    <w:rsid w:val="008B2E02"/>
    <w:rsid w:val="008B38E7"/>
    <w:rsid w:val="008B3D63"/>
    <w:rsid w:val="008B4C6A"/>
    <w:rsid w:val="008B53BA"/>
    <w:rsid w:val="008C02BE"/>
    <w:rsid w:val="008C0D10"/>
    <w:rsid w:val="008C202E"/>
    <w:rsid w:val="008C2210"/>
    <w:rsid w:val="008C2543"/>
    <w:rsid w:val="008C40BC"/>
    <w:rsid w:val="008C7BBF"/>
    <w:rsid w:val="008D2170"/>
    <w:rsid w:val="008D36D9"/>
    <w:rsid w:val="008D4CBF"/>
    <w:rsid w:val="008D587D"/>
    <w:rsid w:val="008D7539"/>
    <w:rsid w:val="008E3C11"/>
    <w:rsid w:val="008E3EED"/>
    <w:rsid w:val="008E48F1"/>
    <w:rsid w:val="008E6A62"/>
    <w:rsid w:val="008F008F"/>
    <w:rsid w:val="008F35D0"/>
    <w:rsid w:val="008F7BE7"/>
    <w:rsid w:val="009004A7"/>
    <w:rsid w:val="00904339"/>
    <w:rsid w:val="0090513B"/>
    <w:rsid w:val="0090701F"/>
    <w:rsid w:val="00910098"/>
    <w:rsid w:val="00910870"/>
    <w:rsid w:val="00911D62"/>
    <w:rsid w:val="00912CE8"/>
    <w:rsid w:val="00914E17"/>
    <w:rsid w:val="00916C64"/>
    <w:rsid w:val="00916E29"/>
    <w:rsid w:val="00922644"/>
    <w:rsid w:val="00923B1C"/>
    <w:rsid w:val="00923F78"/>
    <w:rsid w:val="00924D13"/>
    <w:rsid w:val="0092616F"/>
    <w:rsid w:val="0093670B"/>
    <w:rsid w:val="00943FF8"/>
    <w:rsid w:val="0094425D"/>
    <w:rsid w:val="0095122A"/>
    <w:rsid w:val="00951B8E"/>
    <w:rsid w:val="00952451"/>
    <w:rsid w:val="009540ED"/>
    <w:rsid w:val="00954B6F"/>
    <w:rsid w:val="00956143"/>
    <w:rsid w:val="00956B80"/>
    <w:rsid w:val="0096143B"/>
    <w:rsid w:val="0096163C"/>
    <w:rsid w:val="009672C2"/>
    <w:rsid w:val="009744DA"/>
    <w:rsid w:val="0097490D"/>
    <w:rsid w:val="00975A16"/>
    <w:rsid w:val="0098151D"/>
    <w:rsid w:val="00981A05"/>
    <w:rsid w:val="00984173"/>
    <w:rsid w:val="00984A14"/>
    <w:rsid w:val="00985D32"/>
    <w:rsid w:val="00985D72"/>
    <w:rsid w:val="00987309"/>
    <w:rsid w:val="00991711"/>
    <w:rsid w:val="0099264F"/>
    <w:rsid w:val="009A2E88"/>
    <w:rsid w:val="009A4FD5"/>
    <w:rsid w:val="009A602B"/>
    <w:rsid w:val="009A629F"/>
    <w:rsid w:val="009B06CB"/>
    <w:rsid w:val="009B2928"/>
    <w:rsid w:val="009B747C"/>
    <w:rsid w:val="009C4A37"/>
    <w:rsid w:val="009C525A"/>
    <w:rsid w:val="009D3CB8"/>
    <w:rsid w:val="009D3E63"/>
    <w:rsid w:val="009D553B"/>
    <w:rsid w:val="009D57F1"/>
    <w:rsid w:val="009D7577"/>
    <w:rsid w:val="009E0478"/>
    <w:rsid w:val="009E2671"/>
    <w:rsid w:val="009E2FFF"/>
    <w:rsid w:val="009E724F"/>
    <w:rsid w:val="009E7924"/>
    <w:rsid w:val="009F350B"/>
    <w:rsid w:val="009F4105"/>
    <w:rsid w:val="009F7709"/>
    <w:rsid w:val="00A06384"/>
    <w:rsid w:val="00A10939"/>
    <w:rsid w:val="00A1279A"/>
    <w:rsid w:val="00A13BFF"/>
    <w:rsid w:val="00A13C55"/>
    <w:rsid w:val="00A1609D"/>
    <w:rsid w:val="00A206F9"/>
    <w:rsid w:val="00A20E0A"/>
    <w:rsid w:val="00A23CE0"/>
    <w:rsid w:val="00A2455A"/>
    <w:rsid w:val="00A263FC"/>
    <w:rsid w:val="00A30029"/>
    <w:rsid w:val="00A31510"/>
    <w:rsid w:val="00A320E8"/>
    <w:rsid w:val="00A347A3"/>
    <w:rsid w:val="00A35D33"/>
    <w:rsid w:val="00A40FFA"/>
    <w:rsid w:val="00A451A8"/>
    <w:rsid w:val="00A4614F"/>
    <w:rsid w:val="00A5030D"/>
    <w:rsid w:val="00A50E71"/>
    <w:rsid w:val="00A52F50"/>
    <w:rsid w:val="00A5384E"/>
    <w:rsid w:val="00A5474B"/>
    <w:rsid w:val="00A577E3"/>
    <w:rsid w:val="00A60960"/>
    <w:rsid w:val="00A60D43"/>
    <w:rsid w:val="00A625CC"/>
    <w:rsid w:val="00A63A7E"/>
    <w:rsid w:val="00A63FC9"/>
    <w:rsid w:val="00A65556"/>
    <w:rsid w:val="00A676CA"/>
    <w:rsid w:val="00A703A2"/>
    <w:rsid w:val="00A76141"/>
    <w:rsid w:val="00A774C7"/>
    <w:rsid w:val="00A77B99"/>
    <w:rsid w:val="00A77F37"/>
    <w:rsid w:val="00A843F4"/>
    <w:rsid w:val="00A86D9B"/>
    <w:rsid w:val="00A8797C"/>
    <w:rsid w:val="00A91AED"/>
    <w:rsid w:val="00A92C98"/>
    <w:rsid w:val="00A92F13"/>
    <w:rsid w:val="00A944E8"/>
    <w:rsid w:val="00A94E10"/>
    <w:rsid w:val="00A95BA5"/>
    <w:rsid w:val="00A95E0B"/>
    <w:rsid w:val="00A97530"/>
    <w:rsid w:val="00A97BA2"/>
    <w:rsid w:val="00AA0733"/>
    <w:rsid w:val="00AA09FD"/>
    <w:rsid w:val="00AA0B8D"/>
    <w:rsid w:val="00AA4B27"/>
    <w:rsid w:val="00AA54AB"/>
    <w:rsid w:val="00AA7ADF"/>
    <w:rsid w:val="00AB32DA"/>
    <w:rsid w:val="00AB461F"/>
    <w:rsid w:val="00AB74A5"/>
    <w:rsid w:val="00AB7A9A"/>
    <w:rsid w:val="00AC1D9C"/>
    <w:rsid w:val="00AC32FB"/>
    <w:rsid w:val="00AC36A4"/>
    <w:rsid w:val="00AC5E9B"/>
    <w:rsid w:val="00AD6449"/>
    <w:rsid w:val="00AD6EF8"/>
    <w:rsid w:val="00AD6F31"/>
    <w:rsid w:val="00AD78CF"/>
    <w:rsid w:val="00AE5EF5"/>
    <w:rsid w:val="00AF0164"/>
    <w:rsid w:val="00AF31A2"/>
    <w:rsid w:val="00AF33DA"/>
    <w:rsid w:val="00AF54FA"/>
    <w:rsid w:val="00AF68CB"/>
    <w:rsid w:val="00AF6D0D"/>
    <w:rsid w:val="00B03D10"/>
    <w:rsid w:val="00B042D7"/>
    <w:rsid w:val="00B048BC"/>
    <w:rsid w:val="00B06645"/>
    <w:rsid w:val="00B06699"/>
    <w:rsid w:val="00B0711C"/>
    <w:rsid w:val="00B11524"/>
    <w:rsid w:val="00B11B01"/>
    <w:rsid w:val="00B142F6"/>
    <w:rsid w:val="00B16C7D"/>
    <w:rsid w:val="00B20330"/>
    <w:rsid w:val="00B20E50"/>
    <w:rsid w:val="00B2219B"/>
    <w:rsid w:val="00B23CA7"/>
    <w:rsid w:val="00B25DC6"/>
    <w:rsid w:val="00B26ADE"/>
    <w:rsid w:val="00B2709F"/>
    <w:rsid w:val="00B31B74"/>
    <w:rsid w:val="00B325AF"/>
    <w:rsid w:val="00B337E1"/>
    <w:rsid w:val="00B34948"/>
    <w:rsid w:val="00B4033B"/>
    <w:rsid w:val="00B420C5"/>
    <w:rsid w:val="00B420F2"/>
    <w:rsid w:val="00B427F9"/>
    <w:rsid w:val="00B4379B"/>
    <w:rsid w:val="00B4558A"/>
    <w:rsid w:val="00B46FC4"/>
    <w:rsid w:val="00B47BCF"/>
    <w:rsid w:val="00B51055"/>
    <w:rsid w:val="00B51D78"/>
    <w:rsid w:val="00B52625"/>
    <w:rsid w:val="00B535BC"/>
    <w:rsid w:val="00B556D2"/>
    <w:rsid w:val="00B5760B"/>
    <w:rsid w:val="00B60C27"/>
    <w:rsid w:val="00B6318F"/>
    <w:rsid w:val="00B66535"/>
    <w:rsid w:val="00B6666E"/>
    <w:rsid w:val="00B67223"/>
    <w:rsid w:val="00B6785A"/>
    <w:rsid w:val="00B71D8E"/>
    <w:rsid w:val="00B72D04"/>
    <w:rsid w:val="00B73B1B"/>
    <w:rsid w:val="00B74C86"/>
    <w:rsid w:val="00B750E2"/>
    <w:rsid w:val="00B83FF5"/>
    <w:rsid w:val="00B86225"/>
    <w:rsid w:val="00B949FA"/>
    <w:rsid w:val="00B964D4"/>
    <w:rsid w:val="00B97813"/>
    <w:rsid w:val="00BA1B14"/>
    <w:rsid w:val="00BA69E7"/>
    <w:rsid w:val="00BB0A15"/>
    <w:rsid w:val="00BB2B06"/>
    <w:rsid w:val="00BC036A"/>
    <w:rsid w:val="00BC2C0B"/>
    <w:rsid w:val="00BD0598"/>
    <w:rsid w:val="00BD075F"/>
    <w:rsid w:val="00BD1C31"/>
    <w:rsid w:val="00BD1F7D"/>
    <w:rsid w:val="00BD3C16"/>
    <w:rsid w:val="00BD3D32"/>
    <w:rsid w:val="00BD41BB"/>
    <w:rsid w:val="00BD5BAD"/>
    <w:rsid w:val="00BD6A08"/>
    <w:rsid w:val="00BE257B"/>
    <w:rsid w:val="00BE72CC"/>
    <w:rsid w:val="00BE7485"/>
    <w:rsid w:val="00BF2DBE"/>
    <w:rsid w:val="00BF30C3"/>
    <w:rsid w:val="00BF37D6"/>
    <w:rsid w:val="00BF4A65"/>
    <w:rsid w:val="00BF757A"/>
    <w:rsid w:val="00C01CEA"/>
    <w:rsid w:val="00C0363C"/>
    <w:rsid w:val="00C10F76"/>
    <w:rsid w:val="00C117DC"/>
    <w:rsid w:val="00C13EF8"/>
    <w:rsid w:val="00C23475"/>
    <w:rsid w:val="00C26DC4"/>
    <w:rsid w:val="00C30271"/>
    <w:rsid w:val="00C33050"/>
    <w:rsid w:val="00C35F7B"/>
    <w:rsid w:val="00C36F03"/>
    <w:rsid w:val="00C40083"/>
    <w:rsid w:val="00C417D6"/>
    <w:rsid w:val="00C42BC1"/>
    <w:rsid w:val="00C43EBF"/>
    <w:rsid w:val="00C44798"/>
    <w:rsid w:val="00C44A20"/>
    <w:rsid w:val="00C46DC4"/>
    <w:rsid w:val="00C47B7A"/>
    <w:rsid w:val="00C50C70"/>
    <w:rsid w:val="00C51E35"/>
    <w:rsid w:val="00C54C0C"/>
    <w:rsid w:val="00C55059"/>
    <w:rsid w:val="00C56726"/>
    <w:rsid w:val="00C71FAD"/>
    <w:rsid w:val="00C72091"/>
    <w:rsid w:val="00C81D97"/>
    <w:rsid w:val="00C8549F"/>
    <w:rsid w:val="00C86151"/>
    <w:rsid w:val="00C875F1"/>
    <w:rsid w:val="00C90FF6"/>
    <w:rsid w:val="00C917B7"/>
    <w:rsid w:val="00C92B36"/>
    <w:rsid w:val="00C93B5A"/>
    <w:rsid w:val="00C94982"/>
    <w:rsid w:val="00C9691A"/>
    <w:rsid w:val="00CA0107"/>
    <w:rsid w:val="00CA3462"/>
    <w:rsid w:val="00CA353F"/>
    <w:rsid w:val="00CA392B"/>
    <w:rsid w:val="00CA42EE"/>
    <w:rsid w:val="00CA50E5"/>
    <w:rsid w:val="00CA6920"/>
    <w:rsid w:val="00CB2E8A"/>
    <w:rsid w:val="00CC5667"/>
    <w:rsid w:val="00CD06A7"/>
    <w:rsid w:val="00CD1D38"/>
    <w:rsid w:val="00CD3FD2"/>
    <w:rsid w:val="00CE05E9"/>
    <w:rsid w:val="00CE06AA"/>
    <w:rsid w:val="00CE1A90"/>
    <w:rsid w:val="00CE3196"/>
    <w:rsid w:val="00CE4735"/>
    <w:rsid w:val="00CE5DDC"/>
    <w:rsid w:val="00CF004B"/>
    <w:rsid w:val="00CF14E8"/>
    <w:rsid w:val="00CF1758"/>
    <w:rsid w:val="00CF5A3C"/>
    <w:rsid w:val="00D02BD6"/>
    <w:rsid w:val="00D06993"/>
    <w:rsid w:val="00D06B60"/>
    <w:rsid w:val="00D07A2E"/>
    <w:rsid w:val="00D100D6"/>
    <w:rsid w:val="00D113FC"/>
    <w:rsid w:val="00D120FB"/>
    <w:rsid w:val="00D12297"/>
    <w:rsid w:val="00D157F9"/>
    <w:rsid w:val="00D21ED6"/>
    <w:rsid w:val="00D21F0A"/>
    <w:rsid w:val="00D2224C"/>
    <w:rsid w:val="00D2757A"/>
    <w:rsid w:val="00D27A67"/>
    <w:rsid w:val="00D3216B"/>
    <w:rsid w:val="00D3221D"/>
    <w:rsid w:val="00D323A0"/>
    <w:rsid w:val="00D331D1"/>
    <w:rsid w:val="00D3375C"/>
    <w:rsid w:val="00D35DBE"/>
    <w:rsid w:val="00D40030"/>
    <w:rsid w:val="00D40B7D"/>
    <w:rsid w:val="00D4397D"/>
    <w:rsid w:val="00D456EA"/>
    <w:rsid w:val="00D50785"/>
    <w:rsid w:val="00D54F6A"/>
    <w:rsid w:val="00D56338"/>
    <w:rsid w:val="00D57CC2"/>
    <w:rsid w:val="00D624FC"/>
    <w:rsid w:val="00D630C9"/>
    <w:rsid w:val="00D6477E"/>
    <w:rsid w:val="00D67993"/>
    <w:rsid w:val="00D712E6"/>
    <w:rsid w:val="00D71971"/>
    <w:rsid w:val="00D72E29"/>
    <w:rsid w:val="00D73CEA"/>
    <w:rsid w:val="00D73D61"/>
    <w:rsid w:val="00D775B1"/>
    <w:rsid w:val="00D80BE0"/>
    <w:rsid w:val="00D83F66"/>
    <w:rsid w:val="00D84D0B"/>
    <w:rsid w:val="00D84E2D"/>
    <w:rsid w:val="00D90D19"/>
    <w:rsid w:val="00D9464F"/>
    <w:rsid w:val="00D94764"/>
    <w:rsid w:val="00D9541A"/>
    <w:rsid w:val="00D96B93"/>
    <w:rsid w:val="00D979EC"/>
    <w:rsid w:val="00D97E00"/>
    <w:rsid w:val="00DA027E"/>
    <w:rsid w:val="00DA0316"/>
    <w:rsid w:val="00DA0EE8"/>
    <w:rsid w:val="00DA28DA"/>
    <w:rsid w:val="00DA2F0F"/>
    <w:rsid w:val="00DA3633"/>
    <w:rsid w:val="00DA5076"/>
    <w:rsid w:val="00DA63D3"/>
    <w:rsid w:val="00DB25CF"/>
    <w:rsid w:val="00DB2DCC"/>
    <w:rsid w:val="00DB6006"/>
    <w:rsid w:val="00DC07DC"/>
    <w:rsid w:val="00DC1535"/>
    <w:rsid w:val="00DC2EE4"/>
    <w:rsid w:val="00DC5E53"/>
    <w:rsid w:val="00DC61EA"/>
    <w:rsid w:val="00DC7358"/>
    <w:rsid w:val="00DD0B30"/>
    <w:rsid w:val="00DD0F82"/>
    <w:rsid w:val="00DD52BF"/>
    <w:rsid w:val="00DD5821"/>
    <w:rsid w:val="00DD59E3"/>
    <w:rsid w:val="00DD69C0"/>
    <w:rsid w:val="00DE2C5C"/>
    <w:rsid w:val="00DE55FC"/>
    <w:rsid w:val="00DF072C"/>
    <w:rsid w:val="00DF0E34"/>
    <w:rsid w:val="00DF32EA"/>
    <w:rsid w:val="00DF40FE"/>
    <w:rsid w:val="00DF732A"/>
    <w:rsid w:val="00E03057"/>
    <w:rsid w:val="00E05F8F"/>
    <w:rsid w:val="00E12EE6"/>
    <w:rsid w:val="00E136F3"/>
    <w:rsid w:val="00E16ADB"/>
    <w:rsid w:val="00E16DD0"/>
    <w:rsid w:val="00E17255"/>
    <w:rsid w:val="00E2090C"/>
    <w:rsid w:val="00E21ADF"/>
    <w:rsid w:val="00E236F1"/>
    <w:rsid w:val="00E27AE4"/>
    <w:rsid w:val="00E357C4"/>
    <w:rsid w:val="00E41BA8"/>
    <w:rsid w:val="00E4560C"/>
    <w:rsid w:val="00E47BB1"/>
    <w:rsid w:val="00E505EE"/>
    <w:rsid w:val="00E51CA7"/>
    <w:rsid w:val="00E51F0F"/>
    <w:rsid w:val="00E534B4"/>
    <w:rsid w:val="00E54589"/>
    <w:rsid w:val="00E54595"/>
    <w:rsid w:val="00E5579A"/>
    <w:rsid w:val="00E563E8"/>
    <w:rsid w:val="00E573F5"/>
    <w:rsid w:val="00E579A2"/>
    <w:rsid w:val="00E635E7"/>
    <w:rsid w:val="00E63B01"/>
    <w:rsid w:val="00E657EB"/>
    <w:rsid w:val="00E65EB6"/>
    <w:rsid w:val="00E6633C"/>
    <w:rsid w:val="00E66834"/>
    <w:rsid w:val="00E66EBB"/>
    <w:rsid w:val="00E743D7"/>
    <w:rsid w:val="00E76516"/>
    <w:rsid w:val="00E8118F"/>
    <w:rsid w:val="00E81D34"/>
    <w:rsid w:val="00E81DC0"/>
    <w:rsid w:val="00E8544B"/>
    <w:rsid w:val="00E86374"/>
    <w:rsid w:val="00E86A29"/>
    <w:rsid w:val="00E872F6"/>
    <w:rsid w:val="00E878A6"/>
    <w:rsid w:val="00E91D48"/>
    <w:rsid w:val="00E93887"/>
    <w:rsid w:val="00E94138"/>
    <w:rsid w:val="00E96479"/>
    <w:rsid w:val="00E96A85"/>
    <w:rsid w:val="00EA1002"/>
    <w:rsid w:val="00EA10CC"/>
    <w:rsid w:val="00EA2A27"/>
    <w:rsid w:val="00EA47A1"/>
    <w:rsid w:val="00EA4D4A"/>
    <w:rsid w:val="00EA52A8"/>
    <w:rsid w:val="00EA5869"/>
    <w:rsid w:val="00EA7398"/>
    <w:rsid w:val="00EA78B5"/>
    <w:rsid w:val="00EB1E47"/>
    <w:rsid w:val="00EB2895"/>
    <w:rsid w:val="00EB37FF"/>
    <w:rsid w:val="00EC0BE1"/>
    <w:rsid w:val="00EC0EED"/>
    <w:rsid w:val="00EC30B9"/>
    <w:rsid w:val="00EC4412"/>
    <w:rsid w:val="00EC4428"/>
    <w:rsid w:val="00EC4A9B"/>
    <w:rsid w:val="00EC60C0"/>
    <w:rsid w:val="00EC7D90"/>
    <w:rsid w:val="00EE0AC7"/>
    <w:rsid w:val="00EE403A"/>
    <w:rsid w:val="00EE5995"/>
    <w:rsid w:val="00EE69E6"/>
    <w:rsid w:val="00EE7369"/>
    <w:rsid w:val="00EF1B09"/>
    <w:rsid w:val="00EF3547"/>
    <w:rsid w:val="00EF41C5"/>
    <w:rsid w:val="00EF61DB"/>
    <w:rsid w:val="00EF6459"/>
    <w:rsid w:val="00EF6594"/>
    <w:rsid w:val="00EF6F3B"/>
    <w:rsid w:val="00EF74D7"/>
    <w:rsid w:val="00EF77B6"/>
    <w:rsid w:val="00F00456"/>
    <w:rsid w:val="00F025B7"/>
    <w:rsid w:val="00F04221"/>
    <w:rsid w:val="00F0657D"/>
    <w:rsid w:val="00F07477"/>
    <w:rsid w:val="00F12CFB"/>
    <w:rsid w:val="00F13450"/>
    <w:rsid w:val="00F138FD"/>
    <w:rsid w:val="00F15A1A"/>
    <w:rsid w:val="00F15D60"/>
    <w:rsid w:val="00F22375"/>
    <w:rsid w:val="00F22C25"/>
    <w:rsid w:val="00F24A9D"/>
    <w:rsid w:val="00F25594"/>
    <w:rsid w:val="00F25921"/>
    <w:rsid w:val="00F26AB0"/>
    <w:rsid w:val="00F26F8A"/>
    <w:rsid w:val="00F35D9B"/>
    <w:rsid w:val="00F44CB9"/>
    <w:rsid w:val="00F45739"/>
    <w:rsid w:val="00F4769D"/>
    <w:rsid w:val="00F50B11"/>
    <w:rsid w:val="00F546DA"/>
    <w:rsid w:val="00F549AB"/>
    <w:rsid w:val="00F54C3D"/>
    <w:rsid w:val="00F60118"/>
    <w:rsid w:val="00F62259"/>
    <w:rsid w:val="00F63AEC"/>
    <w:rsid w:val="00F63C32"/>
    <w:rsid w:val="00F65937"/>
    <w:rsid w:val="00F66183"/>
    <w:rsid w:val="00F6661C"/>
    <w:rsid w:val="00F736E7"/>
    <w:rsid w:val="00F74B76"/>
    <w:rsid w:val="00F76E86"/>
    <w:rsid w:val="00F80CA6"/>
    <w:rsid w:val="00F84C4D"/>
    <w:rsid w:val="00F86C13"/>
    <w:rsid w:val="00F92B31"/>
    <w:rsid w:val="00F967FA"/>
    <w:rsid w:val="00FA1C39"/>
    <w:rsid w:val="00FA2A63"/>
    <w:rsid w:val="00FA2D05"/>
    <w:rsid w:val="00FA7770"/>
    <w:rsid w:val="00FB0C49"/>
    <w:rsid w:val="00FB0D98"/>
    <w:rsid w:val="00FB3E73"/>
    <w:rsid w:val="00FB4F3F"/>
    <w:rsid w:val="00FB5CAA"/>
    <w:rsid w:val="00FB75FF"/>
    <w:rsid w:val="00FC1DD5"/>
    <w:rsid w:val="00FC21E4"/>
    <w:rsid w:val="00FC66BD"/>
    <w:rsid w:val="00FD0E37"/>
    <w:rsid w:val="00FD2488"/>
    <w:rsid w:val="00FD728A"/>
    <w:rsid w:val="00FE094E"/>
    <w:rsid w:val="00FE18AB"/>
    <w:rsid w:val="00FE537E"/>
    <w:rsid w:val="00FE6021"/>
    <w:rsid w:val="00FE6753"/>
    <w:rsid w:val="00FE7DB4"/>
    <w:rsid w:val="00FF146F"/>
    <w:rsid w:val="00FF4655"/>
    <w:rsid w:val="00FF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FD6E602"/>
  <w15:docId w15:val="{F0B7B263-AF25-443E-9839-DBC898D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1E51"/>
    <w:pPr>
      <w:jc w:val="both"/>
    </w:pPr>
    <w:rPr>
      <w:rFonts w:ascii="Calibri" w:eastAsia="Calibri" w:hAnsi="Calibri"/>
    </w:rPr>
  </w:style>
  <w:style w:type="paragraph" w:styleId="ListParagraph">
    <w:name w:val="List Paragraph"/>
    <w:aliases w:val="List Paragraph1,cS List Paragraph,Colorful List - Accent 11,Medium Grid 1 - Accent 21,Light Grid - Accent 31,List Paragraph11,Bullet List,FooterText,numbered,Paragraphe de liste1,Bulletr List Paragraph,列出段落,列出段落1,Listeafsnit1,Listenabsat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B5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4428"/>
    <w:pPr>
      <w:widowControl/>
    </w:pPr>
  </w:style>
  <w:style w:type="paragraph" w:customStyle="1" w:styleId="DocID">
    <w:name w:val="DocID"/>
    <w:basedOn w:val="Normal"/>
    <w:next w:val="Footer"/>
    <w:link w:val="DocIDChar"/>
    <w:rsid w:val="006E00B1"/>
    <w:rPr>
      <w:rFonts w:ascii="Times New Roman" w:eastAsia="Calibri" w:hAnsi="Times New Roman" w:cs="Times New Roman"/>
      <w:bCs/>
      <w:sz w:val="16"/>
    </w:rPr>
  </w:style>
  <w:style w:type="character" w:customStyle="1" w:styleId="DocIDChar">
    <w:name w:val="DocID Char"/>
    <w:basedOn w:val="DefaultParagraphFont"/>
    <w:link w:val="DocID"/>
    <w:rsid w:val="006E00B1"/>
    <w:rPr>
      <w:rFonts w:ascii="Times New Roman" w:eastAsia="Calibri" w:hAnsi="Times New Roman" w:cs="Times New Roman"/>
      <w:bCs/>
      <w:sz w:val="16"/>
    </w:rPr>
  </w:style>
  <w:style w:type="paragraph" w:styleId="Footer">
    <w:name w:val="footer"/>
    <w:basedOn w:val="Normal"/>
    <w:link w:val="FooterChar"/>
    <w:uiPriority w:val="99"/>
    <w:unhideWhenUsed/>
    <w:rsid w:val="006E0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B1"/>
  </w:style>
  <w:style w:type="paragraph" w:styleId="Header">
    <w:name w:val="header"/>
    <w:basedOn w:val="Normal"/>
    <w:link w:val="HeaderChar"/>
    <w:uiPriority w:val="99"/>
    <w:unhideWhenUsed/>
    <w:rsid w:val="006E0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B1"/>
  </w:style>
  <w:style w:type="table" w:styleId="TableGrid">
    <w:name w:val="Table Grid"/>
    <w:basedOn w:val="TableNormal"/>
    <w:uiPriority w:val="39"/>
    <w:rsid w:val="0014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1A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A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A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1A90"/>
    <w:rPr>
      <w:color w:val="0000FF" w:themeColor="hyperlink"/>
      <w:u w:val="single"/>
    </w:rPr>
  </w:style>
  <w:style w:type="paragraph" w:customStyle="1" w:styleId="Footnote">
    <w:name w:val="Footnote"/>
    <w:basedOn w:val="FootnoteText"/>
    <w:link w:val="FootnoteChar"/>
    <w:uiPriority w:val="1"/>
    <w:qFormat/>
    <w:rsid w:val="00CE1A90"/>
    <w:pPr>
      <w:spacing w:after="120"/>
      <w:ind w:firstLine="360"/>
    </w:pPr>
  </w:style>
  <w:style w:type="character" w:customStyle="1" w:styleId="FootnoteChar">
    <w:name w:val="Footnote Char"/>
    <w:basedOn w:val="FootnoteTextChar"/>
    <w:link w:val="Footnote"/>
    <w:uiPriority w:val="1"/>
    <w:rsid w:val="00CE1A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4EDD"/>
    <w:rPr>
      <w:rFonts w:ascii="Calibri" w:eastAsia="Calibri" w:hAnsi="Calibri"/>
    </w:rPr>
  </w:style>
  <w:style w:type="paragraph" w:customStyle="1" w:styleId="MacPacTrailer">
    <w:name w:val="MacPac Trailer"/>
    <w:rsid w:val="0011278D"/>
    <w:pPr>
      <w:spacing w:line="200" w:lineRule="exact"/>
    </w:pPr>
    <w:rPr>
      <w:rFonts w:ascii="Times New Roman" w:eastAsia="Times New Roman" w:hAnsi="Times New Roman" w:cs="Times New Roman"/>
      <w:sz w:val="16"/>
    </w:rPr>
  </w:style>
  <w:style w:type="character" w:customStyle="1" w:styleId="ListParagraphChar">
    <w:name w:val="List Paragraph Char"/>
    <w:aliases w:val="List Paragraph1 Char,cS List Paragraph Char,Colorful List - Accent 11 Char,Medium Grid 1 - Accent 21 Char,Light Grid - Accent 31 Char,List Paragraph11 Char,Bullet List Char,FooterText Char,numbered Char,Paragraphe de liste1 Char"/>
    <w:basedOn w:val="DefaultParagraphFont"/>
    <w:link w:val="ListParagraph"/>
    <w:uiPriority w:val="34"/>
    <w:locked/>
    <w:rsid w:val="002300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D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2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db.apec.org/Documents/2020/CD/CD2/20_cd2_003.pdf" TargetMode="External"/><Relationship Id="rId13" Type="http://schemas.openxmlformats.org/officeDocument/2006/relationships/hyperlink" Target="http://mddb.apec.org/Documents/2020/CD/CD2/20_cd2_006_r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mddb.apec.org/Documents/2020/CD/CD2/20_cd2_020_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db.apec.org/Documents/2020/CD/CD2/20_cd2_009.pdf" TargetMode="External"/><Relationship Id="rId7" Type="http://schemas.openxmlformats.org/officeDocument/2006/relationships/hyperlink" Target="http://mddb.apec.org/Documents/2020/CD/CD2/20_cd2_002.pdf" TargetMode="External"/><Relationship Id="rId12" Type="http://schemas.openxmlformats.org/officeDocument/2006/relationships/hyperlink" Target="http://mddb.apec.org/Documents/2020/CD/CD2/20_cd2_005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://mddb.apec.org/Documents/2020/CD/CD2/20_cd2_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ddb.apec.org/Documents/2020/CD/CD2/20_cd2_008.pdf" TargetMode="External"/><Relationship Id="rId20" Type="http://schemas.openxmlformats.org/officeDocument/2006/relationships/footer" Target="footer3.xml"/><Relationship Id="rId29" Type="http://schemas.openxmlformats.org/officeDocument/2006/relationships/hyperlink" Target="http://mddb.apec.org/Documents/2020/CD/CD2/20_cd2_000_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db.apec.org/Documents/2020/CD/CD2/20_cd2_004.pdf" TargetMode="External"/><Relationship Id="rId24" Type="http://schemas.openxmlformats.org/officeDocument/2006/relationships/hyperlink" Target="http://mddb.apec.org/Documents/2020/CD/CD2/20_cd2_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ddb.apec.org/Documents/2020/CD/CD2/20_cd2_007.pdf" TargetMode="External"/><Relationship Id="rId23" Type="http://schemas.openxmlformats.org/officeDocument/2006/relationships/hyperlink" Target="http://mddb.apec.org/Documents/2020/CD/CD2/20_cd2_011.pdf" TargetMode="External"/><Relationship Id="rId28" Type="http://schemas.openxmlformats.org/officeDocument/2006/relationships/hyperlink" Target="http://mddb.apec.org/Documents/2020/CD/CD2/20_cd2_014.pdf" TargetMode="External"/><Relationship Id="rId10" Type="http://schemas.openxmlformats.org/officeDocument/2006/relationships/hyperlink" Target="http://mddb.apec.org/Documents/2020/CD/CD2/20_cd2_019.pdf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ddb.apec.org/Documents/2020/CD/CD2/20_cd2_021_r.pdf" TargetMode="External"/><Relationship Id="rId14" Type="http://schemas.openxmlformats.org/officeDocument/2006/relationships/hyperlink" Target="http://mddb.apec.org/Documents/2020/CD/CD2/20_cd2_018.pdf" TargetMode="External"/><Relationship Id="rId22" Type="http://schemas.openxmlformats.org/officeDocument/2006/relationships/hyperlink" Target="http://mddb.apec.org/Documents/2020/CD/CD2/20_cd2_010.pdf" TargetMode="External"/><Relationship Id="rId27" Type="http://schemas.openxmlformats.org/officeDocument/2006/relationships/hyperlink" Target="http://mddb.apec.org/Documents/2020/CD/CD2/20_cd2_015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3986</Words>
  <Characters>22721</Characters>
  <Application>Microsoft Office Word</Application>
  <DocSecurity>0</DocSecurity>
  <Lines>189</Lines>
  <Paragraphs>53</Paragraphs>
  <ScaleCrop>false</ScaleCrop>
  <Company/>
  <LinksUpToDate>false</LinksUpToDate>
  <CharactersWithSpaces>26654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Johnny Lin Hung-hsun</cp:lastModifiedBy>
  <cp:revision>2</cp:revision>
  <cp:lastPrinted>1900-01-01T05:00:00Z</cp:lastPrinted>
  <dcterms:created xsi:type="dcterms:W3CDTF">1900-01-01T05:00:00Z</dcterms:created>
  <dcterms:modified xsi:type="dcterms:W3CDTF">2020-12-17T07:45:00Z</dcterms:modified>
</cp:coreProperties>
</file>