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44" w:rsidRDefault="00476F44" w:rsidP="000555D4">
      <w:pPr>
        <w:tabs>
          <w:tab w:val="left" w:pos="567"/>
        </w:tabs>
      </w:pPr>
    </w:p>
    <w:p w:rsidR="00476F44" w:rsidRDefault="00476F44" w:rsidP="003E2B62"/>
    <w:p w:rsidR="00476F44" w:rsidRDefault="00476F44" w:rsidP="00F61DB3">
      <w:pPr>
        <w:jc w:val="right"/>
      </w:pPr>
      <w:r>
        <w:t xml:space="preserve">                                                                                                                                                            </w:t>
      </w:r>
    </w:p>
    <w:p w:rsidR="00476F44" w:rsidRPr="00EE7B7D" w:rsidRDefault="003E2B62" w:rsidP="00FD247F">
      <w:pPr>
        <w:jc w:val="center"/>
      </w:pPr>
      <w:r w:rsidRPr="00EE7B7D">
        <w:rPr>
          <w:noProof/>
          <w:color w:val="1F497D"/>
          <w:lang w:val="en-GB" w:eastAsia="en-GB"/>
        </w:rPr>
        <w:drawing>
          <wp:inline distT="0" distB="0" distL="0" distR="0">
            <wp:extent cx="2846705" cy="962025"/>
            <wp:effectExtent l="19050" t="0" r="0" b="0"/>
            <wp:docPr id="1" name="Picture 1" descr="cid:image001.jpg@01CB9175.59D98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9175.59D985A0"/>
                    <pic:cNvPicPr>
                      <a:picLocks noChangeAspect="1" noChangeArrowheads="1"/>
                    </pic:cNvPicPr>
                  </pic:nvPicPr>
                  <pic:blipFill>
                    <a:blip r:embed="rId8" r:link="rId9" cstate="print"/>
                    <a:srcRect/>
                    <a:stretch>
                      <a:fillRect/>
                    </a:stretch>
                  </pic:blipFill>
                  <pic:spPr bwMode="auto">
                    <a:xfrm>
                      <a:off x="0" y="0"/>
                      <a:ext cx="2846705" cy="962025"/>
                    </a:xfrm>
                    <a:prstGeom prst="rect">
                      <a:avLst/>
                    </a:prstGeom>
                    <a:noFill/>
                    <a:ln w="9525">
                      <a:noFill/>
                      <a:miter lim="800000"/>
                      <a:headEnd/>
                      <a:tailEnd/>
                    </a:ln>
                  </pic:spPr>
                </pic:pic>
              </a:graphicData>
            </a:graphic>
          </wp:inline>
        </w:drawing>
      </w:r>
    </w:p>
    <w:p w:rsidR="00476F44" w:rsidRPr="00EE7B7D" w:rsidRDefault="00476F44" w:rsidP="003E2B62">
      <w:pPr>
        <w:jc w:val="right"/>
      </w:pPr>
    </w:p>
    <w:p w:rsidR="00476F44" w:rsidRPr="00EE7B7D" w:rsidRDefault="00476F44" w:rsidP="00476F44">
      <w:r w:rsidRPr="00EE7B7D">
        <w:t xml:space="preserve">                                      </w:t>
      </w:r>
    </w:p>
    <w:p w:rsidR="00476F44" w:rsidRPr="00EE7B7D" w:rsidRDefault="00476F44" w:rsidP="00476F44">
      <w:r w:rsidRPr="00EE7B7D">
        <w:t xml:space="preserve">            </w:t>
      </w:r>
    </w:p>
    <w:p w:rsidR="00476F44" w:rsidRPr="00EE7B7D" w:rsidRDefault="00476F44" w:rsidP="00476F44">
      <w:pPr>
        <w:rPr>
          <w:rFonts w:ascii="Garamond" w:eastAsiaTheme="majorEastAsia" w:hAnsi="Garamond" w:cstheme="majorBidi"/>
          <w:sz w:val="56"/>
          <w:szCs w:val="56"/>
        </w:rPr>
      </w:pPr>
      <w:r w:rsidRPr="00EE7B7D">
        <w:rPr>
          <w:rFonts w:ascii="Garamond" w:eastAsiaTheme="majorEastAsia" w:hAnsi="Garamond" w:cstheme="majorBidi"/>
          <w:sz w:val="56"/>
          <w:szCs w:val="56"/>
        </w:rPr>
        <w:t xml:space="preserve"> </w:t>
      </w:r>
    </w:p>
    <w:p w:rsidR="00AA5F84" w:rsidRPr="00EE7B7D" w:rsidRDefault="00AA5F84" w:rsidP="00476F44">
      <w:pPr>
        <w:rPr>
          <w:rFonts w:ascii="Garamond" w:eastAsiaTheme="majorEastAsia" w:hAnsi="Garamond" w:cstheme="majorBidi"/>
          <w:sz w:val="56"/>
          <w:szCs w:val="56"/>
        </w:rPr>
      </w:pPr>
    </w:p>
    <w:p w:rsidR="00AA5F84" w:rsidRPr="00EE7B7D" w:rsidRDefault="00AA5F84" w:rsidP="00476F44">
      <w:pPr>
        <w:rPr>
          <w:rFonts w:ascii="Garamond" w:eastAsiaTheme="majorEastAsia" w:hAnsi="Garamond" w:cstheme="majorBidi"/>
          <w:sz w:val="56"/>
          <w:szCs w:val="56"/>
        </w:rPr>
      </w:pPr>
    </w:p>
    <w:p w:rsidR="00476F44" w:rsidRPr="00BE7842" w:rsidRDefault="00476F44" w:rsidP="00EE7B7D">
      <w:pPr>
        <w:jc w:val="center"/>
        <w:rPr>
          <w:rFonts w:asciiTheme="minorHAnsi" w:eastAsiaTheme="majorEastAsia" w:hAnsiTheme="minorHAnsi" w:cs="Arial"/>
          <w:i/>
          <w:sz w:val="52"/>
          <w:szCs w:val="52"/>
        </w:rPr>
      </w:pPr>
      <w:r w:rsidRPr="00BE7842">
        <w:rPr>
          <w:rFonts w:asciiTheme="minorHAnsi" w:eastAsiaTheme="majorEastAsia" w:hAnsiTheme="minorHAnsi" w:cs="Arial"/>
          <w:i/>
          <w:sz w:val="52"/>
          <w:szCs w:val="52"/>
        </w:rPr>
        <w:t>APEC Food Safety Cooperation Forum</w:t>
      </w:r>
    </w:p>
    <w:p w:rsidR="00476F44" w:rsidRPr="00BE7842" w:rsidRDefault="00476F44" w:rsidP="00EE7B7D">
      <w:pPr>
        <w:jc w:val="center"/>
        <w:rPr>
          <w:rFonts w:asciiTheme="minorHAnsi" w:hAnsiTheme="minorHAnsi" w:cs="Arial"/>
          <w:i/>
          <w:sz w:val="52"/>
          <w:szCs w:val="52"/>
        </w:rPr>
      </w:pPr>
      <w:r w:rsidRPr="00BE7842">
        <w:rPr>
          <w:rFonts w:asciiTheme="minorHAnsi" w:eastAsiaTheme="majorEastAsia" w:hAnsiTheme="minorHAnsi" w:cs="Arial"/>
          <w:i/>
          <w:sz w:val="52"/>
          <w:szCs w:val="52"/>
        </w:rPr>
        <w:t>Operating Principles</w:t>
      </w:r>
    </w:p>
    <w:p w:rsidR="00476F44" w:rsidRPr="00EE7B7D" w:rsidRDefault="00476F44" w:rsidP="00476F44">
      <w:pPr>
        <w:jc w:val="center"/>
        <w:outlineLvl w:val="0"/>
        <w:rPr>
          <w:rFonts w:ascii="Garamond" w:hAnsi="Garamond"/>
          <w:b/>
          <w:sz w:val="28"/>
          <w:szCs w:val="28"/>
          <w:lang w:val="en-US" w:eastAsia="zh-CN"/>
        </w:rPr>
      </w:pPr>
    </w:p>
    <w:p w:rsidR="00476F44" w:rsidRPr="00EE7B7D" w:rsidRDefault="00476F44" w:rsidP="00476F44">
      <w:pPr>
        <w:jc w:val="center"/>
        <w:rPr>
          <w:rFonts w:ascii="Garamond" w:hAnsi="Garamond"/>
          <w:sz w:val="56"/>
          <w:szCs w:val="56"/>
        </w:rPr>
      </w:pPr>
    </w:p>
    <w:p w:rsidR="00476F44" w:rsidRPr="00EE7B7D" w:rsidRDefault="00476F44" w:rsidP="00476F44">
      <w:pPr>
        <w:jc w:val="center"/>
        <w:rPr>
          <w:rFonts w:ascii="Garamond" w:hAnsi="Garamond"/>
          <w:sz w:val="56"/>
          <w:szCs w:val="56"/>
        </w:rPr>
      </w:pPr>
    </w:p>
    <w:p w:rsidR="00476F44" w:rsidRPr="00EE7B7D" w:rsidRDefault="00476F44" w:rsidP="00476F44">
      <w:pPr>
        <w:jc w:val="center"/>
        <w:rPr>
          <w:rFonts w:ascii="Garamond" w:hAnsi="Garamond"/>
          <w:sz w:val="56"/>
          <w:szCs w:val="56"/>
        </w:rPr>
      </w:pPr>
    </w:p>
    <w:p w:rsidR="00476F44" w:rsidRPr="00EE7B7D" w:rsidRDefault="00476F44" w:rsidP="00476F44">
      <w:pPr>
        <w:jc w:val="center"/>
        <w:rPr>
          <w:rFonts w:ascii="Garamond" w:hAnsi="Garamond"/>
          <w:sz w:val="56"/>
          <w:szCs w:val="56"/>
        </w:rPr>
      </w:pPr>
    </w:p>
    <w:p w:rsidR="00476F44" w:rsidRPr="00EE7B7D" w:rsidRDefault="00476F44" w:rsidP="00476F44">
      <w:pPr>
        <w:jc w:val="center"/>
        <w:rPr>
          <w:rFonts w:ascii="Garamond" w:hAnsi="Garamond"/>
          <w:sz w:val="56"/>
          <w:szCs w:val="56"/>
        </w:rPr>
      </w:pPr>
    </w:p>
    <w:p w:rsidR="00476F44" w:rsidRPr="00EE7B7D" w:rsidRDefault="00476F44" w:rsidP="00476F44">
      <w:pPr>
        <w:jc w:val="center"/>
        <w:rPr>
          <w:rFonts w:ascii="Garamond" w:hAnsi="Garamond"/>
          <w:sz w:val="56"/>
          <w:szCs w:val="56"/>
        </w:rPr>
      </w:pPr>
    </w:p>
    <w:p w:rsidR="00476F44" w:rsidRPr="00EE7B7D" w:rsidRDefault="00476F44" w:rsidP="00476F44">
      <w:pPr>
        <w:jc w:val="center"/>
        <w:rPr>
          <w:rFonts w:ascii="Garamond" w:hAnsi="Garamond"/>
          <w:sz w:val="56"/>
          <w:szCs w:val="56"/>
        </w:rPr>
      </w:pPr>
    </w:p>
    <w:p w:rsidR="00593BD2" w:rsidRPr="00EE7B7D" w:rsidRDefault="00593BD2" w:rsidP="00476F44">
      <w:pPr>
        <w:jc w:val="center"/>
        <w:rPr>
          <w:rFonts w:ascii="Garamond" w:hAnsi="Garamond"/>
          <w:sz w:val="56"/>
          <w:szCs w:val="56"/>
        </w:rPr>
      </w:pPr>
    </w:p>
    <w:p w:rsidR="00593BD2" w:rsidRPr="00EE7B7D" w:rsidRDefault="00593BD2" w:rsidP="00476F44">
      <w:pPr>
        <w:jc w:val="center"/>
        <w:rPr>
          <w:rFonts w:ascii="Garamond" w:hAnsi="Garamond"/>
          <w:sz w:val="56"/>
          <w:szCs w:val="56"/>
        </w:rPr>
      </w:pPr>
    </w:p>
    <w:p w:rsidR="00A23DF6" w:rsidRPr="00EE7B7D" w:rsidRDefault="00E335DB" w:rsidP="00946491">
      <w:pPr>
        <w:rPr>
          <w:rFonts w:ascii="Garamond" w:hAnsi="Garamond"/>
        </w:rPr>
      </w:pPr>
      <w:r w:rsidRPr="00EE7B7D">
        <w:rPr>
          <w:rFonts w:ascii="Garamond" w:eastAsia="??" w:hAnsi="Garamond"/>
          <w:sz w:val="22"/>
          <w:szCs w:val="22"/>
        </w:rPr>
        <w:lastRenderedPageBreak/>
        <w:t xml:space="preserve">                                                     </w:t>
      </w:r>
      <w:r w:rsidR="00B03E3E" w:rsidRPr="00EE7B7D">
        <w:rPr>
          <w:rFonts w:ascii="Garamond" w:eastAsia="??" w:hAnsi="Garamond"/>
          <w:sz w:val="22"/>
          <w:szCs w:val="22"/>
        </w:rPr>
        <w:t xml:space="preserve">   </w:t>
      </w:r>
      <w:r w:rsidR="0074224C" w:rsidRPr="00EE7B7D">
        <w:rPr>
          <w:rFonts w:ascii="Garamond" w:eastAsia="??" w:hAnsi="Garamond"/>
          <w:sz w:val="22"/>
          <w:szCs w:val="22"/>
        </w:rPr>
        <w:t xml:space="preserve">     </w:t>
      </w:r>
      <w:r w:rsidRPr="00EE7B7D">
        <w:rPr>
          <w:rFonts w:ascii="Garamond" w:eastAsia="??" w:hAnsi="Garamond"/>
          <w:sz w:val="22"/>
          <w:szCs w:val="22"/>
        </w:rPr>
        <w:t xml:space="preserve">                                 </w:t>
      </w:r>
    </w:p>
    <w:p w:rsidR="00E335DB" w:rsidRPr="00EE7B7D" w:rsidRDefault="00E335DB" w:rsidP="00A23DF6">
      <w:pPr>
        <w:jc w:val="center"/>
        <w:rPr>
          <w:rFonts w:ascii="Garamond" w:hAnsi="Garamond"/>
          <w:b/>
          <w:sz w:val="32"/>
          <w:szCs w:val="32"/>
        </w:rPr>
      </w:pPr>
    </w:p>
    <w:p w:rsidR="00AA5F84" w:rsidRPr="00EE7B7D" w:rsidRDefault="003E2B62" w:rsidP="00FD247F">
      <w:pPr>
        <w:jc w:val="center"/>
        <w:outlineLvl w:val="0"/>
        <w:rPr>
          <w:rFonts w:ascii="Garamond" w:hAnsi="Garamond"/>
          <w:b/>
          <w:sz w:val="32"/>
          <w:szCs w:val="32"/>
        </w:rPr>
      </w:pPr>
      <w:r w:rsidRPr="00EE7B7D">
        <w:rPr>
          <w:noProof/>
          <w:color w:val="1F497D"/>
          <w:lang w:val="en-GB" w:eastAsia="en-GB"/>
        </w:rPr>
        <w:drawing>
          <wp:inline distT="0" distB="0" distL="0" distR="0">
            <wp:extent cx="2676442" cy="904486"/>
            <wp:effectExtent l="19050" t="0" r="0" b="0"/>
            <wp:docPr id="4" name="Picture 1" descr="cid:image001.jpg@01CB9175.59D98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9175.59D985A0"/>
                    <pic:cNvPicPr>
                      <a:picLocks noChangeAspect="1" noChangeArrowheads="1"/>
                    </pic:cNvPicPr>
                  </pic:nvPicPr>
                  <pic:blipFill>
                    <a:blip r:embed="rId8" r:link="rId9" cstate="print"/>
                    <a:srcRect/>
                    <a:stretch>
                      <a:fillRect/>
                    </a:stretch>
                  </pic:blipFill>
                  <pic:spPr bwMode="auto">
                    <a:xfrm>
                      <a:off x="0" y="0"/>
                      <a:ext cx="2679535" cy="905531"/>
                    </a:xfrm>
                    <a:prstGeom prst="rect">
                      <a:avLst/>
                    </a:prstGeom>
                    <a:noFill/>
                    <a:ln w="9525">
                      <a:noFill/>
                      <a:miter lim="800000"/>
                      <a:headEnd/>
                      <a:tailEnd/>
                    </a:ln>
                  </pic:spPr>
                </pic:pic>
              </a:graphicData>
            </a:graphic>
          </wp:inline>
        </w:drawing>
      </w:r>
    </w:p>
    <w:p w:rsidR="00AA5F84" w:rsidRPr="00EE7B7D" w:rsidRDefault="00AA5F84" w:rsidP="00FC693A">
      <w:pPr>
        <w:jc w:val="center"/>
        <w:outlineLvl w:val="0"/>
        <w:rPr>
          <w:rFonts w:ascii="Garamond" w:hAnsi="Garamond"/>
          <w:b/>
          <w:sz w:val="32"/>
          <w:szCs w:val="32"/>
        </w:rPr>
      </w:pPr>
    </w:p>
    <w:p w:rsidR="00FF7DE5" w:rsidRPr="00EE7B7D" w:rsidRDefault="00FF7DE5" w:rsidP="00FC693A">
      <w:pPr>
        <w:jc w:val="center"/>
        <w:outlineLvl w:val="0"/>
        <w:rPr>
          <w:rFonts w:ascii="Garamond" w:hAnsi="Garamond"/>
          <w:b/>
          <w:sz w:val="32"/>
          <w:szCs w:val="32"/>
        </w:rPr>
      </w:pPr>
    </w:p>
    <w:p w:rsidR="00A23DF6" w:rsidRPr="00BE7842" w:rsidRDefault="00A23DF6" w:rsidP="00FC693A">
      <w:pPr>
        <w:jc w:val="center"/>
        <w:outlineLvl w:val="0"/>
        <w:rPr>
          <w:rFonts w:asciiTheme="minorHAnsi" w:hAnsiTheme="minorHAnsi" w:cs="Arial"/>
          <w:b/>
        </w:rPr>
      </w:pPr>
      <w:r w:rsidRPr="00BE7842">
        <w:rPr>
          <w:rFonts w:asciiTheme="minorHAnsi" w:hAnsiTheme="minorHAnsi" w:cs="Arial"/>
          <w:b/>
        </w:rPr>
        <w:t>APEC Food Safety Cooperation Forum</w:t>
      </w:r>
    </w:p>
    <w:p w:rsidR="00422751" w:rsidRPr="00BE7842" w:rsidRDefault="00422751" w:rsidP="00FC693A">
      <w:pPr>
        <w:jc w:val="center"/>
        <w:outlineLvl w:val="0"/>
        <w:rPr>
          <w:rFonts w:asciiTheme="minorHAnsi" w:hAnsiTheme="minorHAnsi" w:cs="Arial"/>
          <w:b/>
        </w:rPr>
      </w:pPr>
    </w:p>
    <w:p w:rsidR="00A23DF6" w:rsidRPr="00BE7842" w:rsidRDefault="00A23DF6" w:rsidP="00FC693A">
      <w:pPr>
        <w:jc w:val="center"/>
        <w:outlineLvl w:val="0"/>
        <w:rPr>
          <w:rFonts w:asciiTheme="minorHAnsi" w:hAnsiTheme="minorHAnsi" w:cs="Arial"/>
          <w:b/>
          <w:lang w:eastAsia="zh-CN"/>
        </w:rPr>
      </w:pPr>
      <w:r w:rsidRPr="00BE7842">
        <w:rPr>
          <w:rFonts w:asciiTheme="minorHAnsi" w:hAnsiTheme="minorHAnsi" w:cs="Arial"/>
          <w:b/>
        </w:rPr>
        <w:t>Operating Principles</w:t>
      </w:r>
    </w:p>
    <w:p w:rsidR="00AA5F84" w:rsidRPr="00BE7842" w:rsidRDefault="00B33D78" w:rsidP="00FC693A">
      <w:pPr>
        <w:jc w:val="center"/>
        <w:outlineLvl w:val="0"/>
        <w:rPr>
          <w:rFonts w:asciiTheme="minorHAnsi" w:hAnsiTheme="minorHAnsi" w:cs="Arial"/>
          <w:b/>
          <w:lang w:val="en-US" w:eastAsia="zh-CN"/>
        </w:rPr>
      </w:pPr>
      <w:r w:rsidRPr="00BE7842">
        <w:rPr>
          <w:rFonts w:asciiTheme="minorHAnsi" w:hAnsiTheme="minorHAnsi" w:cs="Arial"/>
          <w:b/>
          <w:lang w:val="en-US" w:eastAsia="zh-CN"/>
        </w:rPr>
        <w:t>[</w:t>
      </w:r>
      <w:r w:rsidR="00AA5F84" w:rsidRPr="00BE7842">
        <w:rPr>
          <w:rFonts w:asciiTheme="minorHAnsi" w:hAnsiTheme="minorHAnsi" w:cs="Arial"/>
          <w:b/>
          <w:lang w:val="en-US" w:eastAsia="zh-CN"/>
        </w:rPr>
        <w:t>Amended and endorsed by FSCF, May 2011</w:t>
      </w:r>
      <w:r w:rsidRPr="00BE7842">
        <w:rPr>
          <w:rFonts w:asciiTheme="minorHAnsi" w:hAnsiTheme="minorHAnsi" w:cs="Arial"/>
          <w:b/>
          <w:lang w:val="en-US" w:eastAsia="zh-CN"/>
        </w:rPr>
        <w:t>]</w:t>
      </w:r>
    </w:p>
    <w:p w:rsidR="00A23DF6" w:rsidRPr="00BE7842" w:rsidRDefault="00A23DF6" w:rsidP="00A23DF6">
      <w:pPr>
        <w:pBdr>
          <w:bottom w:val="single" w:sz="4" w:space="1" w:color="auto"/>
        </w:pBdr>
        <w:jc w:val="center"/>
        <w:rPr>
          <w:rFonts w:asciiTheme="minorHAnsi" w:hAnsiTheme="minorHAnsi" w:cs="Arial"/>
          <w:b/>
          <w:sz w:val="22"/>
          <w:szCs w:val="22"/>
        </w:rPr>
      </w:pPr>
    </w:p>
    <w:p w:rsidR="00A23DF6" w:rsidRPr="00BE7842" w:rsidRDefault="00A23DF6" w:rsidP="00A23DF6">
      <w:pPr>
        <w:rPr>
          <w:rFonts w:asciiTheme="minorHAnsi" w:hAnsiTheme="minorHAnsi" w:cs="Arial"/>
          <w:sz w:val="22"/>
          <w:szCs w:val="22"/>
          <w:u w:val="single"/>
        </w:rPr>
      </w:pPr>
    </w:p>
    <w:p w:rsidR="007443FA" w:rsidRPr="00BE7842" w:rsidRDefault="007443FA" w:rsidP="00E65BAB">
      <w:pPr>
        <w:numPr>
          <w:ilvl w:val="0"/>
          <w:numId w:val="1"/>
        </w:numPr>
        <w:jc w:val="both"/>
        <w:rPr>
          <w:rFonts w:asciiTheme="minorHAnsi" w:hAnsiTheme="minorHAnsi" w:cs="Arial"/>
          <w:sz w:val="22"/>
          <w:szCs w:val="22"/>
          <w:u w:val="single"/>
        </w:rPr>
      </w:pPr>
      <w:r w:rsidRPr="00BE7842">
        <w:rPr>
          <w:rFonts w:asciiTheme="minorHAnsi" w:hAnsiTheme="minorHAnsi" w:cs="Arial"/>
          <w:sz w:val="22"/>
          <w:szCs w:val="22"/>
          <w:u w:val="single"/>
        </w:rPr>
        <w:t>Background</w:t>
      </w:r>
    </w:p>
    <w:p w:rsidR="007443FA" w:rsidRPr="00BE7842" w:rsidRDefault="007443FA" w:rsidP="00085E7C">
      <w:pPr>
        <w:numPr>
          <w:ilvl w:val="1"/>
          <w:numId w:val="1"/>
        </w:numPr>
        <w:spacing w:before="240"/>
        <w:ind w:left="998" w:hanging="431"/>
        <w:jc w:val="both"/>
        <w:rPr>
          <w:rFonts w:asciiTheme="minorHAnsi" w:hAnsiTheme="minorHAnsi" w:cs="Arial"/>
          <w:sz w:val="22"/>
          <w:szCs w:val="22"/>
        </w:rPr>
      </w:pPr>
      <w:r w:rsidRPr="00BE7842">
        <w:rPr>
          <w:rFonts w:asciiTheme="minorHAnsi" w:hAnsiTheme="minorHAnsi" w:cs="Arial"/>
          <w:sz w:val="22"/>
          <w:szCs w:val="22"/>
        </w:rPr>
        <w:t>In November 2004, the 16</w:t>
      </w:r>
      <w:r w:rsidRPr="00BE7842">
        <w:rPr>
          <w:rFonts w:asciiTheme="minorHAnsi" w:hAnsiTheme="minorHAnsi" w:cs="Arial"/>
          <w:sz w:val="22"/>
          <w:szCs w:val="22"/>
          <w:vertAlign w:val="superscript"/>
        </w:rPr>
        <w:t>th</w:t>
      </w:r>
      <w:r w:rsidRPr="00BE7842">
        <w:rPr>
          <w:rFonts w:asciiTheme="minorHAnsi" w:hAnsiTheme="minorHAnsi" w:cs="Arial"/>
          <w:sz w:val="22"/>
          <w:szCs w:val="22"/>
        </w:rPr>
        <w:t xml:space="preserve"> APEC Ministerial Meeting in Santiago noted China’s efforts to promote cooperation among APEC </w:t>
      </w:r>
      <w:r w:rsidR="00113B22" w:rsidRPr="00BE7842">
        <w:rPr>
          <w:rFonts w:asciiTheme="minorHAnsi" w:hAnsiTheme="minorHAnsi" w:cs="Arial"/>
          <w:sz w:val="22"/>
          <w:szCs w:val="22"/>
        </w:rPr>
        <w:t>member e</w:t>
      </w:r>
      <w:r w:rsidRPr="00BE7842">
        <w:rPr>
          <w:rFonts w:asciiTheme="minorHAnsi" w:hAnsiTheme="minorHAnsi" w:cs="Arial"/>
          <w:sz w:val="22"/>
          <w:szCs w:val="22"/>
        </w:rPr>
        <w:t xml:space="preserve">conomies on food safety and encouraged </w:t>
      </w:r>
      <w:r w:rsidR="00113B22" w:rsidRPr="00BE7842">
        <w:rPr>
          <w:rFonts w:asciiTheme="minorHAnsi" w:hAnsiTheme="minorHAnsi" w:cs="Arial"/>
          <w:sz w:val="22"/>
          <w:szCs w:val="22"/>
        </w:rPr>
        <w:t>member e</w:t>
      </w:r>
      <w:r w:rsidRPr="00BE7842">
        <w:rPr>
          <w:rFonts w:asciiTheme="minorHAnsi" w:hAnsiTheme="minorHAnsi" w:cs="Arial"/>
          <w:sz w:val="22"/>
          <w:szCs w:val="22"/>
        </w:rPr>
        <w:t xml:space="preserve">conomies to determine how APEC might complement the ongoing work of other international organisations.  </w:t>
      </w:r>
    </w:p>
    <w:p w:rsidR="007443FA" w:rsidRPr="00BE7842" w:rsidRDefault="007443FA" w:rsidP="00E65BAB">
      <w:pPr>
        <w:jc w:val="both"/>
        <w:rPr>
          <w:rFonts w:asciiTheme="minorHAnsi" w:hAnsiTheme="minorHAnsi" w:cs="Arial"/>
          <w:sz w:val="22"/>
          <w:szCs w:val="22"/>
        </w:rPr>
      </w:pPr>
    </w:p>
    <w:p w:rsidR="007443FA" w:rsidRPr="00BE7842" w:rsidRDefault="007443FA" w:rsidP="00E65BAB">
      <w:pPr>
        <w:numPr>
          <w:ilvl w:val="1"/>
          <w:numId w:val="1"/>
        </w:numPr>
        <w:jc w:val="both"/>
        <w:rPr>
          <w:rFonts w:asciiTheme="minorHAnsi" w:hAnsiTheme="minorHAnsi" w:cs="Arial"/>
          <w:sz w:val="22"/>
          <w:szCs w:val="22"/>
          <w:u w:val="single"/>
        </w:rPr>
      </w:pPr>
      <w:r w:rsidRPr="00BE7842">
        <w:rPr>
          <w:rFonts w:asciiTheme="minorHAnsi" w:hAnsiTheme="minorHAnsi" w:cs="Arial"/>
          <w:sz w:val="22"/>
          <w:szCs w:val="22"/>
        </w:rPr>
        <w:t xml:space="preserve">In June 2005, APEC Ministers Responsible for Trade noted and welcomed the efforts of Australia, China, Thailand and Viet Nam to advance food cooperation and commended officials for their work in identifying an appropriate role for APEC.  In November 2005, the 17th APEC Ministerial Meeting noted the outcomes of the Food Safety Cooperation Seminar held in September 2005 in Korea and welcomed the progress made by </w:t>
      </w:r>
      <w:r w:rsidR="000A0DA0" w:rsidRPr="00BE7842">
        <w:rPr>
          <w:rFonts w:asciiTheme="minorHAnsi" w:hAnsiTheme="minorHAnsi" w:cs="Arial"/>
          <w:sz w:val="22"/>
          <w:szCs w:val="22"/>
        </w:rPr>
        <w:t xml:space="preserve">member </w:t>
      </w:r>
      <w:r w:rsidRPr="00BE7842">
        <w:rPr>
          <w:rFonts w:asciiTheme="minorHAnsi" w:hAnsiTheme="minorHAnsi" w:cs="Arial"/>
          <w:sz w:val="22"/>
          <w:szCs w:val="22"/>
        </w:rPr>
        <w:t xml:space="preserve">economies including the establishment of an Ad Hoc Steering Group.  </w:t>
      </w:r>
    </w:p>
    <w:p w:rsidR="007443FA" w:rsidRPr="00BE7842" w:rsidRDefault="007443FA" w:rsidP="00E65BAB">
      <w:pPr>
        <w:jc w:val="both"/>
        <w:rPr>
          <w:rFonts w:asciiTheme="minorHAnsi" w:hAnsiTheme="minorHAnsi" w:cs="Arial"/>
          <w:sz w:val="22"/>
          <w:szCs w:val="22"/>
        </w:rPr>
      </w:pPr>
    </w:p>
    <w:p w:rsidR="007443FA" w:rsidRPr="00BE7842" w:rsidRDefault="007443FA" w:rsidP="00E65BAB">
      <w:pPr>
        <w:numPr>
          <w:ilvl w:val="1"/>
          <w:numId w:val="1"/>
        </w:numPr>
        <w:jc w:val="both"/>
        <w:rPr>
          <w:rFonts w:asciiTheme="minorHAnsi" w:hAnsiTheme="minorHAnsi" w:cs="Arial"/>
          <w:sz w:val="22"/>
          <w:szCs w:val="22"/>
          <w:u w:val="single"/>
        </w:rPr>
      </w:pPr>
      <w:r w:rsidRPr="00BE7842">
        <w:rPr>
          <w:rFonts w:asciiTheme="minorHAnsi" w:hAnsiTheme="minorHAnsi" w:cs="Arial"/>
          <w:sz w:val="22"/>
          <w:szCs w:val="22"/>
        </w:rPr>
        <w:t xml:space="preserve">The Ad Hoc Steering Group met in February 2006 and September 2006 and presented their Final Report to the Sub-Committee on Standards and Conformance (SCSC) on 8 September 2006, recommending the formation of the APEC Food Safety Cooperation Forum (FSCF). </w:t>
      </w:r>
    </w:p>
    <w:p w:rsidR="007443FA" w:rsidRPr="00BE7842" w:rsidRDefault="007443FA" w:rsidP="00E65BAB">
      <w:pPr>
        <w:jc w:val="both"/>
        <w:rPr>
          <w:rFonts w:asciiTheme="minorHAnsi" w:hAnsiTheme="minorHAnsi" w:cs="Arial"/>
          <w:sz w:val="22"/>
          <w:szCs w:val="22"/>
          <w:u w:val="single"/>
        </w:rPr>
      </w:pPr>
    </w:p>
    <w:p w:rsidR="007443FA" w:rsidRPr="00BE7842" w:rsidRDefault="007443FA" w:rsidP="00E65BAB">
      <w:pPr>
        <w:numPr>
          <w:ilvl w:val="1"/>
          <w:numId w:val="1"/>
        </w:numPr>
        <w:jc w:val="both"/>
        <w:rPr>
          <w:rFonts w:asciiTheme="minorHAnsi" w:hAnsiTheme="minorHAnsi" w:cs="Arial"/>
          <w:sz w:val="22"/>
          <w:szCs w:val="22"/>
          <w:u w:val="single"/>
        </w:rPr>
      </w:pPr>
      <w:r w:rsidRPr="00BE7842">
        <w:rPr>
          <w:rFonts w:asciiTheme="minorHAnsi" w:hAnsiTheme="minorHAnsi" w:cs="Arial"/>
          <w:sz w:val="22"/>
          <w:szCs w:val="22"/>
        </w:rPr>
        <w:t xml:space="preserve">On 4 April 2007, the FSCF </w:t>
      </w:r>
      <w:r w:rsidRPr="00BE7842">
        <w:rPr>
          <w:rFonts w:asciiTheme="minorHAnsi" w:hAnsiTheme="minorHAnsi" w:cs="Arial"/>
          <w:sz w:val="22"/>
          <w:szCs w:val="22"/>
          <w:lang w:eastAsia="zh-CN"/>
        </w:rPr>
        <w:t xml:space="preserve">was formerly established in </w:t>
      </w:r>
      <w:r w:rsidR="00BE79C9" w:rsidRPr="00BE7842">
        <w:rPr>
          <w:rFonts w:asciiTheme="minorHAnsi" w:hAnsiTheme="minorHAnsi" w:cs="Arial"/>
          <w:sz w:val="22"/>
          <w:szCs w:val="22"/>
          <w:lang w:eastAsia="zh-CN"/>
        </w:rPr>
        <w:t xml:space="preserve">the </w:t>
      </w:r>
      <w:r w:rsidRPr="00BE7842">
        <w:rPr>
          <w:rFonts w:asciiTheme="minorHAnsi" w:hAnsiTheme="minorHAnsi" w:cs="Arial"/>
          <w:sz w:val="22"/>
          <w:szCs w:val="22"/>
          <w:lang w:eastAsia="zh-CN"/>
        </w:rPr>
        <w:t xml:space="preserve">Hunter Valley, Australia. FSCF </w:t>
      </w:r>
      <w:r w:rsidRPr="00BE7842">
        <w:rPr>
          <w:rFonts w:asciiTheme="minorHAnsi" w:hAnsiTheme="minorHAnsi" w:cs="Arial"/>
          <w:sz w:val="22"/>
          <w:szCs w:val="22"/>
        </w:rPr>
        <w:t xml:space="preserve">agreed to work together to build robust food safety systems so as to accelerate progress towards harmonisation of food standards with international standards to improve public health and facilitate trade.  </w:t>
      </w:r>
    </w:p>
    <w:p w:rsidR="00946491" w:rsidRDefault="00946491">
      <w:pPr>
        <w:rPr>
          <w:rFonts w:asciiTheme="minorHAnsi" w:hAnsiTheme="minorHAnsi" w:cs="Arial"/>
          <w:sz w:val="22"/>
          <w:szCs w:val="22"/>
          <w:u w:val="single"/>
        </w:rPr>
      </w:pPr>
      <w:r>
        <w:rPr>
          <w:rFonts w:asciiTheme="minorHAnsi" w:hAnsiTheme="minorHAnsi" w:cs="Arial"/>
          <w:sz w:val="22"/>
          <w:szCs w:val="22"/>
          <w:u w:val="single"/>
        </w:rPr>
        <w:br w:type="page"/>
      </w:r>
    </w:p>
    <w:p w:rsidR="00BC774B" w:rsidRDefault="00BC774B" w:rsidP="00BC774B">
      <w:pPr>
        <w:spacing w:before="240"/>
        <w:ind w:left="360"/>
        <w:jc w:val="both"/>
        <w:rPr>
          <w:rFonts w:asciiTheme="minorHAnsi" w:hAnsiTheme="minorHAnsi" w:cs="Arial"/>
          <w:sz w:val="22"/>
          <w:szCs w:val="22"/>
          <w:u w:val="single"/>
        </w:rPr>
      </w:pPr>
    </w:p>
    <w:p w:rsidR="007443FA" w:rsidRPr="00BE7842" w:rsidRDefault="007443FA" w:rsidP="00E65BAB">
      <w:pPr>
        <w:numPr>
          <w:ilvl w:val="0"/>
          <w:numId w:val="1"/>
        </w:numPr>
        <w:spacing w:before="240"/>
        <w:jc w:val="both"/>
        <w:rPr>
          <w:rFonts w:asciiTheme="minorHAnsi" w:hAnsiTheme="minorHAnsi" w:cs="Arial"/>
          <w:sz w:val="22"/>
          <w:szCs w:val="22"/>
          <w:u w:val="single"/>
        </w:rPr>
      </w:pPr>
      <w:r w:rsidRPr="00BE7842">
        <w:rPr>
          <w:rFonts w:asciiTheme="minorHAnsi" w:hAnsiTheme="minorHAnsi" w:cs="Arial"/>
          <w:sz w:val="22"/>
          <w:szCs w:val="22"/>
          <w:u w:val="single"/>
        </w:rPr>
        <w:t>Mandate</w:t>
      </w:r>
    </w:p>
    <w:p w:rsidR="007443FA" w:rsidRPr="00BE7842" w:rsidRDefault="007443FA" w:rsidP="00085E7C">
      <w:pPr>
        <w:numPr>
          <w:ilvl w:val="1"/>
          <w:numId w:val="1"/>
        </w:numPr>
        <w:spacing w:before="240"/>
        <w:ind w:left="998" w:hanging="431"/>
        <w:jc w:val="both"/>
        <w:rPr>
          <w:rFonts w:asciiTheme="minorHAnsi" w:hAnsiTheme="minorHAnsi" w:cs="Arial"/>
          <w:sz w:val="22"/>
          <w:szCs w:val="22"/>
        </w:rPr>
      </w:pPr>
      <w:r w:rsidRPr="00BE7842">
        <w:rPr>
          <w:rFonts w:asciiTheme="minorHAnsi" w:hAnsiTheme="minorHAnsi" w:cs="Arial"/>
          <w:sz w:val="22"/>
          <w:szCs w:val="22"/>
        </w:rPr>
        <w:t>The FSCF implements the APEC Food Safety Cooperation Initiative</w:t>
      </w:r>
      <w:r w:rsidR="007E7577" w:rsidRPr="00BE7842">
        <w:rPr>
          <w:rFonts w:asciiTheme="minorHAnsi" w:hAnsiTheme="minorHAnsi" w:cs="Arial"/>
          <w:sz w:val="22"/>
          <w:szCs w:val="22"/>
        </w:rPr>
        <w:t>,</w:t>
      </w:r>
      <w:r w:rsidRPr="00BE7842">
        <w:rPr>
          <w:rFonts w:asciiTheme="minorHAnsi" w:hAnsiTheme="minorHAnsi" w:cs="Arial"/>
          <w:sz w:val="22"/>
          <w:szCs w:val="22"/>
        </w:rPr>
        <w:t xml:space="preserve"> agreed to in 2006, by Member Economies, in accordance with the Purpose and Goals described below.</w:t>
      </w:r>
    </w:p>
    <w:p w:rsidR="00BC774B" w:rsidRPr="00BC774B" w:rsidRDefault="007443FA" w:rsidP="00BC774B">
      <w:pPr>
        <w:numPr>
          <w:ilvl w:val="1"/>
          <w:numId w:val="1"/>
        </w:numPr>
        <w:spacing w:before="240" w:after="240"/>
        <w:jc w:val="both"/>
        <w:rPr>
          <w:rFonts w:asciiTheme="minorHAnsi" w:hAnsiTheme="minorHAnsi" w:cs="Arial"/>
          <w:sz w:val="22"/>
          <w:szCs w:val="22"/>
          <w:u w:val="single"/>
        </w:rPr>
      </w:pPr>
      <w:r w:rsidRPr="00BE7842">
        <w:rPr>
          <w:rFonts w:asciiTheme="minorHAnsi" w:hAnsiTheme="minorHAnsi" w:cs="Arial"/>
          <w:sz w:val="22"/>
          <w:szCs w:val="22"/>
        </w:rPr>
        <w:t xml:space="preserve">The FSCF reports to, and is subject to review by, the SCSC. </w:t>
      </w:r>
    </w:p>
    <w:p w:rsidR="00A23DF6" w:rsidRPr="00BE7842" w:rsidRDefault="00A23DF6" w:rsidP="00BC774B">
      <w:pPr>
        <w:numPr>
          <w:ilvl w:val="0"/>
          <w:numId w:val="1"/>
        </w:numPr>
        <w:spacing w:after="120"/>
        <w:jc w:val="both"/>
        <w:rPr>
          <w:rFonts w:asciiTheme="minorHAnsi" w:hAnsiTheme="minorHAnsi" w:cs="Arial"/>
          <w:sz w:val="22"/>
          <w:szCs w:val="22"/>
          <w:u w:val="single"/>
        </w:rPr>
      </w:pPr>
      <w:r w:rsidRPr="00BE7842">
        <w:rPr>
          <w:rFonts w:asciiTheme="minorHAnsi" w:hAnsiTheme="minorHAnsi" w:cs="Arial"/>
          <w:sz w:val="22"/>
          <w:szCs w:val="22"/>
          <w:u w:val="single"/>
        </w:rPr>
        <w:t>Purpose</w:t>
      </w:r>
    </w:p>
    <w:p w:rsidR="007E7577" w:rsidRPr="00BE7842" w:rsidRDefault="007E7577" w:rsidP="00E65BAB">
      <w:pPr>
        <w:jc w:val="both"/>
        <w:rPr>
          <w:rFonts w:asciiTheme="minorHAnsi" w:hAnsiTheme="minorHAnsi" w:cs="Arial"/>
          <w:sz w:val="22"/>
          <w:szCs w:val="22"/>
          <w:u w:val="single"/>
        </w:rPr>
      </w:pPr>
    </w:p>
    <w:p w:rsidR="00D62684" w:rsidRPr="00BE7842" w:rsidRDefault="00ED3769" w:rsidP="00E65BAB">
      <w:pPr>
        <w:numPr>
          <w:ilvl w:val="1"/>
          <w:numId w:val="1"/>
        </w:numPr>
        <w:jc w:val="both"/>
        <w:rPr>
          <w:rFonts w:asciiTheme="minorHAnsi" w:hAnsiTheme="minorHAnsi" w:cs="Arial"/>
          <w:sz w:val="22"/>
          <w:szCs w:val="22"/>
        </w:rPr>
      </w:pPr>
      <w:r w:rsidRPr="00BE7842">
        <w:rPr>
          <w:rFonts w:asciiTheme="minorHAnsi" w:hAnsiTheme="minorHAnsi" w:cs="Arial"/>
          <w:sz w:val="22"/>
          <w:szCs w:val="22"/>
        </w:rPr>
        <w:t>Enhancing f</w:t>
      </w:r>
      <w:r w:rsidR="00222C22" w:rsidRPr="00BE7842">
        <w:rPr>
          <w:rFonts w:asciiTheme="minorHAnsi" w:hAnsiTheme="minorHAnsi" w:cs="Arial"/>
          <w:sz w:val="22"/>
          <w:szCs w:val="22"/>
        </w:rPr>
        <w:t>ood safety and</w:t>
      </w:r>
      <w:r w:rsidRPr="00BE7842">
        <w:rPr>
          <w:rFonts w:asciiTheme="minorHAnsi" w:hAnsiTheme="minorHAnsi" w:cs="Arial"/>
          <w:sz w:val="22"/>
          <w:szCs w:val="22"/>
        </w:rPr>
        <w:t xml:space="preserve"> encouraging use of</w:t>
      </w:r>
      <w:r w:rsidR="00222C22" w:rsidRPr="00BE7842">
        <w:rPr>
          <w:rFonts w:asciiTheme="minorHAnsi" w:hAnsiTheme="minorHAnsi" w:cs="Arial"/>
          <w:sz w:val="22"/>
          <w:szCs w:val="22"/>
        </w:rPr>
        <w:t xml:space="preserve"> international food </w:t>
      </w:r>
      <w:r w:rsidRPr="00BE7842">
        <w:rPr>
          <w:rFonts w:asciiTheme="minorHAnsi" w:hAnsiTheme="minorHAnsi" w:cs="Arial"/>
          <w:sz w:val="22"/>
          <w:szCs w:val="22"/>
        </w:rPr>
        <w:t xml:space="preserve">safety </w:t>
      </w:r>
      <w:r w:rsidR="00222C22" w:rsidRPr="00BE7842">
        <w:rPr>
          <w:rFonts w:asciiTheme="minorHAnsi" w:hAnsiTheme="minorHAnsi" w:cs="Arial"/>
          <w:sz w:val="22"/>
          <w:szCs w:val="22"/>
        </w:rPr>
        <w:t xml:space="preserve">standards </w:t>
      </w:r>
      <w:r w:rsidRPr="00BE7842">
        <w:rPr>
          <w:rFonts w:asciiTheme="minorHAnsi" w:hAnsiTheme="minorHAnsi" w:cs="Arial"/>
          <w:sz w:val="22"/>
          <w:szCs w:val="22"/>
        </w:rPr>
        <w:t xml:space="preserve">and best practices </w:t>
      </w:r>
      <w:r w:rsidR="00222C22" w:rsidRPr="00BE7842">
        <w:rPr>
          <w:rFonts w:asciiTheme="minorHAnsi" w:hAnsiTheme="minorHAnsi" w:cs="Arial"/>
          <w:sz w:val="22"/>
          <w:szCs w:val="22"/>
        </w:rPr>
        <w:t xml:space="preserve">are key factors for improving public health and safety and facilitating trade in food for APEC </w:t>
      </w:r>
      <w:r w:rsidR="000A0DA0" w:rsidRPr="00BE7842">
        <w:rPr>
          <w:rFonts w:asciiTheme="minorHAnsi" w:hAnsiTheme="minorHAnsi" w:cs="Arial"/>
          <w:sz w:val="22"/>
          <w:szCs w:val="22"/>
        </w:rPr>
        <w:t xml:space="preserve">member </w:t>
      </w:r>
      <w:r w:rsidR="00222C22" w:rsidRPr="00BE7842">
        <w:rPr>
          <w:rFonts w:asciiTheme="minorHAnsi" w:hAnsiTheme="minorHAnsi" w:cs="Arial"/>
          <w:sz w:val="22"/>
          <w:szCs w:val="22"/>
        </w:rPr>
        <w:t xml:space="preserve">economies.  </w:t>
      </w:r>
    </w:p>
    <w:p w:rsidR="00222C22" w:rsidRPr="00BE7842" w:rsidRDefault="00222C22" w:rsidP="00E65BAB">
      <w:pPr>
        <w:numPr>
          <w:ilvl w:val="1"/>
          <w:numId w:val="1"/>
        </w:numPr>
        <w:spacing w:before="240"/>
        <w:jc w:val="both"/>
        <w:rPr>
          <w:rFonts w:asciiTheme="minorHAnsi" w:hAnsiTheme="minorHAnsi" w:cs="Arial"/>
          <w:sz w:val="22"/>
          <w:szCs w:val="22"/>
        </w:rPr>
      </w:pPr>
      <w:r w:rsidRPr="00BE7842">
        <w:rPr>
          <w:rFonts w:asciiTheme="minorHAnsi" w:hAnsiTheme="minorHAnsi" w:cs="Arial"/>
          <w:sz w:val="22"/>
          <w:szCs w:val="22"/>
        </w:rPr>
        <w:t xml:space="preserve">To accelerate progress towards these outcomes, APEC will improve and strengthen information sharing and capacity building activities in food safety by enhancing cooperation between member economies and in regional activities.  </w:t>
      </w:r>
    </w:p>
    <w:p w:rsidR="00222C22" w:rsidRPr="00BE7842" w:rsidRDefault="00222C22" w:rsidP="00E65BAB">
      <w:pPr>
        <w:numPr>
          <w:ilvl w:val="1"/>
          <w:numId w:val="1"/>
        </w:numPr>
        <w:spacing w:before="240"/>
        <w:jc w:val="both"/>
        <w:rPr>
          <w:rFonts w:asciiTheme="minorHAnsi" w:hAnsiTheme="minorHAnsi" w:cs="Arial"/>
          <w:bCs/>
          <w:sz w:val="22"/>
          <w:szCs w:val="22"/>
          <w:u w:val="single"/>
        </w:rPr>
      </w:pPr>
      <w:r w:rsidRPr="00BE7842">
        <w:rPr>
          <w:rFonts w:asciiTheme="minorHAnsi" w:hAnsiTheme="minorHAnsi" w:cs="Arial"/>
          <w:sz w:val="22"/>
          <w:szCs w:val="22"/>
        </w:rPr>
        <w:t xml:space="preserve">The FSCF will identify, prioritise and coordinate capacity-building activities in APEC, </w:t>
      </w:r>
      <w:r w:rsidRPr="00BE7842">
        <w:rPr>
          <w:rFonts w:asciiTheme="minorHAnsi" w:hAnsiTheme="minorHAnsi" w:cs="Arial"/>
          <w:bCs/>
          <w:sz w:val="22"/>
          <w:szCs w:val="22"/>
        </w:rPr>
        <w:t xml:space="preserve">including the needs of developing </w:t>
      </w:r>
      <w:r w:rsidR="000A0DA0" w:rsidRPr="00BE7842">
        <w:rPr>
          <w:rFonts w:asciiTheme="minorHAnsi" w:hAnsiTheme="minorHAnsi" w:cs="Arial"/>
          <w:bCs/>
          <w:sz w:val="22"/>
          <w:szCs w:val="22"/>
        </w:rPr>
        <w:t xml:space="preserve">member </w:t>
      </w:r>
      <w:r w:rsidRPr="00BE7842">
        <w:rPr>
          <w:rFonts w:asciiTheme="minorHAnsi" w:hAnsiTheme="minorHAnsi" w:cs="Arial"/>
          <w:bCs/>
          <w:sz w:val="22"/>
          <w:szCs w:val="22"/>
        </w:rPr>
        <w:t>economies</w:t>
      </w:r>
      <w:r w:rsidRPr="00BE7842">
        <w:rPr>
          <w:rFonts w:asciiTheme="minorHAnsi" w:hAnsiTheme="minorHAnsi" w:cs="Arial"/>
          <w:sz w:val="22"/>
          <w:szCs w:val="22"/>
        </w:rPr>
        <w:t xml:space="preserve">, </w:t>
      </w:r>
      <w:r w:rsidRPr="00BE7842">
        <w:rPr>
          <w:rFonts w:asciiTheme="minorHAnsi" w:hAnsiTheme="minorHAnsi" w:cs="Arial"/>
          <w:bCs/>
          <w:sz w:val="22"/>
          <w:szCs w:val="22"/>
        </w:rPr>
        <w:t>taking into account other capacity building activities in the region.</w:t>
      </w:r>
    </w:p>
    <w:p w:rsidR="00A23DF6" w:rsidRPr="00BE7842" w:rsidRDefault="00A23DF6" w:rsidP="00E65BAB">
      <w:pPr>
        <w:jc w:val="both"/>
        <w:rPr>
          <w:rFonts w:asciiTheme="minorHAnsi" w:hAnsiTheme="minorHAnsi" w:cs="Arial"/>
          <w:sz w:val="22"/>
          <w:szCs w:val="22"/>
          <w:u w:val="single"/>
        </w:rPr>
      </w:pPr>
    </w:p>
    <w:p w:rsidR="00A23DF6" w:rsidRPr="00BE7842" w:rsidRDefault="00A23DF6" w:rsidP="00E65BAB">
      <w:pPr>
        <w:keepNext/>
        <w:numPr>
          <w:ilvl w:val="0"/>
          <w:numId w:val="1"/>
        </w:numPr>
        <w:jc w:val="both"/>
        <w:rPr>
          <w:rFonts w:asciiTheme="minorHAnsi" w:hAnsiTheme="minorHAnsi" w:cs="Arial"/>
          <w:sz w:val="22"/>
          <w:szCs w:val="22"/>
          <w:u w:val="single"/>
        </w:rPr>
      </w:pPr>
      <w:r w:rsidRPr="00BE7842">
        <w:rPr>
          <w:rFonts w:asciiTheme="minorHAnsi" w:hAnsiTheme="minorHAnsi" w:cs="Arial"/>
          <w:sz w:val="22"/>
          <w:szCs w:val="22"/>
          <w:u w:val="single"/>
        </w:rPr>
        <w:t>Goals</w:t>
      </w:r>
    </w:p>
    <w:p w:rsidR="003F4072" w:rsidRPr="00BE7842" w:rsidRDefault="003F4072" w:rsidP="00E65BAB">
      <w:pPr>
        <w:keepNext/>
        <w:numPr>
          <w:ilvl w:val="1"/>
          <w:numId w:val="1"/>
        </w:numPr>
        <w:spacing w:before="120"/>
        <w:jc w:val="both"/>
        <w:rPr>
          <w:rFonts w:asciiTheme="minorHAnsi" w:hAnsiTheme="minorHAnsi" w:cs="Arial"/>
          <w:sz w:val="22"/>
          <w:szCs w:val="22"/>
        </w:rPr>
      </w:pPr>
      <w:r w:rsidRPr="00BE7842">
        <w:rPr>
          <w:rFonts w:asciiTheme="minorHAnsi" w:hAnsiTheme="minorHAnsi" w:cs="Arial"/>
          <w:sz w:val="22"/>
          <w:szCs w:val="22"/>
        </w:rPr>
        <w:t xml:space="preserve">The FSCF goals reflect those of the APEC Food Safety Cooperation Initiative, that is, to assist APEC </w:t>
      </w:r>
      <w:r w:rsidR="000A0DA0" w:rsidRPr="00BE7842">
        <w:rPr>
          <w:rFonts w:asciiTheme="minorHAnsi" w:hAnsiTheme="minorHAnsi" w:cs="Arial"/>
          <w:sz w:val="22"/>
          <w:szCs w:val="22"/>
        </w:rPr>
        <w:t>member e</w:t>
      </w:r>
      <w:r w:rsidRPr="00BE7842">
        <w:rPr>
          <w:rFonts w:asciiTheme="minorHAnsi" w:hAnsiTheme="minorHAnsi" w:cs="Arial"/>
          <w:sz w:val="22"/>
          <w:szCs w:val="22"/>
        </w:rPr>
        <w:t>conomies to achieve:</w:t>
      </w:r>
    </w:p>
    <w:p w:rsidR="003F4072" w:rsidRPr="00BE7842" w:rsidRDefault="003F4072" w:rsidP="00E65BAB">
      <w:pPr>
        <w:numPr>
          <w:ilvl w:val="2"/>
          <w:numId w:val="1"/>
        </w:numPr>
        <w:tabs>
          <w:tab w:val="clear" w:pos="1430"/>
        </w:tabs>
        <w:spacing w:before="240"/>
        <w:ind w:left="1620" w:hanging="900"/>
        <w:jc w:val="both"/>
        <w:rPr>
          <w:rFonts w:asciiTheme="minorHAnsi" w:hAnsiTheme="minorHAnsi" w:cs="Arial"/>
          <w:sz w:val="22"/>
          <w:szCs w:val="22"/>
        </w:rPr>
      </w:pPr>
      <w:r w:rsidRPr="00BE7842">
        <w:rPr>
          <w:rFonts w:asciiTheme="minorHAnsi" w:hAnsiTheme="minorHAnsi" w:cs="Arial"/>
          <w:sz w:val="22"/>
          <w:szCs w:val="22"/>
        </w:rPr>
        <w:t>Transparent information-sharing and communication networks that provide accurate and timely information to consumers and producers on food safety.</w:t>
      </w:r>
    </w:p>
    <w:p w:rsidR="003F4072" w:rsidRPr="00BE7842" w:rsidRDefault="003F4072" w:rsidP="00E65BAB">
      <w:pPr>
        <w:numPr>
          <w:ilvl w:val="2"/>
          <w:numId w:val="1"/>
        </w:numPr>
        <w:tabs>
          <w:tab w:val="clear" w:pos="1430"/>
        </w:tabs>
        <w:spacing w:before="240"/>
        <w:ind w:left="1620" w:hanging="900"/>
        <w:jc w:val="both"/>
        <w:rPr>
          <w:rFonts w:asciiTheme="minorHAnsi" w:hAnsiTheme="minorHAnsi" w:cs="Arial"/>
          <w:sz w:val="22"/>
          <w:szCs w:val="22"/>
        </w:rPr>
      </w:pPr>
      <w:r w:rsidRPr="00BE7842">
        <w:rPr>
          <w:rFonts w:asciiTheme="minorHAnsi" w:hAnsiTheme="minorHAnsi" w:cs="Arial"/>
          <w:sz w:val="22"/>
          <w:szCs w:val="22"/>
        </w:rPr>
        <w:t xml:space="preserve">Food safety regulatory systems </w:t>
      </w:r>
      <w:r w:rsidRPr="00BE7842">
        <w:rPr>
          <w:rFonts w:asciiTheme="minorHAnsi" w:hAnsiTheme="minorHAnsi" w:cs="Arial"/>
          <w:bCs/>
          <w:sz w:val="22"/>
          <w:szCs w:val="22"/>
        </w:rPr>
        <w:t>within economies</w:t>
      </w:r>
      <w:r w:rsidRPr="00BE7842">
        <w:rPr>
          <w:rFonts w:asciiTheme="minorHAnsi" w:hAnsiTheme="minorHAnsi" w:cs="Arial"/>
          <w:sz w:val="22"/>
          <w:szCs w:val="22"/>
        </w:rPr>
        <w:t>, including food inspection/assurance and certification systems that:</w:t>
      </w:r>
    </w:p>
    <w:p w:rsidR="003F4072" w:rsidRPr="00BE7842" w:rsidRDefault="003F4072" w:rsidP="00BC774B">
      <w:pPr>
        <w:numPr>
          <w:ilvl w:val="3"/>
          <w:numId w:val="1"/>
        </w:numPr>
        <w:ind w:left="2699" w:hanging="1077"/>
        <w:jc w:val="both"/>
        <w:rPr>
          <w:rFonts w:asciiTheme="minorHAnsi" w:hAnsiTheme="minorHAnsi" w:cs="Arial"/>
          <w:sz w:val="22"/>
          <w:szCs w:val="22"/>
        </w:rPr>
      </w:pPr>
      <w:r w:rsidRPr="00BE7842">
        <w:rPr>
          <w:rFonts w:asciiTheme="minorHAnsi" w:hAnsiTheme="minorHAnsi" w:cs="Arial"/>
          <w:sz w:val="22"/>
          <w:szCs w:val="22"/>
        </w:rPr>
        <w:t xml:space="preserve">are consistent with members’ rights and obligations under the </w:t>
      </w:r>
      <w:r w:rsidR="003A3637" w:rsidRPr="00BE7842">
        <w:rPr>
          <w:rFonts w:asciiTheme="minorHAnsi" w:hAnsiTheme="minorHAnsi" w:cs="Arial"/>
          <w:sz w:val="22"/>
          <w:szCs w:val="22"/>
        </w:rPr>
        <w:t xml:space="preserve">World Trade Organisation Agreements on the Application of </w:t>
      </w:r>
      <w:r w:rsidRPr="00BE7842">
        <w:rPr>
          <w:rFonts w:asciiTheme="minorHAnsi" w:hAnsiTheme="minorHAnsi" w:cs="Arial"/>
          <w:sz w:val="22"/>
          <w:szCs w:val="22"/>
        </w:rPr>
        <w:t xml:space="preserve">Sanitary and Phytosanitary Measures (SPS) and Technical Barriers to Trade (TBT) </w:t>
      </w:r>
      <w:r w:rsidR="003A3637" w:rsidRPr="00BE7842">
        <w:rPr>
          <w:rFonts w:asciiTheme="minorHAnsi" w:hAnsiTheme="minorHAnsi" w:cs="Arial"/>
          <w:b/>
          <w:bCs/>
          <w:sz w:val="22"/>
          <w:szCs w:val="22"/>
        </w:rPr>
        <w:t>;</w:t>
      </w:r>
      <w:r w:rsidR="00B86A1A" w:rsidRPr="00BE7842">
        <w:rPr>
          <w:rFonts w:asciiTheme="minorHAnsi" w:hAnsiTheme="minorHAnsi" w:cs="Arial"/>
          <w:bCs/>
          <w:sz w:val="22"/>
          <w:szCs w:val="22"/>
        </w:rPr>
        <w:t xml:space="preserve"> and</w:t>
      </w:r>
    </w:p>
    <w:p w:rsidR="003F4072" w:rsidRDefault="003F4072" w:rsidP="00BC774B">
      <w:pPr>
        <w:numPr>
          <w:ilvl w:val="3"/>
          <w:numId w:val="1"/>
        </w:numPr>
        <w:spacing w:after="120"/>
        <w:ind w:left="2699" w:hanging="1077"/>
        <w:jc w:val="both"/>
        <w:rPr>
          <w:rFonts w:asciiTheme="minorHAnsi" w:hAnsiTheme="minorHAnsi" w:cs="Arial"/>
          <w:sz w:val="22"/>
          <w:szCs w:val="22"/>
        </w:rPr>
      </w:pPr>
      <w:r w:rsidRPr="00BE7842">
        <w:rPr>
          <w:rFonts w:asciiTheme="minorHAnsi" w:hAnsiTheme="minorHAnsi" w:cs="Arial"/>
          <w:bCs/>
          <w:sz w:val="22"/>
          <w:szCs w:val="22"/>
        </w:rPr>
        <w:t>are harmonized</w:t>
      </w:r>
      <w:r w:rsidRPr="00BE7842">
        <w:rPr>
          <w:rFonts w:asciiTheme="minorHAnsi" w:hAnsiTheme="minorHAnsi" w:cs="Arial"/>
          <w:b/>
          <w:bCs/>
          <w:sz w:val="22"/>
          <w:szCs w:val="22"/>
        </w:rPr>
        <w:t>,</w:t>
      </w:r>
      <w:r w:rsidRPr="00BE7842">
        <w:rPr>
          <w:rFonts w:asciiTheme="minorHAnsi" w:hAnsiTheme="minorHAnsi" w:cs="Arial"/>
          <w:sz w:val="22"/>
          <w:szCs w:val="22"/>
        </w:rPr>
        <w:t xml:space="preserve"> to the extent possible, with international standards (such as Codex, OIE, IPPC).</w:t>
      </w:r>
      <w:bookmarkStart w:id="0" w:name="_GoBack"/>
      <w:bookmarkEnd w:id="0"/>
    </w:p>
    <w:p w:rsidR="003F4072" w:rsidRPr="00BE7842" w:rsidRDefault="003F4072" w:rsidP="00BC774B">
      <w:pPr>
        <w:numPr>
          <w:ilvl w:val="2"/>
          <w:numId w:val="1"/>
        </w:numPr>
        <w:tabs>
          <w:tab w:val="clear" w:pos="1430"/>
        </w:tabs>
        <w:spacing w:after="120"/>
        <w:ind w:left="1620" w:hanging="900"/>
        <w:jc w:val="both"/>
        <w:rPr>
          <w:rFonts w:asciiTheme="minorHAnsi" w:hAnsiTheme="minorHAnsi" w:cs="Arial"/>
          <w:sz w:val="22"/>
          <w:szCs w:val="22"/>
        </w:rPr>
      </w:pPr>
      <w:r w:rsidRPr="00BE7842">
        <w:rPr>
          <w:rFonts w:asciiTheme="minorHAnsi" w:hAnsiTheme="minorHAnsi" w:cs="Arial"/>
          <w:sz w:val="22"/>
          <w:szCs w:val="22"/>
        </w:rPr>
        <w:t>Enhanced skills and human resource capacities to enable the development of national food safety regulatory frameworks that are harmonized with international standards.</w:t>
      </w:r>
    </w:p>
    <w:p w:rsidR="00222C22" w:rsidRPr="00BE7842" w:rsidRDefault="00222C22" w:rsidP="00E65BAB">
      <w:pPr>
        <w:jc w:val="both"/>
        <w:rPr>
          <w:rFonts w:asciiTheme="minorHAnsi" w:hAnsiTheme="minorHAnsi" w:cs="Arial"/>
          <w:sz w:val="22"/>
          <w:szCs w:val="22"/>
          <w:u w:val="single"/>
        </w:rPr>
      </w:pPr>
    </w:p>
    <w:p w:rsidR="00705CA6" w:rsidRPr="00BE7842" w:rsidRDefault="00222C22" w:rsidP="00E65BAB">
      <w:pPr>
        <w:keepNext/>
        <w:numPr>
          <w:ilvl w:val="0"/>
          <w:numId w:val="1"/>
        </w:numPr>
        <w:jc w:val="both"/>
        <w:rPr>
          <w:rFonts w:asciiTheme="minorHAnsi" w:hAnsiTheme="minorHAnsi" w:cs="Arial"/>
          <w:sz w:val="22"/>
          <w:szCs w:val="22"/>
          <w:u w:val="single"/>
        </w:rPr>
      </w:pPr>
      <w:r w:rsidRPr="00BE7842">
        <w:rPr>
          <w:rFonts w:asciiTheme="minorHAnsi" w:hAnsiTheme="minorHAnsi" w:cs="Arial"/>
          <w:sz w:val="22"/>
          <w:szCs w:val="22"/>
          <w:u w:val="single"/>
        </w:rPr>
        <w:t>Scope of Activities</w:t>
      </w:r>
    </w:p>
    <w:p w:rsidR="00D62684" w:rsidRPr="00BE7842" w:rsidRDefault="00A23DF6" w:rsidP="00E65BAB">
      <w:pPr>
        <w:numPr>
          <w:ilvl w:val="1"/>
          <w:numId w:val="1"/>
        </w:numPr>
        <w:spacing w:before="240"/>
        <w:jc w:val="both"/>
        <w:rPr>
          <w:rFonts w:asciiTheme="minorHAnsi" w:hAnsiTheme="minorHAnsi" w:cs="Arial"/>
          <w:sz w:val="22"/>
          <w:szCs w:val="22"/>
        </w:rPr>
      </w:pPr>
      <w:r w:rsidRPr="00BE7842">
        <w:rPr>
          <w:rFonts w:asciiTheme="minorHAnsi" w:hAnsiTheme="minorHAnsi" w:cs="Arial"/>
          <w:sz w:val="22"/>
          <w:szCs w:val="22"/>
        </w:rPr>
        <w:t xml:space="preserve">The </w:t>
      </w:r>
      <w:r w:rsidR="00995A3A" w:rsidRPr="00BE7842">
        <w:rPr>
          <w:rFonts w:asciiTheme="minorHAnsi" w:hAnsiTheme="minorHAnsi" w:cs="Arial"/>
          <w:sz w:val="22"/>
          <w:szCs w:val="22"/>
        </w:rPr>
        <w:t xml:space="preserve">FSCF </w:t>
      </w:r>
      <w:r w:rsidRPr="00BE7842">
        <w:rPr>
          <w:rFonts w:asciiTheme="minorHAnsi" w:hAnsiTheme="minorHAnsi" w:cs="Arial"/>
          <w:sz w:val="22"/>
          <w:szCs w:val="22"/>
        </w:rPr>
        <w:t xml:space="preserve">will </w:t>
      </w:r>
      <w:r w:rsidR="00B51739" w:rsidRPr="00BE7842">
        <w:rPr>
          <w:rFonts w:asciiTheme="minorHAnsi" w:hAnsiTheme="minorHAnsi" w:cs="Arial"/>
          <w:sz w:val="22"/>
          <w:szCs w:val="22"/>
        </w:rPr>
        <w:t>identify</w:t>
      </w:r>
      <w:r w:rsidR="00B95A4A" w:rsidRPr="00BE7842">
        <w:rPr>
          <w:rFonts w:asciiTheme="minorHAnsi" w:hAnsiTheme="minorHAnsi" w:cs="Arial"/>
          <w:sz w:val="22"/>
          <w:szCs w:val="22"/>
        </w:rPr>
        <w:t xml:space="preserve"> </w:t>
      </w:r>
      <w:r w:rsidR="00705CA6" w:rsidRPr="00BE7842">
        <w:rPr>
          <w:rFonts w:asciiTheme="minorHAnsi" w:hAnsiTheme="minorHAnsi" w:cs="Arial"/>
          <w:sz w:val="22"/>
          <w:szCs w:val="22"/>
        </w:rPr>
        <w:t>priority</w:t>
      </w:r>
      <w:r w:rsidR="00B95A4A" w:rsidRPr="00BE7842">
        <w:rPr>
          <w:rFonts w:asciiTheme="minorHAnsi" w:hAnsiTheme="minorHAnsi" w:cs="Arial"/>
          <w:sz w:val="22"/>
          <w:szCs w:val="22"/>
        </w:rPr>
        <w:t xml:space="preserve"> food safety capacity building </w:t>
      </w:r>
      <w:r w:rsidR="00705CA6" w:rsidRPr="00BE7842">
        <w:rPr>
          <w:rFonts w:asciiTheme="minorHAnsi" w:hAnsiTheme="minorHAnsi" w:cs="Arial"/>
          <w:sz w:val="22"/>
          <w:szCs w:val="22"/>
        </w:rPr>
        <w:t>needs</w:t>
      </w:r>
      <w:r w:rsidR="00D62684" w:rsidRPr="00BE7842">
        <w:rPr>
          <w:rFonts w:asciiTheme="minorHAnsi" w:hAnsiTheme="minorHAnsi" w:cs="Arial"/>
          <w:sz w:val="22"/>
          <w:szCs w:val="22"/>
        </w:rPr>
        <w:t xml:space="preserve"> in the following areas: </w:t>
      </w:r>
    </w:p>
    <w:p w:rsidR="00D62684" w:rsidRPr="00BE7842" w:rsidRDefault="00EE7B7D" w:rsidP="00E65BAB">
      <w:pPr>
        <w:numPr>
          <w:ilvl w:val="2"/>
          <w:numId w:val="1"/>
        </w:numPr>
        <w:jc w:val="both"/>
        <w:rPr>
          <w:rFonts w:asciiTheme="minorHAnsi" w:hAnsiTheme="minorHAnsi" w:cs="Arial"/>
          <w:sz w:val="22"/>
          <w:szCs w:val="22"/>
        </w:rPr>
      </w:pPr>
      <w:r w:rsidRPr="00BE7842">
        <w:rPr>
          <w:rFonts w:asciiTheme="minorHAnsi" w:hAnsiTheme="minorHAnsi" w:cs="Arial"/>
          <w:sz w:val="22"/>
          <w:szCs w:val="22"/>
        </w:rPr>
        <w:t xml:space="preserve"> </w:t>
      </w:r>
      <w:r w:rsidR="00766CE1">
        <w:rPr>
          <w:rFonts w:asciiTheme="minorHAnsi" w:hAnsiTheme="minorHAnsi" w:cs="Arial"/>
          <w:sz w:val="22"/>
          <w:szCs w:val="22"/>
        </w:rPr>
        <w:tab/>
      </w:r>
      <w:r w:rsidR="00D62684" w:rsidRPr="00BE7842">
        <w:rPr>
          <w:rFonts w:asciiTheme="minorHAnsi" w:hAnsiTheme="minorHAnsi" w:cs="Arial"/>
          <w:sz w:val="22"/>
          <w:szCs w:val="22"/>
        </w:rPr>
        <w:t>food safety regulatory systems</w:t>
      </w:r>
    </w:p>
    <w:p w:rsidR="00D62684" w:rsidRPr="00BE7842" w:rsidRDefault="00EE7B7D" w:rsidP="00E65BAB">
      <w:pPr>
        <w:numPr>
          <w:ilvl w:val="2"/>
          <w:numId w:val="1"/>
        </w:numPr>
        <w:jc w:val="both"/>
        <w:rPr>
          <w:rFonts w:asciiTheme="minorHAnsi" w:hAnsiTheme="minorHAnsi" w:cs="Arial"/>
          <w:sz w:val="22"/>
          <w:szCs w:val="22"/>
        </w:rPr>
      </w:pPr>
      <w:r w:rsidRPr="00BE7842">
        <w:rPr>
          <w:rFonts w:asciiTheme="minorHAnsi" w:hAnsiTheme="minorHAnsi" w:cs="Arial"/>
          <w:sz w:val="22"/>
          <w:szCs w:val="22"/>
        </w:rPr>
        <w:t xml:space="preserve"> </w:t>
      </w:r>
      <w:r w:rsidR="00766CE1">
        <w:rPr>
          <w:rFonts w:asciiTheme="minorHAnsi" w:hAnsiTheme="minorHAnsi" w:cs="Arial"/>
          <w:sz w:val="22"/>
          <w:szCs w:val="22"/>
        </w:rPr>
        <w:tab/>
      </w:r>
      <w:r w:rsidR="00D62684" w:rsidRPr="00BE7842">
        <w:rPr>
          <w:rFonts w:asciiTheme="minorHAnsi" w:hAnsiTheme="minorHAnsi" w:cs="Arial"/>
          <w:sz w:val="22"/>
          <w:szCs w:val="22"/>
        </w:rPr>
        <w:t>food inspection/certification systems</w:t>
      </w:r>
    </w:p>
    <w:p w:rsidR="00D62684" w:rsidRPr="00BE7842" w:rsidRDefault="00EE7B7D" w:rsidP="00E65BAB">
      <w:pPr>
        <w:numPr>
          <w:ilvl w:val="2"/>
          <w:numId w:val="1"/>
        </w:numPr>
        <w:jc w:val="both"/>
        <w:rPr>
          <w:rFonts w:asciiTheme="minorHAnsi" w:hAnsiTheme="minorHAnsi" w:cs="Arial"/>
          <w:sz w:val="22"/>
          <w:szCs w:val="22"/>
        </w:rPr>
      </w:pPr>
      <w:r w:rsidRPr="00BE7842">
        <w:rPr>
          <w:rFonts w:asciiTheme="minorHAnsi" w:hAnsiTheme="minorHAnsi" w:cs="Arial"/>
          <w:sz w:val="22"/>
          <w:szCs w:val="22"/>
        </w:rPr>
        <w:t xml:space="preserve"> </w:t>
      </w:r>
      <w:r w:rsidR="00766CE1">
        <w:rPr>
          <w:rFonts w:asciiTheme="minorHAnsi" w:hAnsiTheme="minorHAnsi" w:cs="Arial"/>
          <w:sz w:val="22"/>
          <w:szCs w:val="22"/>
        </w:rPr>
        <w:tab/>
      </w:r>
      <w:r w:rsidR="00D62684" w:rsidRPr="00BE7842">
        <w:rPr>
          <w:rFonts w:asciiTheme="minorHAnsi" w:hAnsiTheme="minorHAnsi" w:cs="Arial"/>
          <w:sz w:val="22"/>
          <w:szCs w:val="22"/>
        </w:rPr>
        <w:t xml:space="preserve">technical skills and human resource capacity </w:t>
      </w:r>
    </w:p>
    <w:p w:rsidR="00EE7B7D" w:rsidRPr="00BE7842" w:rsidRDefault="00D62684" w:rsidP="0019758C">
      <w:pPr>
        <w:numPr>
          <w:ilvl w:val="2"/>
          <w:numId w:val="1"/>
        </w:numPr>
        <w:ind w:left="710" w:hanging="1"/>
        <w:jc w:val="both"/>
        <w:rPr>
          <w:rFonts w:asciiTheme="minorHAnsi" w:hAnsiTheme="minorHAnsi" w:cs="Arial"/>
          <w:sz w:val="22"/>
          <w:szCs w:val="22"/>
        </w:rPr>
      </w:pPr>
      <w:r w:rsidRPr="00BE7842">
        <w:rPr>
          <w:rFonts w:asciiTheme="minorHAnsi" w:hAnsiTheme="minorHAnsi" w:cs="Arial"/>
          <w:sz w:val="22"/>
          <w:szCs w:val="22"/>
        </w:rPr>
        <w:t>information-sharing and</w:t>
      </w:r>
      <w:r w:rsidR="00ED3769" w:rsidRPr="00BE7842">
        <w:rPr>
          <w:rFonts w:asciiTheme="minorHAnsi" w:hAnsiTheme="minorHAnsi" w:cs="Arial"/>
          <w:sz w:val="22"/>
          <w:szCs w:val="22"/>
        </w:rPr>
        <w:t xml:space="preserve"> communication</w:t>
      </w:r>
      <w:r w:rsidRPr="00BE7842">
        <w:rPr>
          <w:rFonts w:asciiTheme="minorHAnsi" w:hAnsiTheme="minorHAnsi" w:cs="Arial"/>
          <w:sz w:val="22"/>
          <w:szCs w:val="22"/>
        </w:rPr>
        <w:t xml:space="preserve"> networks</w:t>
      </w:r>
    </w:p>
    <w:p w:rsidR="0019758C" w:rsidRPr="00BE7842" w:rsidRDefault="0019758C" w:rsidP="0019758C">
      <w:pPr>
        <w:ind w:left="710"/>
        <w:jc w:val="both"/>
        <w:rPr>
          <w:rFonts w:asciiTheme="minorHAnsi" w:hAnsiTheme="minorHAnsi" w:cs="Arial"/>
          <w:sz w:val="22"/>
          <w:szCs w:val="22"/>
        </w:rPr>
      </w:pPr>
    </w:p>
    <w:p w:rsidR="007E7577" w:rsidRPr="00BE7842" w:rsidRDefault="007E7577" w:rsidP="00E65BAB">
      <w:pPr>
        <w:numPr>
          <w:ilvl w:val="1"/>
          <w:numId w:val="1"/>
        </w:numPr>
        <w:jc w:val="both"/>
        <w:rPr>
          <w:rFonts w:asciiTheme="minorHAnsi" w:hAnsiTheme="minorHAnsi" w:cs="Arial"/>
          <w:sz w:val="22"/>
          <w:szCs w:val="22"/>
        </w:rPr>
      </w:pPr>
      <w:r w:rsidRPr="00BE7842">
        <w:rPr>
          <w:rFonts w:asciiTheme="minorHAnsi" w:hAnsiTheme="minorHAnsi" w:cs="Arial"/>
          <w:sz w:val="22"/>
          <w:szCs w:val="22"/>
        </w:rPr>
        <w:t xml:space="preserve">The FSCF will coordinate potential capacity building activities in response to priority needs, in the APEC region.  </w:t>
      </w:r>
      <w:r w:rsidR="000A0DA0" w:rsidRPr="00BE7842">
        <w:rPr>
          <w:rFonts w:asciiTheme="minorHAnsi" w:hAnsiTheme="minorHAnsi" w:cs="Arial"/>
          <w:sz w:val="22"/>
          <w:szCs w:val="22"/>
        </w:rPr>
        <w:t>It will also assist member e</w:t>
      </w:r>
      <w:r w:rsidRPr="00BE7842">
        <w:rPr>
          <w:rFonts w:asciiTheme="minorHAnsi" w:hAnsiTheme="minorHAnsi" w:cs="Arial"/>
          <w:sz w:val="22"/>
          <w:szCs w:val="22"/>
        </w:rPr>
        <w:t xml:space="preserve">conomies in their delivery and participation in these activities by providing advice, information and networking support from FSCF members. </w:t>
      </w:r>
    </w:p>
    <w:p w:rsidR="00D62684" w:rsidRPr="00BE7842" w:rsidRDefault="00D62684" w:rsidP="00E65BAB">
      <w:pPr>
        <w:ind w:left="1080"/>
        <w:jc w:val="both"/>
        <w:rPr>
          <w:rFonts w:asciiTheme="minorHAnsi" w:hAnsiTheme="minorHAnsi" w:cs="Arial"/>
          <w:sz w:val="22"/>
          <w:szCs w:val="22"/>
        </w:rPr>
      </w:pPr>
    </w:p>
    <w:p w:rsidR="00A23DF6" w:rsidRPr="00BE7842" w:rsidRDefault="000C70D9" w:rsidP="00E65BAB">
      <w:pPr>
        <w:numPr>
          <w:ilvl w:val="1"/>
          <w:numId w:val="1"/>
        </w:numPr>
        <w:spacing w:before="120"/>
        <w:jc w:val="both"/>
        <w:rPr>
          <w:rFonts w:asciiTheme="minorHAnsi" w:hAnsiTheme="minorHAnsi" w:cs="Arial"/>
          <w:sz w:val="22"/>
          <w:szCs w:val="22"/>
        </w:rPr>
      </w:pPr>
      <w:r w:rsidRPr="00BE7842">
        <w:rPr>
          <w:rFonts w:asciiTheme="minorHAnsi" w:hAnsiTheme="minorHAnsi" w:cs="Arial"/>
          <w:sz w:val="22"/>
          <w:szCs w:val="22"/>
        </w:rPr>
        <w:t xml:space="preserve">The FSCF </w:t>
      </w:r>
      <w:r w:rsidR="00ED3769" w:rsidRPr="00BE7842">
        <w:rPr>
          <w:rFonts w:asciiTheme="minorHAnsi" w:hAnsiTheme="minorHAnsi" w:cs="Arial"/>
          <w:sz w:val="22"/>
          <w:szCs w:val="22"/>
        </w:rPr>
        <w:t>Partnership Training Institute Network (</w:t>
      </w:r>
      <w:r w:rsidR="00BD0270" w:rsidRPr="00BE7842">
        <w:rPr>
          <w:rFonts w:asciiTheme="minorHAnsi" w:hAnsiTheme="minorHAnsi" w:cs="Arial"/>
          <w:sz w:val="22"/>
          <w:szCs w:val="22"/>
        </w:rPr>
        <w:t>PTIN</w:t>
      </w:r>
      <w:r w:rsidR="00ED3769" w:rsidRPr="00BE7842">
        <w:rPr>
          <w:rFonts w:asciiTheme="minorHAnsi" w:hAnsiTheme="minorHAnsi" w:cs="Arial"/>
          <w:sz w:val="22"/>
          <w:szCs w:val="22"/>
        </w:rPr>
        <w:t>)</w:t>
      </w:r>
      <w:r w:rsidRPr="00BE7842">
        <w:rPr>
          <w:rFonts w:asciiTheme="minorHAnsi" w:hAnsiTheme="minorHAnsi" w:cs="Arial"/>
          <w:sz w:val="22"/>
          <w:szCs w:val="22"/>
        </w:rPr>
        <w:t xml:space="preserve"> </w:t>
      </w:r>
      <w:r w:rsidR="00ED3769" w:rsidRPr="00BE7842">
        <w:rPr>
          <w:rFonts w:asciiTheme="minorHAnsi" w:hAnsiTheme="minorHAnsi" w:cs="Arial"/>
          <w:sz w:val="22"/>
          <w:szCs w:val="22"/>
        </w:rPr>
        <w:t xml:space="preserve">established in 2008, </w:t>
      </w:r>
      <w:r w:rsidRPr="00BE7842">
        <w:rPr>
          <w:rFonts w:asciiTheme="minorHAnsi" w:hAnsiTheme="minorHAnsi" w:cs="Arial"/>
          <w:sz w:val="22"/>
          <w:szCs w:val="22"/>
        </w:rPr>
        <w:t xml:space="preserve">will further support </w:t>
      </w:r>
      <w:r w:rsidR="005E5056" w:rsidRPr="00BE7842">
        <w:rPr>
          <w:rFonts w:asciiTheme="minorHAnsi" w:hAnsiTheme="minorHAnsi" w:cs="Arial"/>
          <w:sz w:val="22"/>
          <w:szCs w:val="22"/>
        </w:rPr>
        <w:t xml:space="preserve">capacity building </w:t>
      </w:r>
      <w:r w:rsidRPr="00BE7842">
        <w:rPr>
          <w:rFonts w:asciiTheme="minorHAnsi" w:hAnsiTheme="minorHAnsi" w:cs="Arial"/>
          <w:sz w:val="22"/>
          <w:szCs w:val="22"/>
        </w:rPr>
        <w:t>activities by enlisting leadership from the private sector and academia to bring additional expertise, resources, a</w:t>
      </w:r>
      <w:r w:rsidR="005E5056" w:rsidRPr="00BE7842">
        <w:rPr>
          <w:rFonts w:asciiTheme="minorHAnsi" w:hAnsiTheme="minorHAnsi" w:cs="Arial"/>
          <w:sz w:val="22"/>
          <w:szCs w:val="22"/>
        </w:rPr>
        <w:t>nd commitment towards addressing</w:t>
      </w:r>
      <w:r w:rsidRPr="00BE7842">
        <w:rPr>
          <w:rFonts w:asciiTheme="minorHAnsi" w:hAnsiTheme="minorHAnsi" w:cs="Arial"/>
          <w:sz w:val="22"/>
          <w:szCs w:val="22"/>
        </w:rPr>
        <w:t xml:space="preserve"> the capacity building </w:t>
      </w:r>
      <w:r w:rsidR="005E5056" w:rsidRPr="00BE7842">
        <w:rPr>
          <w:rFonts w:asciiTheme="minorHAnsi" w:hAnsiTheme="minorHAnsi" w:cs="Arial"/>
          <w:sz w:val="22"/>
          <w:szCs w:val="22"/>
        </w:rPr>
        <w:t xml:space="preserve">priorities </w:t>
      </w:r>
      <w:r w:rsidRPr="00BE7842">
        <w:rPr>
          <w:rFonts w:asciiTheme="minorHAnsi" w:hAnsiTheme="minorHAnsi" w:cs="Arial"/>
          <w:sz w:val="22"/>
          <w:szCs w:val="22"/>
        </w:rPr>
        <w:t xml:space="preserve">and goals identified by </w:t>
      </w:r>
      <w:r w:rsidR="000056CF" w:rsidRPr="00BE7842">
        <w:rPr>
          <w:rFonts w:asciiTheme="minorHAnsi" w:hAnsiTheme="minorHAnsi" w:cs="Arial"/>
          <w:sz w:val="22"/>
          <w:szCs w:val="22"/>
        </w:rPr>
        <w:t>members of the FSCF</w:t>
      </w:r>
      <w:r w:rsidRPr="00BE7842">
        <w:rPr>
          <w:rFonts w:asciiTheme="minorHAnsi" w:hAnsiTheme="minorHAnsi" w:cs="Arial"/>
          <w:sz w:val="22"/>
          <w:szCs w:val="22"/>
        </w:rPr>
        <w:t>.</w:t>
      </w:r>
    </w:p>
    <w:p w:rsidR="00A23DF6" w:rsidRPr="00BE7842" w:rsidRDefault="00D62684" w:rsidP="00E65BAB">
      <w:pPr>
        <w:numPr>
          <w:ilvl w:val="1"/>
          <w:numId w:val="1"/>
        </w:numPr>
        <w:spacing w:before="240"/>
        <w:jc w:val="both"/>
        <w:rPr>
          <w:rFonts w:asciiTheme="minorHAnsi" w:hAnsiTheme="minorHAnsi" w:cs="Arial"/>
          <w:sz w:val="22"/>
          <w:szCs w:val="22"/>
        </w:rPr>
      </w:pPr>
      <w:r w:rsidRPr="00BE7842">
        <w:rPr>
          <w:rFonts w:asciiTheme="minorHAnsi" w:hAnsiTheme="minorHAnsi" w:cs="Arial"/>
          <w:sz w:val="22"/>
          <w:szCs w:val="22"/>
        </w:rPr>
        <w:t>The food s</w:t>
      </w:r>
      <w:r w:rsidR="007C4B58" w:rsidRPr="00BE7842">
        <w:rPr>
          <w:rFonts w:asciiTheme="minorHAnsi" w:hAnsiTheme="minorHAnsi" w:cs="Arial"/>
          <w:sz w:val="22"/>
          <w:szCs w:val="22"/>
        </w:rPr>
        <w:t xml:space="preserve">afety </w:t>
      </w:r>
      <w:r w:rsidRPr="00BE7842">
        <w:rPr>
          <w:rFonts w:asciiTheme="minorHAnsi" w:hAnsiTheme="minorHAnsi" w:cs="Arial"/>
          <w:sz w:val="22"/>
          <w:szCs w:val="22"/>
        </w:rPr>
        <w:t>capacity b</w:t>
      </w:r>
      <w:r w:rsidR="005E5056" w:rsidRPr="00BE7842">
        <w:rPr>
          <w:rFonts w:asciiTheme="minorHAnsi" w:hAnsiTheme="minorHAnsi" w:cs="Arial"/>
          <w:sz w:val="22"/>
          <w:szCs w:val="22"/>
        </w:rPr>
        <w:t xml:space="preserve">uilding </w:t>
      </w:r>
      <w:r w:rsidRPr="00BE7842">
        <w:rPr>
          <w:rFonts w:asciiTheme="minorHAnsi" w:hAnsiTheme="minorHAnsi" w:cs="Arial"/>
          <w:sz w:val="22"/>
          <w:szCs w:val="22"/>
        </w:rPr>
        <w:t>activities u</w:t>
      </w:r>
      <w:r w:rsidR="007C4B58" w:rsidRPr="00BE7842">
        <w:rPr>
          <w:rFonts w:asciiTheme="minorHAnsi" w:hAnsiTheme="minorHAnsi" w:cs="Arial"/>
          <w:sz w:val="22"/>
          <w:szCs w:val="22"/>
        </w:rPr>
        <w:t xml:space="preserve">ndertaken by </w:t>
      </w:r>
      <w:r w:rsidRPr="00BE7842">
        <w:rPr>
          <w:rFonts w:asciiTheme="minorHAnsi" w:hAnsiTheme="minorHAnsi" w:cs="Arial"/>
          <w:sz w:val="22"/>
          <w:szCs w:val="22"/>
        </w:rPr>
        <w:t xml:space="preserve">the </w:t>
      </w:r>
      <w:r w:rsidR="007C4B58" w:rsidRPr="00BE7842">
        <w:rPr>
          <w:rFonts w:asciiTheme="minorHAnsi" w:hAnsiTheme="minorHAnsi" w:cs="Arial"/>
          <w:sz w:val="22"/>
          <w:szCs w:val="22"/>
        </w:rPr>
        <w:t>FSC</w:t>
      </w:r>
      <w:r w:rsidR="00ED3769" w:rsidRPr="00BE7842">
        <w:rPr>
          <w:rFonts w:asciiTheme="minorHAnsi" w:hAnsiTheme="minorHAnsi" w:cs="Arial"/>
          <w:sz w:val="22"/>
          <w:szCs w:val="22"/>
        </w:rPr>
        <w:t xml:space="preserve">F and </w:t>
      </w:r>
      <w:r w:rsidR="0077540C" w:rsidRPr="00BE7842">
        <w:rPr>
          <w:rFonts w:asciiTheme="minorHAnsi" w:hAnsiTheme="minorHAnsi" w:cs="Arial"/>
          <w:sz w:val="22"/>
          <w:szCs w:val="22"/>
        </w:rPr>
        <w:t>its</w:t>
      </w:r>
      <w:r w:rsidR="007C4B58" w:rsidRPr="00BE7842">
        <w:rPr>
          <w:rFonts w:asciiTheme="minorHAnsi" w:hAnsiTheme="minorHAnsi" w:cs="Arial"/>
          <w:sz w:val="22"/>
          <w:szCs w:val="22"/>
        </w:rPr>
        <w:t xml:space="preserve"> PTIN </w:t>
      </w:r>
      <w:r w:rsidR="00A23DF6" w:rsidRPr="00BE7842">
        <w:rPr>
          <w:rFonts w:asciiTheme="minorHAnsi" w:hAnsiTheme="minorHAnsi" w:cs="Arial"/>
          <w:bCs/>
          <w:sz w:val="22"/>
          <w:szCs w:val="22"/>
        </w:rPr>
        <w:t>will complement</w:t>
      </w:r>
      <w:r w:rsidR="00A23DF6" w:rsidRPr="00BE7842">
        <w:rPr>
          <w:rFonts w:asciiTheme="minorHAnsi" w:hAnsiTheme="minorHAnsi" w:cs="Arial"/>
          <w:sz w:val="22"/>
          <w:szCs w:val="22"/>
        </w:rPr>
        <w:t xml:space="preserve"> existing activities carried out by international </w:t>
      </w:r>
      <w:r w:rsidR="00ED3769" w:rsidRPr="00BE7842">
        <w:rPr>
          <w:rFonts w:asciiTheme="minorHAnsi" w:hAnsiTheme="minorHAnsi" w:cs="Arial"/>
          <w:sz w:val="22"/>
          <w:szCs w:val="22"/>
        </w:rPr>
        <w:t xml:space="preserve">and </w:t>
      </w:r>
      <w:r w:rsidR="00A23DF6" w:rsidRPr="00BE7842">
        <w:rPr>
          <w:rFonts w:asciiTheme="minorHAnsi" w:hAnsiTheme="minorHAnsi" w:cs="Arial"/>
          <w:sz w:val="22"/>
          <w:szCs w:val="22"/>
        </w:rPr>
        <w:t xml:space="preserve">regional organisations. </w:t>
      </w:r>
    </w:p>
    <w:p w:rsidR="00A23DF6" w:rsidRPr="00BE7842" w:rsidRDefault="000A0DA0" w:rsidP="00E65BAB">
      <w:pPr>
        <w:numPr>
          <w:ilvl w:val="1"/>
          <w:numId w:val="1"/>
        </w:numPr>
        <w:tabs>
          <w:tab w:val="left" w:pos="1418"/>
        </w:tabs>
        <w:spacing w:before="240"/>
        <w:jc w:val="both"/>
        <w:rPr>
          <w:rFonts w:asciiTheme="minorHAnsi" w:hAnsiTheme="minorHAnsi" w:cs="Arial"/>
          <w:sz w:val="22"/>
          <w:szCs w:val="22"/>
        </w:rPr>
      </w:pPr>
      <w:r w:rsidRPr="00BE7842">
        <w:rPr>
          <w:rFonts w:asciiTheme="minorHAnsi" w:hAnsiTheme="minorHAnsi" w:cs="Arial"/>
          <w:sz w:val="22"/>
          <w:szCs w:val="22"/>
        </w:rPr>
        <w:t>Member e</w:t>
      </w:r>
      <w:r w:rsidR="00A23DF6" w:rsidRPr="00BE7842">
        <w:rPr>
          <w:rFonts w:asciiTheme="minorHAnsi" w:hAnsiTheme="minorHAnsi" w:cs="Arial"/>
          <w:sz w:val="22"/>
          <w:szCs w:val="22"/>
        </w:rPr>
        <w:t>conomies should consider joint devel</w:t>
      </w:r>
      <w:r w:rsidR="007E7577" w:rsidRPr="00BE7842">
        <w:rPr>
          <w:rFonts w:asciiTheme="minorHAnsi" w:hAnsiTheme="minorHAnsi" w:cs="Arial"/>
          <w:sz w:val="22"/>
          <w:szCs w:val="22"/>
        </w:rPr>
        <w:t xml:space="preserve">opment and delivery of capacity </w:t>
      </w:r>
      <w:r w:rsidR="00A23DF6" w:rsidRPr="00BE7842">
        <w:rPr>
          <w:rFonts w:asciiTheme="minorHAnsi" w:hAnsiTheme="minorHAnsi" w:cs="Arial"/>
          <w:sz w:val="22"/>
          <w:szCs w:val="22"/>
        </w:rPr>
        <w:t xml:space="preserve">building opportunities recommended by the </w:t>
      </w:r>
      <w:r w:rsidR="00995A3A" w:rsidRPr="00BE7842">
        <w:rPr>
          <w:rFonts w:asciiTheme="minorHAnsi" w:hAnsiTheme="minorHAnsi" w:cs="Arial"/>
          <w:sz w:val="22"/>
          <w:szCs w:val="22"/>
        </w:rPr>
        <w:t>FSCF</w:t>
      </w:r>
      <w:r w:rsidR="00A23DF6" w:rsidRPr="00BE7842">
        <w:rPr>
          <w:rFonts w:asciiTheme="minorHAnsi" w:hAnsiTheme="minorHAnsi" w:cs="Arial"/>
          <w:sz w:val="22"/>
          <w:szCs w:val="22"/>
        </w:rPr>
        <w:t xml:space="preserve">.  Funding of capacity building </w:t>
      </w:r>
      <w:r w:rsidRPr="00BE7842">
        <w:rPr>
          <w:rFonts w:asciiTheme="minorHAnsi" w:hAnsiTheme="minorHAnsi" w:cs="Arial"/>
          <w:sz w:val="22"/>
          <w:szCs w:val="22"/>
        </w:rPr>
        <w:t>activities should be sought by member e</w:t>
      </w:r>
      <w:r w:rsidR="00A23DF6" w:rsidRPr="00BE7842">
        <w:rPr>
          <w:rFonts w:asciiTheme="minorHAnsi" w:hAnsiTheme="minorHAnsi" w:cs="Arial"/>
          <w:sz w:val="22"/>
          <w:szCs w:val="22"/>
        </w:rPr>
        <w:t xml:space="preserve">conomies from normal APEC funding rounds or other domestic and international funding programs.  </w:t>
      </w:r>
    </w:p>
    <w:p w:rsidR="00BD0270" w:rsidRPr="00BE7842" w:rsidRDefault="00315F1A" w:rsidP="00E65BAB">
      <w:pPr>
        <w:numPr>
          <w:ilvl w:val="1"/>
          <w:numId w:val="1"/>
        </w:numPr>
        <w:spacing w:before="240"/>
        <w:jc w:val="both"/>
        <w:rPr>
          <w:rFonts w:asciiTheme="minorHAnsi" w:hAnsiTheme="minorHAnsi" w:cs="Arial"/>
          <w:sz w:val="22"/>
          <w:szCs w:val="22"/>
        </w:rPr>
      </w:pPr>
      <w:r w:rsidRPr="00BE7842">
        <w:rPr>
          <w:rFonts w:asciiTheme="minorHAnsi" w:hAnsiTheme="minorHAnsi" w:cs="Arial"/>
          <w:sz w:val="22"/>
          <w:szCs w:val="22"/>
        </w:rPr>
        <w:t xml:space="preserve">FSCF members will participate in </w:t>
      </w:r>
      <w:r w:rsidR="00D461D7" w:rsidRPr="00BE7842">
        <w:rPr>
          <w:rFonts w:asciiTheme="minorHAnsi" w:hAnsiTheme="minorHAnsi" w:cs="Arial"/>
          <w:sz w:val="22"/>
          <w:szCs w:val="22"/>
        </w:rPr>
        <w:t xml:space="preserve">the </w:t>
      </w:r>
      <w:r w:rsidR="0077540C" w:rsidRPr="00BE7842">
        <w:rPr>
          <w:rFonts w:asciiTheme="minorHAnsi" w:hAnsiTheme="minorHAnsi" w:cs="Arial"/>
          <w:sz w:val="22"/>
          <w:szCs w:val="22"/>
        </w:rPr>
        <w:t>FSCF Network and the FSCF PTIN Network</w:t>
      </w:r>
      <w:r w:rsidRPr="00BE7842">
        <w:rPr>
          <w:rFonts w:asciiTheme="minorHAnsi" w:hAnsiTheme="minorHAnsi" w:cs="Arial"/>
          <w:sz w:val="22"/>
          <w:szCs w:val="22"/>
        </w:rPr>
        <w:t xml:space="preserve"> to share information on capacity building activities, and other food safety related matters, coordinated by the APEC FSCF</w:t>
      </w:r>
      <w:r w:rsidR="0077540C" w:rsidRPr="00BE7842">
        <w:rPr>
          <w:rFonts w:asciiTheme="minorHAnsi" w:hAnsiTheme="minorHAnsi" w:cs="Arial"/>
          <w:sz w:val="22"/>
          <w:szCs w:val="22"/>
        </w:rPr>
        <w:t xml:space="preserve"> Secretariat and the FSCF</w:t>
      </w:r>
      <w:r w:rsidRPr="00BE7842">
        <w:rPr>
          <w:rFonts w:asciiTheme="minorHAnsi" w:hAnsiTheme="minorHAnsi" w:cs="Arial"/>
          <w:sz w:val="22"/>
          <w:szCs w:val="22"/>
        </w:rPr>
        <w:t xml:space="preserve"> PTIN Steering Group</w:t>
      </w:r>
      <w:r w:rsidR="00EC0583" w:rsidRPr="00BE7842">
        <w:rPr>
          <w:rFonts w:asciiTheme="minorHAnsi" w:hAnsiTheme="minorHAnsi" w:cs="Arial"/>
          <w:sz w:val="22"/>
          <w:szCs w:val="22"/>
        </w:rPr>
        <w:t>, as appropriate</w:t>
      </w:r>
      <w:r w:rsidRPr="00BE7842">
        <w:rPr>
          <w:rFonts w:asciiTheme="minorHAnsi" w:hAnsiTheme="minorHAnsi" w:cs="Arial"/>
          <w:sz w:val="22"/>
          <w:szCs w:val="22"/>
        </w:rPr>
        <w:t>.</w:t>
      </w:r>
    </w:p>
    <w:p w:rsidR="007E7577" w:rsidRPr="00BE7842" w:rsidRDefault="007E7577" w:rsidP="00E65BAB">
      <w:pPr>
        <w:numPr>
          <w:ilvl w:val="1"/>
          <w:numId w:val="1"/>
        </w:numPr>
        <w:spacing w:before="240"/>
        <w:jc w:val="both"/>
        <w:rPr>
          <w:rFonts w:asciiTheme="minorHAnsi" w:hAnsiTheme="minorHAnsi" w:cs="Arial"/>
          <w:sz w:val="22"/>
          <w:szCs w:val="22"/>
        </w:rPr>
      </w:pPr>
      <w:r w:rsidRPr="00BE7842">
        <w:rPr>
          <w:rFonts w:asciiTheme="minorHAnsi" w:hAnsiTheme="minorHAnsi" w:cs="Arial"/>
          <w:sz w:val="22"/>
          <w:szCs w:val="22"/>
        </w:rPr>
        <w:t>To advance capacity building achievements, the FSCF will encourage opportun</w:t>
      </w:r>
      <w:r w:rsidR="00DC2A5D" w:rsidRPr="00BE7842">
        <w:rPr>
          <w:rFonts w:asciiTheme="minorHAnsi" w:hAnsiTheme="minorHAnsi" w:cs="Arial"/>
          <w:sz w:val="22"/>
          <w:szCs w:val="22"/>
        </w:rPr>
        <w:t>ities for food safety regulatory</w:t>
      </w:r>
      <w:r w:rsidRPr="00BE7842">
        <w:rPr>
          <w:rFonts w:asciiTheme="minorHAnsi" w:hAnsiTheme="minorHAnsi" w:cs="Arial"/>
          <w:sz w:val="22"/>
          <w:szCs w:val="22"/>
        </w:rPr>
        <w:t xml:space="preserve"> cooperation, w</w:t>
      </w:r>
      <w:r w:rsidR="009810B1" w:rsidRPr="00BE7842">
        <w:rPr>
          <w:rFonts w:asciiTheme="minorHAnsi" w:hAnsiTheme="minorHAnsi" w:cs="Arial"/>
          <w:sz w:val="22"/>
          <w:szCs w:val="22"/>
        </w:rPr>
        <w:t>h</w:t>
      </w:r>
      <w:r w:rsidRPr="00BE7842">
        <w:rPr>
          <w:rFonts w:asciiTheme="minorHAnsi" w:hAnsiTheme="minorHAnsi" w:cs="Arial"/>
          <w:sz w:val="22"/>
          <w:szCs w:val="22"/>
        </w:rPr>
        <w:t>ere appropriate.</w:t>
      </w:r>
    </w:p>
    <w:p w:rsidR="00D461D7" w:rsidRPr="00BE7842" w:rsidRDefault="00D461D7" w:rsidP="00D461D7">
      <w:pPr>
        <w:numPr>
          <w:ilvl w:val="1"/>
          <w:numId w:val="1"/>
        </w:numPr>
        <w:spacing w:before="240"/>
        <w:jc w:val="both"/>
        <w:rPr>
          <w:rFonts w:asciiTheme="minorHAnsi" w:hAnsiTheme="minorHAnsi" w:cs="Arial"/>
          <w:sz w:val="22"/>
          <w:szCs w:val="22"/>
        </w:rPr>
      </w:pPr>
      <w:r w:rsidRPr="00BE7842">
        <w:rPr>
          <w:rFonts w:asciiTheme="minorHAnsi" w:hAnsiTheme="minorHAnsi" w:cs="Arial"/>
          <w:sz w:val="22"/>
          <w:szCs w:val="22"/>
        </w:rPr>
        <w:t xml:space="preserve">The FSCF will invite input to its activities, where appropriate, from relevant APEC Sub-Committees and fora as well as the APEC Business Advisory Council. </w:t>
      </w:r>
    </w:p>
    <w:p w:rsidR="00D62684" w:rsidRPr="00BE7842" w:rsidRDefault="00D62684" w:rsidP="00E65BAB">
      <w:pPr>
        <w:numPr>
          <w:ilvl w:val="1"/>
          <w:numId w:val="1"/>
        </w:numPr>
        <w:spacing w:before="240"/>
        <w:jc w:val="both"/>
        <w:rPr>
          <w:rFonts w:asciiTheme="minorHAnsi" w:hAnsiTheme="minorHAnsi" w:cs="Arial"/>
          <w:sz w:val="22"/>
          <w:szCs w:val="22"/>
        </w:rPr>
      </w:pPr>
      <w:r w:rsidRPr="00BE7842">
        <w:rPr>
          <w:rFonts w:asciiTheme="minorHAnsi" w:hAnsiTheme="minorHAnsi" w:cs="Arial"/>
          <w:sz w:val="22"/>
          <w:szCs w:val="22"/>
        </w:rPr>
        <w:t xml:space="preserve">The FSCF will </w:t>
      </w:r>
      <w:r w:rsidR="00907C25" w:rsidRPr="00BE7842">
        <w:rPr>
          <w:rFonts w:asciiTheme="minorHAnsi" w:hAnsiTheme="minorHAnsi" w:cs="Arial"/>
          <w:sz w:val="22"/>
          <w:szCs w:val="22"/>
        </w:rPr>
        <w:t>report its involvement in food safety capacity building</w:t>
      </w:r>
      <w:r w:rsidR="007E7577" w:rsidRPr="00BE7842">
        <w:rPr>
          <w:rFonts w:asciiTheme="minorHAnsi" w:hAnsiTheme="minorHAnsi" w:cs="Arial"/>
          <w:sz w:val="22"/>
          <w:szCs w:val="22"/>
        </w:rPr>
        <w:t>, and other activities</w:t>
      </w:r>
      <w:r w:rsidR="00907C25" w:rsidRPr="00BE7842">
        <w:rPr>
          <w:rFonts w:asciiTheme="minorHAnsi" w:hAnsiTheme="minorHAnsi" w:cs="Arial"/>
          <w:sz w:val="22"/>
          <w:szCs w:val="22"/>
        </w:rPr>
        <w:t>,</w:t>
      </w:r>
      <w:r w:rsidR="007E7577" w:rsidRPr="00BE7842">
        <w:rPr>
          <w:rFonts w:asciiTheme="minorHAnsi" w:hAnsiTheme="minorHAnsi" w:cs="Arial"/>
          <w:sz w:val="22"/>
          <w:szCs w:val="22"/>
        </w:rPr>
        <w:t xml:space="preserve"> </w:t>
      </w:r>
      <w:r w:rsidR="00907C25" w:rsidRPr="00BE7842">
        <w:rPr>
          <w:rFonts w:asciiTheme="minorHAnsi" w:hAnsiTheme="minorHAnsi" w:cs="Arial"/>
          <w:sz w:val="22"/>
          <w:szCs w:val="22"/>
        </w:rPr>
        <w:t>as requested by APEC.</w:t>
      </w:r>
    </w:p>
    <w:p w:rsidR="00E3064F" w:rsidRPr="00BE7842" w:rsidRDefault="00907C25" w:rsidP="00AB2E10">
      <w:pPr>
        <w:tabs>
          <w:tab w:val="left" w:pos="993"/>
        </w:tabs>
        <w:spacing w:before="240"/>
        <w:ind w:left="993" w:hanging="426"/>
        <w:jc w:val="both"/>
        <w:rPr>
          <w:rFonts w:asciiTheme="minorHAnsi" w:hAnsiTheme="minorHAnsi" w:cs="Arial"/>
          <w:sz w:val="22"/>
          <w:szCs w:val="22"/>
        </w:rPr>
      </w:pPr>
      <w:r w:rsidRPr="00BE7842">
        <w:rPr>
          <w:rFonts w:asciiTheme="minorHAnsi" w:hAnsiTheme="minorHAnsi" w:cs="Arial"/>
          <w:sz w:val="22"/>
          <w:szCs w:val="22"/>
        </w:rPr>
        <w:t>5.</w:t>
      </w:r>
      <w:r w:rsidR="00E3064F" w:rsidRPr="00BE7842">
        <w:rPr>
          <w:rFonts w:asciiTheme="minorHAnsi" w:hAnsiTheme="minorHAnsi" w:cs="Arial"/>
          <w:sz w:val="22"/>
          <w:szCs w:val="22"/>
        </w:rPr>
        <w:t>1</w:t>
      </w:r>
      <w:r w:rsidR="002408FF" w:rsidRPr="00BE7842">
        <w:rPr>
          <w:rFonts w:asciiTheme="minorHAnsi" w:hAnsiTheme="minorHAnsi" w:cs="Arial"/>
          <w:sz w:val="22"/>
          <w:szCs w:val="22"/>
        </w:rPr>
        <w:t>0</w:t>
      </w:r>
      <w:r w:rsidRPr="00BE7842">
        <w:rPr>
          <w:rFonts w:asciiTheme="minorHAnsi" w:hAnsiTheme="minorHAnsi" w:cs="Arial"/>
          <w:sz w:val="22"/>
          <w:szCs w:val="22"/>
        </w:rPr>
        <w:t>The FSCF will carry out other activities as necessary, as requested by the SCSC.</w:t>
      </w:r>
    </w:p>
    <w:p w:rsidR="00A23DF6" w:rsidRPr="00BE7842" w:rsidRDefault="00A23DF6" w:rsidP="00EE7B7D">
      <w:pPr>
        <w:numPr>
          <w:ilvl w:val="0"/>
          <w:numId w:val="8"/>
        </w:numPr>
        <w:spacing w:before="360"/>
        <w:jc w:val="both"/>
        <w:rPr>
          <w:rFonts w:asciiTheme="minorHAnsi" w:hAnsiTheme="minorHAnsi" w:cs="Arial"/>
          <w:sz w:val="22"/>
          <w:szCs w:val="22"/>
          <w:u w:val="single"/>
        </w:rPr>
      </w:pPr>
      <w:r w:rsidRPr="00BE7842">
        <w:rPr>
          <w:rFonts w:asciiTheme="minorHAnsi" w:hAnsiTheme="minorHAnsi" w:cs="Arial"/>
          <w:sz w:val="22"/>
          <w:szCs w:val="22"/>
          <w:u w:val="single"/>
        </w:rPr>
        <w:lastRenderedPageBreak/>
        <w:t>Structure and Operation</w:t>
      </w:r>
    </w:p>
    <w:p w:rsidR="00A23DF6" w:rsidRPr="00BE7842" w:rsidRDefault="002C243B" w:rsidP="00085E7C">
      <w:pPr>
        <w:numPr>
          <w:ilvl w:val="1"/>
          <w:numId w:val="8"/>
        </w:numPr>
        <w:tabs>
          <w:tab w:val="num" w:pos="993"/>
          <w:tab w:val="left" w:pos="1276"/>
        </w:tabs>
        <w:spacing w:before="240"/>
        <w:ind w:left="992" w:hanging="425"/>
        <w:jc w:val="both"/>
        <w:rPr>
          <w:rFonts w:asciiTheme="minorHAnsi" w:hAnsiTheme="minorHAnsi" w:cs="Arial"/>
          <w:sz w:val="22"/>
          <w:szCs w:val="22"/>
        </w:rPr>
      </w:pPr>
      <w:r w:rsidRPr="00BE7842">
        <w:rPr>
          <w:rFonts w:asciiTheme="minorHAnsi" w:hAnsiTheme="minorHAnsi" w:cs="Arial"/>
          <w:sz w:val="22"/>
          <w:szCs w:val="22"/>
        </w:rPr>
        <w:t>Co-chaired by Australia and China, the</w:t>
      </w:r>
      <w:r w:rsidR="00A23DF6" w:rsidRPr="00BE7842">
        <w:rPr>
          <w:rFonts w:asciiTheme="minorHAnsi" w:hAnsiTheme="minorHAnsi" w:cs="Arial"/>
          <w:sz w:val="22"/>
          <w:szCs w:val="22"/>
        </w:rPr>
        <w:t xml:space="preserve"> </w:t>
      </w:r>
      <w:r w:rsidR="00995A3A" w:rsidRPr="00BE7842">
        <w:rPr>
          <w:rFonts w:asciiTheme="minorHAnsi" w:hAnsiTheme="minorHAnsi" w:cs="Arial"/>
          <w:sz w:val="22"/>
          <w:szCs w:val="22"/>
        </w:rPr>
        <w:t xml:space="preserve">FSCF </w:t>
      </w:r>
      <w:r w:rsidR="00A23DF6" w:rsidRPr="00BE7842">
        <w:rPr>
          <w:rFonts w:asciiTheme="minorHAnsi" w:hAnsiTheme="minorHAnsi" w:cs="Arial"/>
          <w:sz w:val="22"/>
          <w:szCs w:val="22"/>
        </w:rPr>
        <w:t>will consist of senior official</w:t>
      </w:r>
      <w:r w:rsidR="0077540C" w:rsidRPr="00BE7842">
        <w:rPr>
          <w:rFonts w:asciiTheme="minorHAnsi" w:hAnsiTheme="minorHAnsi" w:cs="Arial"/>
          <w:sz w:val="22"/>
          <w:szCs w:val="22"/>
        </w:rPr>
        <w:t>s</w:t>
      </w:r>
      <w:r w:rsidR="00A23DF6" w:rsidRPr="00BE7842">
        <w:rPr>
          <w:rFonts w:asciiTheme="minorHAnsi" w:hAnsiTheme="minorHAnsi" w:cs="Arial"/>
          <w:sz w:val="22"/>
          <w:szCs w:val="22"/>
        </w:rPr>
        <w:t xml:space="preserve"> (e.g. Chief Executive Officer equivalent) </w:t>
      </w:r>
      <w:r w:rsidR="00ED3769" w:rsidRPr="00BE7842">
        <w:rPr>
          <w:rFonts w:asciiTheme="minorHAnsi" w:hAnsiTheme="minorHAnsi" w:cs="Arial"/>
          <w:sz w:val="22"/>
          <w:szCs w:val="22"/>
        </w:rPr>
        <w:t xml:space="preserve">food safety regulatory </w:t>
      </w:r>
      <w:r w:rsidR="00A23DF6" w:rsidRPr="00BE7842">
        <w:rPr>
          <w:rFonts w:asciiTheme="minorHAnsi" w:hAnsiTheme="minorHAnsi" w:cs="Arial"/>
          <w:sz w:val="22"/>
          <w:szCs w:val="22"/>
        </w:rPr>
        <w:t>representativ</w:t>
      </w:r>
      <w:r w:rsidR="000A0DA0" w:rsidRPr="00BE7842">
        <w:rPr>
          <w:rFonts w:asciiTheme="minorHAnsi" w:hAnsiTheme="minorHAnsi" w:cs="Arial"/>
          <w:sz w:val="22"/>
          <w:szCs w:val="22"/>
        </w:rPr>
        <w:t xml:space="preserve">es </w:t>
      </w:r>
      <w:r w:rsidR="00ED3769" w:rsidRPr="00BE7842">
        <w:rPr>
          <w:rFonts w:asciiTheme="minorHAnsi" w:hAnsiTheme="minorHAnsi" w:cs="Arial"/>
          <w:sz w:val="22"/>
          <w:szCs w:val="22"/>
        </w:rPr>
        <w:t xml:space="preserve">from </w:t>
      </w:r>
      <w:r w:rsidR="000A0DA0" w:rsidRPr="00BE7842">
        <w:rPr>
          <w:rFonts w:asciiTheme="minorHAnsi" w:hAnsiTheme="minorHAnsi" w:cs="Arial"/>
          <w:sz w:val="22"/>
          <w:szCs w:val="22"/>
        </w:rPr>
        <w:t>each APEC member economies</w:t>
      </w:r>
      <w:r w:rsidR="00A23DF6" w:rsidRPr="00BE7842">
        <w:rPr>
          <w:rFonts w:asciiTheme="minorHAnsi" w:hAnsiTheme="minorHAnsi" w:cs="Arial"/>
          <w:sz w:val="22"/>
          <w:szCs w:val="22"/>
        </w:rPr>
        <w:t>, with other trade and economic representatives, as appropriate.</w:t>
      </w:r>
    </w:p>
    <w:p w:rsidR="009810B1" w:rsidRPr="00BE7842" w:rsidRDefault="009810B1" w:rsidP="002408FF">
      <w:pPr>
        <w:numPr>
          <w:ilvl w:val="1"/>
          <w:numId w:val="8"/>
        </w:numPr>
        <w:tabs>
          <w:tab w:val="clear" w:pos="1142"/>
        </w:tabs>
        <w:spacing w:before="240"/>
        <w:ind w:left="993" w:hanging="426"/>
        <w:jc w:val="both"/>
        <w:rPr>
          <w:rFonts w:asciiTheme="minorHAnsi" w:hAnsiTheme="minorHAnsi" w:cs="Arial"/>
          <w:sz w:val="22"/>
          <w:szCs w:val="22"/>
        </w:rPr>
      </w:pPr>
      <w:r w:rsidRPr="00BE7842">
        <w:rPr>
          <w:rFonts w:asciiTheme="minorHAnsi" w:hAnsiTheme="minorHAnsi" w:cs="Arial"/>
          <w:sz w:val="22"/>
          <w:szCs w:val="22"/>
        </w:rPr>
        <w:t xml:space="preserve">The FSCF will establish and maintain </w:t>
      </w:r>
      <w:r w:rsidR="00EC0583" w:rsidRPr="00BE7842">
        <w:rPr>
          <w:rFonts w:asciiTheme="minorHAnsi" w:hAnsiTheme="minorHAnsi" w:cs="Arial"/>
          <w:sz w:val="22"/>
          <w:szCs w:val="22"/>
        </w:rPr>
        <w:t xml:space="preserve">informal </w:t>
      </w:r>
      <w:r w:rsidRPr="00BE7842">
        <w:rPr>
          <w:rFonts w:asciiTheme="minorHAnsi" w:hAnsiTheme="minorHAnsi" w:cs="Arial"/>
          <w:sz w:val="22"/>
          <w:szCs w:val="22"/>
        </w:rPr>
        <w:t>expert networks, as required</w:t>
      </w:r>
      <w:r w:rsidRPr="001C4DF8">
        <w:rPr>
          <w:rFonts w:asciiTheme="minorHAnsi" w:hAnsiTheme="minorHAnsi" w:cs="Arial"/>
          <w:sz w:val="22"/>
          <w:szCs w:val="22"/>
        </w:rPr>
        <w:t xml:space="preserve">, </w:t>
      </w:r>
      <w:r w:rsidR="00820B08" w:rsidRPr="001C4DF8">
        <w:rPr>
          <w:rFonts w:asciiTheme="minorHAnsi" w:hAnsiTheme="minorHAnsi" w:cs="Arial" w:hint="eastAsia"/>
          <w:sz w:val="22"/>
          <w:szCs w:val="22"/>
          <w:lang w:eastAsia="zh-CN"/>
        </w:rPr>
        <w:t>to promote information sharing</w:t>
      </w:r>
      <w:r w:rsidR="00820B08" w:rsidRPr="001C4DF8">
        <w:rPr>
          <w:rFonts w:asciiTheme="minorHAnsi" w:hAnsiTheme="minorHAnsi" w:cs="Arial"/>
          <w:sz w:val="22"/>
          <w:szCs w:val="22"/>
        </w:rPr>
        <w:t xml:space="preserve">, </w:t>
      </w:r>
      <w:r w:rsidRPr="001C4DF8">
        <w:rPr>
          <w:rFonts w:asciiTheme="minorHAnsi" w:hAnsiTheme="minorHAnsi" w:cs="Arial"/>
          <w:sz w:val="22"/>
          <w:szCs w:val="22"/>
        </w:rPr>
        <w:t>with representatives</w:t>
      </w:r>
      <w:r w:rsidR="00911461" w:rsidRPr="001C4DF8">
        <w:rPr>
          <w:rFonts w:asciiTheme="minorHAnsi" w:hAnsiTheme="minorHAnsi" w:cs="Arial" w:hint="eastAsia"/>
          <w:sz w:val="22"/>
          <w:szCs w:val="22"/>
          <w:lang w:eastAsia="zh-CN"/>
        </w:rPr>
        <w:t xml:space="preserve"> </w:t>
      </w:r>
      <w:r w:rsidRPr="001C4DF8">
        <w:rPr>
          <w:rFonts w:asciiTheme="minorHAnsi" w:hAnsiTheme="minorHAnsi" w:cs="Arial"/>
          <w:sz w:val="22"/>
          <w:szCs w:val="22"/>
        </w:rPr>
        <w:t>from each APEC member</w:t>
      </w:r>
      <w:r w:rsidRPr="00BE7842">
        <w:rPr>
          <w:rFonts w:asciiTheme="minorHAnsi" w:hAnsiTheme="minorHAnsi" w:cs="Arial"/>
          <w:sz w:val="22"/>
          <w:szCs w:val="22"/>
        </w:rPr>
        <w:t xml:space="preserve"> economy</w:t>
      </w:r>
      <w:r w:rsidR="00820B08">
        <w:rPr>
          <w:rFonts w:asciiTheme="minorHAnsi" w:hAnsiTheme="minorHAnsi" w:cs="Arial"/>
          <w:sz w:val="22"/>
          <w:szCs w:val="22"/>
        </w:rPr>
        <w:t>. Representatives will have</w:t>
      </w:r>
      <w:r w:rsidRPr="00BE7842">
        <w:rPr>
          <w:rFonts w:asciiTheme="minorHAnsi" w:hAnsiTheme="minorHAnsi" w:cs="Arial"/>
          <w:sz w:val="22"/>
          <w:szCs w:val="22"/>
        </w:rPr>
        <w:t xml:space="preserve"> specific expertise</w:t>
      </w:r>
      <w:r w:rsidR="00FB0743">
        <w:rPr>
          <w:rFonts w:asciiTheme="minorHAnsi" w:hAnsiTheme="minorHAnsi" w:cs="Arial" w:hint="eastAsia"/>
          <w:sz w:val="22"/>
          <w:szCs w:val="22"/>
          <w:lang w:eastAsia="zh-CN"/>
        </w:rPr>
        <w:t xml:space="preserve">, </w:t>
      </w:r>
      <w:r w:rsidRPr="00BE7842">
        <w:rPr>
          <w:rFonts w:asciiTheme="minorHAnsi" w:hAnsiTheme="minorHAnsi" w:cs="Arial"/>
          <w:sz w:val="22"/>
          <w:szCs w:val="22"/>
        </w:rPr>
        <w:t>for example in risk assessment or food safety incident management.</w:t>
      </w:r>
      <w:r w:rsidR="00EE7B7D" w:rsidRPr="00BE7842">
        <w:rPr>
          <w:rFonts w:asciiTheme="minorHAnsi" w:hAnsiTheme="minorHAnsi" w:cs="Arial"/>
          <w:color w:val="000000"/>
          <w:sz w:val="22"/>
          <w:szCs w:val="22"/>
        </w:rPr>
        <w:t xml:space="preserve"> Any networks that are established will not duplicate work being undertaken by existing networks.</w:t>
      </w:r>
    </w:p>
    <w:p w:rsidR="00B07042" w:rsidRPr="00BE7842" w:rsidRDefault="00B07042" w:rsidP="00E65BAB">
      <w:pPr>
        <w:numPr>
          <w:ilvl w:val="1"/>
          <w:numId w:val="8"/>
        </w:numPr>
        <w:tabs>
          <w:tab w:val="clear" w:pos="1142"/>
        </w:tabs>
        <w:spacing w:before="240"/>
        <w:ind w:left="993" w:hanging="426"/>
        <w:jc w:val="both"/>
        <w:rPr>
          <w:rFonts w:asciiTheme="minorHAnsi" w:hAnsiTheme="minorHAnsi" w:cs="Arial"/>
          <w:sz w:val="22"/>
          <w:szCs w:val="22"/>
        </w:rPr>
      </w:pPr>
      <w:r w:rsidRPr="00BE7842">
        <w:rPr>
          <w:rFonts w:asciiTheme="minorHAnsi" w:hAnsiTheme="minorHAnsi" w:cs="Arial"/>
          <w:sz w:val="22"/>
          <w:szCs w:val="22"/>
        </w:rPr>
        <w:t>The FSCF</w:t>
      </w:r>
      <w:r w:rsidR="00593BD2" w:rsidRPr="00BE7842">
        <w:rPr>
          <w:rFonts w:asciiTheme="minorHAnsi" w:hAnsiTheme="minorHAnsi" w:cs="Arial"/>
          <w:sz w:val="22"/>
          <w:szCs w:val="22"/>
        </w:rPr>
        <w:t xml:space="preserve"> will make recommendations to the SCSC, based on agreed priorities, in its consideration of funding proposals. </w:t>
      </w:r>
    </w:p>
    <w:p w:rsidR="003E2B62" w:rsidRPr="00BE7842" w:rsidRDefault="004073A0" w:rsidP="00E65BAB">
      <w:pPr>
        <w:numPr>
          <w:ilvl w:val="1"/>
          <w:numId w:val="8"/>
        </w:numPr>
        <w:tabs>
          <w:tab w:val="clear" w:pos="1142"/>
        </w:tabs>
        <w:spacing w:before="240"/>
        <w:ind w:left="993" w:hanging="426"/>
        <w:jc w:val="both"/>
        <w:rPr>
          <w:rFonts w:asciiTheme="minorHAnsi" w:hAnsiTheme="minorHAnsi" w:cs="Arial"/>
          <w:sz w:val="22"/>
          <w:szCs w:val="22"/>
        </w:rPr>
      </w:pPr>
      <w:r w:rsidRPr="00BE7842">
        <w:rPr>
          <w:rFonts w:asciiTheme="minorHAnsi" w:hAnsiTheme="minorHAnsi" w:cs="Arial"/>
          <w:sz w:val="22"/>
          <w:szCs w:val="22"/>
        </w:rPr>
        <w:t>The FSCF will meet again in 2013</w:t>
      </w:r>
      <w:r w:rsidR="003E2B62" w:rsidRPr="00BE7842">
        <w:rPr>
          <w:rFonts w:asciiTheme="minorHAnsi" w:hAnsiTheme="minorHAnsi" w:cs="Arial"/>
          <w:sz w:val="22"/>
          <w:szCs w:val="22"/>
        </w:rPr>
        <w:t xml:space="preserve"> in the margins of SCSC2, to review and evaluate progress and to consider its forward work plan</w:t>
      </w:r>
      <w:r w:rsidRPr="00BE7842">
        <w:rPr>
          <w:rFonts w:asciiTheme="minorHAnsi" w:hAnsiTheme="minorHAnsi" w:cs="Arial"/>
          <w:sz w:val="22"/>
          <w:szCs w:val="22"/>
        </w:rPr>
        <w:t>, to 2015</w:t>
      </w:r>
      <w:r w:rsidR="003E2B62" w:rsidRPr="00BE7842">
        <w:rPr>
          <w:rFonts w:asciiTheme="minorHAnsi" w:hAnsiTheme="minorHAnsi" w:cs="Arial"/>
          <w:sz w:val="22"/>
          <w:szCs w:val="22"/>
        </w:rPr>
        <w:t xml:space="preserve">. </w:t>
      </w:r>
    </w:p>
    <w:p w:rsidR="00A23DF6" w:rsidRPr="00BE7842" w:rsidRDefault="00A23DF6" w:rsidP="00085E7C">
      <w:pPr>
        <w:keepNext/>
        <w:numPr>
          <w:ilvl w:val="0"/>
          <w:numId w:val="8"/>
        </w:numPr>
        <w:tabs>
          <w:tab w:val="left" w:pos="993"/>
          <w:tab w:val="left" w:pos="1276"/>
        </w:tabs>
        <w:spacing w:before="240"/>
        <w:ind w:left="357" w:hanging="227"/>
        <w:jc w:val="both"/>
        <w:rPr>
          <w:rFonts w:asciiTheme="minorHAnsi" w:hAnsiTheme="minorHAnsi" w:cs="Arial"/>
          <w:sz w:val="22"/>
          <w:szCs w:val="22"/>
        </w:rPr>
      </w:pPr>
      <w:r w:rsidRPr="00BE7842">
        <w:rPr>
          <w:rFonts w:asciiTheme="minorHAnsi" w:hAnsiTheme="minorHAnsi" w:cs="Arial"/>
          <w:sz w:val="22"/>
          <w:szCs w:val="22"/>
          <w:u w:val="single"/>
        </w:rPr>
        <w:t>Coordination</w:t>
      </w:r>
    </w:p>
    <w:p w:rsidR="004A6BBD" w:rsidRPr="00BE7842" w:rsidRDefault="00BD4560" w:rsidP="00085E7C">
      <w:pPr>
        <w:numPr>
          <w:ilvl w:val="1"/>
          <w:numId w:val="8"/>
        </w:numPr>
        <w:tabs>
          <w:tab w:val="clear" w:pos="1142"/>
          <w:tab w:val="left" w:pos="1276"/>
        </w:tabs>
        <w:spacing w:before="240"/>
        <w:ind w:left="993" w:hanging="426"/>
        <w:jc w:val="both"/>
        <w:rPr>
          <w:rFonts w:asciiTheme="minorHAnsi" w:hAnsiTheme="minorHAnsi" w:cs="Arial"/>
          <w:sz w:val="22"/>
          <w:szCs w:val="22"/>
        </w:rPr>
      </w:pPr>
      <w:r w:rsidRPr="00BE7842">
        <w:rPr>
          <w:rFonts w:asciiTheme="minorHAnsi" w:hAnsiTheme="minorHAnsi" w:cs="Arial"/>
          <w:sz w:val="22"/>
          <w:szCs w:val="22"/>
        </w:rPr>
        <w:t>The FSCF will work closely with other APEC fora and related groups w</w:t>
      </w:r>
      <w:r w:rsidR="00670854" w:rsidRPr="00BE7842">
        <w:rPr>
          <w:rFonts w:asciiTheme="minorHAnsi" w:hAnsiTheme="minorHAnsi" w:cs="Arial"/>
          <w:sz w:val="22"/>
          <w:szCs w:val="22"/>
        </w:rPr>
        <w:t>ith an interest in food safety.</w:t>
      </w:r>
    </w:p>
    <w:sectPr w:rsidR="004A6BBD" w:rsidRPr="00BE7842" w:rsidSect="00BC774B">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510" w:left="1418" w:header="709"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491" w:rsidRDefault="00946491">
      <w:r>
        <w:separator/>
      </w:r>
    </w:p>
  </w:endnote>
  <w:endnote w:type="continuationSeparator" w:id="0">
    <w:p w:rsidR="00946491" w:rsidRDefault="00946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
    <w:altName w:val="MS Mincho"/>
    <w:panose1 w:val="00000000000000000000"/>
    <w:charset w:val="80"/>
    <w:family w:val="roman"/>
    <w:notTrueType/>
    <w:pitch w:val="fixed"/>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60" w:rsidRDefault="00902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8189"/>
      <w:docPartObj>
        <w:docPartGallery w:val="Page Numbers (Bottom of Page)"/>
        <w:docPartUnique/>
      </w:docPartObj>
    </w:sdtPr>
    <w:sdtContent>
      <w:p w:rsidR="00946491" w:rsidRDefault="000F33D1">
        <w:pPr>
          <w:pStyle w:val="Footer"/>
          <w:jc w:val="right"/>
        </w:pPr>
        <w:r>
          <w:fldChar w:fldCharType="begin"/>
        </w:r>
        <w:r w:rsidR="00946491">
          <w:instrText xml:space="preserve"> PAGE   \* MERGEFORMAT </w:instrText>
        </w:r>
        <w:r>
          <w:fldChar w:fldCharType="separate"/>
        </w:r>
        <w:r w:rsidR="00902860">
          <w:rPr>
            <w:noProof/>
          </w:rPr>
          <w:t>2</w:t>
        </w:r>
        <w:r>
          <w:fldChar w:fldCharType="end"/>
        </w:r>
      </w:p>
    </w:sdtContent>
  </w:sdt>
  <w:p w:rsidR="00946491" w:rsidRDefault="009464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8188"/>
      <w:docPartObj>
        <w:docPartGallery w:val="Page Numbers (Bottom of Page)"/>
        <w:docPartUnique/>
      </w:docPartObj>
    </w:sdtPr>
    <w:sdtContent>
      <w:p w:rsidR="00946491" w:rsidRDefault="000F33D1">
        <w:pPr>
          <w:pStyle w:val="Footer"/>
          <w:jc w:val="right"/>
        </w:pPr>
        <w:r>
          <w:fldChar w:fldCharType="begin"/>
        </w:r>
        <w:r w:rsidR="00946491">
          <w:instrText xml:space="preserve"> PAGE   \* MERGEFORMAT </w:instrText>
        </w:r>
        <w:r>
          <w:fldChar w:fldCharType="separate"/>
        </w:r>
        <w:r w:rsidR="00902860">
          <w:rPr>
            <w:noProof/>
          </w:rPr>
          <w:t>1</w:t>
        </w:r>
        <w:r>
          <w:fldChar w:fldCharType="end"/>
        </w:r>
      </w:p>
    </w:sdtContent>
  </w:sdt>
  <w:p w:rsidR="00946491" w:rsidRDefault="00946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491" w:rsidRDefault="00946491">
      <w:r>
        <w:separator/>
      </w:r>
    </w:p>
  </w:footnote>
  <w:footnote w:type="continuationSeparator" w:id="0">
    <w:p w:rsidR="00946491" w:rsidRDefault="00946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60" w:rsidRDefault="009028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91" w:rsidRDefault="009464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91" w:rsidRPr="00902860" w:rsidRDefault="00946491" w:rsidP="009028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F58"/>
    <w:multiLevelType w:val="multilevel"/>
    <w:tmpl w:val="9320CD62"/>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C2C6E8D"/>
    <w:multiLevelType w:val="multilevel"/>
    <w:tmpl w:val="C8EC980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E084A37"/>
    <w:multiLevelType w:val="multilevel"/>
    <w:tmpl w:val="E0164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E623DE2"/>
    <w:multiLevelType w:val="hybridMultilevel"/>
    <w:tmpl w:val="9594B2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897B41"/>
    <w:multiLevelType w:val="multilevel"/>
    <w:tmpl w:val="5A52595C"/>
    <w:lvl w:ilvl="0">
      <w:start w:val="6"/>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EF94B5D"/>
    <w:multiLevelType w:val="multilevel"/>
    <w:tmpl w:val="E34452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500577B"/>
    <w:multiLevelType w:val="multilevel"/>
    <w:tmpl w:val="0C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75C9744F"/>
    <w:multiLevelType w:val="multilevel"/>
    <w:tmpl w:val="8984054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4"/>
  </w:num>
  <w:num w:numId="4">
    <w:abstractNumId w:val="7"/>
  </w:num>
  <w:num w:numId="5">
    <w:abstractNumId w:val="0"/>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A23DF6"/>
    <w:rsid w:val="000056CF"/>
    <w:rsid w:val="000555D4"/>
    <w:rsid w:val="00085E7C"/>
    <w:rsid w:val="000929BA"/>
    <w:rsid w:val="000A0DA0"/>
    <w:rsid w:val="000A2241"/>
    <w:rsid w:val="000B2A11"/>
    <w:rsid w:val="000C5783"/>
    <w:rsid w:val="000C5E85"/>
    <w:rsid w:val="000C70D9"/>
    <w:rsid w:val="000D73A7"/>
    <w:rsid w:val="000F012A"/>
    <w:rsid w:val="000F33D1"/>
    <w:rsid w:val="00113B22"/>
    <w:rsid w:val="00131CD7"/>
    <w:rsid w:val="00181424"/>
    <w:rsid w:val="001832FC"/>
    <w:rsid w:val="0019758C"/>
    <w:rsid w:val="001B7AB7"/>
    <w:rsid w:val="001C4DF8"/>
    <w:rsid w:val="001D51F9"/>
    <w:rsid w:val="001D7E13"/>
    <w:rsid w:val="001E4F85"/>
    <w:rsid w:val="001F7EF0"/>
    <w:rsid w:val="00217FCA"/>
    <w:rsid w:val="00222C22"/>
    <w:rsid w:val="00225B1E"/>
    <w:rsid w:val="002408FF"/>
    <w:rsid w:val="00244980"/>
    <w:rsid w:val="00252F84"/>
    <w:rsid w:val="00267DF8"/>
    <w:rsid w:val="002744D3"/>
    <w:rsid w:val="00284C24"/>
    <w:rsid w:val="002B656C"/>
    <w:rsid w:val="002C1FF2"/>
    <w:rsid w:val="002C243B"/>
    <w:rsid w:val="002D147A"/>
    <w:rsid w:val="002E1FEE"/>
    <w:rsid w:val="002E3D8F"/>
    <w:rsid w:val="002F29BA"/>
    <w:rsid w:val="002F7BA7"/>
    <w:rsid w:val="00315F1A"/>
    <w:rsid w:val="00317BFA"/>
    <w:rsid w:val="0032628B"/>
    <w:rsid w:val="00332EC1"/>
    <w:rsid w:val="00371E37"/>
    <w:rsid w:val="00376438"/>
    <w:rsid w:val="0037774B"/>
    <w:rsid w:val="00397D4D"/>
    <w:rsid w:val="003A3637"/>
    <w:rsid w:val="003B6F19"/>
    <w:rsid w:val="003C0F8A"/>
    <w:rsid w:val="003C3D67"/>
    <w:rsid w:val="003D1685"/>
    <w:rsid w:val="003E1346"/>
    <w:rsid w:val="003E2B62"/>
    <w:rsid w:val="003F4072"/>
    <w:rsid w:val="00402FD9"/>
    <w:rsid w:val="004073A0"/>
    <w:rsid w:val="00422751"/>
    <w:rsid w:val="00424B53"/>
    <w:rsid w:val="00447719"/>
    <w:rsid w:val="00476F44"/>
    <w:rsid w:val="00490129"/>
    <w:rsid w:val="00491FB7"/>
    <w:rsid w:val="00492E1C"/>
    <w:rsid w:val="004A1820"/>
    <w:rsid w:val="004A6BBD"/>
    <w:rsid w:val="004B3D12"/>
    <w:rsid w:val="004C6AA3"/>
    <w:rsid w:val="004D17D6"/>
    <w:rsid w:val="004E167F"/>
    <w:rsid w:val="00500DE0"/>
    <w:rsid w:val="00500F4A"/>
    <w:rsid w:val="00503A64"/>
    <w:rsid w:val="00524CE5"/>
    <w:rsid w:val="0055265B"/>
    <w:rsid w:val="00563DC3"/>
    <w:rsid w:val="00566A00"/>
    <w:rsid w:val="005736F9"/>
    <w:rsid w:val="00574B09"/>
    <w:rsid w:val="005803B4"/>
    <w:rsid w:val="00585DB9"/>
    <w:rsid w:val="00593BD2"/>
    <w:rsid w:val="005A5EB4"/>
    <w:rsid w:val="005D305D"/>
    <w:rsid w:val="005E5056"/>
    <w:rsid w:val="00656792"/>
    <w:rsid w:val="00660D08"/>
    <w:rsid w:val="00666CBA"/>
    <w:rsid w:val="00670854"/>
    <w:rsid w:val="00670D5C"/>
    <w:rsid w:val="006847C2"/>
    <w:rsid w:val="00691A65"/>
    <w:rsid w:val="00695677"/>
    <w:rsid w:val="00697037"/>
    <w:rsid w:val="006B732B"/>
    <w:rsid w:val="006C0D20"/>
    <w:rsid w:val="00705CA6"/>
    <w:rsid w:val="00712747"/>
    <w:rsid w:val="007213B4"/>
    <w:rsid w:val="007273D2"/>
    <w:rsid w:val="0074224C"/>
    <w:rsid w:val="007443FA"/>
    <w:rsid w:val="00753560"/>
    <w:rsid w:val="00766CE1"/>
    <w:rsid w:val="0077540C"/>
    <w:rsid w:val="0077784E"/>
    <w:rsid w:val="00787AF4"/>
    <w:rsid w:val="00792EB8"/>
    <w:rsid w:val="007A03A4"/>
    <w:rsid w:val="007C4B58"/>
    <w:rsid w:val="007E589F"/>
    <w:rsid w:val="007E7577"/>
    <w:rsid w:val="007F04D3"/>
    <w:rsid w:val="00800EE1"/>
    <w:rsid w:val="00820B08"/>
    <w:rsid w:val="0082151F"/>
    <w:rsid w:val="00833D55"/>
    <w:rsid w:val="008524D4"/>
    <w:rsid w:val="008C2927"/>
    <w:rsid w:val="008E1B04"/>
    <w:rsid w:val="00901593"/>
    <w:rsid w:val="00902860"/>
    <w:rsid w:val="00907C25"/>
    <w:rsid w:val="009105EA"/>
    <w:rsid w:val="00911461"/>
    <w:rsid w:val="00935F5B"/>
    <w:rsid w:val="00946491"/>
    <w:rsid w:val="00966902"/>
    <w:rsid w:val="0096791C"/>
    <w:rsid w:val="0097174C"/>
    <w:rsid w:val="00974A4A"/>
    <w:rsid w:val="009810B1"/>
    <w:rsid w:val="00995A3A"/>
    <w:rsid w:val="009C5576"/>
    <w:rsid w:val="009D14E7"/>
    <w:rsid w:val="00A23DF6"/>
    <w:rsid w:val="00A2465B"/>
    <w:rsid w:val="00A33979"/>
    <w:rsid w:val="00A46BE9"/>
    <w:rsid w:val="00A80C59"/>
    <w:rsid w:val="00A87091"/>
    <w:rsid w:val="00AA06C5"/>
    <w:rsid w:val="00AA5F84"/>
    <w:rsid w:val="00AB2E10"/>
    <w:rsid w:val="00AD6A4A"/>
    <w:rsid w:val="00AE649F"/>
    <w:rsid w:val="00AF0363"/>
    <w:rsid w:val="00B01300"/>
    <w:rsid w:val="00B03E3E"/>
    <w:rsid w:val="00B07042"/>
    <w:rsid w:val="00B12BFE"/>
    <w:rsid w:val="00B135DE"/>
    <w:rsid w:val="00B25EB8"/>
    <w:rsid w:val="00B3174A"/>
    <w:rsid w:val="00B33D78"/>
    <w:rsid w:val="00B42337"/>
    <w:rsid w:val="00B44ADD"/>
    <w:rsid w:val="00B51739"/>
    <w:rsid w:val="00B52BEF"/>
    <w:rsid w:val="00B86A1A"/>
    <w:rsid w:val="00B87D9D"/>
    <w:rsid w:val="00B95A4A"/>
    <w:rsid w:val="00BA03E3"/>
    <w:rsid w:val="00BA681F"/>
    <w:rsid w:val="00BB1702"/>
    <w:rsid w:val="00BB186F"/>
    <w:rsid w:val="00BC774B"/>
    <w:rsid w:val="00BD0270"/>
    <w:rsid w:val="00BD4560"/>
    <w:rsid w:val="00BE7842"/>
    <w:rsid w:val="00BE79C9"/>
    <w:rsid w:val="00C00292"/>
    <w:rsid w:val="00C003C9"/>
    <w:rsid w:val="00C07A96"/>
    <w:rsid w:val="00C129E7"/>
    <w:rsid w:val="00C12D8B"/>
    <w:rsid w:val="00CA7532"/>
    <w:rsid w:val="00CD761C"/>
    <w:rsid w:val="00CF08E3"/>
    <w:rsid w:val="00CF092B"/>
    <w:rsid w:val="00CF3E02"/>
    <w:rsid w:val="00D03C3B"/>
    <w:rsid w:val="00D461D7"/>
    <w:rsid w:val="00D50AA3"/>
    <w:rsid w:val="00D62684"/>
    <w:rsid w:val="00D93C61"/>
    <w:rsid w:val="00DB45A1"/>
    <w:rsid w:val="00DC1487"/>
    <w:rsid w:val="00DC2A5D"/>
    <w:rsid w:val="00DC45CA"/>
    <w:rsid w:val="00DD6BC1"/>
    <w:rsid w:val="00DF1B07"/>
    <w:rsid w:val="00E04265"/>
    <w:rsid w:val="00E14A8D"/>
    <w:rsid w:val="00E3064F"/>
    <w:rsid w:val="00E335DB"/>
    <w:rsid w:val="00E34A1A"/>
    <w:rsid w:val="00E43415"/>
    <w:rsid w:val="00E4625D"/>
    <w:rsid w:val="00E54062"/>
    <w:rsid w:val="00E60C6E"/>
    <w:rsid w:val="00E62DFA"/>
    <w:rsid w:val="00E65BAB"/>
    <w:rsid w:val="00E67092"/>
    <w:rsid w:val="00E84C8B"/>
    <w:rsid w:val="00EA377F"/>
    <w:rsid w:val="00EB6466"/>
    <w:rsid w:val="00EB7D08"/>
    <w:rsid w:val="00EC0583"/>
    <w:rsid w:val="00EC4AF1"/>
    <w:rsid w:val="00ED3466"/>
    <w:rsid w:val="00ED3769"/>
    <w:rsid w:val="00EE7B7D"/>
    <w:rsid w:val="00F13387"/>
    <w:rsid w:val="00F209D8"/>
    <w:rsid w:val="00F21D49"/>
    <w:rsid w:val="00F33FFA"/>
    <w:rsid w:val="00F52C98"/>
    <w:rsid w:val="00F6005B"/>
    <w:rsid w:val="00F601BE"/>
    <w:rsid w:val="00F608C4"/>
    <w:rsid w:val="00F61DB3"/>
    <w:rsid w:val="00F722EB"/>
    <w:rsid w:val="00FA1678"/>
    <w:rsid w:val="00FB0743"/>
    <w:rsid w:val="00FC2C40"/>
    <w:rsid w:val="00FC693A"/>
    <w:rsid w:val="00FD247F"/>
    <w:rsid w:val="00FD7E0B"/>
    <w:rsid w:val="00FE2B76"/>
    <w:rsid w:val="00FE5C1F"/>
    <w:rsid w:val="00FF2F77"/>
    <w:rsid w:val="00FF7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DF6"/>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3DF6"/>
    <w:pPr>
      <w:tabs>
        <w:tab w:val="center" w:pos="4153"/>
        <w:tab w:val="right" w:pos="8306"/>
      </w:tabs>
    </w:pPr>
  </w:style>
  <w:style w:type="paragraph" w:styleId="Footer">
    <w:name w:val="footer"/>
    <w:basedOn w:val="Normal"/>
    <w:link w:val="FooterChar"/>
    <w:uiPriority w:val="99"/>
    <w:rsid w:val="000B2A11"/>
    <w:pPr>
      <w:tabs>
        <w:tab w:val="center" w:pos="4153"/>
        <w:tab w:val="right" w:pos="8306"/>
      </w:tabs>
    </w:pPr>
  </w:style>
  <w:style w:type="paragraph" w:customStyle="1" w:styleId="Char">
    <w:name w:val="Char"/>
    <w:basedOn w:val="Normal"/>
    <w:rsid w:val="00E335DB"/>
    <w:rPr>
      <w:rFonts w:ascii="Arial" w:hAnsi="Arial" w:cs="Arial"/>
      <w:sz w:val="22"/>
      <w:szCs w:val="22"/>
      <w:lang w:eastAsia="en-US"/>
    </w:rPr>
  </w:style>
  <w:style w:type="paragraph" w:styleId="BalloonText">
    <w:name w:val="Balloon Text"/>
    <w:basedOn w:val="Normal"/>
    <w:semiHidden/>
    <w:rsid w:val="00DB45A1"/>
    <w:rPr>
      <w:rFonts w:ascii="Tahoma" w:hAnsi="Tahoma" w:cs="Tahoma"/>
      <w:sz w:val="16"/>
      <w:szCs w:val="16"/>
    </w:rPr>
  </w:style>
  <w:style w:type="paragraph" w:styleId="BodyTextIndent2">
    <w:name w:val="Body Text Indent 2"/>
    <w:basedOn w:val="Normal"/>
    <w:rsid w:val="008E1B04"/>
    <w:pPr>
      <w:ind w:left="360"/>
    </w:pPr>
    <w:rPr>
      <w:rFonts w:ascii="Garamond" w:eastAsia="Times New Roman" w:hAnsi="Garamond"/>
    </w:rPr>
  </w:style>
  <w:style w:type="paragraph" w:styleId="DocumentMap">
    <w:name w:val="Document Map"/>
    <w:basedOn w:val="Normal"/>
    <w:semiHidden/>
    <w:rsid w:val="00FC693A"/>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74224C"/>
    <w:rPr>
      <w:sz w:val="24"/>
      <w:szCs w:val="24"/>
      <w:lang w:val="en-AU" w:eastAsia="en-AU"/>
    </w:rPr>
  </w:style>
  <w:style w:type="character" w:customStyle="1" w:styleId="FooterChar">
    <w:name w:val="Footer Char"/>
    <w:basedOn w:val="DefaultParagraphFont"/>
    <w:link w:val="Footer"/>
    <w:uiPriority w:val="99"/>
    <w:rsid w:val="00B3174A"/>
    <w:rPr>
      <w:sz w:val="24"/>
      <w:szCs w:val="24"/>
      <w:lang w:val="en-AU" w:eastAsia="en-AU"/>
    </w:rPr>
  </w:style>
  <w:style w:type="paragraph" w:styleId="ListParagraph">
    <w:name w:val="List Paragraph"/>
    <w:basedOn w:val="Normal"/>
    <w:uiPriority w:val="34"/>
    <w:qFormat/>
    <w:rsid w:val="00E54062"/>
    <w:pPr>
      <w:ind w:left="720"/>
      <w:contextualSpacing/>
    </w:pPr>
  </w:style>
  <w:style w:type="character" w:styleId="CommentReference">
    <w:name w:val="annotation reference"/>
    <w:basedOn w:val="DefaultParagraphFont"/>
    <w:rsid w:val="00563DC3"/>
    <w:rPr>
      <w:sz w:val="16"/>
      <w:szCs w:val="16"/>
    </w:rPr>
  </w:style>
  <w:style w:type="paragraph" w:styleId="CommentText">
    <w:name w:val="annotation text"/>
    <w:basedOn w:val="Normal"/>
    <w:link w:val="CommentTextChar"/>
    <w:rsid w:val="00563DC3"/>
    <w:rPr>
      <w:sz w:val="20"/>
      <w:szCs w:val="20"/>
    </w:rPr>
  </w:style>
  <w:style w:type="character" w:customStyle="1" w:styleId="CommentTextChar">
    <w:name w:val="Comment Text Char"/>
    <w:basedOn w:val="DefaultParagraphFont"/>
    <w:link w:val="CommentText"/>
    <w:rsid w:val="00563DC3"/>
    <w:rPr>
      <w:lang w:val="en-AU" w:eastAsia="en-AU"/>
    </w:rPr>
  </w:style>
  <w:style w:type="paragraph" w:styleId="CommentSubject">
    <w:name w:val="annotation subject"/>
    <w:basedOn w:val="CommentText"/>
    <w:next w:val="CommentText"/>
    <w:link w:val="CommentSubjectChar"/>
    <w:rsid w:val="00563DC3"/>
    <w:rPr>
      <w:b/>
      <w:bCs/>
    </w:rPr>
  </w:style>
  <w:style w:type="character" w:customStyle="1" w:styleId="CommentSubjectChar">
    <w:name w:val="Comment Subject Char"/>
    <w:basedOn w:val="CommentTextChar"/>
    <w:link w:val="CommentSubject"/>
    <w:rsid w:val="00563DC3"/>
    <w:rPr>
      <w:b/>
      <w:bCs/>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DF6"/>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3DF6"/>
    <w:pPr>
      <w:tabs>
        <w:tab w:val="center" w:pos="4153"/>
        <w:tab w:val="right" w:pos="8306"/>
      </w:tabs>
    </w:pPr>
  </w:style>
  <w:style w:type="paragraph" w:styleId="Footer">
    <w:name w:val="footer"/>
    <w:basedOn w:val="Normal"/>
    <w:link w:val="FooterChar"/>
    <w:uiPriority w:val="99"/>
    <w:rsid w:val="000B2A11"/>
    <w:pPr>
      <w:tabs>
        <w:tab w:val="center" w:pos="4153"/>
        <w:tab w:val="right" w:pos="8306"/>
      </w:tabs>
    </w:pPr>
  </w:style>
  <w:style w:type="paragraph" w:customStyle="1" w:styleId="Char">
    <w:name w:val="Char"/>
    <w:basedOn w:val="Normal"/>
    <w:rsid w:val="00E335DB"/>
    <w:rPr>
      <w:rFonts w:ascii="Arial" w:hAnsi="Arial" w:cs="Arial"/>
      <w:sz w:val="22"/>
      <w:szCs w:val="22"/>
      <w:lang w:eastAsia="en-US"/>
    </w:rPr>
  </w:style>
  <w:style w:type="paragraph" w:styleId="BalloonText">
    <w:name w:val="Balloon Text"/>
    <w:basedOn w:val="Normal"/>
    <w:semiHidden/>
    <w:rsid w:val="00DB45A1"/>
    <w:rPr>
      <w:rFonts w:ascii="Tahoma" w:hAnsi="Tahoma" w:cs="Tahoma"/>
      <w:sz w:val="16"/>
      <w:szCs w:val="16"/>
    </w:rPr>
  </w:style>
  <w:style w:type="paragraph" w:styleId="BodyTextIndent2">
    <w:name w:val="Body Text Indent 2"/>
    <w:basedOn w:val="Normal"/>
    <w:rsid w:val="008E1B04"/>
    <w:pPr>
      <w:ind w:left="360"/>
    </w:pPr>
    <w:rPr>
      <w:rFonts w:ascii="Garamond" w:eastAsia="Times New Roman" w:hAnsi="Garamond"/>
    </w:rPr>
  </w:style>
  <w:style w:type="paragraph" w:styleId="DocumentMap">
    <w:name w:val="Document Map"/>
    <w:basedOn w:val="Normal"/>
    <w:semiHidden/>
    <w:rsid w:val="00FC693A"/>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74224C"/>
    <w:rPr>
      <w:sz w:val="24"/>
      <w:szCs w:val="24"/>
      <w:lang w:val="en-AU" w:eastAsia="en-AU"/>
    </w:rPr>
  </w:style>
  <w:style w:type="character" w:customStyle="1" w:styleId="FooterChar">
    <w:name w:val="Footer Char"/>
    <w:basedOn w:val="DefaultParagraphFont"/>
    <w:link w:val="Footer"/>
    <w:uiPriority w:val="99"/>
    <w:rsid w:val="00B3174A"/>
    <w:rPr>
      <w:sz w:val="24"/>
      <w:szCs w:val="24"/>
      <w:lang w:val="en-AU" w:eastAsia="en-AU"/>
    </w:rPr>
  </w:style>
  <w:style w:type="paragraph" w:styleId="ListParagraph">
    <w:name w:val="List Paragraph"/>
    <w:basedOn w:val="Normal"/>
    <w:uiPriority w:val="34"/>
    <w:qFormat/>
    <w:rsid w:val="00E54062"/>
    <w:pPr>
      <w:ind w:left="720"/>
      <w:contextualSpacing/>
    </w:pPr>
  </w:style>
  <w:style w:type="character" w:styleId="CommentReference">
    <w:name w:val="annotation reference"/>
    <w:basedOn w:val="DefaultParagraphFont"/>
    <w:rsid w:val="00563DC3"/>
    <w:rPr>
      <w:sz w:val="16"/>
      <w:szCs w:val="16"/>
    </w:rPr>
  </w:style>
  <w:style w:type="paragraph" w:styleId="CommentText">
    <w:name w:val="annotation text"/>
    <w:basedOn w:val="Normal"/>
    <w:link w:val="CommentTextChar"/>
    <w:rsid w:val="00563DC3"/>
    <w:rPr>
      <w:sz w:val="20"/>
      <w:szCs w:val="20"/>
    </w:rPr>
  </w:style>
  <w:style w:type="character" w:customStyle="1" w:styleId="CommentTextChar">
    <w:name w:val="Comment Text Char"/>
    <w:basedOn w:val="DefaultParagraphFont"/>
    <w:link w:val="CommentText"/>
    <w:rsid w:val="00563DC3"/>
    <w:rPr>
      <w:lang w:val="en-AU" w:eastAsia="en-AU"/>
    </w:rPr>
  </w:style>
  <w:style w:type="paragraph" w:styleId="CommentSubject">
    <w:name w:val="annotation subject"/>
    <w:basedOn w:val="CommentText"/>
    <w:next w:val="CommentText"/>
    <w:link w:val="CommentSubjectChar"/>
    <w:rsid w:val="00563DC3"/>
    <w:rPr>
      <w:b/>
      <w:bCs/>
    </w:rPr>
  </w:style>
  <w:style w:type="character" w:customStyle="1" w:styleId="CommentSubjectChar">
    <w:name w:val="Comment Subject Char"/>
    <w:basedOn w:val="CommentTextChar"/>
    <w:link w:val="CommentSubject"/>
    <w:rsid w:val="00563DC3"/>
    <w:rPr>
      <w:b/>
      <w:bCs/>
      <w:lang w:val="en-AU" w:eastAsia="en-AU"/>
    </w:rPr>
  </w:style>
</w:styles>
</file>

<file path=word/webSettings.xml><?xml version="1.0" encoding="utf-8"?>
<w:webSettings xmlns:r="http://schemas.openxmlformats.org/officeDocument/2006/relationships" xmlns:w="http://schemas.openxmlformats.org/wordprocessingml/2006/main">
  <w:divs>
    <w:div w:id="17675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CB9175.90F5CC6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3674-5EDC-4321-B1DA-64E2530F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APEC Food Safety Cooperation Forum</vt:lpstr>
    </vt:vector>
  </TitlesOfParts>
  <Company>Food Standards Australia New Zealand</Company>
  <LinksUpToDate>false</LinksUpToDate>
  <CharactersWithSpaces>6726</CharactersWithSpaces>
  <SharedDoc>false</SharedDoc>
  <HLinks>
    <vt:vector size="12" baseType="variant">
      <vt:variant>
        <vt:i4>5111883</vt:i4>
      </vt:variant>
      <vt:variant>
        <vt:i4>3</vt:i4>
      </vt:variant>
      <vt:variant>
        <vt:i4>0</vt:i4>
      </vt:variant>
      <vt:variant>
        <vt:i4>5</vt:i4>
      </vt:variant>
      <vt:variant>
        <vt:lpwstr>ftp://ftp.fao.org/docrep/fao/009/a0601e/a0601e00.pdf</vt:lpwstr>
      </vt:variant>
      <vt:variant>
        <vt:lpwstr/>
      </vt:variant>
      <vt:variant>
        <vt:i4>1966086</vt:i4>
      </vt:variant>
      <vt:variant>
        <vt:i4>0</vt:i4>
      </vt:variant>
      <vt:variant>
        <vt:i4>0</vt:i4>
      </vt:variant>
      <vt:variant>
        <vt:i4>5</vt:i4>
      </vt:variant>
      <vt:variant>
        <vt:lpwstr>http://www.fao.org/ag/agn/food/control_FCS_en.stm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Food Safety Cooperation Forum</dc:title>
  <dc:creator>Bradley, Sonia</dc:creator>
  <cp:lastModifiedBy>bradls</cp:lastModifiedBy>
  <cp:revision>3</cp:revision>
  <cp:lastPrinted>2011-01-30T22:19:00Z</cp:lastPrinted>
  <dcterms:created xsi:type="dcterms:W3CDTF">2011-05-24T00:31:00Z</dcterms:created>
  <dcterms:modified xsi:type="dcterms:W3CDTF">2011-05-24T00:31:00Z</dcterms:modified>
</cp:coreProperties>
</file>