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88E26" w14:textId="77777777" w:rsidR="00646C05" w:rsidRDefault="00646C05" w:rsidP="008340AB">
      <w:pPr>
        <w:jc w:val="center"/>
        <w:rPr>
          <w:rFonts w:ascii="Arial" w:hAnsi="Arial" w:cs="Arial"/>
          <w:b/>
          <w:sz w:val="20"/>
        </w:rPr>
      </w:pPr>
      <w:r w:rsidRPr="0012111A">
        <w:rPr>
          <w:rFonts w:ascii="Arial" w:hAnsi="Arial" w:cs="Arial"/>
          <w:b/>
          <w:sz w:val="20"/>
        </w:rPr>
        <w:t>BOGOR GOALS PROGRESS REPORT</w:t>
      </w:r>
      <w:r>
        <w:rPr>
          <w:rFonts w:ascii="Arial" w:hAnsi="Arial" w:cs="Arial"/>
          <w:b/>
          <w:sz w:val="20"/>
        </w:rPr>
        <w:t xml:space="preserve"> GUIDELINES</w:t>
      </w:r>
    </w:p>
    <w:p w14:paraId="279231E8" w14:textId="77777777" w:rsidR="00646C05" w:rsidRPr="00814D0D" w:rsidRDefault="00646C05" w:rsidP="002400F3">
      <w:pPr>
        <w:jc w:val="center"/>
        <w:rPr>
          <w:rFonts w:ascii="Arial" w:hAnsi="Arial" w:cs="Arial"/>
          <w:b/>
          <w:sz w:val="20"/>
        </w:rPr>
      </w:pPr>
    </w:p>
    <w:p w14:paraId="2E914C8D" w14:textId="77777777" w:rsidR="00646C05" w:rsidRPr="00814D0D" w:rsidRDefault="00646C05" w:rsidP="002400F3">
      <w:pPr>
        <w:rPr>
          <w:rFonts w:ascii="Arial" w:hAnsi="Arial" w:cs="Arial"/>
          <w:b/>
          <w:sz w:val="20"/>
        </w:rPr>
      </w:pPr>
    </w:p>
    <w:p w14:paraId="17328AB4" w14:textId="77777777" w:rsidR="00646C05" w:rsidRDefault="00646C05" w:rsidP="002400F3">
      <w:pPr>
        <w:numPr>
          <w:ilvl w:val="0"/>
          <w:numId w:val="2"/>
        </w:numPr>
        <w:rPr>
          <w:rFonts w:ascii="Arial" w:hAnsi="Arial" w:cs="Arial"/>
          <w:b/>
          <w:sz w:val="20"/>
        </w:rPr>
      </w:pPr>
      <w:r>
        <w:rPr>
          <w:rFonts w:ascii="Arial" w:hAnsi="Arial" w:cs="Arial"/>
          <w:b/>
          <w:sz w:val="20"/>
        </w:rPr>
        <w:t>PURPOSE</w:t>
      </w:r>
    </w:p>
    <w:p w14:paraId="08FFC7D4" w14:textId="77777777" w:rsidR="00646C05" w:rsidRDefault="00646C05" w:rsidP="002400F3">
      <w:pPr>
        <w:rPr>
          <w:rFonts w:ascii="Arial" w:hAnsi="Arial" w:cs="Arial"/>
          <w:b/>
          <w:sz w:val="20"/>
        </w:rPr>
      </w:pPr>
    </w:p>
    <w:p w14:paraId="57A1B87A" w14:textId="77777777" w:rsidR="00646C05" w:rsidRPr="00814D0D" w:rsidRDefault="00646C05" w:rsidP="002400F3">
      <w:pPr>
        <w:ind w:left="360"/>
        <w:jc w:val="both"/>
        <w:rPr>
          <w:rFonts w:ascii="Arial" w:hAnsi="Arial" w:cs="Arial"/>
          <w:sz w:val="20"/>
        </w:rPr>
      </w:pPr>
      <w:r w:rsidRPr="00814D0D">
        <w:rPr>
          <w:rFonts w:ascii="Arial" w:hAnsi="Arial" w:cs="Arial"/>
          <w:sz w:val="20"/>
        </w:rPr>
        <w:t xml:space="preserve">The </w:t>
      </w:r>
      <w:r w:rsidRPr="00D32BE3">
        <w:rPr>
          <w:rFonts w:ascii="Arial" w:hAnsi="Arial" w:cs="Arial"/>
          <w:i/>
          <w:sz w:val="20"/>
        </w:rPr>
        <w:t>Bogor Goals Progress Report Guidelines</w:t>
      </w:r>
      <w:r w:rsidRPr="00814D0D">
        <w:rPr>
          <w:rFonts w:ascii="Arial" w:hAnsi="Arial" w:cs="Arial"/>
          <w:sz w:val="20"/>
        </w:rPr>
        <w:t xml:space="preserve"> will be implemented for reviewing 21 </w:t>
      </w:r>
      <w:r>
        <w:rPr>
          <w:rFonts w:ascii="Arial" w:hAnsi="Arial" w:cs="Arial"/>
          <w:sz w:val="20"/>
        </w:rPr>
        <w:t xml:space="preserve">economies’ progress towards achieving free and open trade and investment by </w:t>
      </w:r>
      <w:r w:rsidRPr="00814D0D">
        <w:rPr>
          <w:rFonts w:ascii="Arial" w:hAnsi="Arial" w:cs="Arial"/>
          <w:sz w:val="20"/>
        </w:rPr>
        <w:t>2020.</w:t>
      </w:r>
    </w:p>
    <w:p w14:paraId="722EFD74" w14:textId="77777777" w:rsidR="00646C05" w:rsidRPr="00814D0D" w:rsidRDefault="00646C05" w:rsidP="002400F3">
      <w:pPr>
        <w:rPr>
          <w:rFonts w:ascii="Arial" w:hAnsi="Arial" w:cs="Arial"/>
          <w:b/>
          <w:sz w:val="20"/>
        </w:rPr>
      </w:pPr>
    </w:p>
    <w:p w14:paraId="0FBE42E1" w14:textId="77777777" w:rsidR="00646C05" w:rsidRPr="00814D0D" w:rsidRDefault="00646C05" w:rsidP="002400F3">
      <w:pPr>
        <w:numPr>
          <w:ilvl w:val="0"/>
          <w:numId w:val="2"/>
        </w:numPr>
        <w:rPr>
          <w:rFonts w:ascii="Arial" w:hAnsi="Arial" w:cs="Arial"/>
          <w:b/>
          <w:sz w:val="20"/>
        </w:rPr>
      </w:pPr>
      <w:r w:rsidRPr="00814D0D">
        <w:rPr>
          <w:rFonts w:ascii="Arial" w:hAnsi="Arial" w:cs="Arial"/>
          <w:b/>
          <w:sz w:val="20"/>
        </w:rPr>
        <w:t xml:space="preserve">RATIONALE FOR A REVISED MECHANISM </w:t>
      </w:r>
    </w:p>
    <w:p w14:paraId="11186F68" w14:textId="77777777" w:rsidR="00646C05" w:rsidRPr="00814D0D" w:rsidRDefault="00646C05" w:rsidP="002400F3">
      <w:pPr>
        <w:rPr>
          <w:rFonts w:ascii="Arial" w:hAnsi="Arial" w:cs="Arial"/>
          <w:sz w:val="20"/>
        </w:rPr>
      </w:pPr>
    </w:p>
    <w:p w14:paraId="7176AF10" w14:textId="77777777" w:rsidR="00646C05" w:rsidRPr="00814D0D" w:rsidRDefault="00646C05" w:rsidP="002400F3">
      <w:pPr>
        <w:ind w:left="360"/>
        <w:jc w:val="both"/>
        <w:rPr>
          <w:rFonts w:ascii="Arial" w:hAnsi="Arial" w:cs="Arial"/>
          <w:sz w:val="20"/>
        </w:rPr>
      </w:pPr>
      <w:r>
        <w:rPr>
          <w:rFonts w:ascii="Arial" w:hAnsi="Arial" w:cs="Arial"/>
          <w:sz w:val="20"/>
        </w:rPr>
        <w:t xml:space="preserve">In </w:t>
      </w:r>
      <w:smartTag w:uri="urn:schemas-microsoft-com:office:smarttags" w:element="place">
        <w:smartTag w:uri="urn:schemas-microsoft-com:office:smarttags" w:element="State">
          <w:r>
            <w:rPr>
              <w:rFonts w:ascii="Arial" w:hAnsi="Arial" w:cs="Arial"/>
              <w:sz w:val="20"/>
            </w:rPr>
            <w:t>Montana</w:t>
          </w:r>
        </w:smartTag>
      </w:smartTag>
      <w:r>
        <w:rPr>
          <w:rFonts w:ascii="Arial" w:hAnsi="Arial" w:cs="Arial"/>
          <w:sz w:val="20"/>
        </w:rPr>
        <w:t xml:space="preserve">, in May 2011, Senior Officials (SOM) endorsed recommendations prepared by the Committee of Trade and Investment (CTI) </w:t>
      </w:r>
      <w:r w:rsidRPr="00814D0D">
        <w:rPr>
          <w:rFonts w:ascii="Arial" w:hAnsi="Arial" w:cs="Arial"/>
          <w:sz w:val="20"/>
        </w:rPr>
        <w:t xml:space="preserve">for a more robust mechanism to track progress towards the Bogor Goals. </w:t>
      </w:r>
      <w:r>
        <w:rPr>
          <w:rFonts w:ascii="Arial" w:hAnsi="Arial" w:cs="Arial"/>
          <w:sz w:val="20"/>
        </w:rPr>
        <w:t>Background information</w:t>
      </w:r>
      <w:r w:rsidRPr="00814D0D">
        <w:rPr>
          <w:rFonts w:ascii="Arial" w:hAnsi="Arial" w:cs="Arial"/>
          <w:sz w:val="20"/>
        </w:rPr>
        <w:t xml:space="preserve"> </w:t>
      </w:r>
      <w:r>
        <w:rPr>
          <w:rFonts w:ascii="Arial" w:hAnsi="Arial" w:cs="Arial"/>
          <w:sz w:val="20"/>
        </w:rPr>
        <w:t xml:space="preserve">can be found at: </w:t>
      </w:r>
      <w:r w:rsidRPr="005A0484">
        <w:rPr>
          <w:rFonts w:ascii="Arial" w:hAnsi="Arial" w:cs="Arial"/>
          <w:sz w:val="20"/>
        </w:rPr>
        <w:t>2011/SOM2/021anx2</w:t>
      </w:r>
      <w:r>
        <w:rPr>
          <w:rFonts w:ascii="Arial" w:hAnsi="Arial" w:cs="Arial"/>
          <w:sz w:val="20"/>
        </w:rPr>
        <w:t xml:space="preserve">. </w:t>
      </w:r>
    </w:p>
    <w:p w14:paraId="7126E12F" w14:textId="77777777" w:rsidR="00646C05" w:rsidRPr="00814D0D" w:rsidRDefault="00646C05" w:rsidP="002400F3">
      <w:pPr>
        <w:rPr>
          <w:rFonts w:ascii="Arial" w:hAnsi="Arial" w:cs="Arial"/>
          <w:b/>
          <w:sz w:val="20"/>
        </w:rPr>
      </w:pPr>
    </w:p>
    <w:p w14:paraId="7B99C952" w14:textId="77777777" w:rsidR="00646C05" w:rsidRPr="00814D0D" w:rsidRDefault="00646C05" w:rsidP="002400F3">
      <w:pPr>
        <w:numPr>
          <w:ilvl w:val="0"/>
          <w:numId w:val="2"/>
        </w:numPr>
        <w:jc w:val="both"/>
        <w:rPr>
          <w:rFonts w:ascii="Arial" w:hAnsi="Arial" w:cs="Arial"/>
          <w:b/>
          <w:sz w:val="20"/>
        </w:rPr>
      </w:pPr>
      <w:smartTag w:uri="urn:schemas-microsoft-com:office:smarttags" w:element="place">
        <w:smartTag w:uri="urn:schemas-microsoft-com:office:smarttags" w:element="City">
          <w:r>
            <w:rPr>
              <w:rFonts w:ascii="Arial" w:hAnsi="Arial" w:cs="Arial"/>
              <w:b/>
              <w:sz w:val="20"/>
            </w:rPr>
            <w:t>BOGOR</w:t>
          </w:r>
        </w:smartTag>
      </w:smartTag>
      <w:r>
        <w:rPr>
          <w:rFonts w:ascii="Arial" w:hAnsi="Arial" w:cs="Arial"/>
          <w:b/>
          <w:sz w:val="20"/>
        </w:rPr>
        <w:t xml:space="preserve"> GOALS PROGRESS REPORT GUIDELINES</w:t>
      </w:r>
    </w:p>
    <w:p w14:paraId="55CD5BBA" w14:textId="77777777" w:rsidR="00646C05" w:rsidRPr="00814D0D" w:rsidRDefault="00646C05" w:rsidP="002400F3">
      <w:pPr>
        <w:jc w:val="both"/>
        <w:rPr>
          <w:rFonts w:ascii="Arial" w:hAnsi="Arial" w:cs="Arial"/>
          <w:b/>
          <w:sz w:val="20"/>
        </w:rPr>
      </w:pPr>
    </w:p>
    <w:p w14:paraId="4244E209" w14:textId="77777777" w:rsidR="00646C05" w:rsidRPr="00814D0D" w:rsidRDefault="00646C05" w:rsidP="002400F3">
      <w:pPr>
        <w:pStyle w:val="MediumGrid1-Accent22"/>
        <w:numPr>
          <w:ilvl w:val="0"/>
          <w:numId w:val="1"/>
        </w:numPr>
        <w:jc w:val="both"/>
        <w:rPr>
          <w:rFonts w:ascii="Arial" w:hAnsi="Arial" w:cs="Arial"/>
          <w:b/>
          <w:sz w:val="20"/>
          <w:szCs w:val="20"/>
        </w:rPr>
      </w:pPr>
      <w:r w:rsidRPr="00814D0D">
        <w:rPr>
          <w:rFonts w:ascii="Arial" w:hAnsi="Arial" w:cs="Arial"/>
          <w:b/>
          <w:sz w:val="20"/>
          <w:szCs w:val="20"/>
        </w:rPr>
        <w:t>Format of the I</w:t>
      </w:r>
      <w:r>
        <w:rPr>
          <w:rFonts w:ascii="Arial" w:hAnsi="Arial" w:cs="Arial"/>
          <w:b/>
          <w:sz w:val="20"/>
          <w:szCs w:val="20"/>
        </w:rPr>
        <w:t xml:space="preserve">ndividual </w:t>
      </w:r>
      <w:r w:rsidRPr="00814D0D">
        <w:rPr>
          <w:rFonts w:ascii="Arial" w:hAnsi="Arial" w:cs="Arial"/>
          <w:b/>
          <w:sz w:val="20"/>
          <w:szCs w:val="20"/>
        </w:rPr>
        <w:t>A</w:t>
      </w:r>
      <w:r>
        <w:rPr>
          <w:rFonts w:ascii="Arial" w:hAnsi="Arial" w:cs="Arial"/>
          <w:b/>
          <w:sz w:val="20"/>
          <w:szCs w:val="20"/>
        </w:rPr>
        <w:t xml:space="preserve">ction </w:t>
      </w:r>
      <w:r w:rsidRPr="00814D0D">
        <w:rPr>
          <w:rFonts w:ascii="Arial" w:hAnsi="Arial" w:cs="Arial"/>
          <w:b/>
          <w:sz w:val="20"/>
          <w:szCs w:val="20"/>
        </w:rPr>
        <w:t>P</w:t>
      </w:r>
      <w:r>
        <w:rPr>
          <w:rFonts w:ascii="Arial" w:hAnsi="Arial" w:cs="Arial"/>
          <w:b/>
          <w:sz w:val="20"/>
          <w:szCs w:val="20"/>
        </w:rPr>
        <w:t xml:space="preserve">lan (IAP) </w:t>
      </w:r>
      <w:r w:rsidRPr="00814D0D">
        <w:rPr>
          <w:rFonts w:ascii="Arial" w:hAnsi="Arial" w:cs="Arial"/>
          <w:b/>
          <w:sz w:val="20"/>
          <w:szCs w:val="20"/>
        </w:rPr>
        <w:t xml:space="preserve"> </w:t>
      </w:r>
    </w:p>
    <w:p w14:paraId="67A04996" w14:textId="77777777" w:rsidR="00646C05" w:rsidRPr="00814D0D" w:rsidRDefault="00646C05" w:rsidP="002400F3">
      <w:pPr>
        <w:pStyle w:val="MediumGrid1-Accent22"/>
        <w:jc w:val="both"/>
        <w:rPr>
          <w:rFonts w:ascii="Arial" w:hAnsi="Arial" w:cs="Arial"/>
          <w:sz w:val="20"/>
          <w:szCs w:val="20"/>
        </w:rPr>
      </w:pPr>
    </w:p>
    <w:p w14:paraId="0B33E2ED" w14:textId="77777777" w:rsidR="00646C05" w:rsidRPr="005C10ED" w:rsidRDefault="00646C05" w:rsidP="002400F3">
      <w:pPr>
        <w:numPr>
          <w:ilvl w:val="0"/>
          <w:numId w:val="3"/>
        </w:numPr>
        <w:jc w:val="both"/>
        <w:rPr>
          <w:rFonts w:ascii="Arial" w:hAnsi="Arial" w:cs="Arial"/>
          <w:sz w:val="20"/>
        </w:rPr>
      </w:pPr>
      <w:r w:rsidRPr="00814D0D">
        <w:rPr>
          <w:rFonts w:ascii="Arial" w:hAnsi="Arial" w:cs="Arial"/>
          <w:sz w:val="20"/>
        </w:rPr>
        <w:t xml:space="preserve">Economies </w:t>
      </w:r>
      <w:r>
        <w:rPr>
          <w:rFonts w:ascii="Arial" w:hAnsi="Arial" w:cs="Arial"/>
          <w:sz w:val="20"/>
        </w:rPr>
        <w:t>will</w:t>
      </w:r>
      <w:r w:rsidRPr="00814D0D">
        <w:rPr>
          <w:rFonts w:ascii="Arial" w:hAnsi="Arial" w:cs="Arial"/>
          <w:sz w:val="20"/>
        </w:rPr>
        <w:t xml:space="preserve"> report on the </w:t>
      </w:r>
      <w:r>
        <w:rPr>
          <w:rFonts w:ascii="Arial" w:hAnsi="Arial" w:cs="Arial"/>
          <w:i/>
          <w:sz w:val="20"/>
        </w:rPr>
        <w:t>IAP Template</w:t>
      </w:r>
      <w:r w:rsidRPr="00814D0D">
        <w:rPr>
          <w:rFonts w:ascii="Arial" w:hAnsi="Arial" w:cs="Arial"/>
          <w:sz w:val="20"/>
        </w:rPr>
        <w:t xml:space="preserve"> </w:t>
      </w:r>
      <w:r>
        <w:rPr>
          <w:rFonts w:ascii="Arial" w:hAnsi="Arial" w:cs="Arial"/>
          <w:sz w:val="20"/>
        </w:rPr>
        <w:t xml:space="preserve">(annex 1) </w:t>
      </w:r>
      <w:r w:rsidRPr="00814D0D">
        <w:rPr>
          <w:rFonts w:ascii="Arial" w:hAnsi="Arial" w:cs="Arial"/>
          <w:i/>
          <w:sz w:val="20"/>
        </w:rPr>
        <w:t>new</w:t>
      </w:r>
      <w:r w:rsidRPr="00814D0D">
        <w:rPr>
          <w:rFonts w:ascii="Arial" w:hAnsi="Arial" w:cs="Arial"/>
          <w:sz w:val="20"/>
        </w:rPr>
        <w:t xml:space="preserve"> trade and investment policies and procedures and the improvements planned for the remaining areas to fill the gap in moving closer to achieving the Bogor Goals. If policy settings remain the same from one reporting period to the next, then there </w:t>
      </w:r>
      <w:r>
        <w:rPr>
          <w:rFonts w:ascii="Arial" w:hAnsi="Arial" w:cs="Arial"/>
          <w:sz w:val="20"/>
        </w:rPr>
        <w:t>is</w:t>
      </w:r>
      <w:r w:rsidRPr="00814D0D">
        <w:rPr>
          <w:rFonts w:ascii="Arial" w:hAnsi="Arial" w:cs="Arial"/>
          <w:sz w:val="20"/>
        </w:rPr>
        <w:t xml:space="preserve"> no need to collect and repeat the same information. 2010 economies</w:t>
      </w:r>
      <w:r>
        <w:rPr>
          <w:rStyle w:val="FootnoteReference"/>
          <w:rFonts w:ascii="Arial" w:hAnsi="Arial" w:cs="Arial"/>
          <w:sz w:val="20"/>
        </w:rPr>
        <w:footnoteReference w:id="2"/>
      </w:r>
      <w:r w:rsidRPr="00814D0D">
        <w:rPr>
          <w:rFonts w:ascii="Arial" w:hAnsi="Arial" w:cs="Arial"/>
          <w:sz w:val="20"/>
        </w:rPr>
        <w:t xml:space="preserve"> might give emphasis to those areas where shortcomings were highlighted in the </w:t>
      </w:r>
      <w:r w:rsidRPr="00AF6F41">
        <w:rPr>
          <w:rFonts w:ascii="Arial" w:hAnsi="Arial" w:cs="Arial"/>
          <w:i/>
          <w:sz w:val="20"/>
        </w:rPr>
        <w:t xml:space="preserve">Leaders' Statement on 2010 </w:t>
      </w:r>
      <w:smartTag w:uri="urn:schemas-microsoft-com:office:smarttags" w:element="place">
        <w:smartTag w:uri="urn:schemas-microsoft-com:office:smarttags" w:element="City">
          <w:r w:rsidRPr="00AF6F41">
            <w:rPr>
              <w:rFonts w:ascii="Arial" w:hAnsi="Arial" w:cs="Arial"/>
              <w:i/>
              <w:sz w:val="20"/>
            </w:rPr>
            <w:t>Bogor</w:t>
          </w:r>
        </w:smartTag>
      </w:smartTag>
      <w:r w:rsidRPr="00AF6F41">
        <w:rPr>
          <w:rFonts w:ascii="Arial" w:hAnsi="Arial" w:cs="Arial"/>
          <w:i/>
          <w:sz w:val="20"/>
        </w:rPr>
        <w:t xml:space="preserve"> Goals Assessment.</w:t>
      </w:r>
      <w:r w:rsidRPr="005C10ED">
        <w:rPr>
          <w:rFonts w:ascii="Arial" w:hAnsi="Arial" w:cs="Arial"/>
          <w:sz w:val="20"/>
        </w:rPr>
        <w:t xml:space="preserve">  </w:t>
      </w:r>
    </w:p>
    <w:p w14:paraId="609552FF" w14:textId="77777777" w:rsidR="00646C05" w:rsidRPr="00814D0D" w:rsidRDefault="00646C05" w:rsidP="002400F3">
      <w:pPr>
        <w:ind w:left="1440"/>
        <w:jc w:val="both"/>
        <w:rPr>
          <w:rFonts w:ascii="Arial" w:hAnsi="Arial" w:cs="Arial"/>
          <w:sz w:val="20"/>
        </w:rPr>
      </w:pPr>
      <w:r w:rsidRPr="005C10ED">
        <w:rPr>
          <w:rFonts w:ascii="Arial" w:hAnsi="Arial" w:cs="Arial"/>
          <w:sz w:val="20"/>
        </w:rPr>
        <w:t xml:space="preserve"> </w:t>
      </w:r>
    </w:p>
    <w:p w14:paraId="5B9DE39E"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 xml:space="preserve">The areas to be reported will be based on the </w:t>
      </w:r>
      <w:r w:rsidRPr="00AF6F41">
        <w:rPr>
          <w:rFonts w:ascii="Arial" w:hAnsi="Arial" w:cs="Arial"/>
          <w:i/>
          <w:sz w:val="20"/>
        </w:rPr>
        <w:t>Osaka Action Agenda</w:t>
      </w:r>
      <w:r w:rsidRPr="00814D0D">
        <w:rPr>
          <w:rFonts w:ascii="Arial" w:hAnsi="Arial" w:cs="Arial"/>
          <w:sz w:val="20"/>
        </w:rPr>
        <w:t xml:space="preserve"> plus those added afterwards: </w:t>
      </w:r>
    </w:p>
    <w:p w14:paraId="5331FC37" w14:textId="77777777" w:rsidR="00646C05" w:rsidRPr="00814D0D" w:rsidRDefault="00646C05" w:rsidP="002400F3">
      <w:pPr>
        <w:jc w:val="both"/>
        <w:rPr>
          <w:rFonts w:ascii="Arial" w:hAnsi="Arial" w:cs="Arial"/>
          <w:sz w:val="20"/>
        </w:rPr>
      </w:pPr>
    </w:p>
    <w:p w14:paraId="3FA59F53"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Tariffs</w:t>
      </w:r>
    </w:p>
    <w:p w14:paraId="4FDE08B8"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 xml:space="preserve">Non-tariff measures </w:t>
      </w:r>
    </w:p>
    <w:p w14:paraId="14016552"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 xml:space="preserve">Services </w:t>
      </w:r>
    </w:p>
    <w:p w14:paraId="1498B28A"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Investment</w:t>
      </w:r>
    </w:p>
    <w:p w14:paraId="41061101"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 xml:space="preserve">Standards and conformance </w:t>
      </w:r>
    </w:p>
    <w:p w14:paraId="20C72809"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Customs procedures</w:t>
      </w:r>
    </w:p>
    <w:p w14:paraId="13579E7D"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 xml:space="preserve">Intellectual property </w:t>
      </w:r>
    </w:p>
    <w:p w14:paraId="2367E440"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Competition policy</w:t>
      </w:r>
    </w:p>
    <w:p w14:paraId="63AC1F9F"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Government procurement</w:t>
      </w:r>
    </w:p>
    <w:p w14:paraId="5D4615B0"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Deregulation/regulatory review</w:t>
      </w:r>
    </w:p>
    <w:p w14:paraId="64BAF599"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W</w:t>
      </w:r>
      <w:r>
        <w:rPr>
          <w:rFonts w:ascii="Arial" w:hAnsi="Arial" w:cs="Arial"/>
          <w:sz w:val="20"/>
        </w:rPr>
        <w:t xml:space="preserve">orld </w:t>
      </w:r>
      <w:r w:rsidRPr="00814D0D">
        <w:rPr>
          <w:rFonts w:ascii="Arial" w:hAnsi="Arial" w:cs="Arial"/>
          <w:sz w:val="20"/>
        </w:rPr>
        <w:t>T</w:t>
      </w:r>
      <w:r>
        <w:rPr>
          <w:rFonts w:ascii="Arial" w:hAnsi="Arial" w:cs="Arial"/>
          <w:sz w:val="20"/>
        </w:rPr>
        <w:t xml:space="preserve">rade </w:t>
      </w:r>
      <w:r w:rsidRPr="00814D0D">
        <w:rPr>
          <w:rFonts w:ascii="Arial" w:hAnsi="Arial" w:cs="Arial"/>
          <w:sz w:val="20"/>
        </w:rPr>
        <w:t>O</w:t>
      </w:r>
      <w:r>
        <w:rPr>
          <w:rFonts w:ascii="Arial" w:hAnsi="Arial" w:cs="Arial"/>
          <w:sz w:val="20"/>
        </w:rPr>
        <w:t>rganization (WTO)</w:t>
      </w:r>
      <w:r w:rsidRPr="00814D0D">
        <w:rPr>
          <w:rFonts w:ascii="Arial" w:hAnsi="Arial" w:cs="Arial"/>
          <w:sz w:val="20"/>
        </w:rPr>
        <w:t xml:space="preserve"> obligations including rules of origin</w:t>
      </w:r>
    </w:p>
    <w:p w14:paraId="736CE7AA"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Dispute mediation</w:t>
      </w:r>
    </w:p>
    <w:p w14:paraId="340052FA"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Mobility of business people</w:t>
      </w:r>
    </w:p>
    <w:p w14:paraId="0B7C2228"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Official websites that gathe</w:t>
      </w:r>
      <w:r>
        <w:rPr>
          <w:rFonts w:ascii="Arial" w:hAnsi="Arial" w:cs="Arial"/>
          <w:sz w:val="20"/>
        </w:rPr>
        <w:t>r economies´ information</w:t>
      </w:r>
    </w:p>
    <w:p w14:paraId="34370A23" w14:textId="77777777" w:rsidR="00646C05" w:rsidRPr="00814D0D" w:rsidRDefault="00646C05" w:rsidP="002400F3">
      <w:pPr>
        <w:numPr>
          <w:ilvl w:val="0"/>
          <w:numId w:val="4"/>
        </w:numPr>
        <w:jc w:val="both"/>
        <w:rPr>
          <w:rFonts w:ascii="Arial" w:hAnsi="Arial" w:cs="Arial"/>
          <w:sz w:val="20"/>
        </w:rPr>
      </w:pPr>
      <w:r w:rsidRPr="00814D0D">
        <w:rPr>
          <w:rFonts w:ascii="Arial" w:hAnsi="Arial" w:cs="Arial"/>
          <w:sz w:val="20"/>
        </w:rPr>
        <w:t>Transparency</w:t>
      </w:r>
    </w:p>
    <w:p w14:paraId="3E8C9DA2" w14:textId="77777777" w:rsidR="00646C05" w:rsidRPr="00814D0D" w:rsidRDefault="00646C05" w:rsidP="002400F3">
      <w:pPr>
        <w:numPr>
          <w:ilvl w:val="0"/>
          <w:numId w:val="4"/>
        </w:numPr>
        <w:jc w:val="both"/>
        <w:rPr>
          <w:rFonts w:ascii="Arial" w:hAnsi="Arial" w:cs="Arial"/>
          <w:sz w:val="20"/>
        </w:rPr>
      </w:pPr>
      <w:r>
        <w:rPr>
          <w:rFonts w:ascii="Arial" w:hAnsi="Arial" w:cs="Arial"/>
          <w:sz w:val="20"/>
        </w:rPr>
        <w:t>Regional Trade Agreements / Free Trade Agreements (</w:t>
      </w:r>
      <w:r w:rsidRPr="00814D0D">
        <w:rPr>
          <w:rFonts w:ascii="Arial" w:hAnsi="Arial" w:cs="Arial"/>
          <w:sz w:val="20"/>
        </w:rPr>
        <w:t>RTAs/FTAs</w:t>
      </w:r>
      <w:r>
        <w:rPr>
          <w:rFonts w:ascii="Arial" w:hAnsi="Arial" w:cs="Arial"/>
          <w:sz w:val="20"/>
        </w:rPr>
        <w:t>)</w:t>
      </w:r>
    </w:p>
    <w:p w14:paraId="33881D2E" w14:textId="77777777" w:rsidR="00646C05" w:rsidRDefault="00646C05" w:rsidP="002400F3">
      <w:pPr>
        <w:numPr>
          <w:ilvl w:val="0"/>
          <w:numId w:val="4"/>
        </w:numPr>
        <w:jc w:val="both"/>
        <w:rPr>
          <w:rFonts w:ascii="Arial" w:hAnsi="Arial" w:cs="Arial"/>
          <w:sz w:val="20"/>
        </w:rPr>
      </w:pPr>
      <w:r w:rsidRPr="00814D0D">
        <w:rPr>
          <w:rFonts w:ascii="Arial" w:hAnsi="Arial" w:cs="Arial"/>
          <w:sz w:val="20"/>
        </w:rPr>
        <w:t xml:space="preserve">Other voluntary reporting areas </w:t>
      </w:r>
    </w:p>
    <w:p w14:paraId="07D43293" w14:textId="77777777" w:rsidR="00646C05" w:rsidRDefault="00646C05" w:rsidP="002400F3">
      <w:pPr>
        <w:jc w:val="both"/>
        <w:rPr>
          <w:rFonts w:ascii="Arial" w:hAnsi="Arial" w:cs="Arial"/>
          <w:sz w:val="20"/>
        </w:rPr>
      </w:pPr>
    </w:p>
    <w:p w14:paraId="72A4E21A" w14:textId="77777777" w:rsidR="00646C05" w:rsidRDefault="00646C05" w:rsidP="002400F3">
      <w:pPr>
        <w:numPr>
          <w:ilvl w:val="0"/>
          <w:numId w:val="3"/>
        </w:numPr>
        <w:jc w:val="both"/>
        <w:rPr>
          <w:rFonts w:ascii="Arial" w:hAnsi="Arial" w:cs="Arial"/>
          <w:i/>
          <w:sz w:val="20"/>
        </w:rPr>
      </w:pPr>
      <w:r w:rsidRPr="00814D0D">
        <w:rPr>
          <w:rFonts w:ascii="Arial" w:hAnsi="Arial" w:cs="Arial"/>
          <w:sz w:val="20"/>
        </w:rPr>
        <w:t xml:space="preserve">Economies </w:t>
      </w:r>
      <w:r>
        <w:rPr>
          <w:rFonts w:ascii="Arial" w:hAnsi="Arial" w:cs="Arial"/>
          <w:sz w:val="20"/>
        </w:rPr>
        <w:t>will</w:t>
      </w:r>
      <w:r w:rsidRPr="00814D0D">
        <w:rPr>
          <w:rFonts w:ascii="Arial" w:hAnsi="Arial" w:cs="Arial"/>
          <w:sz w:val="20"/>
        </w:rPr>
        <w:t xml:space="preserve"> describe, in brief points only, significant new developments under each chapter heading. The information provided should be succinct but sufficient for the reader to understand the outline of the measure being described. </w:t>
      </w:r>
      <w:r w:rsidRPr="00560E73">
        <w:rPr>
          <w:rFonts w:ascii="Arial" w:hAnsi="Arial" w:cs="Arial"/>
          <w:sz w:val="20"/>
        </w:rPr>
        <w:t xml:space="preserve">Refer to the IAP reporting templates revised in 2004 together with </w:t>
      </w:r>
      <w:r w:rsidRPr="00944A47">
        <w:rPr>
          <w:rFonts w:ascii="Arial" w:hAnsi="Arial" w:cs="Arial"/>
          <w:i/>
          <w:sz w:val="20"/>
        </w:rPr>
        <w:t>2000 APEC IAP Format Guidelines</w:t>
      </w:r>
      <w:r w:rsidRPr="00560E73">
        <w:rPr>
          <w:rFonts w:ascii="Arial" w:hAnsi="Arial" w:cs="Arial"/>
          <w:sz w:val="20"/>
        </w:rPr>
        <w:t xml:space="preserve"> as guidance for reporting on each issue area</w:t>
      </w:r>
      <w:r w:rsidRPr="00560E73">
        <w:rPr>
          <w:rFonts w:ascii="Arial" w:hAnsi="Arial" w:cs="Arial"/>
          <w:i/>
          <w:sz w:val="20"/>
        </w:rPr>
        <w:t xml:space="preserve">.  </w:t>
      </w:r>
    </w:p>
    <w:p w14:paraId="3A830232" w14:textId="77777777" w:rsidR="00646C05" w:rsidRPr="00560E73" w:rsidRDefault="00646C05" w:rsidP="002400F3">
      <w:pPr>
        <w:ind w:left="720"/>
        <w:jc w:val="both"/>
        <w:rPr>
          <w:rFonts w:ascii="Arial" w:hAnsi="Arial" w:cs="Arial"/>
          <w:i/>
          <w:sz w:val="20"/>
        </w:rPr>
      </w:pPr>
    </w:p>
    <w:p w14:paraId="4EF810A7"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Wherever possible entries should include a reference point (website, document, contact address, etc.) where further information can be obtained.</w:t>
      </w:r>
    </w:p>
    <w:p w14:paraId="1DA3C45E" w14:textId="77777777" w:rsidR="00646C05" w:rsidRPr="00814D0D" w:rsidRDefault="00646C05" w:rsidP="002400F3">
      <w:pPr>
        <w:jc w:val="both"/>
        <w:rPr>
          <w:rFonts w:ascii="Arial" w:hAnsi="Arial" w:cs="Arial"/>
          <w:sz w:val="20"/>
          <w:highlight w:val="cyan"/>
        </w:rPr>
      </w:pPr>
    </w:p>
    <w:p w14:paraId="2EB0FAA1" w14:textId="77777777" w:rsidR="00646C05" w:rsidRPr="00814D0D" w:rsidRDefault="00646C05" w:rsidP="002400F3">
      <w:pPr>
        <w:pStyle w:val="MediumGrid1-Accent22"/>
        <w:numPr>
          <w:ilvl w:val="0"/>
          <w:numId w:val="1"/>
        </w:numPr>
        <w:jc w:val="both"/>
        <w:rPr>
          <w:rFonts w:ascii="Arial" w:hAnsi="Arial" w:cs="Arial"/>
          <w:b/>
          <w:sz w:val="20"/>
          <w:szCs w:val="20"/>
        </w:rPr>
      </w:pPr>
      <w:r w:rsidRPr="00814D0D">
        <w:rPr>
          <w:rFonts w:ascii="Arial" w:hAnsi="Arial" w:cs="Arial"/>
          <w:b/>
          <w:sz w:val="20"/>
          <w:szCs w:val="20"/>
        </w:rPr>
        <w:t xml:space="preserve">Reporting from the Policy Support Unit  </w:t>
      </w:r>
    </w:p>
    <w:p w14:paraId="568BB9F8" w14:textId="77777777" w:rsidR="00646C05" w:rsidRPr="00814D0D" w:rsidRDefault="00646C05" w:rsidP="002400F3">
      <w:pPr>
        <w:jc w:val="both"/>
        <w:rPr>
          <w:rFonts w:ascii="Arial" w:hAnsi="Arial" w:cs="Arial"/>
          <w:sz w:val="20"/>
        </w:rPr>
      </w:pPr>
    </w:p>
    <w:p w14:paraId="496A43DF" w14:textId="77777777" w:rsidR="00646C05" w:rsidRDefault="00646C05" w:rsidP="002400F3">
      <w:pPr>
        <w:numPr>
          <w:ilvl w:val="0"/>
          <w:numId w:val="3"/>
        </w:numPr>
        <w:jc w:val="both"/>
        <w:rPr>
          <w:rFonts w:ascii="Arial" w:hAnsi="Arial" w:cs="Arial"/>
          <w:sz w:val="20"/>
        </w:rPr>
      </w:pPr>
      <w:r w:rsidRPr="00814D0D">
        <w:rPr>
          <w:rFonts w:ascii="Arial" w:hAnsi="Arial" w:cs="Arial"/>
          <w:sz w:val="20"/>
        </w:rPr>
        <w:t>The P</w:t>
      </w:r>
      <w:r>
        <w:rPr>
          <w:rFonts w:ascii="Arial" w:hAnsi="Arial" w:cs="Arial"/>
          <w:sz w:val="20"/>
        </w:rPr>
        <w:t xml:space="preserve">olicy </w:t>
      </w:r>
      <w:r w:rsidRPr="00814D0D">
        <w:rPr>
          <w:rFonts w:ascii="Arial" w:hAnsi="Arial" w:cs="Arial"/>
          <w:sz w:val="20"/>
        </w:rPr>
        <w:t>S</w:t>
      </w:r>
      <w:r>
        <w:rPr>
          <w:rFonts w:ascii="Arial" w:hAnsi="Arial" w:cs="Arial"/>
          <w:sz w:val="20"/>
        </w:rPr>
        <w:t xml:space="preserve">upport </w:t>
      </w:r>
      <w:r w:rsidRPr="00814D0D">
        <w:rPr>
          <w:rFonts w:ascii="Arial" w:hAnsi="Arial" w:cs="Arial"/>
          <w:sz w:val="20"/>
        </w:rPr>
        <w:t>U</w:t>
      </w:r>
      <w:r>
        <w:rPr>
          <w:rFonts w:ascii="Arial" w:hAnsi="Arial" w:cs="Arial"/>
          <w:sz w:val="20"/>
        </w:rPr>
        <w:t>nit (PSU)</w:t>
      </w:r>
      <w:r w:rsidRPr="00814D0D">
        <w:rPr>
          <w:rFonts w:ascii="Arial" w:hAnsi="Arial" w:cs="Arial"/>
          <w:sz w:val="20"/>
        </w:rPr>
        <w:t xml:space="preserve"> </w:t>
      </w:r>
      <w:r>
        <w:rPr>
          <w:rFonts w:ascii="Arial" w:hAnsi="Arial" w:cs="Arial"/>
          <w:sz w:val="20"/>
        </w:rPr>
        <w:t>will</w:t>
      </w:r>
      <w:r w:rsidRPr="00814D0D">
        <w:rPr>
          <w:rFonts w:ascii="Arial" w:hAnsi="Arial" w:cs="Arial"/>
          <w:sz w:val="20"/>
        </w:rPr>
        <w:t xml:space="preserve"> prepare a short one- to two-page report</w:t>
      </w:r>
      <w:r>
        <w:rPr>
          <w:rFonts w:ascii="Arial" w:hAnsi="Arial" w:cs="Arial"/>
          <w:sz w:val="20"/>
        </w:rPr>
        <w:t xml:space="preserve"> </w:t>
      </w:r>
      <w:r w:rsidRPr="00814D0D">
        <w:rPr>
          <w:rFonts w:ascii="Arial" w:hAnsi="Arial" w:cs="Arial"/>
          <w:sz w:val="20"/>
        </w:rPr>
        <w:t>with key highlights on members’ main achievements and remaining areas for improvement in the year of review. This would include information setting out the prevailing situation of trade and investment liberalization and facilitation of the economies, and use, where possible, indicators to facilitate the assessment. Economies would have the opportunity to examine the PSU’s report ahead of the SOM discussion</w:t>
      </w:r>
      <w:r>
        <w:rPr>
          <w:rFonts w:ascii="Arial" w:hAnsi="Arial" w:cs="Arial"/>
          <w:sz w:val="20"/>
        </w:rPr>
        <w:t xml:space="preserve">, </w:t>
      </w:r>
      <w:r w:rsidRPr="00814D0D">
        <w:rPr>
          <w:rFonts w:ascii="Arial" w:hAnsi="Arial" w:cs="Arial"/>
          <w:sz w:val="20"/>
        </w:rPr>
        <w:t>preferably with a few months’ leeway to ensure that each economy has suffi</w:t>
      </w:r>
      <w:r>
        <w:rPr>
          <w:rFonts w:ascii="Arial" w:hAnsi="Arial" w:cs="Arial"/>
          <w:sz w:val="20"/>
        </w:rPr>
        <w:t>cient time to review the report</w:t>
      </w:r>
      <w:r w:rsidRPr="00814D0D">
        <w:rPr>
          <w:rFonts w:ascii="Arial" w:hAnsi="Arial" w:cs="Arial"/>
          <w:sz w:val="20"/>
        </w:rPr>
        <w:t xml:space="preserve">, </w:t>
      </w:r>
      <w:r>
        <w:rPr>
          <w:rFonts w:ascii="Arial" w:hAnsi="Arial" w:cs="Arial"/>
          <w:sz w:val="20"/>
        </w:rPr>
        <w:t xml:space="preserve">make comments </w:t>
      </w:r>
      <w:r w:rsidRPr="00814D0D">
        <w:rPr>
          <w:rFonts w:ascii="Arial" w:hAnsi="Arial" w:cs="Arial"/>
          <w:sz w:val="20"/>
        </w:rPr>
        <w:t>and highlight any factual errors</w:t>
      </w:r>
      <w:r>
        <w:rPr>
          <w:rFonts w:ascii="Arial" w:hAnsi="Arial" w:cs="Arial"/>
          <w:sz w:val="20"/>
        </w:rPr>
        <w:t>, if any</w:t>
      </w:r>
      <w:r w:rsidRPr="00814D0D">
        <w:rPr>
          <w:rFonts w:ascii="Arial" w:hAnsi="Arial" w:cs="Arial"/>
          <w:sz w:val="20"/>
        </w:rPr>
        <w:t>. S</w:t>
      </w:r>
      <w:r>
        <w:rPr>
          <w:rFonts w:ascii="Arial" w:hAnsi="Arial" w:cs="Arial"/>
          <w:sz w:val="20"/>
        </w:rPr>
        <w:t xml:space="preserve">enior Officials </w:t>
      </w:r>
      <w:r w:rsidRPr="00814D0D">
        <w:rPr>
          <w:rFonts w:ascii="Arial" w:hAnsi="Arial" w:cs="Arial"/>
          <w:sz w:val="20"/>
        </w:rPr>
        <w:t>w</w:t>
      </w:r>
      <w:r>
        <w:rPr>
          <w:rFonts w:ascii="Arial" w:hAnsi="Arial" w:cs="Arial"/>
          <w:sz w:val="20"/>
        </w:rPr>
        <w:t>ill</w:t>
      </w:r>
      <w:r w:rsidRPr="00814D0D">
        <w:rPr>
          <w:rFonts w:ascii="Arial" w:hAnsi="Arial" w:cs="Arial"/>
          <w:sz w:val="20"/>
        </w:rPr>
        <w:t xml:space="preserve"> also have an opportunity to respond to the PSU’s report at the</w:t>
      </w:r>
      <w:r>
        <w:rPr>
          <w:rFonts w:ascii="Arial" w:hAnsi="Arial" w:cs="Arial"/>
          <w:sz w:val="20"/>
        </w:rPr>
        <w:t>ir</w:t>
      </w:r>
      <w:r w:rsidRPr="00814D0D">
        <w:rPr>
          <w:rFonts w:ascii="Arial" w:hAnsi="Arial" w:cs="Arial"/>
          <w:sz w:val="20"/>
        </w:rPr>
        <w:t xml:space="preserve"> meeting, and also pose questions to each other, before </w:t>
      </w:r>
      <w:r>
        <w:rPr>
          <w:rFonts w:ascii="Arial" w:hAnsi="Arial" w:cs="Arial" w:hint="eastAsia"/>
          <w:sz w:val="20"/>
        </w:rPr>
        <w:t>it</w:t>
      </w:r>
      <w:r w:rsidRPr="00814D0D">
        <w:rPr>
          <w:rFonts w:ascii="Arial" w:hAnsi="Arial" w:cs="Arial"/>
          <w:sz w:val="20"/>
        </w:rPr>
        <w:t xml:space="preserve"> is finalized and made public</w:t>
      </w:r>
      <w:r>
        <w:rPr>
          <w:rFonts w:ascii="Arial" w:hAnsi="Arial" w:cs="Arial" w:hint="eastAsia"/>
          <w:sz w:val="20"/>
        </w:rPr>
        <w:t xml:space="preserve"> as an independent report by PSU</w:t>
      </w:r>
      <w:r w:rsidRPr="00814D0D">
        <w:rPr>
          <w:rFonts w:ascii="Arial" w:hAnsi="Arial" w:cs="Arial"/>
          <w:sz w:val="20"/>
        </w:rPr>
        <w:t>.</w:t>
      </w:r>
    </w:p>
    <w:p w14:paraId="0CBAA79E" w14:textId="77777777" w:rsidR="00646C05" w:rsidRDefault="00646C05" w:rsidP="002400F3">
      <w:pPr>
        <w:ind w:left="720"/>
        <w:jc w:val="both"/>
        <w:rPr>
          <w:rFonts w:ascii="Arial" w:hAnsi="Arial" w:cs="Arial"/>
          <w:sz w:val="20"/>
        </w:rPr>
      </w:pPr>
    </w:p>
    <w:p w14:paraId="6FBD178F" w14:textId="77777777" w:rsidR="00646C05" w:rsidRPr="00814D0D" w:rsidRDefault="00646C05" w:rsidP="002400F3">
      <w:pPr>
        <w:numPr>
          <w:ilvl w:val="0"/>
          <w:numId w:val="3"/>
        </w:numPr>
        <w:jc w:val="both"/>
        <w:rPr>
          <w:rFonts w:ascii="Arial" w:hAnsi="Arial" w:cs="Arial"/>
          <w:sz w:val="20"/>
        </w:rPr>
      </w:pPr>
      <w:r>
        <w:rPr>
          <w:rFonts w:ascii="Arial" w:hAnsi="Arial" w:cs="Arial"/>
          <w:sz w:val="20"/>
        </w:rPr>
        <w:t>In response to ABAC’s recommendation, t</w:t>
      </w:r>
      <w:r w:rsidRPr="00814D0D">
        <w:rPr>
          <w:rFonts w:ascii="Arial" w:hAnsi="Arial" w:cs="Arial"/>
          <w:sz w:val="20"/>
        </w:rPr>
        <w:t xml:space="preserve">he PSU </w:t>
      </w:r>
      <w:r>
        <w:rPr>
          <w:rFonts w:ascii="Arial" w:hAnsi="Arial" w:cs="Arial"/>
          <w:sz w:val="20"/>
        </w:rPr>
        <w:t xml:space="preserve">will also prepare a “Dashboard” to complement the brief report abovementioned. </w:t>
      </w:r>
    </w:p>
    <w:p w14:paraId="443DCDDF" w14:textId="77777777" w:rsidR="00646C05" w:rsidRPr="00814D0D" w:rsidRDefault="00646C05" w:rsidP="002400F3">
      <w:pPr>
        <w:jc w:val="both"/>
        <w:rPr>
          <w:rFonts w:ascii="Arial" w:hAnsi="Arial" w:cs="Arial"/>
          <w:sz w:val="20"/>
        </w:rPr>
      </w:pPr>
    </w:p>
    <w:p w14:paraId="120FC6D8" w14:textId="77777777" w:rsidR="00646C05" w:rsidRPr="00814D0D" w:rsidRDefault="00646C05" w:rsidP="002400F3">
      <w:pPr>
        <w:pStyle w:val="MediumGrid1-Accent22"/>
        <w:numPr>
          <w:ilvl w:val="0"/>
          <w:numId w:val="1"/>
        </w:numPr>
        <w:jc w:val="both"/>
        <w:rPr>
          <w:rFonts w:ascii="Arial" w:hAnsi="Arial" w:cs="Arial"/>
          <w:b/>
          <w:sz w:val="20"/>
          <w:szCs w:val="20"/>
        </w:rPr>
      </w:pPr>
      <w:r w:rsidRPr="00814D0D">
        <w:rPr>
          <w:rFonts w:ascii="Arial" w:hAnsi="Arial" w:cs="Arial"/>
          <w:b/>
          <w:sz w:val="20"/>
          <w:szCs w:val="20"/>
        </w:rPr>
        <w:t xml:space="preserve">IAP Peer Review Process </w:t>
      </w:r>
    </w:p>
    <w:p w14:paraId="024C165A" w14:textId="77777777" w:rsidR="00646C05" w:rsidRPr="00814D0D" w:rsidRDefault="00646C05" w:rsidP="002400F3">
      <w:pPr>
        <w:pStyle w:val="MediumGrid1-Accent22"/>
        <w:jc w:val="both"/>
        <w:rPr>
          <w:rFonts w:ascii="Arial" w:hAnsi="Arial" w:cs="Arial"/>
          <w:sz w:val="20"/>
          <w:szCs w:val="20"/>
        </w:rPr>
      </w:pPr>
      <w:r w:rsidRPr="00814D0D">
        <w:rPr>
          <w:rFonts w:ascii="Arial" w:hAnsi="Arial" w:cs="Arial"/>
          <w:sz w:val="20"/>
          <w:szCs w:val="20"/>
        </w:rPr>
        <w:t xml:space="preserve"> </w:t>
      </w:r>
    </w:p>
    <w:p w14:paraId="3C0231EB" w14:textId="77777777" w:rsidR="00646C05" w:rsidRDefault="00646C05" w:rsidP="002400F3">
      <w:pPr>
        <w:ind w:left="720"/>
        <w:jc w:val="both"/>
        <w:rPr>
          <w:rFonts w:ascii="Arial" w:hAnsi="Arial" w:cs="Arial"/>
          <w:sz w:val="20"/>
        </w:rPr>
      </w:pPr>
      <w:r>
        <w:rPr>
          <w:rFonts w:ascii="Arial" w:hAnsi="Arial" w:cs="Arial"/>
          <w:sz w:val="20"/>
        </w:rPr>
        <w:t xml:space="preserve">Regular Senior Officials’ review </w:t>
      </w:r>
    </w:p>
    <w:p w14:paraId="3B41D931" w14:textId="77777777" w:rsidR="00646C05" w:rsidRDefault="00646C05" w:rsidP="002400F3">
      <w:pPr>
        <w:ind w:left="720"/>
        <w:jc w:val="both"/>
        <w:rPr>
          <w:rFonts w:ascii="Arial" w:hAnsi="Arial" w:cs="Arial"/>
          <w:sz w:val="20"/>
        </w:rPr>
      </w:pPr>
    </w:p>
    <w:p w14:paraId="68360EF4" w14:textId="77777777" w:rsidR="00646C05" w:rsidRDefault="00646C05" w:rsidP="002400F3">
      <w:pPr>
        <w:numPr>
          <w:ilvl w:val="0"/>
          <w:numId w:val="3"/>
        </w:numPr>
        <w:jc w:val="both"/>
        <w:rPr>
          <w:rFonts w:ascii="Arial" w:hAnsi="Arial" w:cs="Arial"/>
          <w:sz w:val="20"/>
        </w:rPr>
      </w:pPr>
      <w:r>
        <w:rPr>
          <w:rFonts w:ascii="Arial" w:hAnsi="Arial" w:cs="Arial"/>
          <w:sz w:val="20"/>
        </w:rPr>
        <w:t>Economies</w:t>
      </w:r>
      <w:r w:rsidRPr="00AF6F41">
        <w:rPr>
          <w:rFonts w:ascii="Arial" w:hAnsi="Arial" w:cs="Arial"/>
          <w:i/>
          <w:sz w:val="20"/>
        </w:rPr>
        <w:t xml:space="preserve"> </w:t>
      </w:r>
      <w:r w:rsidRPr="00184CED">
        <w:rPr>
          <w:rFonts w:ascii="Arial" w:hAnsi="Arial" w:cs="Arial"/>
          <w:sz w:val="20"/>
        </w:rPr>
        <w:t xml:space="preserve">will </w:t>
      </w:r>
      <w:r>
        <w:rPr>
          <w:rFonts w:ascii="Arial" w:hAnsi="Arial" w:cs="Arial"/>
          <w:sz w:val="20"/>
        </w:rPr>
        <w:t xml:space="preserve">be </w:t>
      </w:r>
      <w:r w:rsidRPr="00184CED">
        <w:rPr>
          <w:rFonts w:ascii="Arial" w:hAnsi="Arial" w:cs="Arial"/>
          <w:sz w:val="20"/>
        </w:rPr>
        <w:t>review</w:t>
      </w:r>
      <w:r>
        <w:rPr>
          <w:rFonts w:ascii="Arial" w:hAnsi="Arial" w:cs="Arial"/>
          <w:sz w:val="20"/>
        </w:rPr>
        <w:t>ed</w:t>
      </w:r>
      <w:r w:rsidRPr="00184CED">
        <w:rPr>
          <w:rFonts w:ascii="Arial" w:hAnsi="Arial" w:cs="Arial"/>
          <w:sz w:val="20"/>
        </w:rPr>
        <w:t xml:space="preserve"> by Senior Officials in: 2012, 2014, and 2018</w:t>
      </w:r>
      <w:r>
        <w:rPr>
          <w:rFonts w:ascii="Arial" w:hAnsi="Arial" w:cs="Arial"/>
          <w:sz w:val="20"/>
        </w:rPr>
        <w:t>.  In each previous year, the CTI will table for SOM’s endorsement the schedule to prepare the IAP submission and PSU report, taking into account the calendar for that APEC’s year.</w:t>
      </w:r>
    </w:p>
    <w:p w14:paraId="7CE8A4E4" w14:textId="77777777" w:rsidR="00646C05" w:rsidRDefault="00646C05" w:rsidP="002400F3">
      <w:pPr>
        <w:pStyle w:val="ListParagraph"/>
        <w:rPr>
          <w:rFonts w:ascii="Arial" w:hAnsi="Arial" w:cs="Arial"/>
          <w:sz w:val="20"/>
          <w:szCs w:val="20"/>
        </w:rPr>
      </w:pPr>
    </w:p>
    <w:p w14:paraId="040AC182" w14:textId="77777777" w:rsidR="00646C05" w:rsidRDefault="00646C05" w:rsidP="002400F3">
      <w:pPr>
        <w:numPr>
          <w:ilvl w:val="0"/>
          <w:numId w:val="3"/>
        </w:numPr>
        <w:jc w:val="both"/>
        <w:rPr>
          <w:rFonts w:ascii="Arial" w:hAnsi="Arial" w:cs="Arial"/>
          <w:sz w:val="20"/>
        </w:rPr>
      </w:pPr>
      <w:r>
        <w:rPr>
          <w:rFonts w:ascii="Arial" w:hAnsi="Arial" w:cs="Arial"/>
          <w:sz w:val="20"/>
        </w:rPr>
        <w:t xml:space="preserve">For 2012, </w:t>
      </w:r>
      <w:r w:rsidRPr="00184CED">
        <w:rPr>
          <w:rFonts w:ascii="Arial" w:hAnsi="Arial" w:cs="Arial"/>
          <w:sz w:val="20"/>
        </w:rPr>
        <w:t xml:space="preserve">economies </w:t>
      </w:r>
      <w:r>
        <w:rPr>
          <w:rFonts w:ascii="Arial" w:hAnsi="Arial" w:cs="Arial"/>
          <w:sz w:val="20"/>
        </w:rPr>
        <w:t xml:space="preserve">will submit their templates by SOM1, February 2012. Senior Officials will discuss the </w:t>
      </w:r>
      <w:r w:rsidRPr="00184CED">
        <w:rPr>
          <w:rFonts w:ascii="Arial" w:hAnsi="Arial" w:cs="Arial"/>
          <w:sz w:val="20"/>
        </w:rPr>
        <w:t xml:space="preserve">brief reports </w:t>
      </w:r>
      <w:r>
        <w:rPr>
          <w:rFonts w:ascii="Arial" w:hAnsi="Arial" w:cs="Arial"/>
          <w:sz w:val="20"/>
        </w:rPr>
        <w:t xml:space="preserve">prepared by the PSU </w:t>
      </w:r>
      <w:r w:rsidRPr="00184CED">
        <w:rPr>
          <w:rFonts w:ascii="Arial" w:hAnsi="Arial" w:cs="Arial"/>
          <w:sz w:val="20"/>
        </w:rPr>
        <w:t>by SOM2</w:t>
      </w:r>
      <w:r>
        <w:rPr>
          <w:rFonts w:ascii="Arial" w:hAnsi="Arial" w:cs="Arial"/>
          <w:sz w:val="20"/>
        </w:rPr>
        <w:t xml:space="preserve">, </w:t>
      </w:r>
      <w:r w:rsidRPr="00184CED">
        <w:rPr>
          <w:rFonts w:ascii="Arial" w:hAnsi="Arial" w:cs="Arial"/>
          <w:sz w:val="20"/>
        </w:rPr>
        <w:t>June/July 2012</w:t>
      </w:r>
      <w:r>
        <w:rPr>
          <w:rFonts w:ascii="Arial" w:hAnsi="Arial" w:cs="Arial"/>
          <w:sz w:val="20"/>
        </w:rPr>
        <w:t>.</w:t>
      </w:r>
    </w:p>
    <w:p w14:paraId="2BAE4350" w14:textId="77777777" w:rsidR="00646C05" w:rsidRDefault="00646C05" w:rsidP="002400F3">
      <w:pPr>
        <w:ind w:left="720"/>
        <w:jc w:val="both"/>
        <w:rPr>
          <w:rFonts w:ascii="Arial" w:hAnsi="Arial" w:cs="Arial"/>
          <w:sz w:val="20"/>
        </w:rPr>
      </w:pPr>
    </w:p>
    <w:p w14:paraId="5759188C" w14:textId="77777777" w:rsidR="00646C05" w:rsidRPr="00814D0D" w:rsidRDefault="00646C05" w:rsidP="002400F3">
      <w:pPr>
        <w:ind w:left="720"/>
        <w:jc w:val="both"/>
        <w:rPr>
          <w:rFonts w:ascii="Arial" w:hAnsi="Arial" w:cs="Arial"/>
          <w:sz w:val="20"/>
        </w:rPr>
      </w:pPr>
      <w:r w:rsidRPr="00814D0D">
        <w:rPr>
          <w:rFonts w:ascii="Arial" w:hAnsi="Arial" w:cs="Arial"/>
          <w:sz w:val="20"/>
        </w:rPr>
        <w:t xml:space="preserve">Second-term review </w:t>
      </w:r>
    </w:p>
    <w:p w14:paraId="100F8D73" w14:textId="77777777" w:rsidR="00646C05" w:rsidRPr="00814D0D" w:rsidRDefault="00646C05" w:rsidP="002400F3">
      <w:pPr>
        <w:ind w:left="720"/>
        <w:jc w:val="both"/>
        <w:rPr>
          <w:rFonts w:ascii="Arial" w:hAnsi="Arial" w:cs="Arial"/>
          <w:sz w:val="20"/>
        </w:rPr>
      </w:pPr>
    </w:p>
    <w:p w14:paraId="3FB23F68"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Economies w</w:t>
      </w:r>
      <w:r>
        <w:rPr>
          <w:rFonts w:ascii="Arial" w:hAnsi="Arial" w:cs="Arial"/>
          <w:sz w:val="20"/>
        </w:rPr>
        <w:t xml:space="preserve">ill be assessed in </w:t>
      </w:r>
      <w:r w:rsidRPr="00814D0D">
        <w:rPr>
          <w:rFonts w:ascii="Arial" w:hAnsi="Arial" w:cs="Arial"/>
          <w:sz w:val="20"/>
        </w:rPr>
        <w:t xml:space="preserve">2016, as a second term review. </w:t>
      </w:r>
    </w:p>
    <w:p w14:paraId="34374F53" w14:textId="77777777" w:rsidR="00646C05" w:rsidRPr="005C10ED" w:rsidRDefault="00646C05" w:rsidP="002400F3">
      <w:pPr>
        <w:numPr>
          <w:ilvl w:val="0"/>
          <w:numId w:val="3"/>
        </w:numPr>
        <w:jc w:val="both"/>
        <w:rPr>
          <w:rFonts w:ascii="Arial" w:hAnsi="Arial" w:cs="Arial"/>
          <w:sz w:val="20"/>
        </w:rPr>
      </w:pPr>
      <w:r w:rsidRPr="00814D0D">
        <w:rPr>
          <w:rFonts w:ascii="Arial" w:hAnsi="Arial" w:cs="Arial"/>
          <w:sz w:val="20"/>
        </w:rPr>
        <w:t xml:space="preserve">2010 economies </w:t>
      </w:r>
      <w:r>
        <w:rPr>
          <w:rFonts w:ascii="Arial" w:hAnsi="Arial" w:cs="Arial"/>
          <w:sz w:val="20"/>
        </w:rPr>
        <w:t xml:space="preserve">might give emphasis </w:t>
      </w:r>
      <w:r w:rsidRPr="00814D0D">
        <w:rPr>
          <w:rFonts w:ascii="Arial" w:hAnsi="Arial" w:cs="Arial"/>
          <w:sz w:val="20"/>
        </w:rPr>
        <w:t xml:space="preserve">to those areas where shortcomings were highlighted in the </w:t>
      </w:r>
      <w:r w:rsidRPr="002854FE">
        <w:rPr>
          <w:rFonts w:ascii="Arial" w:hAnsi="Arial" w:cs="Arial"/>
          <w:sz w:val="20"/>
        </w:rPr>
        <w:t>Leaders' Statement on 2010 Bogor Goals Assessment</w:t>
      </w:r>
      <w:r w:rsidRPr="005C10ED">
        <w:rPr>
          <w:rFonts w:ascii="Arial" w:hAnsi="Arial" w:cs="Arial"/>
          <w:sz w:val="20"/>
        </w:rPr>
        <w:t xml:space="preserve">. </w:t>
      </w:r>
    </w:p>
    <w:p w14:paraId="48EAF520"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 xml:space="preserve">The host economy in 2016 supported by the APEC Secretariat and the </w:t>
      </w:r>
      <w:r w:rsidRPr="002854FE">
        <w:rPr>
          <w:rFonts w:ascii="Arial" w:hAnsi="Arial" w:cs="Arial"/>
          <w:sz w:val="20"/>
        </w:rPr>
        <w:t>PSU</w:t>
      </w:r>
      <w:r w:rsidRPr="00814D0D">
        <w:rPr>
          <w:rFonts w:ascii="Arial" w:hAnsi="Arial" w:cs="Arial"/>
          <w:sz w:val="20"/>
        </w:rPr>
        <w:t xml:space="preserve"> w</w:t>
      </w:r>
      <w:r>
        <w:rPr>
          <w:rFonts w:ascii="Arial" w:hAnsi="Arial" w:cs="Arial"/>
          <w:sz w:val="20"/>
        </w:rPr>
        <w:t>ill</w:t>
      </w:r>
      <w:r w:rsidRPr="00814D0D">
        <w:rPr>
          <w:rFonts w:ascii="Arial" w:hAnsi="Arial" w:cs="Arial"/>
          <w:sz w:val="20"/>
        </w:rPr>
        <w:t xml:space="preserve"> lead the assessment based on the information provided in the </w:t>
      </w:r>
      <w:r w:rsidRPr="00630636">
        <w:rPr>
          <w:rFonts w:ascii="Arial" w:hAnsi="Arial" w:cs="Arial"/>
          <w:i/>
          <w:sz w:val="20"/>
        </w:rPr>
        <w:t>IAP Template</w:t>
      </w:r>
      <w:r w:rsidRPr="002854FE">
        <w:rPr>
          <w:rFonts w:ascii="Arial" w:hAnsi="Arial" w:cs="Arial"/>
          <w:sz w:val="20"/>
        </w:rPr>
        <w:t>, and also</w:t>
      </w:r>
      <w:r w:rsidRPr="00814D0D">
        <w:rPr>
          <w:rFonts w:ascii="Arial" w:hAnsi="Arial" w:cs="Arial"/>
          <w:sz w:val="20"/>
        </w:rPr>
        <w:t xml:space="preserve"> information setting out the prevailing situation of trade and investment liberalization and facilitation of the economies, and use, where possible, indicators to facilitate the assessment.</w:t>
      </w:r>
      <w:r w:rsidRPr="002854FE">
        <w:rPr>
          <w:rFonts w:ascii="Arial" w:hAnsi="Arial" w:cs="Arial"/>
          <w:sz w:val="20"/>
        </w:rPr>
        <w:t xml:space="preserve"> </w:t>
      </w:r>
    </w:p>
    <w:p w14:paraId="78CA9B85"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 xml:space="preserve">The APEC Secretariat and the PSU </w:t>
      </w:r>
      <w:r>
        <w:rPr>
          <w:rFonts w:ascii="Arial" w:hAnsi="Arial" w:cs="Arial"/>
          <w:sz w:val="20"/>
        </w:rPr>
        <w:t>could</w:t>
      </w:r>
      <w:r w:rsidRPr="00814D0D">
        <w:rPr>
          <w:rFonts w:ascii="Arial" w:hAnsi="Arial" w:cs="Arial"/>
          <w:sz w:val="20"/>
        </w:rPr>
        <w:t xml:space="preserve"> complement this assessment by using, where appropriate, data from the World Trade Organization, International Monetary Fund and other respectable sources, considering that data could be available for tariffs, </w:t>
      </w:r>
      <w:r w:rsidRPr="002854FE">
        <w:rPr>
          <w:rFonts w:ascii="Arial" w:hAnsi="Arial" w:cs="Arial"/>
          <w:sz w:val="20"/>
        </w:rPr>
        <w:t xml:space="preserve">but </w:t>
      </w:r>
      <w:r w:rsidRPr="00814D0D">
        <w:rPr>
          <w:rFonts w:ascii="Arial" w:hAnsi="Arial" w:cs="Arial"/>
          <w:sz w:val="20"/>
        </w:rPr>
        <w:t>similar information for non-tariff measures, services and investment might be less visible.</w:t>
      </w:r>
    </w:p>
    <w:p w14:paraId="0FBD47CA" w14:textId="77777777" w:rsidR="00646C05" w:rsidRPr="00814D0D" w:rsidRDefault="00646C05" w:rsidP="002400F3">
      <w:pPr>
        <w:jc w:val="both"/>
        <w:rPr>
          <w:rFonts w:ascii="Arial" w:hAnsi="Arial" w:cs="Arial"/>
          <w:sz w:val="20"/>
        </w:rPr>
      </w:pPr>
    </w:p>
    <w:p w14:paraId="6B77B745" w14:textId="77777777" w:rsidR="00646C05" w:rsidRPr="00814D0D" w:rsidRDefault="00646C05" w:rsidP="002400F3">
      <w:pPr>
        <w:ind w:left="720"/>
        <w:jc w:val="both"/>
        <w:rPr>
          <w:rFonts w:ascii="Arial" w:hAnsi="Arial" w:cs="Arial"/>
          <w:sz w:val="20"/>
        </w:rPr>
      </w:pPr>
      <w:r w:rsidRPr="00814D0D">
        <w:rPr>
          <w:rFonts w:ascii="Arial" w:hAnsi="Arial" w:cs="Arial"/>
          <w:sz w:val="20"/>
        </w:rPr>
        <w:t xml:space="preserve">Final Assessment </w:t>
      </w:r>
    </w:p>
    <w:p w14:paraId="6ABEB651" w14:textId="77777777" w:rsidR="00646C05" w:rsidRPr="00814D0D" w:rsidRDefault="00646C05" w:rsidP="002400F3">
      <w:pPr>
        <w:jc w:val="both"/>
        <w:rPr>
          <w:rFonts w:ascii="Arial" w:hAnsi="Arial" w:cs="Arial"/>
          <w:sz w:val="20"/>
        </w:rPr>
      </w:pPr>
    </w:p>
    <w:p w14:paraId="31654321"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In 2020, economies w</w:t>
      </w:r>
      <w:r>
        <w:rPr>
          <w:rFonts w:ascii="Arial" w:hAnsi="Arial" w:cs="Arial"/>
          <w:sz w:val="20"/>
        </w:rPr>
        <w:t>ill</w:t>
      </w:r>
      <w:r w:rsidRPr="00814D0D">
        <w:rPr>
          <w:rFonts w:ascii="Arial" w:hAnsi="Arial" w:cs="Arial"/>
          <w:sz w:val="20"/>
        </w:rPr>
        <w:t xml:space="preserve"> undertake a final assessment toward the achievement of the Bogor Goals. </w:t>
      </w:r>
    </w:p>
    <w:p w14:paraId="14CD0C94"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 xml:space="preserve">The template prepared by </w:t>
      </w:r>
      <w:smartTag w:uri="urn:schemas-microsoft-com:office:smarttags" w:element="place">
        <w:smartTag w:uri="urn:schemas-microsoft-com:office:smarttags" w:element="country-region">
          <w:r w:rsidRPr="00814D0D">
            <w:rPr>
              <w:rFonts w:ascii="Arial" w:hAnsi="Arial" w:cs="Arial"/>
              <w:sz w:val="20"/>
            </w:rPr>
            <w:t>Japan</w:t>
          </w:r>
        </w:smartTag>
      </w:smartTag>
      <w:r w:rsidRPr="00814D0D">
        <w:rPr>
          <w:rFonts w:ascii="Arial" w:hAnsi="Arial" w:cs="Arial"/>
          <w:sz w:val="20"/>
        </w:rPr>
        <w:t xml:space="preserve"> in 2010 could be used as the basis for the evaluation, to be consistent as much as possible with the 2010 assessment. </w:t>
      </w:r>
    </w:p>
    <w:p w14:paraId="1968371A"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The host economy in 2020 supported by the APEC Secretariat, the PSU w</w:t>
      </w:r>
      <w:r>
        <w:rPr>
          <w:rFonts w:ascii="Arial" w:hAnsi="Arial" w:cs="Arial"/>
          <w:sz w:val="20"/>
        </w:rPr>
        <w:t>ill</w:t>
      </w:r>
      <w:r w:rsidRPr="00814D0D">
        <w:rPr>
          <w:rFonts w:ascii="Arial" w:hAnsi="Arial" w:cs="Arial"/>
          <w:sz w:val="20"/>
        </w:rPr>
        <w:t xml:space="preserve"> lead the assessment based on the individual IAP reports and information provided in the abovementioned templates. </w:t>
      </w:r>
    </w:p>
    <w:p w14:paraId="4E168FCD" w14:textId="77777777" w:rsidR="00646C05" w:rsidRPr="00814D0D" w:rsidRDefault="00646C05" w:rsidP="002400F3">
      <w:pPr>
        <w:numPr>
          <w:ilvl w:val="0"/>
          <w:numId w:val="3"/>
        </w:numPr>
        <w:jc w:val="both"/>
        <w:rPr>
          <w:rFonts w:ascii="Arial" w:hAnsi="Arial" w:cs="Arial"/>
          <w:sz w:val="20"/>
        </w:rPr>
      </w:pPr>
      <w:r w:rsidRPr="00814D0D">
        <w:rPr>
          <w:rFonts w:ascii="Arial" w:hAnsi="Arial" w:cs="Arial"/>
          <w:sz w:val="20"/>
        </w:rPr>
        <w:t>The APEC Secretariat and the PSU could complement this assessment by using, where appropriate, data from the World Trade Organization or other international organizations.</w:t>
      </w:r>
    </w:p>
    <w:p w14:paraId="52977D85" w14:textId="77777777" w:rsidR="00646C05" w:rsidRDefault="00646C05" w:rsidP="002400F3">
      <w:pPr>
        <w:jc w:val="both"/>
        <w:rPr>
          <w:rFonts w:ascii="Arial" w:hAnsi="Arial" w:cs="Arial"/>
          <w:sz w:val="20"/>
        </w:rPr>
      </w:pPr>
    </w:p>
    <w:p w14:paraId="18B72D30" w14:textId="77777777" w:rsidR="00646C05" w:rsidRDefault="00646C05" w:rsidP="002400F3">
      <w:pPr>
        <w:jc w:val="both"/>
        <w:rPr>
          <w:rFonts w:ascii="Arial" w:hAnsi="Arial" w:cs="Arial"/>
          <w:sz w:val="20"/>
        </w:rPr>
      </w:pPr>
    </w:p>
    <w:p w14:paraId="464D440F" w14:textId="77777777" w:rsidR="00646C05" w:rsidRPr="00814D0D" w:rsidRDefault="00646C05" w:rsidP="002400F3">
      <w:pPr>
        <w:jc w:val="both"/>
        <w:rPr>
          <w:rFonts w:ascii="Arial" w:hAnsi="Arial" w:cs="Arial"/>
          <w:sz w:val="20"/>
        </w:rPr>
      </w:pPr>
    </w:p>
    <w:p w14:paraId="1D38C114" w14:textId="77777777" w:rsidR="00646C05" w:rsidRPr="00814D0D" w:rsidRDefault="00646C05" w:rsidP="002400F3">
      <w:pPr>
        <w:pStyle w:val="MediumGrid1-Accent22"/>
        <w:numPr>
          <w:ilvl w:val="0"/>
          <w:numId w:val="1"/>
        </w:numPr>
        <w:jc w:val="both"/>
        <w:rPr>
          <w:rFonts w:ascii="Arial" w:hAnsi="Arial" w:cs="Arial"/>
          <w:b/>
          <w:sz w:val="20"/>
          <w:szCs w:val="20"/>
        </w:rPr>
      </w:pPr>
      <w:r>
        <w:rPr>
          <w:rFonts w:ascii="Arial" w:hAnsi="Arial" w:cs="Arial"/>
          <w:b/>
          <w:sz w:val="20"/>
          <w:szCs w:val="20"/>
        </w:rPr>
        <w:t xml:space="preserve">Public Access to the IAP Information </w:t>
      </w:r>
    </w:p>
    <w:p w14:paraId="2553D6A3" w14:textId="77777777" w:rsidR="00646C05" w:rsidRPr="00814D0D" w:rsidRDefault="00646C05" w:rsidP="002400F3">
      <w:pPr>
        <w:pStyle w:val="MediumGrid1-Accent22"/>
        <w:jc w:val="both"/>
        <w:rPr>
          <w:rFonts w:ascii="Arial" w:hAnsi="Arial" w:cs="Arial"/>
          <w:sz w:val="20"/>
          <w:szCs w:val="20"/>
        </w:rPr>
      </w:pPr>
    </w:p>
    <w:p w14:paraId="1C5DF1CD" w14:textId="77777777" w:rsidR="00646C05" w:rsidRPr="005C10ED" w:rsidRDefault="00646C05" w:rsidP="002400F3">
      <w:pPr>
        <w:numPr>
          <w:ilvl w:val="0"/>
          <w:numId w:val="3"/>
        </w:numPr>
        <w:jc w:val="both"/>
        <w:rPr>
          <w:rFonts w:ascii="Arial" w:hAnsi="Arial" w:cs="Arial"/>
          <w:sz w:val="20"/>
        </w:rPr>
      </w:pPr>
      <w:r>
        <w:rPr>
          <w:rFonts w:ascii="Arial" w:hAnsi="Arial" w:cs="Arial"/>
          <w:sz w:val="20"/>
        </w:rPr>
        <w:lastRenderedPageBreak/>
        <w:t>T</w:t>
      </w:r>
      <w:r w:rsidRPr="00814D0D">
        <w:rPr>
          <w:rFonts w:ascii="Arial" w:hAnsi="Arial" w:cs="Arial"/>
          <w:sz w:val="20"/>
        </w:rPr>
        <w:t xml:space="preserve">he APEC Secretariat and the PSU would make the </w:t>
      </w:r>
      <w:r>
        <w:rPr>
          <w:rFonts w:ascii="Arial" w:hAnsi="Arial" w:cs="Arial"/>
          <w:sz w:val="20"/>
        </w:rPr>
        <w:t>APEC-IAP</w:t>
      </w:r>
      <w:r w:rsidRPr="00814D0D">
        <w:rPr>
          <w:rFonts w:ascii="Arial" w:hAnsi="Arial" w:cs="Arial"/>
          <w:sz w:val="20"/>
        </w:rPr>
        <w:t xml:space="preserve"> website more user-friendly as well as improve its funct</w:t>
      </w:r>
      <w:r>
        <w:rPr>
          <w:rFonts w:ascii="Arial" w:hAnsi="Arial" w:cs="Arial"/>
          <w:sz w:val="20"/>
        </w:rPr>
        <w:t>ionality, among other measures</w:t>
      </w:r>
      <w:r w:rsidRPr="00814D0D">
        <w:rPr>
          <w:rFonts w:ascii="Arial" w:hAnsi="Arial" w:cs="Arial"/>
          <w:sz w:val="20"/>
        </w:rPr>
        <w:t xml:space="preserve">: i) the </w:t>
      </w:r>
      <w:r w:rsidRPr="00810CD5">
        <w:rPr>
          <w:rFonts w:ascii="Arial" w:hAnsi="Arial" w:cs="Arial"/>
          <w:i/>
          <w:sz w:val="20"/>
        </w:rPr>
        <w:t>IAP Template</w:t>
      </w:r>
      <w:r>
        <w:rPr>
          <w:rFonts w:ascii="Arial" w:hAnsi="Arial" w:cs="Arial"/>
          <w:sz w:val="20"/>
        </w:rPr>
        <w:t xml:space="preserve"> might</w:t>
      </w:r>
      <w:r w:rsidRPr="00814D0D">
        <w:rPr>
          <w:rFonts w:ascii="Arial" w:hAnsi="Arial" w:cs="Arial"/>
          <w:sz w:val="20"/>
        </w:rPr>
        <w:t xml:space="preserve"> be divided by chapters, so users can download only the section of their interest; and ii) to include a point of contact in the APEC Secretariat to attend requests for further information. Additionally, visits to the website could be tracked. </w:t>
      </w:r>
    </w:p>
    <w:p w14:paraId="5B11FCFE" w14:textId="77777777" w:rsidR="00646C05" w:rsidRPr="00814D0D" w:rsidRDefault="00646C05" w:rsidP="002400F3">
      <w:pPr>
        <w:numPr>
          <w:ilvl w:val="0"/>
          <w:numId w:val="3"/>
        </w:numPr>
        <w:jc w:val="both"/>
        <w:rPr>
          <w:rFonts w:ascii="Arial" w:hAnsi="Arial" w:cs="Arial"/>
          <w:sz w:val="20"/>
        </w:rPr>
      </w:pPr>
      <w:r w:rsidRPr="005C10ED">
        <w:rPr>
          <w:rFonts w:ascii="Arial" w:hAnsi="Arial" w:cs="Arial"/>
          <w:sz w:val="20"/>
        </w:rPr>
        <w:t>T</w:t>
      </w:r>
      <w:r>
        <w:rPr>
          <w:rFonts w:ascii="Arial" w:hAnsi="Arial" w:cs="Arial"/>
          <w:sz w:val="20"/>
        </w:rPr>
        <w:t>he</w:t>
      </w:r>
      <w:r w:rsidRPr="00814D0D">
        <w:rPr>
          <w:rFonts w:ascii="Arial" w:hAnsi="Arial" w:cs="Arial"/>
          <w:sz w:val="20"/>
        </w:rPr>
        <w:t xml:space="preserve"> </w:t>
      </w:r>
      <w:r>
        <w:rPr>
          <w:rFonts w:ascii="Arial" w:hAnsi="Arial" w:cs="Arial"/>
          <w:sz w:val="20"/>
        </w:rPr>
        <w:t>IAP Template submitted by economies and the report prepared by the PSU will b</w:t>
      </w:r>
      <w:r w:rsidRPr="00814D0D">
        <w:rPr>
          <w:rFonts w:ascii="Arial" w:hAnsi="Arial" w:cs="Arial"/>
          <w:sz w:val="20"/>
        </w:rPr>
        <w:t>e made pub</w:t>
      </w:r>
      <w:r>
        <w:rPr>
          <w:rFonts w:ascii="Arial" w:hAnsi="Arial" w:cs="Arial"/>
          <w:sz w:val="20"/>
        </w:rPr>
        <w:t>licly available on the internet</w:t>
      </w:r>
      <w:r w:rsidRPr="00814D0D">
        <w:rPr>
          <w:rFonts w:ascii="Arial" w:hAnsi="Arial" w:cs="Arial"/>
          <w:sz w:val="20"/>
        </w:rPr>
        <w:t>.</w:t>
      </w:r>
      <w:r>
        <w:rPr>
          <w:rFonts w:ascii="Arial" w:hAnsi="Arial" w:cs="Arial"/>
          <w:sz w:val="20"/>
        </w:rPr>
        <w:t xml:space="preserve"> </w:t>
      </w:r>
    </w:p>
    <w:p w14:paraId="5C238CF7" w14:textId="77777777" w:rsidR="00646C05" w:rsidRPr="00646C05" w:rsidRDefault="00646C05">
      <w:pPr>
        <w:spacing w:before="120" w:after="120"/>
        <w:jc w:val="center"/>
        <w:rPr>
          <w:rFonts w:ascii="Arial" w:hAnsi="Arial"/>
        </w:rPr>
        <w:sectPr w:rsidR="00646C05" w:rsidRPr="00646C05" w:rsidSect="00646C05">
          <w:pgSz w:w="11909" w:h="16834" w:code="9"/>
          <w:pgMar w:top="1440" w:right="1440" w:bottom="1440" w:left="1440" w:header="720" w:footer="720" w:gutter="0"/>
          <w:paperSrc w:first="7" w:other="7"/>
          <w:cols w:space="720"/>
          <w:docGrid w:linePitch="326"/>
        </w:sectPr>
      </w:pPr>
    </w:p>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81130F" w14:paraId="6E66DB4B" w14:textId="77777777" w:rsidTr="00E92BBC">
        <w:trPr>
          <w:tblHeader/>
        </w:trPr>
        <w:tc>
          <w:tcPr>
            <w:tcW w:w="14564" w:type="dxa"/>
            <w:shd w:val="clear" w:color="auto" w:fill="DBE5F1"/>
          </w:tcPr>
          <w:p w14:paraId="5AE3C0C3" w14:textId="77777777" w:rsidR="0081130F" w:rsidRPr="000A33A0" w:rsidRDefault="0081130F" w:rsidP="0073105B">
            <w:pPr>
              <w:spacing w:before="120" w:after="120"/>
              <w:jc w:val="center"/>
              <w:rPr>
                <w:rFonts w:ascii="Calibri" w:hAnsi="Calibri"/>
                <w:b/>
                <w:sz w:val="20"/>
              </w:rPr>
            </w:pPr>
            <w:r w:rsidRPr="000A33A0">
              <w:rPr>
                <w:rFonts w:ascii="Calibri" w:hAnsi="Calibri"/>
                <w:b/>
                <w:sz w:val="20"/>
              </w:rPr>
              <w:lastRenderedPageBreak/>
              <w:t xml:space="preserve">Individual Action Plan Update for </w:t>
            </w:r>
            <w:r w:rsidR="0073105B">
              <w:rPr>
                <w:rFonts w:ascii="Calibri" w:hAnsi="Calibri"/>
                <w:b/>
                <w:sz w:val="20"/>
              </w:rPr>
              <w:t>the United States for 2018</w:t>
            </w:r>
            <w:r w:rsidRPr="000A33A0">
              <w:rPr>
                <w:rFonts w:ascii="Calibri" w:hAnsi="Calibri"/>
                <w:b/>
                <w:sz w:val="20"/>
              </w:rPr>
              <w:fldChar w:fldCharType="begin" w:fldLock="1">
                <w:ffData>
                  <w:name w:val="Text30"/>
                  <w:enabled/>
                  <w:calcOnExit w:val="0"/>
                  <w:textInput>
                    <w:default w:val="{Year}"/>
                  </w:textInput>
                </w:ffData>
              </w:fldChar>
            </w:r>
            <w:r w:rsidRPr="000A33A0">
              <w:rPr>
                <w:rFonts w:ascii="Calibri" w:hAnsi="Calibri"/>
                <w:b/>
                <w:sz w:val="20"/>
              </w:rPr>
              <w:instrText xml:space="preserve"> FORMTEXT </w:instrText>
            </w:r>
            <w:r w:rsidR="00975B81">
              <w:rPr>
                <w:rFonts w:ascii="Calibri" w:hAnsi="Calibri"/>
                <w:b/>
                <w:sz w:val="20"/>
              </w:rPr>
            </w:r>
            <w:r w:rsidR="00975B81">
              <w:rPr>
                <w:rFonts w:ascii="Calibri" w:hAnsi="Calibri"/>
                <w:b/>
                <w:sz w:val="20"/>
              </w:rPr>
              <w:fldChar w:fldCharType="separate"/>
            </w:r>
            <w:r w:rsidRPr="000A33A0">
              <w:rPr>
                <w:rFonts w:ascii="Calibri" w:hAnsi="Calibri"/>
                <w:b/>
                <w:sz w:val="20"/>
              </w:rPr>
              <w:fldChar w:fldCharType="end"/>
            </w:r>
          </w:p>
        </w:tc>
      </w:tr>
      <w:tr w:rsidR="0081130F" w14:paraId="0D8DFEFF" w14:textId="77777777" w:rsidTr="00E92BBC">
        <w:trPr>
          <w:tblHeader/>
        </w:trPr>
        <w:tc>
          <w:tcPr>
            <w:tcW w:w="14564" w:type="dxa"/>
          </w:tcPr>
          <w:p w14:paraId="7AF7C002" w14:textId="77777777" w:rsidR="0081130F" w:rsidRPr="00BF37B1" w:rsidRDefault="0081130F" w:rsidP="00E92BBC">
            <w:pPr>
              <w:spacing w:before="120" w:after="120"/>
              <w:jc w:val="both"/>
              <w:rPr>
                <w:rFonts w:ascii="Calibri" w:hAnsi="Calibri"/>
                <w:b/>
                <w:i/>
                <w:sz w:val="20"/>
              </w:rPr>
            </w:pPr>
            <w:r w:rsidRPr="00BF37B1">
              <w:rPr>
                <w:rFonts w:ascii="Calibri" w:hAnsi="Calibri"/>
                <w:b/>
                <w:i/>
                <w:sz w:val="20"/>
              </w:rPr>
              <w:br/>
            </w:r>
            <w:bookmarkStart w:id="0" w:name="Highlights"/>
            <w:bookmarkEnd w:id="0"/>
            <w:r w:rsidRPr="00BF37B1">
              <w:rPr>
                <w:rFonts w:ascii="Calibri" w:hAnsi="Calibri"/>
                <w:b/>
                <w:i/>
                <w:sz w:val="20"/>
              </w:rPr>
              <w:t xml:space="preserve">Highlights of recent policy developments which indicate how [economy] is progressing towards the Bogor Goals and key challenges it faces in its efforts to meet the Goals. </w:t>
            </w:r>
          </w:p>
        </w:tc>
      </w:tr>
      <w:tr w:rsidR="0081130F" w:rsidRPr="00CE4250" w14:paraId="065459F4" w14:textId="77777777" w:rsidTr="00E92BBC">
        <w:trPr>
          <w:tblHeader/>
        </w:trPr>
        <w:tc>
          <w:tcPr>
            <w:tcW w:w="14564" w:type="dxa"/>
          </w:tcPr>
          <w:p w14:paraId="1B7C3044" w14:textId="77777777" w:rsidR="0081130F" w:rsidRPr="00CE4250" w:rsidRDefault="0073105B" w:rsidP="0073105B">
            <w:pPr>
              <w:rPr>
                <w:rFonts w:asciiTheme="minorHAnsi" w:hAnsiTheme="minorHAnsi" w:cstheme="minorHAnsi"/>
                <w:sz w:val="20"/>
              </w:rPr>
            </w:pPr>
            <w:r w:rsidRPr="00CE4250">
              <w:rPr>
                <w:rFonts w:asciiTheme="minorHAnsi" w:hAnsiTheme="minorHAnsi" w:cstheme="minorHAnsi"/>
                <w:sz w:val="20"/>
              </w:rPr>
              <w:t xml:space="preserve">The United States is focused on ensuring free and fair trade, reciprocity with our trading partners through bilateral negotiations, and updating trade agreements to reflect changing times and market conditions.  To ensure free and fair trade, the United States will enforce U.S. trade laws and remove barriers and unfair trade practices that negatively impede our companies from realizing the opportunities in the Asia-Pacific region.  </w:t>
            </w:r>
            <w:r w:rsidR="0081130F" w:rsidRPr="00CE4250">
              <w:rPr>
                <w:rFonts w:asciiTheme="minorHAnsi" w:hAnsiTheme="minorHAnsi" w:cstheme="minorHAnsi"/>
                <w:bCs/>
                <w:i/>
                <w:sz w:val="20"/>
              </w:rPr>
              <w:br/>
            </w:r>
            <w:r w:rsidR="0081130F" w:rsidRPr="00CE4250">
              <w:rPr>
                <w:rFonts w:asciiTheme="minorHAnsi" w:hAnsiTheme="minorHAnsi" w:cstheme="minorHAnsi"/>
                <w:bCs/>
                <w:i/>
                <w:sz w:val="20"/>
              </w:rPr>
              <w:br/>
            </w:r>
          </w:p>
        </w:tc>
      </w:tr>
    </w:tbl>
    <w:p w14:paraId="6D0B906C" w14:textId="77777777" w:rsidR="00CB6A57" w:rsidRPr="00CE4250" w:rsidRDefault="00CB6A57">
      <w:pPr>
        <w:rPr>
          <w:rFonts w:asciiTheme="minorHAnsi" w:hAnsiTheme="minorHAnsi" w:cstheme="minorHAnsi"/>
          <w:b/>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1130F" w:rsidRPr="00CE4250" w14:paraId="2FD57F0A" w14:textId="77777777" w:rsidTr="00E92BBC">
        <w:trPr>
          <w:tblHeader/>
        </w:trPr>
        <w:tc>
          <w:tcPr>
            <w:tcW w:w="3524" w:type="dxa"/>
            <w:shd w:val="clear" w:color="auto" w:fill="C6D9F1"/>
          </w:tcPr>
          <w:p w14:paraId="6FB07492" w14:textId="77777777" w:rsidR="0081130F" w:rsidRPr="00CE4250" w:rsidRDefault="0081130F" w:rsidP="00E92BBC">
            <w:pPr>
              <w:pStyle w:val="Subtitle"/>
              <w:spacing w:before="60" w:after="60"/>
              <w:jc w:val="center"/>
              <w:rPr>
                <w:rFonts w:asciiTheme="minorHAnsi" w:hAnsiTheme="minorHAnsi" w:cstheme="minorHAnsi"/>
                <w:sz w:val="20"/>
              </w:rPr>
            </w:pPr>
            <w:r w:rsidRPr="00CE4250">
              <w:rPr>
                <w:rFonts w:asciiTheme="minorHAnsi" w:hAnsiTheme="minorHAnsi" w:cstheme="minorHAnsi"/>
                <w:sz w:val="20"/>
              </w:rPr>
              <w:t>IAP Chapter (and Sub-Chapter and Section Heading, if any)</w:t>
            </w:r>
            <w:r w:rsidRPr="00CE4250">
              <w:rPr>
                <w:rFonts w:asciiTheme="minorHAnsi" w:hAnsiTheme="minorHAnsi" w:cstheme="minorHAnsi"/>
                <w:b w:val="0"/>
                <w:sz w:val="20"/>
                <w:vertAlign w:val="superscript"/>
                <w:lang w:eastAsia="zh-TW"/>
              </w:rPr>
              <w:t xml:space="preserve"> </w:t>
            </w:r>
          </w:p>
        </w:tc>
        <w:tc>
          <w:tcPr>
            <w:tcW w:w="5387" w:type="dxa"/>
            <w:shd w:val="clear" w:color="auto" w:fill="C6D9F1"/>
          </w:tcPr>
          <w:p w14:paraId="5F74F043" w14:textId="77777777" w:rsidR="0081130F" w:rsidRPr="00CE4250" w:rsidRDefault="0081130F" w:rsidP="00E92BBC">
            <w:pPr>
              <w:spacing w:before="60" w:after="60"/>
              <w:jc w:val="center"/>
              <w:rPr>
                <w:rFonts w:asciiTheme="minorHAnsi" w:hAnsiTheme="minorHAnsi" w:cstheme="minorHAnsi"/>
                <w:b/>
                <w:sz w:val="20"/>
                <w:vertAlign w:val="superscript"/>
                <w:lang w:eastAsia="zh-TW"/>
              </w:rPr>
            </w:pPr>
            <w:r w:rsidRPr="00CE4250">
              <w:rPr>
                <w:rFonts w:asciiTheme="minorHAnsi" w:hAnsiTheme="minorHAnsi" w:cstheme="minorHAnsi"/>
                <w:b/>
                <w:sz w:val="20"/>
              </w:rPr>
              <w:t xml:space="preserve">Improvements made since </w:t>
            </w:r>
            <w:r w:rsidRPr="00CE4250">
              <w:rPr>
                <w:rFonts w:asciiTheme="minorHAnsi" w:hAnsiTheme="minorHAnsi" w:cstheme="minorHAnsi"/>
                <w:b/>
                <w:sz w:val="20"/>
                <w:lang w:eastAsia="zh-TW"/>
              </w:rPr>
              <w:t xml:space="preserve"> [Year]</w:t>
            </w:r>
            <w:r w:rsidRPr="00CE4250">
              <w:rPr>
                <w:rFonts w:asciiTheme="minorHAnsi" w:hAnsiTheme="minorHAnsi" w:cstheme="minorHAnsi"/>
                <w:b/>
                <w:sz w:val="20"/>
              </w:rPr>
              <w:t xml:space="preserve"> IAP </w:t>
            </w:r>
          </w:p>
        </w:tc>
        <w:tc>
          <w:tcPr>
            <w:tcW w:w="5670" w:type="dxa"/>
            <w:shd w:val="clear" w:color="auto" w:fill="C6D9F1"/>
          </w:tcPr>
          <w:p w14:paraId="2432117C" w14:textId="77777777" w:rsidR="0081130F" w:rsidRPr="00CE4250" w:rsidRDefault="0081130F" w:rsidP="00E92BBC">
            <w:pPr>
              <w:spacing w:before="60" w:after="60"/>
              <w:jc w:val="center"/>
              <w:rPr>
                <w:rFonts w:asciiTheme="minorHAnsi" w:hAnsiTheme="minorHAnsi" w:cstheme="minorHAnsi"/>
                <w:b/>
                <w:sz w:val="20"/>
              </w:rPr>
            </w:pPr>
            <w:r w:rsidRPr="00CE4250">
              <w:rPr>
                <w:rFonts w:asciiTheme="minorHAnsi" w:hAnsiTheme="minorHAnsi" w:cstheme="minorHAnsi"/>
                <w:b/>
                <w:sz w:val="20"/>
              </w:rPr>
              <w:t>Further Improvements Planned</w:t>
            </w:r>
            <w:r w:rsidRPr="00CE4250">
              <w:rPr>
                <w:rFonts w:asciiTheme="minorHAnsi" w:hAnsiTheme="minorHAnsi" w:cstheme="minorHAnsi"/>
                <w:b/>
                <w:sz w:val="20"/>
                <w:vertAlign w:val="superscript"/>
                <w:lang w:eastAsia="zh-TW"/>
              </w:rPr>
              <w:t xml:space="preserve"> </w:t>
            </w:r>
          </w:p>
        </w:tc>
      </w:tr>
      <w:tr w:rsidR="0081130F" w:rsidRPr="00CE4250" w14:paraId="1B581FD7" w14:textId="77777777" w:rsidTr="00E92BBC">
        <w:trPr>
          <w:trHeight w:val="648"/>
        </w:trPr>
        <w:tc>
          <w:tcPr>
            <w:tcW w:w="3524" w:type="dxa"/>
          </w:tcPr>
          <w:p w14:paraId="2C7776EE" w14:textId="77777777" w:rsidR="0081130F" w:rsidRPr="00CE4250" w:rsidRDefault="0081130F" w:rsidP="00E92BBC">
            <w:pPr>
              <w:pStyle w:val="Heading9"/>
              <w:rPr>
                <w:rFonts w:asciiTheme="minorHAnsi" w:hAnsiTheme="minorHAnsi" w:cstheme="minorHAnsi"/>
              </w:rPr>
            </w:pPr>
            <w:bookmarkStart w:id="1" w:name="Row01"/>
            <w:r w:rsidRPr="00CE4250">
              <w:rPr>
                <w:rFonts w:asciiTheme="minorHAnsi" w:hAnsiTheme="minorHAnsi" w:cstheme="minorHAnsi"/>
              </w:rPr>
              <w:t>Tariffs</w:t>
            </w:r>
            <w:bookmarkEnd w:id="1"/>
          </w:p>
        </w:tc>
        <w:tc>
          <w:tcPr>
            <w:tcW w:w="5387" w:type="dxa"/>
          </w:tcPr>
          <w:p w14:paraId="7E1A4932" w14:textId="79622527" w:rsidR="0081130F" w:rsidRPr="00CE4250" w:rsidRDefault="00E55B18" w:rsidP="00E92BBC">
            <w:pPr>
              <w:rPr>
                <w:rFonts w:asciiTheme="minorHAnsi" w:hAnsiTheme="minorHAnsi" w:cstheme="minorHAnsi"/>
                <w:sz w:val="20"/>
              </w:rPr>
            </w:pPr>
            <w:bookmarkStart w:id="2" w:name="Cell01"/>
            <w:bookmarkEnd w:id="2"/>
            <w:r w:rsidRPr="00CE4250">
              <w:rPr>
                <w:rFonts w:asciiTheme="minorHAnsi" w:hAnsiTheme="minorHAnsi" w:cstheme="minorHAnsi"/>
                <w:sz w:val="20"/>
              </w:rPr>
              <w:t xml:space="preserve">The U.S. economy remains among the most open in the world.  The U.S. trade weighted applied tariff average in </w:t>
            </w:r>
            <w:r w:rsidR="00E119B7">
              <w:rPr>
                <w:rFonts w:asciiTheme="minorHAnsi" w:hAnsiTheme="minorHAnsi" w:cstheme="minorHAnsi"/>
                <w:sz w:val="20"/>
              </w:rPr>
              <w:t>2016</w:t>
            </w:r>
            <w:r w:rsidR="001B4988" w:rsidRPr="00CE4250">
              <w:rPr>
                <w:rFonts w:asciiTheme="minorHAnsi" w:hAnsiTheme="minorHAnsi" w:cstheme="minorHAnsi"/>
                <w:sz w:val="20"/>
              </w:rPr>
              <w:t xml:space="preserve"> was 2.4</w:t>
            </w:r>
            <w:r w:rsidRPr="00CE4250">
              <w:rPr>
                <w:rFonts w:asciiTheme="minorHAnsi" w:hAnsiTheme="minorHAnsi" w:cstheme="minorHAnsi"/>
                <w:sz w:val="20"/>
              </w:rPr>
              <w:t xml:space="preserve"> percent.</w:t>
            </w:r>
          </w:p>
          <w:p w14:paraId="517700F8" w14:textId="77777777" w:rsidR="00E55B18" w:rsidRPr="00CE4250" w:rsidRDefault="00E55B18" w:rsidP="00E92BBC">
            <w:pPr>
              <w:rPr>
                <w:rFonts w:asciiTheme="minorHAnsi" w:hAnsiTheme="minorHAnsi" w:cstheme="minorHAnsi"/>
                <w:sz w:val="20"/>
              </w:rPr>
            </w:pPr>
          </w:p>
          <w:p w14:paraId="5D6D0308" w14:textId="77777777" w:rsidR="00E55B18" w:rsidRPr="00CE4250" w:rsidRDefault="00E55B18" w:rsidP="0073105B">
            <w:pPr>
              <w:rPr>
                <w:rFonts w:asciiTheme="minorHAnsi" w:hAnsiTheme="minorHAnsi" w:cstheme="minorHAnsi"/>
                <w:sz w:val="20"/>
              </w:rPr>
            </w:pPr>
            <w:r w:rsidRPr="00CE4250">
              <w:rPr>
                <w:rFonts w:asciiTheme="minorHAnsi" w:hAnsiTheme="minorHAnsi" w:cstheme="minorHAnsi"/>
                <w:sz w:val="20"/>
              </w:rPr>
              <w:t>The United States has imple</w:t>
            </w:r>
            <w:r w:rsidR="005F5284" w:rsidRPr="00CE4250">
              <w:rPr>
                <w:rFonts w:asciiTheme="minorHAnsi" w:hAnsiTheme="minorHAnsi" w:cstheme="minorHAnsi"/>
                <w:sz w:val="20"/>
              </w:rPr>
              <w:t>men</w:t>
            </w:r>
            <w:r w:rsidRPr="00CE4250">
              <w:rPr>
                <w:rFonts w:asciiTheme="minorHAnsi" w:hAnsiTheme="minorHAnsi" w:cstheme="minorHAnsi"/>
                <w:sz w:val="20"/>
              </w:rPr>
              <w:t xml:space="preserve">ted </w:t>
            </w:r>
            <w:r w:rsidR="009849CF" w:rsidRPr="00CE4250">
              <w:rPr>
                <w:rFonts w:asciiTheme="minorHAnsi" w:hAnsiTheme="minorHAnsi" w:cstheme="minorHAnsi"/>
                <w:sz w:val="20"/>
              </w:rPr>
              <w:t xml:space="preserve">14 </w:t>
            </w:r>
            <w:r w:rsidRPr="00CE4250">
              <w:rPr>
                <w:rFonts w:asciiTheme="minorHAnsi" w:hAnsiTheme="minorHAnsi" w:cstheme="minorHAnsi"/>
                <w:sz w:val="20"/>
              </w:rPr>
              <w:t>FTAs with</w:t>
            </w:r>
            <w:r w:rsidR="009849CF" w:rsidRPr="00CE4250">
              <w:rPr>
                <w:rFonts w:asciiTheme="minorHAnsi" w:hAnsiTheme="minorHAnsi" w:cstheme="minorHAnsi"/>
                <w:sz w:val="20"/>
              </w:rPr>
              <w:t xml:space="preserve"> a total of</w:t>
            </w:r>
            <w:r w:rsidRPr="00CE4250">
              <w:rPr>
                <w:rFonts w:asciiTheme="minorHAnsi" w:hAnsiTheme="minorHAnsi" w:cstheme="minorHAnsi"/>
                <w:sz w:val="20"/>
              </w:rPr>
              <w:t xml:space="preserve"> 20 countries, including six agreemen</w:t>
            </w:r>
            <w:r w:rsidR="0073105B" w:rsidRPr="00CE4250">
              <w:rPr>
                <w:rFonts w:asciiTheme="minorHAnsi" w:hAnsiTheme="minorHAnsi" w:cstheme="minorHAnsi"/>
                <w:sz w:val="20"/>
              </w:rPr>
              <w:t xml:space="preserve">ts with seven APEC economies.  </w:t>
            </w:r>
          </w:p>
        </w:tc>
        <w:tc>
          <w:tcPr>
            <w:tcW w:w="5670" w:type="dxa"/>
          </w:tcPr>
          <w:p w14:paraId="3A1A3B0C" w14:textId="0ACB44E9" w:rsidR="0081130F" w:rsidRPr="00CE4250" w:rsidRDefault="0073105B" w:rsidP="00E92BBC">
            <w:pPr>
              <w:rPr>
                <w:rFonts w:asciiTheme="minorHAnsi" w:hAnsiTheme="minorHAnsi" w:cstheme="minorHAnsi"/>
                <w:color w:val="808080"/>
                <w:sz w:val="20"/>
              </w:rPr>
            </w:pPr>
            <w:bookmarkStart w:id="3" w:name="Cell02"/>
            <w:bookmarkEnd w:id="3"/>
            <w:r w:rsidRPr="00CE4250">
              <w:rPr>
                <w:rFonts w:asciiTheme="minorHAnsi" w:hAnsiTheme="minorHAnsi" w:cstheme="minorHAnsi"/>
                <w:sz w:val="20"/>
              </w:rPr>
              <w:t xml:space="preserve">The U.S. is currently working on improvements to exisiting trade agreements with the renegotiations of the North America Free Trade Agreement (NAFTA) </w:t>
            </w:r>
            <w:r w:rsidR="00E52111">
              <w:rPr>
                <w:rFonts w:asciiTheme="minorHAnsi" w:hAnsiTheme="minorHAnsi" w:cstheme="minorHAnsi"/>
                <w:sz w:val="20"/>
              </w:rPr>
              <w:t>(</w:t>
            </w:r>
            <w:r w:rsidR="00E52111" w:rsidRPr="00BF3CEC">
              <w:rPr>
                <w:rFonts w:asciiTheme="minorHAnsi" w:hAnsiTheme="minorHAnsi" w:cstheme="minorHAnsi"/>
                <w:i/>
                <w:sz w:val="20"/>
              </w:rPr>
              <w:t>ongoing</w:t>
            </w:r>
            <w:r w:rsidR="00E52111">
              <w:rPr>
                <w:rFonts w:asciiTheme="minorHAnsi" w:hAnsiTheme="minorHAnsi" w:cstheme="minorHAnsi"/>
                <w:sz w:val="20"/>
              </w:rPr>
              <w:t xml:space="preserve">) </w:t>
            </w:r>
            <w:r w:rsidRPr="00CE4250">
              <w:rPr>
                <w:rFonts w:asciiTheme="minorHAnsi" w:hAnsiTheme="minorHAnsi" w:cstheme="minorHAnsi"/>
                <w:sz w:val="20"/>
              </w:rPr>
              <w:t>and the U.S. – Korea Free Trade Agreement (KORUS)</w:t>
            </w:r>
            <w:r w:rsidR="00E52111">
              <w:rPr>
                <w:rFonts w:asciiTheme="minorHAnsi" w:hAnsiTheme="minorHAnsi" w:cstheme="minorHAnsi"/>
                <w:sz w:val="20"/>
              </w:rPr>
              <w:t xml:space="preserve"> (</w:t>
            </w:r>
            <w:r w:rsidR="00E52111" w:rsidRPr="00BF3CEC">
              <w:rPr>
                <w:rFonts w:asciiTheme="minorHAnsi" w:hAnsiTheme="minorHAnsi" w:cstheme="minorHAnsi"/>
                <w:i/>
                <w:sz w:val="20"/>
              </w:rPr>
              <w:t>agreement in principle reached</w:t>
            </w:r>
            <w:r w:rsidR="00E52111">
              <w:rPr>
                <w:rFonts w:asciiTheme="minorHAnsi" w:hAnsiTheme="minorHAnsi" w:cstheme="minorHAnsi"/>
                <w:sz w:val="20"/>
              </w:rPr>
              <w:t>)</w:t>
            </w:r>
            <w:r w:rsidRPr="00CE4250">
              <w:rPr>
                <w:rFonts w:asciiTheme="minorHAnsi" w:hAnsiTheme="minorHAnsi" w:cstheme="minorHAnsi"/>
                <w:sz w:val="20"/>
              </w:rPr>
              <w:t>.</w:t>
            </w:r>
          </w:p>
        </w:tc>
      </w:tr>
      <w:tr w:rsidR="0081130F" w:rsidRPr="00CE4250" w14:paraId="18DC98BC" w14:textId="77777777" w:rsidTr="00E92BBC">
        <w:trPr>
          <w:trHeight w:val="212"/>
        </w:trPr>
        <w:tc>
          <w:tcPr>
            <w:tcW w:w="3524" w:type="dxa"/>
          </w:tcPr>
          <w:p w14:paraId="1ECA44D6" w14:textId="77777777" w:rsidR="0081130F" w:rsidRPr="00CE4250" w:rsidRDefault="0081130F" w:rsidP="00E92BBC">
            <w:pPr>
              <w:pStyle w:val="Heading9"/>
              <w:rPr>
                <w:rFonts w:asciiTheme="minorHAnsi" w:hAnsiTheme="minorHAnsi" w:cstheme="minorHAnsi"/>
                <w:color w:val="808080"/>
              </w:rPr>
            </w:pPr>
            <w:r w:rsidRPr="00CE4250">
              <w:rPr>
                <w:rFonts w:asciiTheme="minorHAnsi" w:hAnsiTheme="minorHAnsi" w:cstheme="minorHAnsi"/>
                <w:b w:val="0"/>
                <w:color w:val="808080"/>
              </w:rPr>
              <w:t xml:space="preserve">Website for further information:  </w:t>
            </w:r>
          </w:p>
        </w:tc>
        <w:tc>
          <w:tcPr>
            <w:tcW w:w="5387" w:type="dxa"/>
          </w:tcPr>
          <w:p w14:paraId="50BF9564" w14:textId="77777777" w:rsidR="0081130F" w:rsidRPr="00CE4250" w:rsidRDefault="0081130F" w:rsidP="00E92BBC">
            <w:pPr>
              <w:rPr>
                <w:rFonts w:asciiTheme="minorHAnsi" w:hAnsiTheme="minorHAnsi" w:cstheme="minorHAnsi"/>
                <w:i/>
                <w:sz w:val="20"/>
              </w:rPr>
            </w:pPr>
          </w:p>
        </w:tc>
        <w:tc>
          <w:tcPr>
            <w:tcW w:w="5670" w:type="dxa"/>
          </w:tcPr>
          <w:p w14:paraId="60D2FA63" w14:textId="77777777" w:rsidR="0081130F" w:rsidRPr="00CE4250" w:rsidRDefault="0081130F" w:rsidP="00E92BBC">
            <w:pPr>
              <w:rPr>
                <w:rFonts w:asciiTheme="minorHAnsi" w:hAnsiTheme="minorHAnsi" w:cstheme="minorHAnsi"/>
                <w:i/>
                <w:sz w:val="20"/>
              </w:rPr>
            </w:pPr>
          </w:p>
        </w:tc>
      </w:tr>
      <w:tr w:rsidR="0081130F" w:rsidRPr="00CE4250" w14:paraId="019598CB" w14:textId="77777777" w:rsidTr="00E92BBC">
        <w:trPr>
          <w:trHeight w:val="230"/>
        </w:trPr>
        <w:tc>
          <w:tcPr>
            <w:tcW w:w="3524" w:type="dxa"/>
          </w:tcPr>
          <w:p w14:paraId="61DC25EF" w14:textId="77777777" w:rsidR="0081130F" w:rsidRPr="00CE4250" w:rsidRDefault="0081130F" w:rsidP="00E92BBC">
            <w:pPr>
              <w:pStyle w:val="Heading9"/>
              <w:rPr>
                <w:rFonts w:asciiTheme="minorHAnsi" w:hAnsiTheme="minorHAnsi" w:cstheme="minorHAnsi"/>
                <w:color w:val="808080"/>
              </w:rPr>
            </w:pPr>
            <w:r w:rsidRPr="00CE4250">
              <w:rPr>
                <w:rFonts w:asciiTheme="minorHAnsi" w:hAnsiTheme="minorHAnsi" w:cstheme="minorHAnsi"/>
                <w:b w:val="0"/>
                <w:color w:val="808080"/>
              </w:rPr>
              <w:t>Contact point for further details:</w:t>
            </w:r>
          </w:p>
        </w:tc>
        <w:tc>
          <w:tcPr>
            <w:tcW w:w="5387" w:type="dxa"/>
          </w:tcPr>
          <w:p w14:paraId="55A82028" w14:textId="77777777" w:rsidR="0081130F" w:rsidRPr="00CE4250" w:rsidRDefault="0081130F" w:rsidP="00E92BBC">
            <w:pPr>
              <w:rPr>
                <w:rFonts w:asciiTheme="minorHAnsi" w:hAnsiTheme="minorHAnsi" w:cstheme="minorHAnsi"/>
                <w:i/>
                <w:sz w:val="20"/>
              </w:rPr>
            </w:pPr>
          </w:p>
        </w:tc>
        <w:tc>
          <w:tcPr>
            <w:tcW w:w="5670" w:type="dxa"/>
          </w:tcPr>
          <w:p w14:paraId="2DE692AC" w14:textId="77777777" w:rsidR="0081130F" w:rsidRPr="00CE4250" w:rsidRDefault="0081130F" w:rsidP="00E92BBC">
            <w:pPr>
              <w:rPr>
                <w:rFonts w:asciiTheme="minorHAnsi" w:hAnsiTheme="minorHAnsi" w:cstheme="minorHAnsi"/>
                <w:i/>
                <w:sz w:val="20"/>
              </w:rPr>
            </w:pPr>
          </w:p>
        </w:tc>
      </w:tr>
      <w:tr w:rsidR="0081130F" w:rsidRPr="00CE4250" w14:paraId="74DDCF1E" w14:textId="77777777" w:rsidTr="00E92BBC">
        <w:trPr>
          <w:trHeight w:val="627"/>
        </w:trPr>
        <w:tc>
          <w:tcPr>
            <w:tcW w:w="3524" w:type="dxa"/>
          </w:tcPr>
          <w:p w14:paraId="63136216" w14:textId="77777777" w:rsidR="0081130F" w:rsidRPr="00CE4250" w:rsidRDefault="0081130F" w:rsidP="00E92BBC">
            <w:pPr>
              <w:rPr>
                <w:rFonts w:asciiTheme="minorHAnsi" w:hAnsiTheme="minorHAnsi" w:cstheme="minorHAnsi"/>
                <w:b/>
                <w:i/>
                <w:sz w:val="20"/>
              </w:rPr>
            </w:pPr>
            <w:bookmarkStart w:id="4" w:name="Row2"/>
            <w:r w:rsidRPr="00CE4250">
              <w:rPr>
                <w:rFonts w:asciiTheme="minorHAnsi" w:hAnsiTheme="minorHAnsi" w:cstheme="minorHAnsi"/>
                <w:b/>
                <w:i/>
                <w:sz w:val="20"/>
              </w:rPr>
              <w:t>Non-Tariff Measures</w:t>
            </w:r>
            <w:bookmarkEnd w:id="4"/>
          </w:p>
          <w:p w14:paraId="79A6C4A0" w14:textId="77777777" w:rsidR="00384FA9" w:rsidRPr="00CE4250" w:rsidRDefault="00384FA9" w:rsidP="00E92BBC">
            <w:pPr>
              <w:rPr>
                <w:rFonts w:asciiTheme="minorHAnsi" w:hAnsiTheme="minorHAnsi" w:cstheme="minorHAnsi"/>
                <w:b/>
                <w:i/>
                <w:sz w:val="20"/>
              </w:rPr>
            </w:pPr>
          </w:p>
          <w:p w14:paraId="0DD2233E" w14:textId="77777777" w:rsidR="00332A16" w:rsidRPr="00CE4250" w:rsidRDefault="00332A16" w:rsidP="00332A16">
            <w:pPr>
              <w:pStyle w:val="ListParagraph"/>
              <w:tabs>
                <w:tab w:val="left" w:pos="567"/>
              </w:tabs>
              <w:spacing w:line="288" w:lineRule="auto"/>
              <w:ind w:left="0"/>
              <w:contextualSpacing/>
              <w:jc w:val="both"/>
              <w:rPr>
                <w:rFonts w:asciiTheme="minorHAnsi" w:hAnsiTheme="minorHAnsi" w:cstheme="minorHAnsi"/>
                <w:b/>
                <w:i/>
                <w:sz w:val="20"/>
                <w:szCs w:val="20"/>
              </w:rPr>
            </w:pPr>
            <w:r w:rsidRPr="00CE4250">
              <w:rPr>
                <w:rFonts w:asciiTheme="minorHAnsi" w:hAnsiTheme="minorHAnsi" w:cstheme="minorHAnsi"/>
                <w:color w:val="000000"/>
                <w:sz w:val="20"/>
                <w:szCs w:val="20"/>
                <w:lang w:val="en-NZ"/>
              </w:rPr>
              <w:t>Non-tariff measures include but are not restricted to quantitative import/export restrictions/prohibitions, import/export levies, minimum import prices, discretionary import/export licensing, voluntary export restraints and export subsidies</w:t>
            </w:r>
          </w:p>
        </w:tc>
        <w:tc>
          <w:tcPr>
            <w:tcW w:w="5387" w:type="dxa"/>
          </w:tcPr>
          <w:p w14:paraId="519EB167" w14:textId="77777777" w:rsidR="0081130F" w:rsidRPr="00CE4250" w:rsidRDefault="0081130F" w:rsidP="00E92BBC">
            <w:pPr>
              <w:rPr>
                <w:rFonts w:asciiTheme="minorHAnsi" w:hAnsiTheme="minorHAnsi" w:cstheme="minorHAnsi"/>
                <w:color w:val="808080"/>
                <w:sz w:val="20"/>
              </w:rPr>
            </w:pPr>
            <w:bookmarkStart w:id="5" w:name="Cell03"/>
            <w:bookmarkEnd w:id="5"/>
            <w:r w:rsidRPr="00CE4250">
              <w:rPr>
                <w:rFonts w:asciiTheme="minorHAnsi" w:hAnsiTheme="minorHAnsi" w:cstheme="minorHAnsi"/>
                <w:i/>
                <w:color w:val="808080"/>
                <w:sz w:val="20"/>
              </w:rPr>
              <w:t>Provide brief points only</w:t>
            </w:r>
          </w:p>
        </w:tc>
        <w:tc>
          <w:tcPr>
            <w:tcW w:w="5670" w:type="dxa"/>
          </w:tcPr>
          <w:p w14:paraId="500898E1" w14:textId="77777777" w:rsidR="0081130F" w:rsidRPr="00CE4250" w:rsidRDefault="0081130F" w:rsidP="00E92BBC">
            <w:pPr>
              <w:rPr>
                <w:rFonts w:asciiTheme="minorHAnsi" w:hAnsiTheme="minorHAnsi" w:cstheme="minorHAnsi"/>
                <w:color w:val="808080"/>
                <w:sz w:val="20"/>
              </w:rPr>
            </w:pPr>
            <w:bookmarkStart w:id="6" w:name="Cell04"/>
            <w:bookmarkEnd w:id="6"/>
            <w:r w:rsidRPr="00CE4250">
              <w:rPr>
                <w:rFonts w:asciiTheme="minorHAnsi" w:hAnsiTheme="minorHAnsi" w:cstheme="minorHAnsi"/>
                <w:i/>
                <w:color w:val="808080"/>
                <w:sz w:val="20"/>
              </w:rPr>
              <w:t>Provide brief points only</w:t>
            </w:r>
          </w:p>
        </w:tc>
      </w:tr>
      <w:tr w:rsidR="0081130F" w:rsidRPr="00CE4250" w14:paraId="0C818DC8" w14:textId="77777777" w:rsidTr="00E92BBC">
        <w:trPr>
          <w:trHeight w:val="200"/>
        </w:trPr>
        <w:tc>
          <w:tcPr>
            <w:tcW w:w="3524" w:type="dxa"/>
          </w:tcPr>
          <w:p w14:paraId="7C5FBADD"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lastRenderedPageBreak/>
              <w:t xml:space="preserve">Website for further information:  </w:t>
            </w:r>
          </w:p>
        </w:tc>
        <w:tc>
          <w:tcPr>
            <w:tcW w:w="5387" w:type="dxa"/>
          </w:tcPr>
          <w:p w14:paraId="7F90B1FC" w14:textId="77777777" w:rsidR="0081130F" w:rsidRPr="00CE4250" w:rsidRDefault="0081130F" w:rsidP="00E92BBC">
            <w:pPr>
              <w:pStyle w:val="Heading9"/>
              <w:rPr>
                <w:rFonts w:asciiTheme="minorHAnsi" w:hAnsiTheme="minorHAnsi" w:cstheme="minorHAnsi"/>
                <w:b w:val="0"/>
              </w:rPr>
            </w:pPr>
          </w:p>
        </w:tc>
        <w:tc>
          <w:tcPr>
            <w:tcW w:w="5670" w:type="dxa"/>
          </w:tcPr>
          <w:p w14:paraId="6D08FA91" w14:textId="77777777" w:rsidR="0081130F" w:rsidRPr="00CE4250" w:rsidRDefault="0081130F" w:rsidP="00E92BBC">
            <w:pPr>
              <w:pStyle w:val="Heading9"/>
              <w:rPr>
                <w:rFonts w:asciiTheme="minorHAnsi" w:hAnsiTheme="minorHAnsi" w:cstheme="minorHAnsi"/>
                <w:b w:val="0"/>
              </w:rPr>
            </w:pPr>
          </w:p>
        </w:tc>
      </w:tr>
      <w:tr w:rsidR="0081130F" w:rsidRPr="00CE4250" w14:paraId="6D3D4218" w14:textId="77777777" w:rsidTr="00E92BBC">
        <w:trPr>
          <w:trHeight w:val="245"/>
        </w:trPr>
        <w:tc>
          <w:tcPr>
            <w:tcW w:w="3524" w:type="dxa"/>
          </w:tcPr>
          <w:p w14:paraId="6128E3EE"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 xml:space="preserve">Contact point for further details: </w:t>
            </w:r>
          </w:p>
        </w:tc>
        <w:tc>
          <w:tcPr>
            <w:tcW w:w="5387" w:type="dxa"/>
          </w:tcPr>
          <w:p w14:paraId="78BD1D17" w14:textId="77777777" w:rsidR="0081130F" w:rsidRPr="00CE4250" w:rsidRDefault="0081130F" w:rsidP="00E92BBC">
            <w:pPr>
              <w:pStyle w:val="Heading9"/>
              <w:rPr>
                <w:rFonts w:asciiTheme="minorHAnsi" w:hAnsiTheme="minorHAnsi" w:cstheme="minorHAnsi"/>
                <w:b w:val="0"/>
              </w:rPr>
            </w:pPr>
          </w:p>
        </w:tc>
        <w:tc>
          <w:tcPr>
            <w:tcW w:w="5670" w:type="dxa"/>
          </w:tcPr>
          <w:p w14:paraId="0A11F052" w14:textId="77777777" w:rsidR="0081130F" w:rsidRPr="00CE4250" w:rsidRDefault="0081130F" w:rsidP="00E92BBC">
            <w:pPr>
              <w:pStyle w:val="Heading9"/>
              <w:rPr>
                <w:rFonts w:asciiTheme="minorHAnsi" w:hAnsiTheme="minorHAnsi" w:cstheme="minorHAnsi"/>
                <w:b w:val="0"/>
              </w:rPr>
            </w:pPr>
          </w:p>
        </w:tc>
      </w:tr>
      <w:tr w:rsidR="0081130F" w:rsidRPr="00CE4250" w14:paraId="68705ED3" w14:textId="77777777" w:rsidTr="00E92BBC">
        <w:tc>
          <w:tcPr>
            <w:tcW w:w="3524" w:type="dxa"/>
          </w:tcPr>
          <w:p w14:paraId="621D776C" w14:textId="77777777" w:rsidR="0081130F" w:rsidRPr="00CE4250" w:rsidRDefault="0081130F" w:rsidP="00872650">
            <w:pPr>
              <w:rPr>
                <w:rFonts w:asciiTheme="minorHAnsi" w:hAnsiTheme="minorHAnsi" w:cstheme="minorHAnsi"/>
                <w:b/>
                <w:i/>
                <w:sz w:val="20"/>
              </w:rPr>
            </w:pPr>
            <w:bookmarkStart w:id="7" w:name="Row3"/>
            <w:r w:rsidRPr="00CE4250">
              <w:rPr>
                <w:rFonts w:asciiTheme="minorHAnsi" w:hAnsiTheme="minorHAnsi" w:cstheme="minorHAnsi"/>
                <w:b/>
                <w:i/>
                <w:sz w:val="20"/>
              </w:rPr>
              <w:t>Services</w:t>
            </w:r>
            <w:bookmarkEnd w:id="7"/>
          </w:p>
        </w:tc>
        <w:tc>
          <w:tcPr>
            <w:tcW w:w="5387" w:type="dxa"/>
          </w:tcPr>
          <w:p w14:paraId="1F7B48DF" w14:textId="77777777" w:rsidR="0081130F" w:rsidRPr="00CE4250" w:rsidRDefault="0026026B" w:rsidP="00E92BBC">
            <w:pPr>
              <w:rPr>
                <w:rFonts w:asciiTheme="minorHAnsi" w:hAnsiTheme="minorHAnsi" w:cstheme="minorHAnsi"/>
                <w:sz w:val="20"/>
              </w:rPr>
            </w:pPr>
            <w:bookmarkStart w:id="8" w:name="Cell05"/>
            <w:bookmarkEnd w:id="8"/>
            <w:r w:rsidRPr="00CE4250">
              <w:rPr>
                <w:rFonts w:asciiTheme="minorHAnsi" w:hAnsiTheme="minorHAnsi" w:cstheme="minorHAnsi"/>
                <w:sz w:val="20"/>
              </w:rPr>
              <w:t>The U.S. economy remains among the most open in the world.  The U.S. is the world’s largest services market and remained the largest exporter and importer of services in 2015 (the most recent year for which official data are available).</w:t>
            </w:r>
          </w:p>
          <w:p w14:paraId="57A7564C" w14:textId="77777777" w:rsidR="0026026B" w:rsidRPr="00CE4250" w:rsidRDefault="0026026B" w:rsidP="00E92BBC">
            <w:pPr>
              <w:rPr>
                <w:rFonts w:asciiTheme="minorHAnsi" w:hAnsiTheme="minorHAnsi" w:cstheme="minorHAnsi"/>
                <w:sz w:val="20"/>
              </w:rPr>
            </w:pPr>
          </w:p>
          <w:p w14:paraId="49A67FCB" w14:textId="77777777" w:rsidR="0026026B" w:rsidRPr="00CE4250" w:rsidRDefault="0026026B" w:rsidP="0026026B">
            <w:pPr>
              <w:rPr>
                <w:rFonts w:asciiTheme="minorHAnsi" w:hAnsiTheme="minorHAnsi" w:cstheme="minorHAnsi"/>
                <w:color w:val="808080"/>
                <w:sz w:val="20"/>
              </w:rPr>
            </w:pPr>
            <w:r w:rsidRPr="00CE4250">
              <w:rPr>
                <w:rFonts w:asciiTheme="minorHAnsi" w:hAnsiTheme="minorHAnsi" w:cstheme="minorHAnsi"/>
                <w:sz w:val="20"/>
              </w:rPr>
              <w:t xml:space="preserve">The United States has completed FTAs with 20 countries, including six agreements with seven APEC economies.  </w:t>
            </w:r>
          </w:p>
        </w:tc>
        <w:tc>
          <w:tcPr>
            <w:tcW w:w="5670" w:type="dxa"/>
          </w:tcPr>
          <w:p w14:paraId="138174F4" w14:textId="65A29A6D" w:rsidR="0081130F" w:rsidRPr="00CE4250" w:rsidRDefault="0026026B" w:rsidP="00E52111">
            <w:pPr>
              <w:rPr>
                <w:rFonts w:asciiTheme="minorHAnsi" w:hAnsiTheme="minorHAnsi" w:cstheme="minorHAnsi"/>
                <w:color w:val="808080"/>
                <w:sz w:val="20"/>
                <w:highlight w:val="yellow"/>
              </w:rPr>
            </w:pPr>
            <w:bookmarkStart w:id="9" w:name="Cell06"/>
            <w:bookmarkEnd w:id="9"/>
            <w:r w:rsidRPr="00CE4250">
              <w:rPr>
                <w:rFonts w:asciiTheme="minorHAnsi" w:hAnsiTheme="minorHAnsi" w:cstheme="minorHAnsi"/>
                <w:sz w:val="20"/>
              </w:rPr>
              <w:t>The U.S. is currently working on improvements to exisiting trade agreements with the renegotiations of the North America Free Trade Agreement (NAFTA</w:t>
            </w:r>
            <w:r w:rsidR="00D205C0">
              <w:rPr>
                <w:rFonts w:asciiTheme="minorHAnsi" w:hAnsiTheme="minorHAnsi" w:cstheme="minorHAnsi"/>
                <w:sz w:val="20"/>
              </w:rPr>
              <w:t>)</w:t>
            </w:r>
            <w:bookmarkStart w:id="10" w:name="_GoBack"/>
            <w:bookmarkEnd w:id="10"/>
            <w:r w:rsidRPr="00CE4250">
              <w:rPr>
                <w:rFonts w:asciiTheme="minorHAnsi" w:hAnsiTheme="minorHAnsi" w:cstheme="minorHAnsi"/>
                <w:sz w:val="20"/>
              </w:rPr>
              <w:t>.</w:t>
            </w:r>
          </w:p>
        </w:tc>
      </w:tr>
      <w:tr w:rsidR="0081130F" w:rsidRPr="00CE4250" w14:paraId="4AD50F6F" w14:textId="77777777" w:rsidTr="00E92BBC">
        <w:tc>
          <w:tcPr>
            <w:tcW w:w="3524" w:type="dxa"/>
          </w:tcPr>
          <w:p w14:paraId="39F2A89B" w14:textId="77777777" w:rsidR="0081130F" w:rsidRPr="00CE4250" w:rsidRDefault="0081130F" w:rsidP="00E92BBC">
            <w:pPr>
              <w:rPr>
                <w:rFonts w:asciiTheme="minorHAnsi" w:hAnsiTheme="minorHAnsi" w:cstheme="minorHAnsi"/>
                <w:i/>
                <w:color w:val="808080"/>
                <w:sz w:val="20"/>
              </w:rPr>
            </w:pPr>
            <w:r w:rsidRPr="00CE4250">
              <w:rPr>
                <w:rFonts w:asciiTheme="minorHAnsi" w:hAnsiTheme="minorHAnsi" w:cstheme="minorHAnsi"/>
                <w:i/>
                <w:color w:val="808080"/>
                <w:sz w:val="20"/>
              </w:rPr>
              <w:t xml:space="preserve">Website for further information:  </w:t>
            </w:r>
          </w:p>
        </w:tc>
        <w:tc>
          <w:tcPr>
            <w:tcW w:w="5387" w:type="dxa"/>
          </w:tcPr>
          <w:p w14:paraId="2D3B27FD" w14:textId="77777777" w:rsidR="0081130F" w:rsidRPr="00CE4250" w:rsidRDefault="0081130F" w:rsidP="00E92BBC">
            <w:pPr>
              <w:rPr>
                <w:rFonts w:asciiTheme="minorHAnsi" w:hAnsiTheme="minorHAnsi" w:cstheme="minorHAnsi"/>
                <w:i/>
                <w:sz w:val="20"/>
              </w:rPr>
            </w:pPr>
          </w:p>
        </w:tc>
        <w:tc>
          <w:tcPr>
            <w:tcW w:w="5670" w:type="dxa"/>
          </w:tcPr>
          <w:p w14:paraId="5179DB0B" w14:textId="77777777" w:rsidR="0081130F" w:rsidRPr="00CE4250" w:rsidRDefault="0081130F" w:rsidP="00E92BBC">
            <w:pPr>
              <w:rPr>
                <w:rFonts w:asciiTheme="minorHAnsi" w:hAnsiTheme="minorHAnsi" w:cstheme="minorHAnsi"/>
                <w:i/>
                <w:sz w:val="20"/>
              </w:rPr>
            </w:pPr>
          </w:p>
        </w:tc>
      </w:tr>
      <w:tr w:rsidR="0081130F" w:rsidRPr="00CE4250" w14:paraId="7C04405B" w14:textId="77777777" w:rsidTr="00E92BBC">
        <w:tc>
          <w:tcPr>
            <w:tcW w:w="3524" w:type="dxa"/>
          </w:tcPr>
          <w:p w14:paraId="6ABDF861" w14:textId="77777777" w:rsidR="0081130F" w:rsidRPr="00CE4250" w:rsidRDefault="0081130F" w:rsidP="00E92BBC">
            <w:pPr>
              <w:rPr>
                <w:rFonts w:asciiTheme="minorHAnsi" w:hAnsiTheme="minorHAnsi" w:cstheme="minorHAnsi"/>
                <w:i/>
                <w:color w:val="808080"/>
                <w:sz w:val="20"/>
              </w:rPr>
            </w:pPr>
            <w:r w:rsidRPr="00CE4250">
              <w:rPr>
                <w:rFonts w:asciiTheme="minorHAnsi" w:hAnsiTheme="minorHAnsi" w:cstheme="minorHAnsi"/>
                <w:i/>
                <w:color w:val="808080"/>
                <w:sz w:val="20"/>
              </w:rPr>
              <w:t>Contact point for further details:</w:t>
            </w:r>
          </w:p>
        </w:tc>
        <w:tc>
          <w:tcPr>
            <w:tcW w:w="5387" w:type="dxa"/>
          </w:tcPr>
          <w:p w14:paraId="14EE8007" w14:textId="77777777" w:rsidR="0081130F" w:rsidRPr="00CE4250" w:rsidRDefault="0081130F" w:rsidP="00E92BBC">
            <w:pPr>
              <w:rPr>
                <w:rFonts w:asciiTheme="minorHAnsi" w:hAnsiTheme="minorHAnsi" w:cstheme="minorHAnsi"/>
                <w:i/>
                <w:sz w:val="20"/>
              </w:rPr>
            </w:pPr>
          </w:p>
        </w:tc>
        <w:tc>
          <w:tcPr>
            <w:tcW w:w="5670" w:type="dxa"/>
          </w:tcPr>
          <w:p w14:paraId="1CB23768" w14:textId="77777777" w:rsidR="0081130F" w:rsidRPr="00CE4250" w:rsidRDefault="0081130F" w:rsidP="00E92BBC">
            <w:pPr>
              <w:rPr>
                <w:rFonts w:asciiTheme="minorHAnsi" w:hAnsiTheme="minorHAnsi" w:cstheme="minorHAnsi"/>
                <w:i/>
                <w:sz w:val="20"/>
              </w:rPr>
            </w:pPr>
          </w:p>
        </w:tc>
      </w:tr>
      <w:tr w:rsidR="0081130F" w:rsidRPr="00CE4250" w14:paraId="481EA760" w14:textId="77777777" w:rsidTr="00E92BBC">
        <w:tc>
          <w:tcPr>
            <w:tcW w:w="3524" w:type="dxa"/>
          </w:tcPr>
          <w:p w14:paraId="4A25F060" w14:textId="77777777" w:rsidR="0081130F" w:rsidRPr="00CE4250" w:rsidRDefault="0081130F" w:rsidP="00E92BBC">
            <w:pPr>
              <w:rPr>
                <w:rFonts w:asciiTheme="minorHAnsi" w:hAnsiTheme="minorHAnsi" w:cstheme="minorHAnsi"/>
                <w:b/>
                <w:i/>
                <w:sz w:val="20"/>
              </w:rPr>
            </w:pPr>
            <w:bookmarkStart w:id="11" w:name="Row4"/>
            <w:r w:rsidRPr="00CE4250">
              <w:rPr>
                <w:rFonts w:asciiTheme="minorHAnsi" w:hAnsiTheme="minorHAnsi" w:cstheme="minorHAnsi"/>
                <w:b/>
                <w:i/>
                <w:sz w:val="20"/>
              </w:rPr>
              <w:t>Investment</w:t>
            </w:r>
            <w:bookmarkEnd w:id="11"/>
          </w:p>
          <w:p w14:paraId="2C835C88" w14:textId="77777777" w:rsidR="0081130F" w:rsidRPr="00CE4250" w:rsidRDefault="0081130F" w:rsidP="00E92BBC">
            <w:pPr>
              <w:rPr>
                <w:rFonts w:asciiTheme="minorHAnsi" w:hAnsiTheme="minorHAnsi" w:cstheme="minorHAnsi"/>
                <w:b/>
                <w:i/>
                <w:sz w:val="20"/>
              </w:rPr>
            </w:pPr>
          </w:p>
        </w:tc>
        <w:tc>
          <w:tcPr>
            <w:tcW w:w="5387" w:type="dxa"/>
          </w:tcPr>
          <w:p w14:paraId="46819616" w14:textId="77777777" w:rsidR="0081130F" w:rsidRPr="00CE4250" w:rsidRDefault="0081130F" w:rsidP="00E92BBC">
            <w:pPr>
              <w:rPr>
                <w:rFonts w:asciiTheme="minorHAnsi" w:hAnsiTheme="minorHAnsi" w:cstheme="minorHAnsi"/>
                <w:color w:val="808080"/>
                <w:sz w:val="20"/>
              </w:rPr>
            </w:pPr>
            <w:bookmarkStart w:id="12" w:name="Cell07"/>
            <w:bookmarkEnd w:id="12"/>
            <w:r w:rsidRPr="00CE4250">
              <w:rPr>
                <w:rFonts w:asciiTheme="minorHAnsi" w:hAnsiTheme="minorHAnsi" w:cstheme="minorHAnsi"/>
                <w:i/>
                <w:color w:val="808080"/>
                <w:sz w:val="20"/>
              </w:rPr>
              <w:t>Provide brief points only</w:t>
            </w:r>
          </w:p>
        </w:tc>
        <w:tc>
          <w:tcPr>
            <w:tcW w:w="5670" w:type="dxa"/>
          </w:tcPr>
          <w:p w14:paraId="7467AB2C" w14:textId="77777777" w:rsidR="0081130F" w:rsidRPr="00CE4250" w:rsidRDefault="0081130F" w:rsidP="00E92BBC">
            <w:pPr>
              <w:rPr>
                <w:rFonts w:asciiTheme="minorHAnsi" w:hAnsiTheme="minorHAnsi" w:cstheme="minorHAnsi"/>
                <w:color w:val="808080"/>
                <w:sz w:val="20"/>
              </w:rPr>
            </w:pPr>
            <w:bookmarkStart w:id="13" w:name="Cell08"/>
            <w:bookmarkEnd w:id="13"/>
            <w:r w:rsidRPr="00CE4250">
              <w:rPr>
                <w:rFonts w:asciiTheme="minorHAnsi" w:hAnsiTheme="minorHAnsi" w:cstheme="minorHAnsi"/>
                <w:i/>
                <w:color w:val="808080"/>
                <w:sz w:val="20"/>
              </w:rPr>
              <w:t>Provide brief points only</w:t>
            </w:r>
          </w:p>
        </w:tc>
      </w:tr>
      <w:tr w:rsidR="0081130F" w:rsidRPr="00CE4250" w14:paraId="648AAA06" w14:textId="77777777" w:rsidTr="00E92BBC">
        <w:tc>
          <w:tcPr>
            <w:tcW w:w="3524" w:type="dxa"/>
          </w:tcPr>
          <w:p w14:paraId="5B07F965"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 xml:space="preserve">Website for further information:  </w:t>
            </w:r>
          </w:p>
        </w:tc>
        <w:tc>
          <w:tcPr>
            <w:tcW w:w="5387" w:type="dxa"/>
          </w:tcPr>
          <w:p w14:paraId="5BF78AA1" w14:textId="77777777" w:rsidR="0081130F" w:rsidRPr="00CE4250" w:rsidRDefault="0081130F" w:rsidP="00E92BBC">
            <w:pPr>
              <w:pStyle w:val="Heading9"/>
              <w:rPr>
                <w:rFonts w:asciiTheme="minorHAnsi" w:hAnsiTheme="minorHAnsi" w:cstheme="minorHAnsi"/>
                <w:b w:val="0"/>
              </w:rPr>
            </w:pPr>
          </w:p>
        </w:tc>
        <w:tc>
          <w:tcPr>
            <w:tcW w:w="5670" w:type="dxa"/>
          </w:tcPr>
          <w:p w14:paraId="428E34C1" w14:textId="77777777" w:rsidR="0081130F" w:rsidRPr="00CE4250" w:rsidRDefault="0081130F" w:rsidP="00E92BBC">
            <w:pPr>
              <w:pStyle w:val="Heading9"/>
              <w:rPr>
                <w:rFonts w:asciiTheme="minorHAnsi" w:hAnsiTheme="minorHAnsi" w:cstheme="minorHAnsi"/>
                <w:b w:val="0"/>
              </w:rPr>
            </w:pPr>
          </w:p>
        </w:tc>
      </w:tr>
      <w:tr w:rsidR="0081130F" w:rsidRPr="00CE4250" w14:paraId="1F0B1246" w14:textId="77777777" w:rsidTr="00E92BBC">
        <w:tc>
          <w:tcPr>
            <w:tcW w:w="3524" w:type="dxa"/>
          </w:tcPr>
          <w:p w14:paraId="36A9A72F"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Contact point for further details:</w:t>
            </w:r>
          </w:p>
        </w:tc>
        <w:tc>
          <w:tcPr>
            <w:tcW w:w="5387" w:type="dxa"/>
          </w:tcPr>
          <w:p w14:paraId="257F8B58" w14:textId="77777777" w:rsidR="0081130F" w:rsidRPr="00CE4250" w:rsidRDefault="0081130F" w:rsidP="00E92BBC">
            <w:pPr>
              <w:pStyle w:val="Heading9"/>
              <w:rPr>
                <w:rFonts w:asciiTheme="minorHAnsi" w:hAnsiTheme="minorHAnsi" w:cstheme="minorHAnsi"/>
                <w:b w:val="0"/>
              </w:rPr>
            </w:pPr>
          </w:p>
        </w:tc>
        <w:tc>
          <w:tcPr>
            <w:tcW w:w="5670" w:type="dxa"/>
          </w:tcPr>
          <w:p w14:paraId="29117D92" w14:textId="77777777" w:rsidR="0081130F" w:rsidRPr="00CE4250" w:rsidRDefault="0081130F" w:rsidP="00E92BBC">
            <w:pPr>
              <w:pStyle w:val="Heading9"/>
              <w:rPr>
                <w:rFonts w:asciiTheme="minorHAnsi" w:hAnsiTheme="minorHAnsi" w:cstheme="minorHAnsi"/>
                <w:b w:val="0"/>
              </w:rPr>
            </w:pPr>
          </w:p>
        </w:tc>
      </w:tr>
      <w:tr w:rsidR="0081130F" w:rsidRPr="00CE4250" w14:paraId="6808D0EE" w14:textId="77777777" w:rsidTr="00E92BBC">
        <w:tc>
          <w:tcPr>
            <w:tcW w:w="3524" w:type="dxa"/>
          </w:tcPr>
          <w:p w14:paraId="06C8BECE" w14:textId="77777777" w:rsidR="0081130F" w:rsidRPr="00CE4250" w:rsidRDefault="0081130F" w:rsidP="00E92BBC">
            <w:pPr>
              <w:rPr>
                <w:rFonts w:asciiTheme="minorHAnsi" w:hAnsiTheme="minorHAnsi" w:cstheme="minorHAnsi"/>
                <w:b/>
                <w:i/>
                <w:sz w:val="20"/>
              </w:rPr>
            </w:pPr>
            <w:bookmarkStart w:id="14" w:name="Row5"/>
            <w:r w:rsidRPr="00CE4250">
              <w:rPr>
                <w:rFonts w:asciiTheme="minorHAnsi" w:hAnsiTheme="minorHAnsi" w:cstheme="minorHAnsi"/>
                <w:b/>
                <w:i/>
                <w:sz w:val="20"/>
              </w:rPr>
              <w:t>Standards and Conformance</w:t>
            </w:r>
            <w:bookmarkEnd w:id="14"/>
          </w:p>
          <w:p w14:paraId="5E4CA13A" w14:textId="77777777" w:rsidR="0081130F" w:rsidRPr="00CE4250" w:rsidRDefault="0081130F" w:rsidP="00E92BBC">
            <w:pPr>
              <w:rPr>
                <w:rFonts w:asciiTheme="minorHAnsi" w:hAnsiTheme="minorHAnsi" w:cstheme="minorHAnsi"/>
                <w:b/>
                <w:i/>
                <w:sz w:val="20"/>
              </w:rPr>
            </w:pPr>
          </w:p>
        </w:tc>
        <w:tc>
          <w:tcPr>
            <w:tcW w:w="5387" w:type="dxa"/>
          </w:tcPr>
          <w:p w14:paraId="3CD21758" w14:textId="77777777" w:rsidR="00890839" w:rsidRPr="00CE4250" w:rsidRDefault="00531260" w:rsidP="00890839">
            <w:pPr>
              <w:rPr>
                <w:rFonts w:asciiTheme="minorHAnsi" w:hAnsiTheme="minorHAnsi" w:cstheme="minorHAnsi"/>
                <w:color w:val="000000"/>
                <w:sz w:val="20"/>
              </w:rPr>
            </w:pPr>
            <w:bookmarkStart w:id="15" w:name="Cell09"/>
            <w:bookmarkEnd w:id="15"/>
            <w:r w:rsidRPr="00CE4250">
              <w:rPr>
                <w:rFonts w:asciiTheme="minorHAnsi" w:hAnsiTheme="minorHAnsi" w:cstheme="minorHAnsi"/>
                <w:color w:val="000000"/>
                <w:sz w:val="20"/>
              </w:rPr>
              <w:t>In 2016, t</w:t>
            </w:r>
            <w:r w:rsidR="00890839" w:rsidRPr="00CE4250">
              <w:rPr>
                <w:rFonts w:asciiTheme="minorHAnsi" w:hAnsiTheme="minorHAnsi" w:cstheme="minorHAnsi"/>
                <w:color w:val="000000"/>
                <w:sz w:val="20"/>
              </w:rPr>
              <w:t>he Office of Management and Budget revised Circular A-119, “Federal Participation in the Development and Use of Voluntary Consensus Standards and in Conformity Assessment Activities,” in light of changes that have taken place in the world of regulation, standards, and conformity assessment since the Circular was last revised in 1998.</w:t>
            </w:r>
            <w:r w:rsidRPr="00CE4250">
              <w:rPr>
                <w:rFonts w:asciiTheme="minorHAnsi" w:hAnsiTheme="minorHAnsi" w:cstheme="minorHAnsi"/>
                <w:color w:val="000000"/>
                <w:sz w:val="20"/>
              </w:rPr>
              <w:t xml:space="preserve">  The U.S. National Institute for Standards and </w:t>
            </w:r>
            <w:r w:rsidR="00484DFD" w:rsidRPr="00CE4250">
              <w:rPr>
                <w:rFonts w:asciiTheme="minorHAnsi" w:hAnsiTheme="minorHAnsi" w:cstheme="minorHAnsi"/>
                <w:color w:val="000000"/>
                <w:sz w:val="20"/>
              </w:rPr>
              <w:t xml:space="preserve">Technology </w:t>
            </w:r>
            <w:r w:rsidRPr="00CE4250">
              <w:rPr>
                <w:rFonts w:asciiTheme="minorHAnsi" w:hAnsiTheme="minorHAnsi" w:cstheme="minorHAnsi"/>
                <w:color w:val="000000"/>
                <w:sz w:val="20"/>
              </w:rPr>
              <w:t>(</w:t>
            </w:r>
            <w:r w:rsidR="00890839" w:rsidRPr="00CE4250">
              <w:rPr>
                <w:rFonts w:asciiTheme="minorHAnsi" w:hAnsiTheme="minorHAnsi" w:cstheme="minorHAnsi"/>
                <w:color w:val="000000"/>
                <w:sz w:val="20"/>
              </w:rPr>
              <w:t>NIST</w:t>
            </w:r>
            <w:r w:rsidRPr="00CE4250">
              <w:rPr>
                <w:rFonts w:asciiTheme="minorHAnsi" w:hAnsiTheme="minorHAnsi" w:cstheme="minorHAnsi"/>
                <w:color w:val="000000"/>
                <w:sz w:val="20"/>
              </w:rPr>
              <w:t>)</w:t>
            </w:r>
            <w:r w:rsidR="00890839" w:rsidRPr="00CE4250">
              <w:rPr>
                <w:rFonts w:asciiTheme="minorHAnsi" w:hAnsiTheme="minorHAnsi" w:cstheme="minorHAnsi"/>
                <w:color w:val="000000"/>
                <w:sz w:val="20"/>
              </w:rPr>
              <w:t xml:space="preserve"> is revising its conformity assessment materials to align with the updated Circular. </w:t>
            </w:r>
            <w:r w:rsidRPr="00CE4250">
              <w:rPr>
                <w:rFonts w:asciiTheme="minorHAnsi" w:hAnsiTheme="minorHAnsi" w:cstheme="minorHAnsi"/>
                <w:color w:val="000000"/>
                <w:sz w:val="20"/>
              </w:rPr>
              <w:t>In December 2017, NIST published two documents for public comment:  “ABCs of Conformity Assessment” and “Conformity Assessment Considerations for Federal Agencies.”</w:t>
            </w:r>
          </w:p>
          <w:p w14:paraId="62D66CAC" w14:textId="77777777" w:rsidR="00890839" w:rsidRPr="00CE4250" w:rsidRDefault="00890839" w:rsidP="00890839">
            <w:pPr>
              <w:rPr>
                <w:rFonts w:asciiTheme="minorHAnsi" w:hAnsiTheme="minorHAnsi" w:cstheme="minorHAnsi"/>
                <w:i/>
                <w:color w:val="808080"/>
                <w:sz w:val="20"/>
              </w:rPr>
            </w:pPr>
          </w:p>
          <w:p w14:paraId="5713FD4A" w14:textId="77777777" w:rsidR="0081130F" w:rsidRPr="00CE4250" w:rsidRDefault="0081130F" w:rsidP="00890839">
            <w:pPr>
              <w:rPr>
                <w:rFonts w:asciiTheme="minorHAnsi" w:hAnsiTheme="minorHAnsi" w:cstheme="minorHAnsi"/>
                <w:color w:val="808080"/>
                <w:sz w:val="20"/>
              </w:rPr>
            </w:pPr>
          </w:p>
        </w:tc>
        <w:tc>
          <w:tcPr>
            <w:tcW w:w="5670" w:type="dxa"/>
          </w:tcPr>
          <w:p w14:paraId="34E8F4EC" w14:textId="77777777" w:rsidR="0081130F" w:rsidRPr="00CE4250" w:rsidRDefault="0081130F" w:rsidP="00E92BBC">
            <w:pPr>
              <w:rPr>
                <w:rFonts w:asciiTheme="minorHAnsi" w:hAnsiTheme="minorHAnsi" w:cstheme="minorHAnsi"/>
                <w:color w:val="808080"/>
                <w:sz w:val="20"/>
              </w:rPr>
            </w:pPr>
            <w:bookmarkStart w:id="16" w:name="Cell10"/>
            <w:bookmarkEnd w:id="16"/>
            <w:r w:rsidRPr="00CE4250">
              <w:rPr>
                <w:rFonts w:asciiTheme="minorHAnsi" w:hAnsiTheme="minorHAnsi" w:cstheme="minorHAnsi"/>
                <w:i/>
                <w:color w:val="808080"/>
                <w:sz w:val="20"/>
              </w:rPr>
              <w:t>Provide brief points only</w:t>
            </w:r>
          </w:p>
        </w:tc>
      </w:tr>
      <w:tr w:rsidR="0081130F" w:rsidRPr="00CE4250" w14:paraId="7690404F" w14:textId="77777777" w:rsidTr="00E92BBC">
        <w:tc>
          <w:tcPr>
            <w:tcW w:w="3524" w:type="dxa"/>
          </w:tcPr>
          <w:p w14:paraId="35443A70"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 xml:space="preserve">Website for further information:  </w:t>
            </w:r>
          </w:p>
        </w:tc>
        <w:tc>
          <w:tcPr>
            <w:tcW w:w="5387" w:type="dxa"/>
          </w:tcPr>
          <w:p w14:paraId="1582BDD2" w14:textId="77777777" w:rsidR="0081130F" w:rsidRPr="00CE4250" w:rsidRDefault="00531260" w:rsidP="00E92BBC">
            <w:pPr>
              <w:pStyle w:val="Heading9"/>
              <w:rPr>
                <w:rFonts w:asciiTheme="minorHAnsi" w:hAnsiTheme="minorHAnsi" w:cstheme="minorHAnsi"/>
                <w:b w:val="0"/>
              </w:rPr>
            </w:pPr>
            <w:r w:rsidRPr="00CE4250">
              <w:rPr>
                <w:rFonts w:asciiTheme="minorHAnsi" w:hAnsiTheme="minorHAnsi" w:cstheme="minorHAnsi"/>
                <w:b w:val="0"/>
              </w:rPr>
              <w:t>https://www.nist.gov/standardsgov/draft-conformity-assessment-publications</w:t>
            </w:r>
          </w:p>
        </w:tc>
        <w:tc>
          <w:tcPr>
            <w:tcW w:w="5670" w:type="dxa"/>
          </w:tcPr>
          <w:p w14:paraId="53B8E0AD" w14:textId="77777777" w:rsidR="0081130F" w:rsidRPr="00CE4250" w:rsidRDefault="0081130F" w:rsidP="00E92BBC">
            <w:pPr>
              <w:pStyle w:val="Heading9"/>
              <w:rPr>
                <w:rFonts w:asciiTheme="minorHAnsi" w:hAnsiTheme="minorHAnsi" w:cstheme="minorHAnsi"/>
                <w:b w:val="0"/>
              </w:rPr>
            </w:pPr>
          </w:p>
        </w:tc>
      </w:tr>
      <w:tr w:rsidR="0081130F" w:rsidRPr="00CE4250" w14:paraId="74746CBB" w14:textId="77777777" w:rsidTr="00E92BBC">
        <w:tc>
          <w:tcPr>
            <w:tcW w:w="3524" w:type="dxa"/>
          </w:tcPr>
          <w:p w14:paraId="17001362"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Contact point for further details:</w:t>
            </w:r>
          </w:p>
        </w:tc>
        <w:tc>
          <w:tcPr>
            <w:tcW w:w="5387" w:type="dxa"/>
          </w:tcPr>
          <w:p w14:paraId="78F453AA" w14:textId="77777777" w:rsidR="0081130F" w:rsidRPr="00CE4250" w:rsidRDefault="0081130F" w:rsidP="00E92BBC">
            <w:pPr>
              <w:pStyle w:val="Heading9"/>
              <w:rPr>
                <w:rFonts w:asciiTheme="minorHAnsi" w:hAnsiTheme="minorHAnsi" w:cstheme="minorHAnsi"/>
                <w:b w:val="0"/>
              </w:rPr>
            </w:pPr>
          </w:p>
        </w:tc>
        <w:tc>
          <w:tcPr>
            <w:tcW w:w="5670" w:type="dxa"/>
          </w:tcPr>
          <w:p w14:paraId="503AA262" w14:textId="77777777" w:rsidR="0081130F" w:rsidRPr="00CE4250" w:rsidRDefault="0081130F" w:rsidP="00E92BBC">
            <w:pPr>
              <w:pStyle w:val="Heading9"/>
              <w:rPr>
                <w:rFonts w:asciiTheme="minorHAnsi" w:hAnsiTheme="minorHAnsi" w:cstheme="minorHAnsi"/>
                <w:b w:val="0"/>
              </w:rPr>
            </w:pPr>
          </w:p>
        </w:tc>
      </w:tr>
      <w:tr w:rsidR="0081130F" w:rsidRPr="00CE4250" w14:paraId="4E817963" w14:textId="77777777" w:rsidTr="00E92BBC">
        <w:tc>
          <w:tcPr>
            <w:tcW w:w="3524" w:type="dxa"/>
          </w:tcPr>
          <w:p w14:paraId="317C27B0" w14:textId="77777777" w:rsidR="0081130F" w:rsidRPr="00CE4250" w:rsidRDefault="0081130F" w:rsidP="00E92BBC">
            <w:pPr>
              <w:rPr>
                <w:rFonts w:asciiTheme="minorHAnsi" w:hAnsiTheme="minorHAnsi" w:cstheme="minorHAnsi"/>
                <w:b/>
                <w:sz w:val="20"/>
              </w:rPr>
            </w:pPr>
            <w:bookmarkStart w:id="17" w:name="Row6"/>
            <w:r w:rsidRPr="00CE4250">
              <w:rPr>
                <w:rFonts w:asciiTheme="minorHAnsi" w:hAnsiTheme="minorHAnsi" w:cstheme="minorHAnsi"/>
                <w:b/>
                <w:sz w:val="20"/>
              </w:rPr>
              <w:t>Customs Procedures</w:t>
            </w:r>
            <w:bookmarkEnd w:id="17"/>
          </w:p>
          <w:p w14:paraId="030B5831" w14:textId="77777777" w:rsidR="0081130F" w:rsidRPr="00CE4250" w:rsidRDefault="0081130F" w:rsidP="00E92BBC">
            <w:pPr>
              <w:rPr>
                <w:rFonts w:asciiTheme="minorHAnsi" w:hAnsiTheme="minorHAnsi" w:cstheme="minorHAnsi"/>
                <w:b/>
                <w:sz w:val="20"/>
              </w:rPr>
            </w:pPr>
          </w:p>
        </w:tc>
        <w:tc>
          <w:tcPr>
            <w:tcW w:w="5387" w:type="dxa"/>
          </w:tcPr>
          <w:p w14:paraId="65430DB1" w14:textId="77777777" w:rsidR="007C0645" w:rsidRPr="00CE4250" w:rsidRDefault="007C0645" w:rsidP="007C0645">
            <w:pPr>
              <w:rPr>
                <w:rFonts w:asciiTheme="minorHAnsi" w:eastAsia="Calibri" w:hAnsiTheme="minorHAnsi" w:cstheme="minorHAnsi"/>
                <w:sz w:val="20"/>
                <w:lang w:val="en-US"/>
              </w:rPr>
            </w:pPr>
            <w:bookmarkStart w:id="18" w:name="Cell11"/>
            <w:bookmarkEnd w:id="18"/>
            <w:r w:rsidRPr="00CE4250">
              <w:rPr>
                <w:rFonts w:asciiTheme="minorHAnsi" w:hAnsiTheme="minorHAnsi" w:cstheme="minorHAnsi"/>
                <w:sz w:val="20"/>
              </w:rPr>
              <w:t xml:space="preserve">The </w:t>
            </w:r>
            <w:r w:rsidR="00455F77" w:rsidRPr="00CE4250">
              <w:rPr>
                <w:rFonts w:asciiTheme="minorHAnsi" w:hAnsiTheme="minorHAnsi" w:cstheme="minorHAnsi"/>
                <w:sz w:val="20"/>
              </w:rPr>
              <w:t xml:space="preserve">Trade </w:t>
            </w:r>
            <w:r w:rsidRPr="00CE4250">
              <w:rPr>
                <w:rFonts w:asciiTheme="minorHAnsi" w:hAnsiTheme="minorHAnsi" w:cstheme="minorHAnsi"/>
                <w:sz w:val="20"/>
              </w:rPr>
              <w:t>F</w:t>
            </w:r>
            <w:r w:rsidRPr="00CE4250">
              <w:rPr>
                <w:rFonts w:asciiTheme="minorHAnsi" w:eastAsia="Calibri" w:hAnsiTheme="minorHAnsi" w:cstheme="minorHAnsi"/>
                <w:sz w:val="20"/>
                <w:lang w:val="en-US"/>
              </w:rPr>
              <w:t xml:space="preserve">acilitation and Trade Enforcement Act (TFTEA) was enacted in February 2016.  The new law required </w:t>
            </w:r>
            <w:r w:rsidRPr="00CE4250">
              <w:rPr>
                <w:rFonts w:asciiTheme="minorHAnsi" w:eastAsia="Calibri" w:hAnsiTheme="minorHAnsi" w:cstheme="minorHAnsi"/>
                <w:sz w:val="20"/>
                <w:lang w:val="en-US"/>
              </w:rPr>
              <w:lastRenderedPageBreak/>
              <w:t xml:space="preserve">reorganization of Customs functions including new programs, offices, regulations, trainings, and engagements. With more than 100 new mandates and requirements there has been significant </w:t>
            </w:r>
            <w:r w:rsidR="008A70D3" w:rsidRPr="00CE4250">
              <w:rPr>
                <w:rFonts w:asciiTheme="minorHAnsi" w:eastAsia="Calibri" w:hAnsiTheme="minorHAnsi" w:cstheme="minorHAnsi"/>
                <w:sz w:val="20"/>
                <w:lang w:val="en-US"/>
              </w:rPr>
              <w:t xml:space="preserve">accomplishments.  </w:t>
            </w:r>
            <w:r w:rsidRPr="00CE4250">
              <w:rPr>
                <w:rFonts w:asciiTheme="minorHAnsi" w:eastAsia="Calibri" w:hAnsiTheme="minorHAnsi" w:cstheme="minorHAnsi"/>
                <w:sz w:val="20"/>
                <w:lang w:val="en-US"/>
              </w:rPr>
              <w:t>One key provision of TFTEA is the Enforce and Protect Act (</w:t>
            </w:r>
            <w:hyperlink r:id="rId12" w:history="1">
              <w:r w:rsidRPr="00CE4250">
                <w:rPr>
                  <w:rFonts w:asciiTheme="minorHAnsi" w:eastAsia="Calibri" w:hAnsiTheme="minorHAnsi" w:cstheme="minorHAnsi"/>
                  <w:color w:val="0563C1"/>
                  <w:sz w:val="20"/>
                  <w:u w:val="single"/>
                  <w:lang w:val="en-US"/>
                </w:rPr>
                <w:t>EAPA</w:t>
              </w:r>
            </w:hyperlink>
            <w:r w:rsidRPr="00CE4250">
              <w:rPr>
                <w:rFonts w:asciiTheme="minorHAnsi" w:eastAsia="Calibri" w:hAnsiTheme="minorHAnsi" w:cstheme="minorHAnsi"/>
                <w:sz w:val="20"/>
                <w:lang w:val="en-US"/>
              </w:rPr>
              <w:t xml:space="preserve">), which gives us more tools to investigate alleged evasion of antidumping and countervailing duties. TFTEA also gives CBP additional authorities to safeguard human rights by strengthening the prohibition of U.S. imports made by </w:t>
            </w:r>
            <w:hyperlink r:id="rId13" w:history="1">
              <w:r w:rsidRPr="00CE4250">
                <w:rPr>
                  <w:rFonts w:asciiTheme="minorHAnsi" w:eastAsia="Calibri" w:hAnsiTheme="minorHAnsi" w:cstheme="minorHAnsi"/>
                  <w:color w:val="0563C1"/>
                  <w:sz w:val="20"/>
                  <w:u w:val="single"/>
                  <w:lang w:val="en-US"/>
                </w:rPr>
                <w:t>forced labor</w:t>
              </w:r>
            </w:hyperlink>
            <w:r w:rsidRPr="00CE4250">
              <w:rPr>
                <w:rFonts w:asciiTheme="minorHAnsi" w:eastAsia="Calibri" w:hAnsiTheme="minorHAnsi" w:cstheme="minorHAnsi"/>
                <w:sz w:val="20"/>
                <w:lang w:val="en-US"/>
              </w:rPr>
              <w:t>, including child labor</w:t>
            </w:r>
            <w:r w:rsidR="00BD6BC8" w:rsidRPr="00CE4250">
              <w:rPr>
                <w:rFonts w:asciiTheme="minorHAnsi" w:eastAsia="Calibri" w:hAnsiTheme="minorHAnsi" w:cstheme="minorHAnsi"/>
                <w:sz w:val="20"/>
                <w:lang w:val="en-US"/>
              </w:rPr>
              <w:t xml:space="preserve">.  </w:t>
            </w:r>
            <w:r w:rsidRPr="00CE4250">
              <w:rPr>
                <w:rFonts w:asciiTheme="minorHAnsi" w:eastAsia="Calibri" w:hAnsiTheme="minorHAnsi" w:cstheme="minorHAnsi"/>
                <w:sz w:val="20"/>
                <w:lang w:val="en-US"/>
              </w:rPr>
              <w:t>TFTEA helps us keep counterfeit merchandise out of the U.S. supply chain by protecting intellectual property rights (</w:t>
            </w:r>
            <w:hyperlink r:id="rId14" w:history="1">
              <w:r w:rsidRPr="00CE4250">
                <w:rPr>
                  <w:rFonts w:asciiTheme="minorHAnsi" w:eastAsia="Calibri" w:hAnsiTheme="minorHAnsi" w:cstheme="minorHAnsi"/>
                  <w:color w:val="0563C1"/>
                  <w:sz w:val="20"/>
                  <w:u w:val="single"/>
                  <w:lang w:val="en-US"/>
                </w:rPr>
                <w:t>IPR</w:t>
              </w:r>
            </w:hyperlink>
            <w:r w:rsidRPr="00CE4250">
              <w:rPr>
                <w:rFonts w:asciiTheme="minorHAnsi" w:eastAsia="Calibri" w:hAnsiTheme="minorHAnsi" w:cstheme="minorHAnsi"/>
                <w:sz w:val="20"/>
                <w:lang w:val="en-US"/>
              </w:rPr>
              <w:t xml:space="preserve">). </w:t>
            </w:r>
            <w:r w:rsidR="00455F77" w:rsidRPr="00CE4250">
              <w:rPr>
                <w:rFonts w:asciiTheme="minorHAnsi" w:eastAsia="Calibri" w:hAnsiTheme="minorHAnsi" w:cstheme="minorHAnsi"/>
                <w:sz w:val="20"/>
                <w:lang w:val="en-US"/>
              </w:rPr>
              <w:t xml:space="preserve"> </w:t>
            </w:r>
            <w:r w:rsidRPr="00CE4250">
              <w:rPr>
                <w:rFonts w:asciiTheme="minorHAnsi" w:eastAsia="Calibri" w:hAnsiTheme="minorHAnsi" w:cstheme="minorHAnsi"/>
                <w:sz w:val="20"/>
                <w:lang w:val="en-US"/>
              </w:rPr>
              <w:t xml:space="preserve">In fiscal year 2017, </w:t>
            </w:r>
            <w:r w:rsidR="008A70D3" w:rsidRPr="00CE4250">
              <w:rPr>
                <w:rFonts w:asciiTheme="minorHAnsi" w:eastAsia="Calibri" w:hAnsiTheme="minorHAnsi" w:cstheme="minorHAnsi"/>
                <w:sz w:val="20"/>
                <w:lang w:val="en-US"/>
              </w:rPr>
              <w:t>s</w:t>
            </w:r>
            <w:r w:rsidRPr="00CE4250">
              <w:rPr>
                <w:rFonts w:asciiTheme="minorHAnsi" w:eastAsia="Calibri" w:hAnsiTheme="minorHAnsi" w:cstheme="minorHAnsi"/>
                <w:sz w:val="20"/>
                <w:lang w:val="en-US"/>
              </w:rPr>
              <w:t>eizures of shipments that violate IPR increased by 8 percent in FY 2017 over the previous fiscal year</w:t>
            </w:r>
            <w:r w:rsidR="008A70D3" w:rsidRPr="00CE4250">
              <w:rPr>
                <w:rFonts w:asciiTheme="minorHAnsi" w:eastAsia="Calibri" w:hAnsiTheme="minorHAnsi" w:cstheme="minorHAnsi"/>
                <w:sz w:val="20"/>
                <w:lang w:val="en-US"/>
              </w:rPr>
              <w:t>.</w:t>
            </w:r>
          </w:p>
          <w:p w14:paraId="58711A7D" w14:textId="77777777" w:rsidR="007C0645" w:rsidRPr="00CE4250" w:rsidRDefault="007C0645" w:rsidP="007C0645">
            <w:pPr>
              <w:rPr>
                <w:rFonts w:asciiTheme="minorHAnsi" w:eastAsia="Calibri" w:hAnsiTheme="minorHAnsi" w:cstheme="minorHAnsi"/>
                <w:sz w:val="20"/>
                <w:lang w:val="en-US"/>
              </w:rPr>
            </w:pPr>
          </w:p>
          <w:p w14:paraId="0612206E" w14:textId="77777777" w:rsidR="0081130F" w:rsidRPr="00CE4250" w:rsidRDefault="0081130F" w:rsidP="00E92BBC">
            <w:pPr>
              <w:rPr>
                <w:rFonts w:asciiTheme="minorHAnsi" w:hAnsiTheme="minorHAnsi" w:cstheme="minorHAnsi"/>
                <w:sz w:val="20"/>
              </w:rPr>
            </w:pPr>
          </w:p>
        </w:tc>
        <w:tc>
          <w:tcPr>
            <w:tcW w:w="5670" w:type="dxa"/>
          </w:tcPr>
          <w:p w14:paraId="0072C879" w14:textId="4A1B4E0F" w:rsidR="0081130F" w:rsidRPr="00CE4250" w:rsidRDefault="0081130F" w:rsidP="00E92BBC">
            <w:pPr>
              <w:rPr>
                <w:rFonts w:asciiTheme="minorHAnsi" w:hAnsiTheme="minorHAnsi" w:cstheme="minorHAnsi"/>
                <w:color w:val="808080"/>
                <w:sz w:val="20"/>
              </w:rPr>
            </w:pPr>
            <w:bookmarkStart w:id="19" w:name="Cell12"/>
            <w:bookmarkEnd w:id="19"/>
          </w:p>
        </w:tc>
      </w:tr>
      <w:tr w:rsidR="0081130F" w:rsidRPr="00CE4250" w14:paraId="210B3AAB" w14:textId="77777777" w:rsidTr="00E92BBC">
        <w:tc>
          <w:tcPr>
            <w:tcW w:w="3524" w:type="dxa"/>
          </w:tcPr>
          <w:p w14:paraId="581AA3FB"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 xml:space="preserve">Website for further information:  </w:t>
            </w:r>
          </w:p>
        </w:tc>
        <w:tc>
          <w:tcPr>
            <w:tcW w:w="5387" w:type="dxa"/>
          </w:tcPr>
          <w:p w14:paraId="1111B166" w14:textId="77777777" w:rsidR="0081130F" w:rsidRPr="00CE4250" w:rsidRDefault="0081130F" w:rsidP="00E92BBC">
            <w:pPr>
              <w:pStyle w:val="Heading9"/>
              <w:rPr>
                <w:rFonts w:asciiTheme="minorHAnsi" w:hAnsiTheme="minorHAnsi" w:cstheme="minorHAnsi"/>
                <w:b w:val="0"/>
              </w:rPr>
            </w:pPr>
          </w:p>
        </w:tc>
        <w:tc>
          <w:tcPr>
            <w:tcW w:w="5670" w:type="dxa"/>
          </w:tcPr>
          <w:p w14:paraId="6ECF4808" w14:textId="77777777" w:rsidR="0081130F" w:rsidRPr="00CE4250" w:rsidRDefault="0081130F" w:rsidP="00E92BBC">
            <w:pPr>
              <w:pStyle w:val="Heading9"/>
              <w:rPr>
                <w:rFonts w:asciiTheme="minorHAnsi" w:hAnsiTheme="minorHAnsi" w:cstheme="minorHAnsi"/>
                <w:b w:val="0"/>
              </w:rPr>
            </w:pPr>
          </w:p>
        </w:tc>
      </w:tr>
      <w:tr w:rsidR="0081130F" w:rsidRPr="00CE4250" w14:paraId="0E4E4E31" w14:textId="77777777" w:rsidTr="00E92BBC">
        <w:tc>
          <w:tcPr>
            <w:tcW w:w="3524" w:type="dxa"/>
          </w:tcPr>
          <w:p w14:paraId="46D66AFE"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Contact point for further details:</w:t>
            </w:r>
          </w:p>
        </w:tc>
        <w:tc>
          <w:tcPr>
            <w:tcW w:w="5387" w:type="dxa"/>
          </w:tcPr>
          <w:p w14:paraId="2AD366F2" w14:textId="77777777" w:rsidR="0081130F" w:rsidRPr="00CE4250" w:rsidRDefault="0081130F" w:rsidP="00E92BBC">
            <w:pPr>
              <w:pStyle w:val="Heading9"/>
              <w:rPr>
                <w:rFonts w:asciiTheme="minorHAnsi" w:hAnsiTheme="minorHAnsi" w:cstheme="minorHAnsi"/>
                <w:b w:val="0"/>
              </w:rPr>
            </w:pPr>
          </w:p>
        </w:tc>
        <w:tc>
          <w:tcPr>
            <w:tcW w:w="5670" w:type="dxa"/>
          </w:tcPr>
          <w:p w14:paraId="0B210F22" w14:textId="44389811" w:rsidR="0081130F" w:rsidRPr="00CE4250" w:rsidRDefault="00747732" w:rsidP="00E92BBC">
            <w:pPr>
              <w:pStyle w:val="Heading9"/>
              <w:rPr>
                <w:rFonts w:asciiTheme="minorHAnsi" w:hAnsiTheme="minorHAnsi" w:cstheme="minorHAnsi"/>
                <w:b w:val="0"/>
              </w:rPr>
            </w:pPr>
            <w:r w:rsidRPr="00CE4250">
              <w:rPr>
                <w:rFonts w:asciiTheme="minorHAnsi" w:hAnsiTheme="minorHAnsi" w:cstheme="minorHAnsi"/>
                <w:i w:val="0"/>
              </w:rPr>
              <w:t xml:space="preserve"> </w:t>
            </w:r>
          </w:p>
        </w:tc>
      </w:tr>
      <w:tr w:rsidR="0081130F" w:rsidRPr="00CE4250" w14:paraId="4EDDEB04" w14:textId="77777777" w:rsidTr="00E92BBC">
        <w:tc>
          <w:tcPr>
            <w:tcW w:w="3524" w:type="dxa"/>
          </w:tcPr>
          <w:p w14:paraId="6D1A622C" w14:textId="77777777" w:rsidR="0081130F" w:rsidRPr="00CE4250" w:rsidRDefault="0081130F" w:rsidP="00E92BBC">
            <w:pPr>
              <w:rPr>
                <w:rFonts w:asciiTheme="minorHAnsi" w:hAnsiTheme="minorHAnsi" w:cstheme="minorHAnsi"/>
                <w:b/>
                <w:i/>
                <w:sz w:val="20"/>
              </w:rPr>
            </w:pPr>
            <w:bookmarkStart w:id="20" w:name="Row7"/>
            <w:r w:rsidRPr="00CE4250">
              <w:rPr>
                <w:rFonts w:asciiTheme="minorHAnsi" w:hAnsiTheme="minorHAnsi" w:cstheme="minorHAnsi"/>
                <w:b/>
                <w:i/>
                <w:sz w:val="20"/>
              </w:rPr>
              <w:t>Intellectual Property Rights</w:t>
            </w:r>
            <w:bookmarkEnd w:id="20"/>
          </w:p>
          <w:p w14:paraId="283530EA" w14:textId="77777777" w:rsidR="0081130F" w:rsidRPr="00CE4250" w:rsidRDefault="0081130F" w:rsidP="00E92BBC">
            <w:pPr>
              <w:rPr>
                <w:rFonts w:asciiTheme="minorHAnsi" w:hAnsiTheme="minorHAnsi" w:cstheme="minorHAnsi"/>
                <w:b/>
                <w:i/>
                <w:sz w:val="20"/>
              </w:rPr>
            </w:pPr>
          </w:p>
        </w:tc>
        <w:tc>
          <w:tcPr>
            <w:tcW w:w="5387" w:type="dxa"/>
          </w:tcPr>
          <w:p w14:paraId="1BA24F76" w14:textId="77777777" w:rsidR="00391E97" w:rsidRPr="00EF488C" w:rsidRDefault="00391E97" w:rsidP="00CE4250">
            <w:pPr>
              <w:rPr>
                <w:rFonts w:asciiTheme="minorHAnsi" w:hAnsiTheme="minorHAnsi" w:cstheme="minorHAnsi"/>
                <w:sz w:val="20"/>
                <w:lang w:val="en-US"/>
              </w:rPr>
            </w:pPr>
            <w:bookmarkStart w:id="21" w:name="Cell13"/>
            <w:bookmarkEnd w:id="21"/>
            <w:r w:rsidRPr="00EF488C">
              <w:rPr>
                <w:rFonts w:asciiTheme="minorHAnsi" w:hAnsiTheme="minorHAnsi" w:cstheme="minorHAnsi"/>
                <w:sz w:val="20"/>
              </w:rPr>
              <w:t>In our FTA negotiations, including in the renegotiation and modernization of the North American Free Trade Agreement (NAFTA), the United States seeks robust standards for intellectual property rights protection and enforcement.</w:t>
            </w:r>
          </w:p>
          <w:p w14:paraId="3CCF1C29" w14:textId="148E8206" w:rsidR="0081130F" w:rsidRPr="00CE4250" w:rsidRDefault="0081130F" w:rsidP="00E92BBC">
            <w:pPr>
              <w:rPr>
                <w:rFonts w:asciiTheme="minorHAnsi" w:hAnsiTheme="minorHAnsi" w:cstheme="minorHAnsi"/>
                <w:color w:val="808080"/>
                <w:sz w:val="20"/>
              </w:rPr>
            </w:pPr>
          </w:p>
        </w:tc>
        <w:tc>
          <w:tcPr>
            <w:tcW w:w="5670" w:type="dxa"/>
          </w:tcPr>
          <w:p w14:paraId="707836DF" w14:textId="77777777" w:rsidR="0081130F" w:rsidRPr="00CE4250" w:rsidRDefault="0081130F" w:rsidP="00E92BBC">
            <w:pPr>
              <w:rPr>
                <w:rFonts w:asciiTheme="minorHAnsi" w:hAnsiTheme="minorHAnsi" w:cstheme="minorHAnsi"/>
                <w:color w:val="808080"/>
                <w:sz w:val="20"/>
              </w:rPr>
            </w:pPr>
            <w:bookmarkStart w:id="22" w:name="Cell14"/>
            <w:bookmarkEnd w:id="22"/>
            <w:r w:rsidRPr="00CE4250">
              <w:rPr>
                <w:rFonts w:asciiTheme="minorHAnsi" w:hAnsiTheme="minorHAnsi" w:cstheme="minorHAnsi"/>
                <w:i/>
                <w:color w:val="808080"/>
                <w:sz w:val="20"/>
              </w:rPr>
              <w:t>Provide brief points only</w:t>
            </w:r>
          </w:p>
        </w:tc>
      </w:tr>
      <w:tr w:rsidR="0081130F" w:rsidRPr="00CE4250" w14:paraId="547BEBE5" w14:textId="77777777" w:rsidTr="00E92BBC">
        <w:tc>
          <w:tcPr>
            <w:tcW w:w="3524" w:type="dxa"/>
          </w:tcPr>
          <w:p w14:paraId="328DE8C6"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 xml:space="preserve">Website for further information:  </w:t>
            </w:r>
          </w:p>
        </w:tc>
        <w:tc>
          <w:tcPr>
            <w:tcW w:w="5387" w:type="dxa"/>
          </w:tcPr>
          <w:p w14:paraId="0927B220" w14:textId="77777777" w:rsidR="0081130F" w:rsidRPr="00CE4250" w:rsidRDefault="0081130F" w:rsidP="00E92BBC">
            <w:pPr>
              <w:pStyle w:val="Heading9"/>
              <w:rPr>
                <w:rFonts w:asciiTheme="minorHAnsi" w:hAnsiTheme="minorHAnsi" w:cstheme="minorHAnsi"/>
                <w:b w:val="0"/>
              </w:rPr>
            </w:pPr>
          </w:p>
        </w:tc>
        <w:tc>
          <w:tcPr>
            <w:tcW w:w="5670" w:type="dxa"/>
          </w:tcPr>
          <w:p w14:paraId="52E91FF5" w14:textId="77777777" w:rsidR="0081130F" w:rsidRPr="00CE4250" w:rsidRDefault="0081130F" w:rsidP="00E92BBC">
            <w:pPr>
              <w:pStyle w:val="Heading9"/>
              <w:rPr>
                <w:rFonts w:asciiTheme="minorHAnsi" w:hAnsiTheme="minorHAnsi" w:cstheme="minorHAnsi"/>
                <w:b w:val="0"/>
              </w:rPr>
            </w:pPr>
          </w:p>
        </w:tc>
      </w:tr>
      <w:tr w:rsidR="0081130F" w:rsidRPr="00CE4250" w14:paraId="6256377D" w14:textId="77777777" w:rsidTr="00E92BBC">
        <w:tc>
          <w:tcPr>
            <w:tcW w:w="3524" w:type="dxa"/>
          </w:tcPr>
          <w:p w14:paraId="31158DA1"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Contact point for further details:</w:t>
            </w:r>
          </w:p>
        </w:tc>
        <w:tc>
          <w:tcPr>
            <w:tcW w:w="5387" w:type="dxa"/>
          </w:tcPr>
          <w:p w14:paraId="22E7205F" w14:textId="77777777" w:rsidR="0081130F" w:rsidRPr="00CE4250" w:rsidRDefault="0081130F" w:rsidP="00E92BBC">
            <w:pPr>
              <w:pStyle w:val="Heading9"/>
              <w:rPr>
                <w:rFonts w:asciiTheme="minorHAnsi" w:hAnsiTheme="minorHAnsi" w:cstheme="minorHAnsi"/>
                <w:b w:val="0"/>
              </w:rPr>
            </w:pPr>
          </w:p>
        </w:tc>
        <w:tc>
          <w:tcPr>
            <w:tcW w:w="5670" w:type="dxa"/>
          </w:tcPr>
          <w:p w14:paraId="17D1AFE9" w14:textId="77777777" w:rsidR="0081130F" w:rsidRPr="00CE4250" w:rsidRDefault="0081130F" w:rsidP="00E92BBC">
            <w:pPr>
              <w:pStyle w:val="Heading9"/>
              <w:rPr>
                <w:rFonts w:asciiTheme="minorHAnsi" w:hAnsiTheme="minorHAnsi" w:cstheme="minorHAnsi"/>
                <w:b w:val="0"/>
              </w:rPr>
            </w:pPr>
          </w:p>
        </w:tc>
      </w:tr>
      <w:tr w:rsidR="0081130F" w:rsidRPr="00CE4250" w14:paraId="7F4069BF" w14:textId="77777777" w:rsidTr="00E92BBC">
        <w:tc>
          <w:tcPr>
            <w:tcW w:w="3524" w:type="dxa"/>
          </w:tcPr>
          <w:p w14:paraId="209B98F1" w14:textId="77777777" w:rsidR="0081130F" w:rsidRPr="00CE4250" w:rsidRDefault="0081130F" w:rsidP="00E92BBC">
            <w:pPr>
              <w:rPr>
                <w:rFonts w:asciiTheme="minorHAnsi" w:hAnsiTheme="minorHAnsi" w:cstheme="minorHAnsi"/>
                <w:b/>
                <w:i/>
                <w:sz w:val="20"/>
              </w:rPr>
            </w:pPr>
            <w:bookmarkStart w:id="23" w:name="Row8"/>
            <w:bookmarkEnd w:id="23"/>
            <w:r w:rsidRPr="00CE4250">
              <w:rPr>
                <w:rFonts w:asciiTheme="minorHAnsi" w:hAnsiTheme="minorHAnsi" w:cstheme="minorHAnsi"/>
                <w:b/>
                <w:i/>
                <w:sz w:val="20"/>
              </w:rPr>
              <w:t>Competition Policy</w:t>
            </w:r>
          </w:p>
          <w:p w14:paraId="0C4729EC" w14:textId="77777777" w:rsidR="0081130F" w:rsidRPr="00CE4250" w:rsidRDefault="0081130F" w:rsidP="00E92BBC">
            <w:pPr>
              <w:rPr>
                <w:rFonts w:asciiTheme="minorHAnsi" w:hAnsiTheme="minorHAnsi" w:cstheme="minorHAnsi"/>
                <w:b/>
                <w:i/>
                <w:sz w:val="20"/>
              </w:rPr>
            </w:pPr>
          </w:p>
        </w:tc>
        <w:tc>
          <w:tcPr>
            <w:tcW w:w="5387" w:type="dxa"/>
          </w:tcPr>
          <w:p w14:paraId="21200A71" w14:textId="77777777" w:rsidR="0081130F" w:rsidRPr="00CE4250" w:rsidRDefault="0081130F" w:rsidP="00E92BBC">
            <w:pPr>
              <w:rPr>
                <w:rFonts w:asciiTheme="minorHAnsi" w:hAnsiTheme="minorHAnsi" w:cstheme="minorHAnsi"/>
                <w:color w:val="808080"/>
                <w:sz w:val="20"/>
              </w:rPr>
            </w:pPr>
            <w:bookmarkStart w:id="24" w:name="Cell15"/>
            <w:bookmarkEnd w:id="24"/>
            <w:r w:rsidRPr="00CE4250">
              <w:rPr>
                <w:rFonts w:asciiTheme="minorHAnsi" w:hAnsiTheme="minorHAnsi" w:cstheme="minorHAnsi"/>
                <w:i/>
                <w:color w:val="808080"/>
                <w:sz w:val="20"/>
              </w:rPr>
              <w:t>Provide brief points only</w:t>
            </w:r>
          </w:p>
        </w:tc>
        <w:tc>
          <w:tcPr>
            <w:tcW w:w="5670" w:type="dxa"/>
          </w:tcPr>
          <w:p w14:paraId="653D645E" w14:textId="77777777" w:rsidR="0081130F" w:rsidRPr="00CE4250" w:rsidRDefault="0081130F" w:rsidP="00E92BBC">
            <w:pPr>
              <w:rPr>
                <w:rFonts w:asciiTheme="minorHAnsi" w:hAnsiTheme="minorHAnsi" w:cstheme="minorHAnsi"/>
                <w:color w:val="808080"/>
                <w:sz w:val="20"/>
              </w:rPr>
            </w:pPr>
            <w:bookmarkStart w:id="25" w:name="Cell16"/>
            <w:bookmarkEnd w:id="25"/>
            <w:r w:rsidRPr="00CE4250">
              <w:rPr>
                <w:rFonts w:asciiTheme="minorHAnsi" w:hAnsiTheme="minorHAnsi" w:cstheme="minorHAnsi"/>
                <w:i/>
                <w:color w:val="808080"/>
                <w:sz w:val="20"/>
              </w:rPr>
              <w:t>Provide brief points only</w:t>
            </w:r>
          </w:p>
        </w:tc>
      </w:tr>
      <w:tr w:rsidR="0081130F" w:rsidRPr="00CE4250" w14:paraId="7E7B7126" w14:textId="77777777" w:rsidTr="00E92BBC">
        <w:tc>
          <w:tcPr>
            <w:tcW w:w="3524" w:type="dxa"/>
          </w:tcPr>
          <w:p w14:paraId="6525D166"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 xml:space="preserve">Website for further information:  </w:t>
            </w:r>
          </w:p>
        </w:tc>
        <w:tc>
          <w:tcPr>
            <w:tcW w:w="5387" w:type="dxa"/>
          </w:tcPr>
          <w:p w14:paraId="76DF308F" w14:textId="77777777" w:rsidR="0081130F" w:rsidRPr="00CE4250" w:rsidRDefault="0081130F" w:rsidP="00E92BBC">
            <w:pPr>
              <w:pStyle w:val="Heading9"/>
              <w:rPr>
                <w:rFonts w:asciiTheme="minorHAnsi" w:hAnsiTheme="minorHAnsi" w:cstheme="minorHAnsi"/>
                <w:b w:val="0"/>
              </w:rPr>
            </w:pPr>
          </w:p>
        </w:tc>
        <w:tc>
          <w:tcPr>
            <w:tcW w:w="5670" w:type="dxa"/>
          </w:tcPr>
          <w:p w14:paraId="6B56DD7A" w14:textId="77777777" w:rsidR="0081130F" w:rsidRPr="00CE4250" w:rsidRDefault="0081130F" w:rsidP="00E92BBC">
            <w:pPr>
              <w:pStyle w:val="Heading9"/>
              <w:rPr>
                <w:rFonts w:asciiTheme="minorHAnsi" w:hAnsiTheme="minorHAnsi" w:cstheme="minorHAnsi"/>
                <w:b w:val="0"/>
              </w:rPr>
            </w:pPr>
          </w:p>
        </w:tc>
      </w:tr>
      <w:tr w:rsidR="0081130F" w:rsidRPr="00CE4250" w14:paraId="60AA51EF" w14:textId="77777777" w:rsidTr="00E92BBC">
        <w:tc>
          <w:tcPr>
            <w:tcW w:w="3524" w:type="dxa"/>
          </w:tcPr>
          <w:p w14:paraId="60B0CB4B"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Contact point for further details:</w:t>
            </w:r>
          </w:p>
        </w:tc>
        <w:tc>
          <w:tcPr>
            <w:tcW w:w="5387" w:type="dxa"/>
          </w:tcPr>
          <w:p w14:paraId="7973EC43" w14:textId="77777777" w:rsidR="0081130F" w:rsidRPr="00CE4250" w:rsidRDefault="0081130F" w:rsidP="00E92BBC">
            <w:pPr>
              <w:pStyle w:val="Heading9"/>
              <w:rPr>
                <w:rFonts w:asciiTheme="minorHAnsi" w:hAnsiTheme="minorHAnsi" w:cstheme="minorHAnsi"/>
                <w:b w:val="0"/>
              </w:rPr>
            </w:pPr>
          </w:p>
        </w:tc>
        <w:tc>
          <w:tcPr>
            <w:tcW w:w="5670" w:type="dxa"/>
          </w:tcPr>
          <w:p w14:paraId="6F3BB562" w14:textId="77777777" w:rsidR="0081130F" w:rsidRPr="00CE4250" w:rsidRDefault="0081130F" w:rsidP="00E92BBC">
            <w:pPr>
              <w:pStyle w:val="Heading9"/>
              <w:rPr>
                <w:rFonts w:asciiTheme="minorHAnsi" w:hAnsiTheme="minorHAnsi" w:cstheme="minorHAnsi"/>
                <w:b w:val="0"/>
              </w:rPr>
            </w:pPr>
          </w:p>
        </w:tc>
      </w:tr>
      <w:tr w:rsidR="0081130F" w:rsidRPr="00CE4250" w14:paraId="03C6A1D9" w14:textId="77777777" w:rsidTr="00E92BBC">
        <w:tc>
          <w:tcPr>
            <w:tcW w:w="3524" w:type="dxa"/>
          </w:tcPr>
          <w:p w14:paraId="011615DE" w14:textId="77777777" w:rsidR="0081130F" w:rsidRPr="00CE4250" w:rsidRDefault="0081130F" w:rsidP="00E92BBC">
            <w:pPr>
              <w:rPr>
                <w:rFonts w:asciiTheme="minorHAnsi" w:hAnsiTheme="minorHAnsi" w:cstheme="minorHAnsi"/>
                <w:b/>
                <w:i/>
                <w:sz w:val="20"/>
              </w:rPr>
            </w:pPr>
            <w:bookmarkStart w:id="26" w:name="Row9"/>
            <w:r w:rsidRPr="00CE4250">
              <w:rPr>
                <w:rFonts w:asciiTheme="minorHAnsi" w:hAnsiTheme="minorHAnsi" w:cstheme="minorHAnsi"/>
                <w:b/>
                <w:i/>
                <w:sz w:val="20"/>
              </w:rPr>
              <w:t>Government Procurement</w:t>
            </w:r>
            <w:bookmarkEnd w:id="26"/>
          </w:p>
          <w:p w14:paraId="4751A989" w14:textId="77777777" w:rsidR="0081130F" w:rsidRPr="00CE4250" w:rsidRDefault="0081130F" w:rsidP="00E92BBC">
            <w:pPr>
              <w:rPr>
                <w:rFonts w:asciiTheme="minorHAnsi" w:hAnsiTheme="minorHAnsi" w:cstheme="minorHAnsi"/>
                <w:b/>
                <w:i/>
                <w:sz w:val="20"/>
              </w:rPr>
            </w:pPr>
          </w:p>
        </w:tc>
        <w:tc>
          <w:tcPr>
            <w:tcW w:w="5387" w:type="dxa"/>
          </w:tcPr>
          <w:p w14:paraId="22E1B5FA" w14:textId="77777777" w:rsidR="0081130F" w:rsidRPr="00CE4250" w:rsidRDefault="0081130F" w:rsidP="00E92BBC">
            <w:pPr>
              <w:rPr>
                <w:rFonts w:asciiTheme="minorHAnsi" w:hAnsiTheme="minorHAnsi" w:cstheme="minorHAnsi"/>
                <w:color w:val="808080"/>
                <w:sz w:val="20"/>
              </w:rPr>
            </w:pPr>
            <w:bookmarkStart w:id="27" w:name="Cell17"/>
            <w:bookmarkEnd w:id="27"/>
            <w:r w:rsidRPr="00CE4250">
              <w:rPr>
                <w:rFonts w:asciiTheme="minorHAnsi" w:hAnsiTheme="minorHAnsi" w:cstheme="minorHAnsi"/>
                <w:i/>
                <w:color w:val="808080"/>
                <w:sz w:val="20"/>
              </w:rPr>
              <w:t>Provide brief points only</w:t>
            </w:r>
          </w:p>
        </w:tc>
        <w:tc>
          <w:tcPr>
            <w:tcW w:w="5670" w:type="dxa"/>
          </w:tcPr>
          <w:p w14:paraId="480F0885" w14:textId="77777777" w:rsidR="0081130F" w:rsidRPr="00CE4250" w:rsidRDefault="0081130F" w:rsidP="00E92BBC">
            <w:pPr>
              <w:rPr>
                <w:rFonts w:asciiTheme="minorHAnsi" w:hAnsiTheme="minorHAnsi" w:cstheme="minorHAnsi"/>
                <w:color w:val="808080"/>
                <w:sz w:val="20"/>
              </w:rPr>
            </w:pPr>
            <w:bookmarkStart w:id="28" w:name="Cell18"/>
            <w:bookmarkEnd w:id="28"/>
            <w:r w:rsidRPr="00CE4250">
              <w:rPr>
                <w:rFonts w:asciiTheme="minorHAnsi" w:hAnsiTheme="minorHAnsi" w:cstheme="minorHAnsi"/>
                <w:i/>
                <w:color w:val="808080"/>
                <w:sz w:val="20"/>
              </w:rPr>
              <w:t>Provide brief points only</w:t>
            </w:r>
          </w:p>
        </w:tc>
      </w:tr>
      <w:tr w:rsidR="0081130F" w:rsidRPr="00CE4250" w14:paraId="0D6F47B2" w14:textId="77777777" w:rsidTr="00E92BBC">
        <w:tc>
          <w:tcPr>
            <w:tcW w:w="3524" w:type="dxa"/>
          </w:tcPr>
          <w:p w14:paraId="763BB8E7"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lastRenderedPageBreak/>
              <w:t xml:space="preserve">Website for further information:  </w:t>
            </w:r>
          </w:p>
        </w:tc>
        <w:tc>
          <w:tcPr>
            <w:tcW w:w="5387" w:type="dxa"/>
          </w:tcPr>
          <w:p w14:paraId="6C316329" w14:textId="77777777" w:rsidR="0081130F" w:rsidRPr="00CE4250" w:rsidRDefault="0081130F" w:rsidP="00E92BBC">
            <w:pPr>
              <w:pStyle w:val="Heading9"/>
              <w:rPr>
                <w:rFonts w:asciiTheme="minorHAnsi" w:hAnsiTheme="minorHAnsi" w:cstheme="minorHAnsi"/>
                <w:b w:val="0"/>
                <w:color w:val="808080"/>
              </w:rPr>
            </w:pPr>
          </w:p>
        </w:tc>
        <w:tc>
          <w:tcPr>
            <w:tcW w:w="5670" w:type="dxa"/>
          </w:tcPr>
          <w:p w14:paraId="3DB615CE" w14:textId="77777777" w:rsidR="0081130F" w:rsidRPr="00CE4250" w:rsidRDefault="0081130F" w:rsidP="00E92BBC">
            <w:pPr>
              <w:pStyle w:val="Heading9"/>
              <w:rPr>
                <w:rFonts w:asciiTheme="minorHAnsi" w:hAnsiTheme="minorHAnsi" w:cstheme="minorHAnsi"/>
                <w:b w:val="0"/>
                <w:color w:val="808080"/>
              </w:rPr>
            </w:pPr>
          </w:p>
        </w:tc>
      </w:tr>
      <w:tr w:rsidR="0081130F" w:rsidRPr="00CE4250" w14:paraId="72A742EA" w14:textId="77777777" w:rsidTr="00E92BBC">
        <w:tc>
          <w:tcPr>
            <w:tcW w:w="3524" w:type="dxa"/>
          </w:tcPr>
          <w:p w14:paraId="011E3290" w14:textId="77777777" w:rsidR="0081130F" w:rsidRPr="00CE4250" w:rsidRDefault="0081130F" w:rsidP="00E92BBC">
            <w:pPr>
              <w:pStyle w:val="Heading9"/>
              <w:rPr>
                <w:rFonts w:asciiTheme="minorHAnsi" w:hAnsiTheme="minorHAnsi" w:cstheme="minorHAnsi"/>
                <w:b w:val="0"/>
                <w:color w:val="808080"/>
              </w:rPr>
            </w:pPr>
            <w:r w:rsidRPr="00CE4250">
              <w:rPr>
                <w:rFonts w:asciiTheme="minorHAnsi" w:hAnsiTheme="minorHAnsi" w:cstheme="minorHAnsi"/>
                <w:b w:val="0"/>
                <w:color w:val="808080"/>
              </w:rPr>
              <w:t>Contact point for further details:</w:t>
            </w:r>
          </w:p>
        </w:tc>
        <w:tc>
          <w:tcPr>
            <w:tcW w:w="5387" w:type="dxa"/>
          </w:tcPr>
          <w:p w14:paraId="7E8668F1" w14:textId="77777777" w:rsidR="0081130F" w:rsidRPr="00CE4250" w:rsidRDefault="0081130F" w:rsidP="00E92BBC">
            <w:pPr>
              <w:pStyle w:val="Heading9"/>
              <w:rPr>
                <w:rFonts w:asciiTheme="minorHAnsi" w:hAnsiTheme="minorHAnsi" w:cstheme="minorHAnsi"/>
                <w:b w:val="0"/>
                <w:color w:val="808080"/>
              </w:rPr>
            </w:pPr>
          </w:p>
        </w:tc>
        <w:tc>
          <w:tcPr>
            <w:tcW w:w="5670" w:type="dxa"/>
          </w:tcPr>
          <w:p w14:paraId="0574F352" w14:textId="77777777" w:rsidR="0081130F" w:rsidRPr="00CE4250" w:rsidRDefault="0081130F" w:rsidP="00E92BBC">
            <w:pPr>
              <w:pStyle w:val="Heading9"/>
              <w:rPr>
                <w:rFonts w:asciiTheme="minorHAnsi" w:hAnsiTheme="minorHAnsi" w:cstheme="minorHAnsi"/>
                <w:b w:val="0"/>
                <w:color w:val="808080"/>
              </w:rPr>
            </w:pPr>
          </w:p>
        </w:tc>
      </w:tr>
      <w:tr w:rsidR="0081130F" w:rsidRPr="00CE4250" w14:paraId="416B80B1" w14:textId="77777777" w:rsidTr="00E92BBC">
        <w:tc>
          <w:tcPr>
            <w:tcW w:w="3524" w:type="dxa"/>
          </w:tcPr>
          <w:p w14:paraId="15BEF8B5" w14:textId="77777777" w:rsidR="0081130F" w:rsidRPr="00CE4250" w:rsidRDefault="0081130F" w:rsidP="00E92BBC">
            <w:pPr>
              <w:rPr>
                <w:rFonts w:asciiTheme="minorHAnsi" w:hAnsiTheme="minorHAnsi" w:cstheme="minorHAnsi"/>
                <w:b/>
                <w:i/>
                <w:sz w:val="20"/>
              </w:rPr>
            </w:pPr>
            <w:bookmarkStart w:id="29" w:name="Row10"/>
            <w:r w:rsidRPr="00CE4250">
              <w:rPr>
                <w:rFonts w:asciiTheme="minorHAnsi" w:hAnsiTheme="minorHAnsi" w:cstheme="minorHAnsi"/>
                <w:b/>
                <w:i/>
                <w:sz w:val="20"/>
              </w:rPr>
              <w:t>Deregulation/Regulatory Review</w:t>
            </w:r>
            <w:bookmarkEnd w:id="29"/>
          </w:p>
          <w:p w14:paraId="5A57E83B" w14:textId="77777777" w:rsidR="0081130F" w:rsidRPr="00CE4250" w:rsidRDefault="0081130F" w:rsidP="00E92BBC">
            <w:pPr>
              <w:rPr>
                <w:rFonts w:asciiTheme="minorHAnsi" w:hAnsiTheme="minorHAnsi" w:cstheme="minorHAnsi"/>
                <w:b/>
                <w:i/>
                <w:sz w:val="20"/>
              </w:rPr>
            </w:pPr>
          </w:p>
        </w:tc>
        <w:tc>
          <w:tcPr>
            <w:tcW w:w="5387" w:type="dxa"/>
          </w:tcPr>
          <w:p w14:paraId="79750D46" w14:textId="77777777" w:rsidR="0081130F" w:rsidRPr="00CE4250" w:rsidRDefault="00EF518D" w:rsidP="00E92BBC">
            <w:pPr>
              <w:rPr>
                <w:rFonts w:asciiTheme="minorHAnsi" w:hAnsiTheme="minorHAnsi" w:cstheme="minorHAnsi"/>
                <w:sz w:val="20"/>
              </w:rPr>
            </w:pPr>
            <w:bookmarkStart w:id="30" w:name="Cell19"/>
            <w:bookmarkEnd w:id="30"/>
            <w:r w:rsidRPr="00CE4250">
              <w:rPr>
                <w:rFonts w:asciiTheme="minorHAnsi" w:hAnsiTheme="minorHAnsi" w:cstheme="minorHAnsi"/>
                <w:sz w:val="20"/>
              </w:rPr>
              <w:t xml:space="preserve">In December 2017, in its </w:t>
            </w:r>
            <w:r w:rsidRPr="00CE4250">
              <w:rPr>
                <w:rFonts w:asciiTheme="minorHAnsi" w:hAnsiTheme="minorHAnsi" w:cstheme="minorHAnsi"/>
                <w:i/>
                <w:iCs/>
                <w:sz w:val="20"/>
              </w:rPr>
              <w:t>Restoring Internet Freedom</w:t>
            </w:r>
            <w:r w:rsidRPr="00CE4250">
              <w:rPr>
                <w:rFonts w:asciiTheme="minorHAnsi" w:hAnsiTheme="minorHAnsi" w:cstheme="minorHAnsi"/>
                <w:sz w:val="20"/>
              </w:rPr>
              <w:t xml:space="preserve"> decision, the Federal Communications Commission (FCC) put an end to heavy-handed utility-style regulation of broadband Internet access service and returned to the traditional light-touch regulatory framework that has fostered Internet growth, openness, and freedom for the past two decades.  The FCC’s action restored a favorable climate for network investment, spurring competition and innovation that benefits consumers.</w:t>
            </w:r>
          </w:p>
          <w:p w14:paraId="1A8B4193" w14:textId="77777777" w:rsidR="00890839" w:rsidRPr="00CE4250" w:rsidRDefault="00890839" w:rsidP="00E92BBC">
            <w:pPr>
              <w:rPr>
                <w:rFonts w:asciiTheme="minorHAnsi" w:hAnsiTheme="minorHAnsi" w:cstheme="minorHAnsi"/>
                <w:sz w:val="20"/>
              </w:rPr>
            </w:pPr>
          </w:p>
          <w:p w14:paraId="6B5F63B7" w14:textId="77777777" w:rsidR="00890839" w:rsidRPr="00CE4250" w:rsidRDefault="00890839" w:rsidP="00890839">
            <w:pPr>
              <w:rPr>
                <w:rFonts w:asciiTheme="minorHAnsi" w:hAnsiTheme="minorHAnsi" w:cstheme="minorHAnsi"/>
                <w:sz w:val="20"/>
                <w:lang w:val="en-US"/>
              </w:rPr>
            </w:pPr>
            <w:r w:rsidRPr="00CE4250">
              <w:rPr>
                <w:rFonts w:asciiTheme="minorHAnsi" w:hAnsiTheme="minorHAnsi" w:cstheme="minorHAnsi"/>
                <w:sz w:val="20"/>
                <w:lang w:val="en-US"/>
              </w:rPr>
              <w:t>In November 2017, the Office of Management and Budget issues the “Unified Agenda of Regulatory and Deregulatory Actions,” which reports on the actions administrative agencies plan to issue in the near and long term. This Agenda represents this administration's next step in fundamental regulatory reform and a reorientation toward reducing unnecessary regulatory burdens.   By amending and eliminating regulations that are ineffective, duplicative, and obsolete, the Administration can promote economic growth and innovation.  Additional information can be found on www.reginfo.gov.</w:t>
            </w:r>
          </w:p>
          <w:p w14:paraId="45814FFA" w14:textId="77777777" w:rsidR="00890839" w:rsidRPr="00CE4250" w:rsidRDefault="00890839" w:rsidP="00890839">
            <w:pPr>
              <w:rPr>
                <w:rFonts w:asciiTheme="minorHAnsi" w:hAnsiTheme="minorHAnsi" w:cstheme="minorHAnsi"/>
                <w:sz w:val="20"/>
                <w:lang w:val="en-US"/>
              </w:rPr>
            </w:pPr>
          </w:p>
          <w:p w14:paraId="0CE60443" w14:textId="77777777" w:rsidR="00890839" w:rsidRPr="00CE4250" w:rsidRDefault="00890839" w:rsidP="00890839">
            <w:pPr>
              <w:rPr>
                <w:rFonts w:asciiTheme="minorHAnsi" w:hAnsiTheme="minorHAnsi" w:cstheme="minorHAnsi"/>
                <w:sz w:val="20"/>
                <w:lang w:val="en-US"/>
              </w:rPr>
            </w:pPr>
          </w:p>
        </w:tc>
        <w:tc>
          <w:tcPr>
            <w:tcW w:w="5670" w:type="dxa"/>
          </w:tcPr>
          <w:p w14:paraId="11FEC7BE" w14:textId="77777777" w:rsidR="000959D4" w:rsidRPr="00EF488C" w:rsidRDefault="000959D4" w:rsidP="000959D4">
            <w:pPr>
              <w:rPr>
                <w:rFonts w:asciiTheme="minorHAnsi" w:hAnsiTheme="minorHAnsi" w:cstheme="minorHAnsi"/>
                <w:sz w:val="20"/>
              </w:rPr>
            </w:pPr>
            <w:bookmarkStart w:id="31" w:name="Cell20"/>
            <w:bookmarkEnd w:id="31"/>
            <w:r w:rsidRPr="00EF488C">
              <w:rPr>
                <w:rFonts w:asciiTheme="minorHAnsi" w:hAnsiTheme="minorHAnsi" w:cstheme="minorHAnsi"/>
                <w:sz w:val="20"/>
              </w:rPr>
              <w:t>One of the primary priorities reflected in the 2017 Regulatory Plan</w:t>
            </w:r>
          </w:p>
          <w:p w14:paraId="76417C71" w14:textId="77777777" w:rsidR="000959D4" w:rsidRPr="00EF488C" w:rsidRDefault="000959D4" w:rsidP="000959D4">
            <w:pPr>
              <w:rPr>
                <w:rFonts w:asciiTheme="minorHAnsi" w:hAnsiTheme="minorHAnsi" w:cstheme="minorHAnsi"/>
                <w:sz w:val="20"/>
              </w:rPr>
            </w:pPr>
            <w:r w:rsidRPr="00EF488C">
              <w:rPr>
                <w:rFonts w:asciiTheme="minorHAnsi" w:hAnsiTheme="minorHAnsi" w:cstheme="minorHAnsi"/>
                <w:sz w:val="20"/>
              </w:rPr>
              <w:t>is the reduction of regulatory burdens. Accordingly, in 2018, across the Administration agencies anticipate eliminating and streamlining approximately three regulations for each new one imposed. Moreover, agencies are set to substantially reduce overall regulatory costs. This Regulatory Plan reflects a new direction that recognizes the costs of accumulated regulatory burdens and looks for ways to reduce those burdens by modifying or eliminating regulations; revising or eliminating guidance documents; and streamlining information collections.</w:t>
            </w:r>
          </w:p>
          <w:p w14:paraId="6F3E3B07" w14:textId="3A1EDB39" w:rsidR="0081130F" w:rsidRPr="00EF488C" w:rsidRDefault="0081130F" w:rsidP="00E92BBC">
            <w:pPr>
              <w:rPr>
                <w:rFonts w:asciiTheme="minorHAnsi" w:hAnsiTheme="minorHAnsi" w:cstheme="minorHAnsi"/>
                <w:sz w:val="20"/>
              </w:rPr>
            </w:pPr>
          </w:p>
        </w:tc>
      </w:tr>
      <w:tr w:rsidR="0081130F" w:rsidRPr="00B72FF6" w14:paraId="40020530" w14:textId="77777777" w:rsidTr="00E92BBC">
        <w:tc>
          <w:tcPr>
            <w:tcW w:w="3524" w:type="dxa"/>
          </w:tcPr>
          <w:p w14:paraId="5434D799"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 xml:space="preserve">Website for further information:  </w:t>
            </w:r>
          </w:p>
        </w:tc>
        <w:tc>
          <w:tcPr>
            <w:tcW w:w="5387" w:type="dxa"/>
          </w:tcPr>
          <w:p w14:paraId="0A3FE57F" w14:textId="77777777" w:rsidR="0081130F" w:rsidRPr="00BF37B1" w:rsidRDefault="0081130F" w:rsidP="00E92BBC">
            <w:pPr>
              <w:pStyle w:val="Heading9"/>
              <w:rPr>
                <w:rFonts w:ascii="Calibri" w:hAnsi="Calibri"/>
                <w:b w:val="0"/>
              </w:rPr>
            </w:pPr>
          </w:p>
        </w:tc>
        <w:tc>
          <w:tcPr>
            <w:tcW w:w="5670" w:type="dxa"/>
          </w:tcPr>
          <w:p w14:paraId="5053F59A" w14:textId="77777777" w:rsidR="0081130F" w:rsidRPr="00BF37B1" w:rsidRDefault="0081130F" w:rsidP="00E92BBC">
            <w:pPr>
              <w:pStyle w:val="Heading9"/>
              <w:rPr>
                <w:rFonts w:ascii="Calibri" w:hAnsi="Calibri"/>
                <w:b w:val="0"/>
              </w:rPr>
            </w:pPr>
          </w:p>
        </w:tc>
      </w:tr>
      <w:tr w:rsidR="0081130F" w:rsidRPr="00B72FF6" w14:paraId="7C76AB1F" w14:textId="77777777" w:rsidTr="00E92BBC">
        <w:tc>
          <w:tcPr>
            <w:tcW w:w="3524" w:type="dxa"/>
          </w:tcPr>
          <w:p w14:paraId="288DE006"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Contact point for further details:</w:t>
            </w:r>
          </w:p>
        </w:tc>
        <w:tc>
          <w:tcPr>
            <w:tcW w:w="5387" w:type="dxa"/>
          </w:tcPr>
          <w:p w14:paraId="65D81AFF" w14:textId="77777777" w:rsidR="0081130F" w:rsidRPr="00BF37B1" w:rsidRDefault="0081130F" w:rsidP="00E92BBC">
            <w:pPr>
              <w:pStyle w:val="Heading9"/>
              <w:rPr>
                <w:rFonts w:ascii="Calibri" w:hAnsi="Calibri"/>
                <w:b w:val="0"/>
              </w:rPr>
            </w:pPr>
          </w:p>
        </w:tc>
        <w:tc>
          <w:tcPr>
            <w:tcW w:w="5670" w:type="dxa"/>
          </w:tcPr>
          <w:p w14:paraId="2E909A28" w14:textId="77777777" w:rsidR="0081130F" w:rsidRPr="00BF37B1" w:rsidRDefault="0081130F" w:rsidP="00E92BBC">
            <w:pPr>
              <w:pStyle w:val="Heading9"/>
              <w:rPr>
                <w:rFonts w:ascii="Calibri" w:hAnsi="Calibri"/>
                <w:b w:val="0"/>
              </w:rPr>
            </w:pPr>
          </w:p>
        </w:tc>
      </w:tr>
      <w:tr w:rsidR="0081130F" w14:paraId="0287B103" w14:textId="77777777" w:rsidTr="00E92BBC">
        <w:tc>
          <w:tcPr>
            <w:tcW w:w="3524" w:type="dxa"/>
          </w:tcPr>
          <w:p w14:paraId="6F8FC61C" w14:textId="77777777" w:rsidR="0081130F" w:rsidRPr="00BF37B1" w:rsidRDefault="0081130F" w:rsidP="00E92BBC">
            <w:pPr>
              <w:rPr>
                <w:rFonts w:ascii="Calibri" w:hAnsi="Calibri"/>
                <w:b/>
                <w:i/>
                <w:sz w:val="20"/>
              </w:rPr>
            </w:pPr>
            <w:bookmarkStart w:id="32" w:name="Row11"/>
            <w:r w:rsidRPr="00BF37B1">
              <w:rPr>
                <w:rFonts w:ascii="Calibri" w:hAnsi="Calibri"/>
                <w:b/>
                <w:i/>
                <w:sz w:val="20"/>
              </w:rPr>
              <w:t>Implementation of WTO Obligations/ROOs</w:t>
            </w:r>
            <w:bookmarkEnd w:id="32"/>
          </w:p>
          <w:p w14:paraId="79B01821" w14:textId="77777777" w:rsidR="0081130F" w:rsidRPr="00BF37B1" w:rsidRDefault="0081130F" w:rsidP="00E92BBC">
            <w:pPr>
              <w:rPr>
                <w:rFonts w:ascii="Calibri" w:hAnsi="Calibri"/>
                <w:b/>
                <w:i/>
                <w:sz w:val="20"/>
              </w:rPr>
            </w:pPr>
          </w:p>
        </w:tc>
        <w:tc>
          <w:tcPr>
            <w:tcW w:w="5387" w:type="dxa"/>
          </w:tcPr>
          <w:p w14:paraId="739AA2D8" w14:textId="4CCCF8A4" w:rsidR="0081130F" w:rsidRPr="00CE4250" w:rsidRDefault="00707409" w:rsidP="00E92BBC">
            <w:pPr>
              <w:rPr>
                <w:rFonts w:ascii="Calibri" w:hAnsi="Calibri"/>
                <w:color w:val="808080"/>
                <w:sz w:val="20"/>
              </w:rPr>
            </w:pPr>
            <w:bookmarkStart w:id="33" w:name="Cell21"/>
            <w:bookmarkEnd w:id="33"/>
            <w:r>
              <w:rPr>
                <w:rFonts w:ascii="Calibri" w:hAnsi="Calibri" w:cs="Arial"/>
                <w:sz w:val="20"/>
              </w:rPr>
              <w:t xml:space="preserve">In </w:t>
            </w:r>
            <w:r w:rsidR="0099579A">
              <w:rPr>
                <w:rFonts w:ascii="Calibri" w:hAnsi="Calibri" w:cs="Arial"/>
                <w:sz w:val="20"/>
              </w:rPr>
              <w:t>November 2016</w:t>
            </w:r>
            <w:r>
              <w:rPr>
                <w:rFonts w:ascii="Calibri" w:hAnsi="Calibri" w:cs="Arial"/>
                <w:sz w:val="20"/>
              </w:rPr>
              <w:t xml:space="preserve">, </w:t>
            </w:r>
            <w:r w:rsidR="0099579A">
              <w:rPr>
                <w:rFonts w:ascii="Calibri" w:hAnsi="Calibri" w:cs="Arial"/>
                <w:sz w:val="20"/>
              </w:rPr>
              <w:t xml:space="preserve">the United States convened </w:t>
            </w:r>
            <w:r w:rsidR="00983458">
              <w:rPr>
                <w:rFonts w:ascii="Calibri" w:hAnsi="Calibri" w:cs="Arial"/>
                <w:sz w:val="20"/>
              </w:rPr>
              <w:t>the</w:t>
            </w:r>
            <w:r w:rsidR="0099579A">
              <w:rPr>
                <w:rFonts w:ascii="Calibri" w:hAnsi="Calibri" w:cs="Arial"/>
                <w:sz w:val="20"/>
              </w:rPr>
              <w:t xml:space="preserve"> first U.S. National Trade Facilitation Committee (NTFC) meeting to comply with its obligation under the WTO Trade Facilitation Agreement (TFA), improve interagency communication on policies and activities related to trade facilitation, set priorities for technical assistance, and prevent duplication of efforts</w:t>
            </w:r>
            <w:r w:rsidR="00983458">
              <w:rPr>
                <w:rFonts w:ascii="Calibri" w:hAnsi="Calibri" w:cs="Arial"/>
                <w:sz w:val="20"/>
              </w:rPr>
              <w:t xml:space="preserve"> within the U.S. government</w:t>
            </w:r>
            <w:r w:rsidR="0099579A">
              <w:rPr>
                <w:rFonts w:ascii="Calibri" w:hAnsi="Calibri" w:cs="Arial"/>
                <w:sz w:val="20"/>
              </w:rPr>
              <w:t xml:space="preserve">. The NTFC has convened </w:t>
            </w:r>
            <w:r w:rsidR="0099579A">
              <w:rPr>
                <w:rFonts w:ascii="Calibri" w:hAnsi="Calibri" w:cs="Arial"/>
                <w:sz w:val="20"/>
              </w:rPr>
              <w:lastRenderedPageBreak/>
              <w:t>approximately once every 4-6 weeks since</w:t>
            </w:r>
            <w:r w:rsidR="00983458">
              <w:rPr>
                <w:rFonts w:ascii="Calibri" w:hAnsi="Calibri" w:cs="Arial"/>
                <w:sz w:val="20"/>
              </w:rPr>
              <w:t xml:space="preserve"> the</w:t>
            </w:r>
            <w:r w:rsidR="0099579A">
              <w:rPr>
                <w:rFonts w:ascii="Calibri" w:hAnsi="Calibri" w:cs="Arial"/>
                <w:sz w:val="20"/>
              </w:rPr>
              <w:t xml:space="preserve"> inaugural meeting in 2016.   </w:t>
            </w:r>
            <w:r>
              <w:rPr>
                <w:rFonts w:ascii="Calibri" w:hAnsi="Calibri" w:cs="Arial"/>
                <w:sz w:val="20"/>
              </w:rPr>
              <w:t xml:space="preserve"> </w:t>
            </w:r>
          </w:p>
        </w:tc>
        <w:tc>
          <w:tcPr>
            <w:tcW w:w="5670" w:type="dxa"/>
          </w:tcPr>
          <w:p w14:paraId="0E66383A" w14:textId="6E6B8ABC" w:rsidR="0081130F" w:rsidRPr="00BF37B1" w:rsidRDefault="00707409" w:rsidP="00E92BBC">
            <w:pPr>
              <w:rPr>
                <w:rFonts w:ascii="Calibri" w:hAnsi="Calibri"/>
                <w:color w:val="808080"/>
                <w:sz w:val="20"/>
              </w:rPr>
            </w:pPr>
            <w:bookmarkStart w:id="34" w:name="Cell22"/>
            <w:bookmarkEnd w:id="34"/>
            <w:r w:rsidRPr="00CD7141">
              <w:rPr>
                <w:rFonts w:ascii="Calibri" w:hAnsi="Calibri" w:cs="Arial"/>
                <w:sz w:val="20"/>
              </w:rPr>
              <w:lastRenderedPageBreak/>
              <w:t>The U.S. remains committed to ensuring full member implementation of the WTO Trade Facilitation Agreement. The TFA aim</w:t>
            </w:r>
            <w:r w:rsidR="00C51533">
              <w:rPr>
                <w:rFonts w:ascii="Calibri" w:hAnsi="Calibri" w:cs="Arial"/>
                <w:sz w:val="20"/>
              </w:rPr>
              <w:t>s</w:t>
            </w:r>
            <w:r w:rsidRPr="00CD7141">
              <w:rPr>
                <w:rFonts w:ascii="Calibri" w:hAnsi="Calibri" w:cs="Arial"/>
                <w:sz w:val="20"/>
              </w:rPr>
              <w:t xml:space="preserve"> to cut the red tape that still exists in moving goods acros</w:t>
            </w:r>
            <w:r w:rsidR="00C51533">
              <w:rPr>
                <w:rFonts w:ascii="Calibri" w:hAnsi="Calibri" w:cs="Arial"/>
                <w:sz w:val="20"/>
              </w:rPr>
              <w:t>s borders, which creates challenges</w:t>
            </w:r>
            <w:r w:rsidRPr="00CD7141">
              <w:rPr>
                <w:rFonts w:ascii="Calibri" w:hAnsi="Calibri" w:cs="Arial"/>
                <w:sz w:val="20"/>
              </w:rPr>
              <w:t xml:space="preserve"> for businesses of all sizes to trade internationally. </w:t>
            </w:r>
            <w:r w:rsidR="00CD7141">
              <w:rPr>
                <w:rFonts w:ascii="Calibri" w:hAnsi="Calibri" w:cs="Arial"/>
                <w:sz w:val="20"/>
              </w:rPr>
              <w:t>Members of the</w:t>
            </w:r>
            <w:r w:rsidR="004F48D6">
              <w:rPr>
                <w:rFonts w:ascii="Calibri" w:hAnsi="Calibri" w:cs="Arial"/>
                <w:sz w:val="20"/>
              </w:rPr>
              <w:t xml:space="preserve"> U.S.</w:t>
            </w:r>
            <w:r w:rsidR="00CD7141">
              <w:rPr>
                <w:rFonts w:ascii="Calibri" w:hAnsi="Calibri" w:cs="Arial"/>
                <w:sz w:val="20"/>
              </w:rPr>
              <w:t xml:space="preserve"> NTFC regularly solicit and incorporate feedback from U.S. exporters, including small and medium-sized business</w:t>
            </w:r>
            <w:r w:rsidR="00983458">
              <w:rPr>
                <w:rFonts w:ascii="Calibri" w:hAnsi="Calibri" w:cs="Arial"/>
                <w:sz w:val="20"/>
              </w:rPr>
              <w:t>es</w:t>
            </w:r>
            <w:r w:rsidR="00CD7141">
              <w:rPr>
                <w:rFonts w:ascii="Calibri" w:hAnsi="Calibri" w:cs="Arial"/>
                <w:sz w:val="20"/>
              </w:rPr>
              <w:t>,</w:t>
            </w:r>
            <w:r w:rsidRPr="00CD7141">
              <w:rPr>
                <w:rFonts w:ascii="Calibri" w:hAnsi="Calibri" w:cs="Arial"/>
                <w:sz w:val="20"/>
              </w:rPr>
              <w:t xml:space="preserve"> to </w:t>
            </w:r>
            <w:r w:rsidR="00983458">
              <w:rPr>
                <w:rFonts w:ascii="Calibri" w:hAnsi="Calibri" w:cs="Arial"/>
                <w:sz w:val="20"/>
              </w:rPr>
              <w:t xml:space="preserve">help </w:t>
            </w:r>
            <w:r w:rsidRPr="00CD7141">
              <w:rPr>
                <w:rFonts w:ascii="Calibri" w:hAnsi="Calibri" w:cs="Arial"/>
                <w:sz w:val="20"/>
              </w:rPr>
              <w:t>identify trade barriers that can be addressed through implementation of TFA commitments</w:t>
            </w:r>
            <w:r w:rsidR="00366BCE" w:rsidRPr="00CD7141">
              <w:rPr>
                <w:rFonts w:ascii="Calibri" w:hAnsi="Calibri" w:cs="Arial"/>
                <w:sz w:val="20"/>
              </w:rPr>
              <w:t>,</w:t>
            </w:r>
            <w:r w:rsidRPr="00CD7141">
              <w:rPr>
                <w:rFonts w:ascii="Calibri" w:hAnsi="Calibri" w:cs="Arial"/>
                <w:sz w:val="20"/>
              </w:rPr>
              <w:t xml:space="preserve"> such </w:t>
            </w:r>
            <w:r w:rsidRPr="00CD7141">
              <w:rPr>
                <w:rFonts w:ascii="Calibri" w:hAnsi="Calibri" w:cs="Arial"/>
                <w:sz w:val="20"/>
              </w:rPr>
              <w:lastRenderedPageBreak/>
              <w:t xml:space="preserve">as </w:t>
            </w:r>
            <w:r w:rsidR="00366BCE" w:rsidRPr="00CD7141">
              <w:rPr>
                <w:rFonts w:ascii="Calibri" w:hAnsi="Calibri" w:cs="Arial"/>
                <w:sz w:val="20"/>
              </w:rPr>
              <w:t>online publication of information, and reduction of burdensome or unnecessary formalities</w:t>
            </w:r>
            <w:r w:rsidR="00CD7141">
              <w:rPr>
                <w:rFonts w:ascii="Calibri" w:hAnsi="Calibri" w:cs="Arial"/>
                <w:sz w:val="20"/>
              </w:rPr>
              <w:t xml:space="preserve">. </w:t>
            </w:r>
          </w:p>
        </w:tc>
      </w:tr>
      <w:tr w:rsidR="0081130F" w:rsidRPr="00B72FF6" w14:paraId="4C327A77" w14:textId="77777777" w:rsidTr="00E92BBC">
        <w:tc>
          <w:tcPr>
            <w:tcW w:w="3524" w:type="dxa"/>
          </w:tcPr>
          <w:p w14:paraId="2A9E6C73"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lastRenderedPageBreak/>
              <w:t xml:space="preserve">Website for further information:  </w:t>
            </w:r>
          </w:p>
        </w:tc>
        <w:tc>
          <w:tcPr>
            <w:tcW w:w="5387" w:type="dxa"/>
          </w:tcPr>
          <w:p w14:paraId="1AB33FA3" w14:textId="77777777" w:rsidR="0081130F" w:rsidRPr="00BF37B1" w:rsidRDefault="0081130F" w:rsidP="00E92BBC">
            <w:pPr>
              <w:pStyle w:val="Heading9"/>
              <w:rPr>
                <w:rFonts w:ascii="Calibri" w:hAnsi="Calibri"/>
                <w:b w:val="0"/>
              </w:rPr>
            </w:pPr>
          </w:p>
        </w:tc>
        <w:tc>
          <w:tcPr>
            <w:tcW w:w="5670" w:type="dxa"/>
          </w:tcPr>
          <w:p w14:paraId="699D221C" w14:textId="77777777" w:rsidR="0081130F" w:rsidRPr="00BF37B1" w:rsidRDefault="0081130F" w:rsidP="00E92BBC">
            <w:pPr>
              <w:pStyle w:val="Heading9"/>
              <w:rPr>
                <w:rFonts w:ascii="Calibri" w:hAnsi="Calibri"/>
                <w:b w:val="0"/>
              </w:rPr>
            </w:pPr>
          </w:p>
        </w:tc>
      </w:tr>
      <w:tr w:rsidR="0081130F" w:rsidRPr="00B72FF6" w14:paraId="37EA77E2" w14:textId="77777777" w:rsidTr="00E92BBC">
        <w:tc>
          <w:tcPr>
            <w:tcW w:w="3524" w:type="dxa"/>
          </w:tcPr>
          <w:p w14:paraId="47910F75"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Contact point for further details:</w:t>
            </w:r>
          </w:p>
        </w:tc>
        <w:tc>
          <w:tcPr>
            <w:tcW w:w="5387" w:type="dxa"/>
          </w:tcPr>
          <w:p w14:paraId="5E41F738" w14:textId="77777777" w:rsidR="00707409" w:rsidRPr="00350284" w:rsidRDefault="00707409" w:rsidP="00707409">
            <w:pPr>
              <w:pStyle w:val="Heading9"/>
              <w:rPr>
                <w:rFonts w:ascii="Calibri" w:hAnsi="Calibri" w:cs="Calibri"/>
                <w:b w:val="0"/>
                <w:i w:val="0"/>
              </w:rPr>
            </w:pPr>
            <w:r w:rsidRPr="00350284">
              <w:rPr>
                <w:rFonts w:ascii="Calibri" w:hAnsi="Calibri" w:cs="Calibri"/>
                <w:b w:val="0"/>
                <w:i w:val="0"/>
              </w:rPr>
              <w:t>The national contact point for the United States is:</w:t>
            </w:r>
          </w:p>
          <w:p w14:paraId="23B6198E" w14:textId="77777777" w:rsidR="00707409" w:rsidRPr="00DA775C" w:rsidRDefault="00707409" w:rsidP="00707409">
            <w:pPr>
              <w:pStyle w:val="Default"/>
              <w:rPr>
                <w:rFonts w:ascii="Calibri Light" w:hAnsi="Calibri Light" w:cs="Times New Roman"/>
                <w:sz w:val="20"/>
                <w:szCs w:val="20"/>
              </w:rPr>
            </w:pPr>
            <w:r w:rsidRPr="00DA775C">
              <w:rPr>
                <w:rFonts w:ascii="Calibri Light" w:hAnsi="Calibri Light" w:cs="Times New Roman"/>
                <w:sz w:val="20"/>
                <w:szCs w:val="20"/>
              </w:rPr>
              <w:t>The U.S. National Trade Facilitation Committee</w:t>
            </w:r>
          </w:p>
          <w:p w14:paraId="1BFF19E1" w14:textId="77777777" w:rsidR="00707409" w:rsidRPr="00DA775C" w:rsidRDefault="00707409" w:rsidP="00707409">
            <w:pPr>
              <w:rPr>
                <w:rFonts w:ascii="Calibri Light" w:hAnsi="Calibri Light"/>
                <w:sz w:val="20"/>
              </w:rPr>
            </w:pPr>
            <w:r w:rsidRPr="00DA775C">
              <w:rPr>
                <w:rFonts w:ascii="Calibri Light" w:hAnsi="Calibri Light"/>
                <w:sz w:val="20"/>
              </w:rPr>
              <w:t xml:space="preserve">U.S. Trade Representative, 600 17th St., NW, Washington, DC 20508, </w:t>
            </w:r>
          </w:p>
          <w:p w14:paraId="2490968B" w14:textId="77777777" w:rsidR="00707409" w:rsidRPr="00DA775C" w:rsidRDefault="00975B81" w:rsidP="00707409">
            <w:pPr>
              <w:rPr>
                <w:rFonts w:ascii="Calibri Light" w:hAnsi="Calibri Light"/>
                <w:sz w:val="20"/>
                <w:lang w:val="en-US"/>
              </w:rPr>
            </w:pPr>
            <w:hyperlink r:id="rId15" w:history="1">
              <w:r w:rsidR="00707409" w:rsidRPr="00DA775C">
                <w:rPr>
                  <w:rStyle w:val="Hyperlink"/>
                  <w:rFonts w:ascii="Calibri Light" w:hAnsi="Calibri Light"/>
                  <w:sz w:val="20"/>
                </w:rPr>
                <w:t>TFA@ustr.eop.gov</w:t>
              </w:r>
            </w:hyperlink>
          </w:p>
          <w:p w14:paraId="230AC862" w14:textId="77777777" w:rsidR="0081130F" w:rsidRPr="00BF37B1" w:rsidRDefault="0081130F" w:rsidP="00E92BBC">
            <w:pPr>
              <w:pStyle w:val="Heading9"/>
              <w:rPr>
                <w:rFonts w:ascii="Calibri" w:hAnsi="Calibri"/>
                <w:b w:val="0"/>
              </w:rPr>
            </w:pPr>
          </w:p>
        </w:tc>
        <w:tc>
          <w:tcPr>
            <w:tcW w:w="5670" w:type="dxa"/>
          </w:tcPr>
          <w:p w14:paraId="6FB61903" w14:textId="77777777" w:rsidR="0081130F" w:rsidRPr="00B97944" w:rsidRDefault="0081130F" w:rsidP="00CE4250">
            <w:pPr>
              <w:rPr>
                <w:rFonts w:ascii="Calibri" w:hAnsi="Calibri"/>
              </w:rPr>
            </w:pPr>
          </w:p>
        </w:tc>
      </w:tr>
      <w:tr w:rsidR="0081130F" w:rsidRPr="00B72FF6" w14:paraId="1C11F9EE" w14:textId="77777777" w:rsidTr="00E92BBC">
        <w:tc>
          <w:tcPr>
            <w:tcW w:w="3524" w:type="dxa"/>
          </w:tcPr>
          <w:p w14:paraId="3905F33E" w14:textId="77777777" w:rsidR="0081130F" w:rsidRPr="00BF37B1" w:rsidRDefault="0081130F" w:rsidP="00E92BBC">
            <w:pPr>
              <w:rPr>
                <w:rFonts w:ascii="Calibri" w:hAnsi="Calibri"/>
                <w:b/>
                <w:i/>
                <w:sz w:val="20"/>
              </w:rPr>
            </w:pPr>
            <w:bookmarkStart w:id="35" w:name="Row12"/>
            <w:r w:rsidRPr="00BF37B1">
              <w:rPr>
                <w:rFonts w:ascii="Calibri" w:hAnsi="Calibri"/>
                <w:b/>
                <w:i/>
                <w:sz w:val="20"/>
              </w:rPr>
              <w:t xml:space="preserve">Dispute </w:t>
            </w:r>
            <w:bookmarkEnd w:id="35"/>
            <w:r>
              <w:rPr>
                <w:rFonts w:ascii="Calibri" w:hAnsi="Calibri"/>
                <w:b/>
                <w:i/>
                <w:sz w:val="20"/>
              </w:rPr>
              <w:t>Resolution</w:t>
            </w:r>
          </w:p>
          <w:p w14:paraId="345158B5" w14:textId="77777777" w:rsidR="0081130F" w:rsidRPr="00BF37B1" w:rsidRDefault="0081130F" w:rsidP="00E92BBC">
            <w:pPr>
              <w:rPr>
                <w:rFonts w:ascii="Calibri" w:hAnsi="Calibri"/>
                <w:b/>
                <w:i/>
                <w:color w:val="808080"/>
                <w:sz w:val="20"/>
              </w:rPr>
            </w:pPr>
          </w:p>
        </w:tc>
        <w:tc>
          <w:tcPr>
            <w:tcW w:w="5387" w:type="dxa"/>
          </w:tcPr>
          <w:p w14:paraId="2FC4E0A9" w14:textId="77777777" w:rsidR="0081130F" w:rsidRPr="00BF37B1" w:rsidRDefault="0081130F" w:rsidP="00E92BBC">
            <w:pPr>
              <w:rPr>
                <w:rFonts w:ascii="Calibri" w:hAnsi="Calibri"/>
                <w:color w:val="808080"/>
                <w:sz w:val="20"/>
              </w:rPr>
            </w:pPr>
            <w:bookmarkStart w:id="36" w:name="Cell23"/>
            <w:bookmarkEnd w:id="36"/>
            <w:r w:rsidRPr="00BF37B1">
              <w:rPr>
                <w:rFonts w:ascii="Calibri" w:hAnsi="Calibri" w:cs="Arial"/>
                <w:i/>
                <w:color w:val="808080"/>
                <w:sz w:val="20"/>
              </w:rPr>
              <w:t>Provide brief points only</w:t>
            </w:r>
          </w:p>
        </w:tc>
        <w:tc>
          <w:tcPr>
            <w:tcW w:w="5670" w:type="dxa"/>
          </w:tcPr>
          <w:p w14:paraId="2EEB831F" w14:textId="77777777" w:rsidR="0081130F" w:rsidRPr="00BF37B1" w:rsidRDefault="0081130F" w:rsidP="00E92BBC">
            <w:pPr>
              <w:rPr>
                <w:rFonts w:ascii="Calibri" w:hAnsi="Calibri"/>
                <w:color w:val="808080"/>
                <w:sz w:val="20"/>
              </w:rPr>
            </w:pPr>
            <w:bookmarkStart w:id="37" w:name="Cell24"/>
            <w:bookmarkEnd w:id="37"/>
            <w:r w:rsidRPr="00BF37B1">
              <w:rPr>
                <w:rFonts w:ascii="Calibri" w:hAnsi="Calibri" w:cs="Arial"/>
                <w:i/>
                <w:color w:val="808080"/>
                <w:sz w:val="20"/>
              </w:rPr>
              <w:t>Provide brief points only</w:t>
            </w:r>
          </w:p>
        </w:tc>
      </w:tr>
      <w:tr w:rsidR="0081130F" w:rsidRPr="0001261C" w14:paraId="56035D0D" w14:textId="77777777" w:rsidTr="00E92BBC">
        <w:tc>
          <w:tcPr>
            <w:tcW w:w="3524" w:type="dxa"/>
          </w:tcPr>
          <w:p w14:paraId="78ADE5BE"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 xml:space="preserve">Website for further information:  </w:t>
            </w:r>
          </w:p>
        </w:tc>
        <w:tc>
          <w:tcPr>
            <w:tcW w:w="5387" w:type="dxa"/>
          </w:tcPr>
          <w:p w14:paraId="42539266" w14:textId="77777777" w:rsidR="0081130F" w:rsidRPr="00BF37B1" w:rsidRDefault="0081130F" w:rsidP="00E92BBC">
            <w:pPr>
              <w:pStyle w:val="Heading9"/>
              <w:ind w:firstLine="720"/>
              <w:rPr>
                <w:rFonts w:ascii="Calibri" w:hAnsi="Calibri"/>
                <w:b w:val="0"/>
              </w:rPr>
            </w:pPr>
          </w:p>
        </w:tc>
        <w:tc>
          <w:tcPr>
            <w:tcW w:w="5670" w:type="dxa"/>
          </w:tcPr>
          <w:p w14:paraId="1B242DF2" w14:textId="77777777" w:rsidR="0081130F" w:rsidRPr="00BF37B1" w:rsidRDefault="0081130F" w:rsidP="00E92BBC">
            <w:pPr>
              <w:pStyle w:val="Heading9"/>
              <w:rPr>
                <w:rFonts w:ascii="Calibri" w:hAnsi="Calibri"/>
                <w:b w:val="0"/>
              </w:rPr>
            </w:pPr>
          </w:p>
        </w:tc>
      </w:tr>
      <w:tr w:rsidR="0081130F" w:rsidRPr="0001261C" w14:paraId="2D0F59B3" w14:textId="77777777" w:rsidTr="00E92BBC">
        <w:tc>
          <w:tcPr>
            <w:tcW w:w="3524" w:type="dxa"/>
          </w:tcPr>
          <w:p w14:paraId="5A15A825"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Contact point for further details:</w:t>
            </w:r>
          </w:p>
        </w:tc>
        <w:tc>
          <w:tcPr>
            <w:tcW w:w="5387" w:type="dxa"/>
          </w:tcPr>
          <w:p w14:paraId="0BE066EA" w14:textId="77777777" w:rsidR="0081130F" w:rsidRPr="00BF37B1" w:rsidRDefault="0081130F" w:rsidP="00E92BBC">
            <w:pPr>
              <w:pStyle w:val="Heading9"/>
              <w:rPr>
                <w:rFonts w:ascii="Calibri" w:hAnsi="Calibri"/>
                <w:b w:val="0"/>
              </w:rPr>
            </w:pPr>
          </w:p>
        </w:tc>
        <w:tc>
          <w:tcPr>
            <w:tcW w:w="5670" w:type="dxa"/>
          </w:tcPr>
          <w:p w14:paraId="3AD8DFD2" w14:textId="77777777" w:rsidR="0081130F" w:rsidRPr="00BF37B1" w:rsidRDefault="0081130F" w:rsidP="00E92BBC">
            <w:pPr>
              <w:pStyle w:val="Heading9"/>
              <w:rPr>
                <w:rFonts w:ascii="Calibri" w:hAnsi="Calibri"/>
                <w:b w:val="0"/>
              </w:rPr>
            </w:pPr>
          </w:p>
        </w:tc>
      </w:tr>
      <w:tr w:rsidR="0081130F" w14:paraId="54E0D1B8" w14:textId="77777777" w:rsidTr="00E92BBC">
        <w:tc>
          <w:tcPr>
            <w:tcW w:w="3524" w:type="dxa"/>
          </w:tcPr>
          <w:p w14:paraId="40F0FCC6" w14:textId="77777777" w:rsidR="0081130F" w:rsidRPr="00BF37B1" w:rsidRDefault="0081130F" w:rsidP="00E92BBC">
            <w:pPr>
              <w:pStyle w:val="Heading5"/>
              <w:spacing w:after="0"/>
              <w:rPr>
                <w:rFonts w:ascii="Calibri" w:hAnsi="Calibri"/>
                <w:i/>
              </w:rPr>
            </w:pPr>
            <w:bookmarkStart w:id="38" w:name="Row13"/>
            <w:r w:rsidRPr="00BF37B1">
              <w:rPr>
                <w:rFonts w:ascii="Calibri" w:hAnsi="Calibri"/>
                <w:i/>
              </w:rPr>
              <w:t>Mobility of Business People</w:t>
            </w:r>
            <w:bookmarkEnd w:id="38"/>
          </w:p>
          <w:p w14:paraId="781DFC1D" w14:textId="77777777" w:rsidR="0081130F" w:rsidRPr="00BF37B1" w:rsidRDefault="0081130F" w:rsidP="00E92BBC">
            <w:pPr>
              <w:rPr>
                <w:rFonts w:ascii="Calibri" w:hAnsi="Calibri"/>
                <w:sz w:val="20"/>
              </w:rPr>
            </w:pPr>
          </w:p>
        </w:tc>
        <w:tc>
          <w:tcPr>
            <w:tcW w:w="5387" w:type="dxa"/>
          </w:tcPr>
          <w:p w14:paraId="315DC99D" w14:textId="77777777" w:rsidR="0081130F" w:rsidRPr="00CE4250" w:rsidRDefault="00D67EC3" w:rsidP="00D67EC3">
            <w:pPr>
              <w:rPr>
                <w:rFonts w:asciiTheme="minorHAnsi" w:hAnsiTheme="minorHAnsi" w:cstheme="minorHAnsi"/>
                <w:color w:val="808080"/>
                <w:sz w:val="20"/>
              </w:rPr>
            </w:pPr>
            <w:bookmarkStart w:id="39" w:name="Cell25"/>
            <w:bookmarkEnd w:id="39"/>
            <w:r w:rsidRPr="00CE4250">
              <w:rPr>
                <w:rFonts w:asciiTheme="minorHAnsi" w:hAnsiTheme="minorHAnsi" w:cstheme="minorHAnsi"/>
                <w:sz w:val="20"/>
              </w:rPr>
              <w:t>In November 2017, the United States permanently authorized the government to issue APEC Business Travel Cards to U.S. citizens. Previous U.S. law would have sunset the issuance cards past September 2018. The United States remains a transitional member to the ABTC scheme, meaning it participates in some, but not all, aspects of the scheme. The United States does not participate in the preclearance portion of the scheme.</w:t>
            </w:r>
          </w:p>
        </w:tc>
        <w:tc>
          <w:tcPr>
            <w:tcW w:w="5670" w:type="dxa"/>
          </w:tcPr>
          <w:p w14:paraId="760C6738" w14:textId="77777777" w:rsidR="0081130F" w:rsidRPr="00BF37B1" w:rsidRDefault="0081130F" w:rsidP="00E92BBC">
            <w:pPr>
              <w:rPr>
                <w:rFonts w:ascii="Calibri" w:hAnsi="Calibri"/>
                <w:color w:val="808080"/>
                <w:sz w:val="20"/>
              </w:rPr>
            </w:pPr>
            <w:bookmarkStart w:id="40" w:name="Cell26"/>
            <w:bookmarkEnd w:id="40"/>
            <w:r w:rsidRPr="00BF37B1">
              <w:rPr>
                <w:rFonts w:ascii="Calibri" w:hAnsi="Calibri" w:cs="Arial"/>
                <w:i/>
                <w:color w:val="808080"/>
                <w:sz w:val="20"/>
              </w:rPr>
              <w:t>Provide brief points only</w:t>
            </w:r>
          </w:p>
        </w:tc>
      </w:tr>
      <w:tr w:rsidR="0081130F" w:rsidRPr="00B72FF6" w14:paraId="771779B1" w14:textId="77777777" w:rsidTr="00E92BBC">
        <w:tc>
          <w:tcPr>
            <w:tcW w:w="3524" w:type="dxa"/>
          </w:tcPr>
          <w:p w14:paraId="4FDA5BC8" w14:textId="77777777" w:rsidR="0081130F" w:rsidRPr="00BF37B1" w:rsidRDefault="0081130F" w:rsidP="00E92BBC">
            <w:pPr>
              <w:pStyle w:val="Heading5"/>
              <w:spacing w:after="0"/>
              <w:rPr>
                <w:rFonts w:ascii="Calibri" w:hAnsi="Calibri"/>
                <w:i/>
                <w:color w:val="808080"/>
              </w:rPr>
            </w:pPr>
            <w:r w:rsidRPr="00BF37B1">
              <w:rPr>
                <w:rFonts w:ascii="Calibri" w:hAnsi="Calibri"/>
                <w:b w:val="0"/>
                <w:i/>
                <w:color w:val="808080"/>
              </w:rPr>
              <w:t xml:space="preserve">Website for further information:  </w:t>
            </w:r>
          </w:p>
        </w:tc>
        <w:tc>
          <w:tcPr>
            <w:tcW w:w="5387" w:type="dxa"/>
          </w:tcPr>
          <w:p w14:paraId="06FFDCA1" w14:textId="77777777" w:rsidR="0081130F" w:rsidRPr="00BF37B1" w:rsidRDefault="0081130F" w:rsidP="00E92BBC">
            <w:pPr>
              <w:rPr>
                <w:rFonts w:ascii="Calibri" w:hAnsi="Calibri" w:cs="Arial"/>
                <w:sz w:val="20"/>
              </w:rPr>
            </w:pPr>
          </w:p>
        </w:tc>
        <w:tc>
          <w:tcPr>
            <w:tcW w:w="5670" w:type="dxa"/>
          </w:tcPr>
          <w:p w14:paraId="20BFBF38" w14:textId="77777777" w:rsidR="0081130F" w:rsidRPr="00BF37B1" w:rsidRDefault="0081130F" w:rsidP="00E92BBC">
            <w:pPr>
              <w:rPr>
                <w:rFonts w:ascii="Calibri" w:hAnsi="Calibri" w:cs="Arial"/>
                <w:sz w:val="20"/>
              </w:rPr>
            </w:pPr>
          </w:p>
        </w:tc>
      </w:tr>
      <w:tr w:rsidR="0081130F" w:rsidRPr="00B72FF6" w14:paraId="4B03DDA6" w14:textId="77777777" w:rsidTr="00E92BBC">
        <w:tc>
          <w:tcPr>
            <w:tcW w:w="3524" w:type="dxa"/>
          </w:tcPr>
          <w:p w14:paraId="5AA47DE6" w14:textId="77777777" w:rsidR="0081130F" w:rsidRPr="00BF37B1" w:rsidRDefault="0081130F" w:rsidP="00E92BBC">
            <w:pPr>
              <w:pStyle w:val="Heading5"/>
              <w:spacing w:after="0"/>
              <w:rPr>
                <w:rFonts w:ascii="Calibri" w:hAnsi="Calibri"/>
                <w:i/>
                <w:color w:val="808080"/>
              </w:rPr>
            </w:pPr>
            <w:r w:rsidRPr="00BF37B1">
              <w:rPr>
                <w:rFonts w:ascii="Calibri" w:hAnsi="Calibri"/>
                <w:b w:val="0"/>
                <w:i/>
                <w:color w:val="808080"/>
              </w:rPr>
              <w:t>Contact point for further details:</w:t>
            </w:r>
          </w:p>
        </w:tc>
        <w:tc>
          <w:tcPr>
            <w:tcW w:w="5387" w:type="dxa"/>
          </w:tcPr>
          <w:p w14:paraId="737ED178" w14:textId="77777777" w:rsidR="0081130F" w:rsidRPr="00BF37B1" w:rsidRDefault="0081130F" w:rsidP="00E92BBC">
            <w:pPr>
              <w:rPr>
                <w:rFonts w:ascii="Calibri" w:hAnsi="Calibri" w:cs="Arial"/>
                <w:sz w:val="20"/>
              </w:rPr>
            </w:pPr>
          </w:p>
        </w:tc>
        <w:tc>
          <w:tcPr>
            <w:tcW w:w="5670" w:type="dxa"/>
          </w:tcPr>
          <w:p w14:paraId="6336DE87" w14:textId="77777777" w:rsidR="0081130F" w:rsidRPr="00BF37B1" w:rsidRDefault="0081130F" w:rsidP="00E92BBC">
            <w:pPr>
              <w:rPr>
                <w:rFonts w:ascii="Calibri" w:hAnsi="Calibri" w:cs="Arial"/>
                <w:sz w:val="20"/>
              </w:rPr>
            </w:pPr>
          </w:p>
        </w:tc>
      </w:tr>
      <w:tr w:rsidR="0081130F" w14:paraId="1C499EB6" w14:textId="77777777" w:rsidTr="00E92BBC">
        <w:tc>
          <w:tcPr>
            <w:tcW w:w="3524" w:type="dxa"/>
          </w:tcPr>
          <w:p w14:paraId="6E5B05C4" w14:textId="77777777" w:rsidR="0081130F" w:rsidRPr="00BF37B1" w:rsidRDefault="0081130F" w:rsidP="00E92BBC">
            <w:pPr>
              <w:pStyle w:val="Heading5"/>
              <w:spacing w:after="0"/>
              <w:rPr>
                <w:rFonts w:ascii="Calibri" w:hAnsi="Calibri"/>
                <w:i/>
              </w:rPr>
            </w:pPr>
            <w:r w:rsidRPr="00BF37B1">
              <w:rPr>
                <w:rFonts w:ascii="Calibri" w:hAnsi="Calibri"/>
                <w:i/>
              </w:rPr>
              <w:t>Official websites that gather economies’ information</w:t>
            </w:r>
          </w:p>
          <w:p w14:paraId="34F90F96" w14:textId="77777777" w:rsidR="0081130F" w:rsidRPr="00BF37B1" w:rsidRDefault="0081130F" w:rsidP="00E92BBC">
            <w:pPr>
              <w:rPr>
                <w:rFonts w:ascii="Calibri" w:hAnsi="Calibri"/>
                <w:b/>
                <w:i/>
                <w:sz w:val="20"/>
              </w:rPr>
            </w:pPr>
          </w:p>
        </w:tc>
        <w:tc>
          <w:tcPr>
            <w:tcW w:w="5387" w:type="dxa"/>
          </w:tcPr>
          <w:p w14:paraId="51D7D02C" w14:textId="77777777" w:rsidR="0081130F" w:rsidRPr="00BF37B1" w:rsidRDefault="0081130F" w:rsidP="00E92BBC">
            <w:pPr>
              <w:rPr>
                <w:rFonts w:ascii="Calibri" w:hAnsi="Calibri"/>
                <w:color w:val="808080"/>
                <w:sz w:val="20"/>
              </w:rPr>
            </w:pPr>
            <w:bookmarkStart w:id="41" w:name="Cell27"/>
            <w:bookmarkEnd w:id="41"/>
            <w:r w:rsidRPr="00BF37B1">
              <w:rPr>
                <w:rFonts w:ascii="Calibri" w:hAnsi="Calibri" w:cs="Arial"/>
                <w:i/>
                <w:color w:val="808080"/>
                <w:sz w:val="20"/>
              </w:rPr>
              <w:t>Provide brief points only</w:t>
            </w:r>
          </w:p>
        </w:tc>
        <w:tc>
          <w:tcPr>
            <w:tcW w:w="5670" w:type="dxa"/>
          </w:tcPr>
          <w:p w14:paraId="5F5A0A4A" w14:textId="77777777" w:rsidR="0081130F" w:rsidRPr="00BF37B1" w:rsidRDefault="0081130F" w:rsidP="00E92BBC">
            <w:pPr>
              <w:rPr>
                <w:rFonts w:ascii="Calibri" w:hAnsi="Calibri"/>
                <w:color w:val="808080"/>
                <w:sz w:val="20"/>
              </w:rPr>
            </w:pPr>
            <w:bookmarkStart w:id="42" w:name="Cell28"/>
            <w:bookmarkEnd w:id="42"/>
            <w:r w:rsidRPr="00BF37B1">
              <w:rPr>
                <w:rFonts w:ascii="Calibri" w:hAnsi="Calibri" w:cs="Arial"/>
                <w:i/>
                <w:color w:val="808080"/>
                <w:sz w:val="20"/>
              </w:rPr>
              <w:t>Provide brief points only</w:t>
            </w:r>
          </w:p>
        </w:tc>
      </w:tr>
      <w:tr w:rsidR="0081130F" w:rsidRPr="00B72FF6" w14:paraId="029421C7" w14:textId="77777777" w:rsidTr="00E92BBC">
        <w:tc>
          <w:tcPr>
            <w:tcW w:w="3524" w:type="dxa"/>
          </w:tcPr>
          <w:p w14:paraId="4F5A8030"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 xml:space="preserve">Website for further information:  </w:t>
            </w:r>
          </w:p>
        </w:tc>
        <w:tc>
          <w:tcPr>
            <w:tcW w:w="5387" w:type="dxa"/>
          </w:tcPr>
          <w:p w14:paraId="5DF483A2" w14:textId="77777777" w:rsidR="0081130F" w:rsidRPr="00BF37B1" w:rsidRDefault="0081130F" w:rsidP="00E92BBC">
            <w:pPr>
              <w:pStyle w:val="Heading9"/>
              <w:rPr>
                <w:rFonts w:ascii="Calibri" w:hAnsi="Calibri"/>
                <w:b w:val="0"/>
              </w:rPr>
            </w:pPr>
          </w:p>
        </w:tc>
        <w:tc>
          <w:tcPr>
            <w:tcW w:w="5670" w:type="dxa"/>
          </w:tcPr>
          <w:p w14:paraId="086AC1A9" w14:textId="77777777" w:rsidR="0081130F" w:rsidRPr="00BF37B1" w:rsidRDefault="0081130F" w:rsidP="00E92BBC">
            <w:pPr>
              <w:pStyle w:val="Heading9"/>
              <w:rPr>
                <w:rFonts w:ascii="Calibri" w:hAnsi="Calibri"/>
                <w:b w:val="0"/>
              </w:rPr>
            </w:pPr>
          </w:p>
        </w:tc>
      </w:tr>
      <w:tr w:rsidR="0081130F" w:rsidRPr="00B72FF6" w14:paraId="72EEDEB5" w14:textId="77777777" w:rsidTr="00E92BBC">
        <w:tc>
          <w:tcPr>
            <w:tcW w:w="3524" w:type="dxa"/>
          </w:tcPr>
          <w:p w14:paraId="07E0774F"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Contact point for further details:</w:t>
            </w:r>
          </w:p>
        </w:tc>
        <w:tc>
          <w:tcPr>
            <w:tcW w:w="5387" w:type="dxa"/>
          </w:tcPr>
          <w:p w14:paraId="494DC507" w14:textId="77777777" w:rsidR="0081130F" w:rsidRPr="00BF37B1" w:rsidRDefault="0081130F" w:rsidP="00E92BBC">
            <w:pPr>
              <w:pStyle w:val="Heading9"/>
              <w:rPr>
                <w:rFonts w:ascii="Calibri" w:hAnsi="Calibri"/>
                <w:b w:val="0"/>
              </w:rPr>
            </w:pPr>
          </w:p>
        </w:tc>
        <w:tc>
          <w:tcPr>
            <w:tcW w:w="5670" w:type="dxa"/>
          </w:tcPr>
          <w:p w14:paraId="478C7846" w14:textId="77777777" w:rsidR="0081130F" w:rsidRPr="00BF37B1" w:rsidRDefault="0081130F" w:rsidP="00E92BBC">
            <w:pPr>
              <w:pStyle w:val="Heading9"/>
              <w:rPr>
                <w:rFonts w:ascii="Calibri" w:hAnsi="Calibri"/>
                <w:b w:val="0"/>
              </w:rPr>
            </w:pPr>
          </w:p>
        </w:tc>
      </w:tr>
      <w:tr w:rsidR="0081130F" w14:paraId="6530B1C3" w14:textId="77777777" w:rsidTr="00E92BBC">
        <w:tc>
          <w:tcPr>
            <w:tcW w:w="3524" w:type="dxa"/>
          </w:tcPr>
          <w:p w14:paraId="50E2B852" w14:textId="77777777" w:rsidR="0081130F" w:rsidRPr="00BF37B1" w:rsidRDefault="0081130F" w:rsidP="00E92BBC">
            <w:pPr>
              <w:rPr>
                <w:rFonts w:ascii="Calibri" w:hAnsi="Calibri"/>
                <w:b/>
                <w:i/>
                <w:sz w:val="20"/>
              </w:rPr>
            </w:pPr>
            <w:bookmarkStart w:id="43" w:name="Row16"/>
            <w:r w:rsidRPr="00BF37B1">
              <w:rPr>
                <w:rFonts w:ascii="Calibri" w:hAnsi="Calibri"/>
                <w:b/>
                <w:i/>
                <w:sz w:val="20"/>
              </w:rPr>
              <w:t>Transparency</w:t>
            </w:r>
            <w:bookmarkEnd w:id="43"/>
          </w:p>
          <w:p w14:paraId="24C5F14A" w14:textId="77777777" w:rsidR="0081130F" w:rsidRPr="00BF37B1" w:rsidRDefault="0081130F" w:rsidP="00E92BBC">
            <w:pPr>
              <w:rPr>
                <w:rFonts w:ascii="Calibri" w:hAnsi="Calibri"/>
                <w:b/>
                <w:i/>
                <w:sz w:val="20"/>
              </w:rPr>
            </w:pPr>
          </w:p>
        </w:tc>
        <w:tc>
          <w:tcPr>
            <w:tcW w:w="5387" w:type="dxa"/>
          </w:tcPr>
          <w:p w14:paraId="59EC291D" w14:textId="77777777" w:rsidR="008757E8" w:rsidRDefault="00707409" w:rsidP="00707409">
            <w:pPr>
              <w:rPr>
                <w:rFonts w:ascii="Calibri" w:hAnsi="Calibri" w:cs="Arial"/>
                <w:sz w:val="20"/>
              </w:rPr>
            </w:pPr>
            <w:bookmarkStart w:id="44" w:name="Cell31"/>
            <w:bookmarkEnd w:id="44"/>
            <w:r>
              <w:rPr>
                <w:rFonts w:ascii="Calibri" w:hAnsi="Calibri" w:cs="Arial"/>
                <w:sz w:val="20"/>
              </w:rPr>
              <w:t xml:space="preserve">In June 2017, the United States implemented </w:t>
            </w:r>
            <w:r w:rsidR="0099579A">
              <w:rPr>
                <w:rFonts w:ascii="Calibri" w:hAnsi="Calibri" w:cs="Arial"/>
                <w:sz w:val="20"/>
              </w:rPr>
              <w:t>its</w:t>
            </w:r>
            <w:r>
              <w:rPr>
                <w:rFonts w:ascii="Calibri" w:hAnsi="Calibri" w:cs="Arial"/>
                <w:sz w:val="20"/>
              </w:rPr>
              <w:t xml:space="preserve"> </w:t>
            </w:r>
            <w:r w:rsidR="00E8103E">
              <w:rPr>
                <w:rFonts w:ascii="Calibri" w:hAnsi="Calibri" w:cs="Arial"/>
                <w:sz w:val="20"/>
              </w:rPr>
              <w:t xml:space="preserve">transparency notification commitments </w:t>
            </w:r>
            <w:r w:rsidR="00E403B1">
              <w:rPr>
                <w:rFonts w:ascii="Calibri" w:hAnsi="Calibri" w:cs="Arial"/>
                <w:sz w:val="20"/>
              </w:rPr>
              <w:t>under</w:t>
            </w:r>
            <w:r w:rsidR="00E8103E">
              <w:rPr>
                <w:rFonts w:ascii="Calibri" w:hAnsi="Calibri" w:cs="Arial"/>
                <w:sz w:val="20"/>
              </w:rPr>
              <w:t xml:space="preserve"> the </w:t>
            </w:r>
            <w:r>
              <w:rPr>
                <w:rFonts w:ascii="Calibri" w:hAnsi="Calibri" w:cs="Arial"/>
                <w:sz w:val="20"/>
              </w:rPr>
              <w:t xml:space="preserve">WTO Trade Faciliation Agreement </w:t>
            </w:r>
            <w:r w:rsidR="00E8103E">
              <w:rPr>
                <w:rFonts w:ascii="Calibri" w:hAnsi="Calibri" w:cs="Arial"/>
                <w:sz w:val="20"/>
              </w:rPr>
              <w:t xml:space="preserve">(TFA) articles 1.4, 10.6.2, 10.4.3, </w:t>
            </w:r>
            <w:r w:rsidR="00E403B1">
              <w:rPr>
                <w:rFonts w:ascii="Calibri" w:hAnsi="Calibri" w:cs="Arial"/>
                <w:sz w:val="20"/>
              </w:rPr>
              <w:t xml:space="preserve">and 12.2, </w:t>
            </w:r>
            <w:r w:rsidR="00E8103E">
              <w:rPr>
                <w:rFonts w:ascii="Calibri" w:hAnsi="Calibri" w:cs="Arial"/>
                <w:sz w:val="20"/>
              </w:rPr>
              <w:t>by submitting to the</w:t>
            </w:r>
            <w:r>
              <w:rPr>
                <w:rFonts w:ascii="Calibri" w:hAnsi="Calibri" w:cs="Arial"/>
                <w:sz w:val="20"/>
              </w:rPr>
              <w:t xml:space="preserve"> WTO </w:t>
            </w:r>
            <w:r w:rsidR="00E8103E">
              <w:rPr>
                <w:rFonts w:ascii="Calibri" w:hAnsi="Calibri" w:cs="Arial"/>
                <w:sz w:val="20"/>
              </w:rPr>
              <w:t>the location for</w:t>
            </w:r>
            <w:r>
              <w:rPr>
                <w:rFonts w:ascii="Calibri" w:hAnsi="Calibri" w:cs="Arial"/>
                <w:sz w:val="20"/>
              </w:rPr>
              <w:t xml:space="preserve"> publication of </w:t>
            </w:r>
            <w:r w:rsidR="00E8103E">
              <w:rPr>
                <w:rFonts w:ascii="Calibri" w:hAnsi="Calibri" w:cs="Arial"/>
                <w:sz w:val="20"/>
              </w:rPr>
              <w:t>trade-related regulations and requirements</w:t>
            </w:r>
            <w:r>
              <w:rPr>
                <w:rFonts w:ascii="Calibri" w:hAnsi="Calibri" w:cs="Arial"/>
                <w:sz w:val="20"/>
              </w:rPr>
              <w:t xml:space="preserve">. The U.S. </w:t>
            </w:r>
            <w:r w:rsidR="00E8103E">
              <w:rPr>
                <w:rFonts w:ascii="Calibri" w:hAnsi="Calibri" w:cs="Arial"/>
                <w:sz w:val="20"/>
              </w:rPr>
              <w:t xml:space="preserve">notification </w:t>
            </w:r>
            <w:r w:rsidR="00E8103E">
              <w:rPr>
                <w:rFonts w:ascii="Calibri" w:hAnsi="Calibri" w:cs="Arial"/>
                <w:sz w:val="20"/>
              </w:rPr>
              <w:lastRenderedPageBreak/>
              <w:t xml:space="preserve">included the locations for </w:t>
            </w:r>
            <w:r w:rsidR="00E403B1">
              <w:rPr>
                <w:rFonts w:ascii="Calibri" w:hAnsi="Calibri" w:cs="Arial"/>
                <w:sz w:val="20"/>
              </w:rPr>
              <w:t>i</w:t>
            </w:r>
            <w:r>
              <w:rPr>
                <w:rFonts w:ascii="Calibri" w:hAnsi="Calibri" w:cs="Arial"/>
                <w:sz w:val="20"/>
              </w:rPr>
              <w:t xml:space="preserve">mport, </w:t>
            </w:r>
            <w:r w:rsidR="00E403B1">
              <w:rPr>
                <w:rFonts w:ascii="Calibri" w:hAnsi="Calibri" w:cs="Arial"/>
                <w:sz w:val="20"/>
              </w:rPr>
              <w:t>e</w:t>
            </w:r>
            <w:r>
              <w:rPr>
                <w:rFonts w:ascii="Calibri" w:hAnsi="Calibri" w:cs="Arial"/>
                <w:sz w:val="20"/>
              </w:rPr>
              <w:t xml:space="preserve">xport, and </w:t>
            </w:r>
            <w:r w:rsidR="00E403B1">
              <w:rPr>
                <w:rFonts w:ascii="Calibri" w:hAnsi="Calibri" w:cs="Arial"/>
                <w:sz w:val="20"/>
              </w:rPr>
              <w:t>t</w:t>
            </w:r>
            <w:r>
              <w:rPr>
                <w:rFonts w:ascii="Calibri" w:hAnsi="Calibri" w:cs="Arial"/>
                <w:sz w:val="20"/>
              </w:rPr>
              <w:t xml:space="preserve">ransit </w:t>
            </w:r>
            <w:r w:rsidR="00E403B1">
              <w:rPr>
                <w:rFonts w:ascii="Calibri" w:hAnsi="Calibri" w:cs="Arial"/>
                <w:sz w:val="20"/>
              </w:rPr>
              <w:t>p</w:t>
            </w:r>
            <w:r>
              <w:rPr>
                <w:rFonts w:ascii="Calibri" w:hAnsi="Calibri" w:cs="Arial"/>
                <w:sz w:val="20"/>
              </w:rPr>
              <w:t xml:space="preserve">rocedures, </w:t>
            </w:r>
            <w:r w:rsidR="00E403B1">
              <w:rPr>
                <w:rFonts w:ascii="Calibri" w:hAnsi="Calibri" w:cs="Arial"/>
                <w:sz w:val="20"/>
              </w:rPr>
              <w:t>single window o</w:t>
            </w:r>
            <w:r w:rsidR="00E8103E">
              <w:rPr>
                <w:rFonts w:ascii="Calibri" w:hAnsi="Calibri" w:cs="Arial"/>
                <w:sz w:val="20"/>
              </w:rPr>
              <w:t xml:space="preserve">perations, the use of </w:t>
            </w:r>
            <w:r w:rsidR="00E403B1">
              <w:rPr>
                <w:rFonts w:ascii="Calibri" w:hAnsi="Calibri" w:cs="Arial"/>
                <w:sz w:val="20"/>
              </w:rPr>
              <w:t>c</w:t>
            </w:r>
            <w:r>
              <w:rPr>
                <w:rFonts w:ascii="Calibri" w:hAnsi="Calibri" w:cs="Arial"/>
                <w:sz w:val="20"/>
              </w:rPr>
              <w:t xml:space="preserve">ustoms </w:t>
            </w:r>
            <w:r w:rsidR="00E403B1">
              <w:rPr>
                <w:rFonts w:ascii="Calibri" w:hAnsi="Calibri" w:cs="Arial"/>
                <w:sz w:val="20"/>
              </w:rPr>
              <w:t>b</w:t>
            </w:r>
            <w:r>
              <w:rPr>
                <w:rFonts w:ascii="Calibri" w:hAnsi="Calibri" w:cs="Arial"/>
                <w:sz w:val="20"/>
              </w:rPr>
              <w:t xml:space="preserve">rokers, and </w:t>
            </w:r>
            <w:r w:rsidR="00E403B1">
              <w:rPr>
                <w:rFonts w:ascii="Calibri" w:hAnsi="Calibri" w:cs="Arial"/>
                <w:sz w:val="20"/>
              </w:rPr>
              <w:t>c</w:t>
            </w:r>
            <w:r>
              <w:rPr>
                <w:rFonts w:ascii="Calibri" w:hAnsi="Calibri" w:cs="Arial"/>
                <w:sz w:val="20"/>
              </w:rPr>
              <w:t xml:space="preserve">ontact </w:t>
            </w:r>
            <w:r w:rsidR="00E403B1">
              <w:rPr>
                <w:rFonts w:ascii="Calibri" w:hAnsi="Calibri" w:cs="Arial"/>
                <w:sz w:val="20"/>
              </w:rPr>
              <w:t>p</w:t>
            </w:r>
            <w:r>
              <w:rPr>
                <w:rFonts w:ascii="Calibri" w:hAnsi="Calibri" w:cs="Arial"/>
                <w:sz w:val="20"/>
              </w:rPr>
              <w:t xml:space="preserve">oints for </w:t>
            </w:r>
            <w:r w:rsidR="00E403B1">
              <w:rPr>
                <w:rFonts w:ascii="Calibri" w:hAnsi="Calibri" w:cs="Arial"/>
                <w:sz w:val="20"/>
              </w:rPr>
              <w:t>e</w:t>
            </w:r>
            <w:r>
              <w:rPr>
                <w:rFonts w:ascii="Calibri" w:hAnsi="Calibri" w:cs="Arial"/>
                <w:sz w:val="20"/>
              </w:rPr>
              <w:t xml:space="preserve">xchange of </w:t>
            </w:r>
            <w:r w:rsidR="00E403B1">
              <w:rPr>
                <w:rFonts w:ascii="Calibri" w:hAnsi="Calibri" w:cs="Arial"/>
                <w:sz w:val="20"/>
              </w:rPr>
              <w:t>i</w:t>
            </w:r>
            <w:r>
              <w:rPr>
                <w:rFonts w:ascii="Calibri" w:hAnsi="Calibri" w:cs="Arial"/>
                <w:sz w:val="20"/>
              </w:rPr>
              <w:t>nformation</w:t>
            </w:r>
            <w:r w:rsidR="00E8103E">
              <w:rPr>
                <w:rFonts w:ascii="Calibri" w:hAnsi="Calibri" w:cs="Arial"/>
                <w:sz w:val="20"/>
              </w:rPr>
              <w:t>.</w:t>
            </w:r>
            <w:r w:rsidR="008757E8">
              <w:rPr>
                <w:rFonts w:ascii="Calibri" w:hAnsi="Calibri" w:cs="Arial"/>
                <w:sz w:val="20"/>
              </w:rPr>
              <w:t xml:space="preserve"> </w:t>
            </w:r>
          </w:p>
          <w:p w14:paraId="53F21679" w14:textId="77777777" w:rsidR="008757E8" w:rsidRDefault="008757E8" w:rsidP="00707409">
            <w:pPr>
              <w:rPr>
                <w:rFonts w:ascii="Calibri" w:hAnsi="Calibri" w:cs="Arial"/>
                <w:sz w:val="20"/>
              </w:rPr>
            </w:pPr>
          </w:p>
          <w:p w14:paraId="58C67302" w14:textId="2EB6425D" w:rsidR="0081130F" w:rsidRPr="00CE4250" w:rsidRDefault="008757E8" w:rsidP="00E92BBC">
            <w:pPr>
              <w:rPr>
                <w:rFonts w:ascii="Calibri" w:hAnsi="Calibri"/>
                <w:color w:val="808080"/>
                <w:sz w:val="20"/>
              </w:rPr>
            </w:pPr>
            <w:r>
              <w:rPr>
                <w:rFonts w:ascii="Calibri" w:hAnsi="Calibri" w:cs="Arial"/>
                <w:sz w:val="20"/>
              </w:rPr>
              <w:t xml:space="preserve">In June 2017, the U.S. complied with its obligations under the WTO TFA articles 22.1 and 22.2 by notifying the WTO of assistance and support for trade facilitation-related capacity building provided during the 2015 period, and, the process and mechanisms for requesting </w:t>
            </w:r>
            <w:r w:rsidR="00983458">
              <w:rPr>
                <w:rFonts w:ascii="Calibri" w:hAnsi="Calibri" w:cs="Arial"/>
                <w:sz w:val="20"/>
              </w:rPr>
              <w:t xml:space="preserve">future </w:t>
            </w:r>
            <w:r>
              <w:rPr>
                <w:rFonts w:ascii="Calibri" w:hAnsi="Calibri" w:cs="Arial"/>
                <w:sz w:val="20"/>
              </w:rPr>
              <w:t xml:space="preserve">assistance. </w:t>
            </w:r>
          </w:p>
        </w:tc>
        <w:tc>
          <w:tcPr>
            <w:tcW w:w="5670" w:type="dxa"/>
          </w:tcPr>
          <w:p w14:paraId="5036E65F" w14:textId="211CAB33" w:rsidR="0081130F" w:rsidRPr="00CE4250" w:rsidRDefault="00707409" w:rsidP="00E92BBC">
            <w:pPr>
              <w:rPr>
                <w:rFonts w:ascii="Calibri" w:hAnsi="Calibri"/>
                <w:color w:val="808080"/>
                <w:sz w:val="20"/>
              </w:rPr>
            </w:pPr>
            <w:bookmarkStart w:id="45" w:name="Cell32"/>
            <w:bookmarkEnd w:id="45"/>
            <w:r>
              <w:rPr>
                <w:rFonts w:ascii="Calibri" w:hAnsi="Calibri" w:cs="Arial"/>
                <w:sz w:val="20"/>
              </w:rPr>
              <w:lastRenderedPageBreak/>
              <w:t>The U.S. remains committed to full member implementation of the WTO Trade Facilitation Agreement</w:t>
            </w:r>
            <w:r w:rsidR="00CD7141">
              <w:rPr>
                <w:rFonts w:ascii="Calibri" w:hAnsi="Calibri" w:cs="Arial"/>
                <w:sz w:val="20"/>
              </w:rPr>
              <w:t>, and was</w:t>
            </w:r>
            <w:r>
              <w:rPr>
                <w:rFonts w:ascii="Calibri" w:hAnsi="Calibri" w:cs="Arial"/>
                <w:sz w:val="20"/>
              </w:rPr>
              <w:t xml:space="preserve"> one of the first countries to ratify </w:t>
            </w:r>
            <w:r w:rsidR="00E403B1">
              <w:rPr>
                <w:rFonts w:ascii="Calibri" w:hAnsi="Calibri" w:cs="Arial"/>
                <w:sz w:val="20"/>
              </w:rPr>
              <w:t xml:space="preserve">the TFA on January 23, 2015. The U.S. considers full implementation of TFA transparency commitments by all WTO members, including the submission of all transparency notification </w:t>
            </w:r>
            <w:r w:rsidR="00E403B1">
              <w:rPr>
                <w:rFonts w:ascii="Calibri" w:hAnsi="Calibri" w:cs="Arial"/>
                <w:sz w:val="20"/>
              </w:rPr>
              <w:lastRenderedPageBreak/>
              <w:t>re</w:t>
            </w:r>
            <w:r w:rsidR="00CD7141">
              <w:rPr>
                <w:rFonts w:ascii="Calibri" w:hAnsi="Calibri" w:cs="Arial"/>
                <w:sz w:val="20"/>
              </w:rPr>
              <w:t xml:space="preserve">quirements, to be an essential element </w:t>
            </w:r>
            <w:r w:rsidR="00E403B1">
              <w:rPr>
                <w:rFonts w:ascii="Calibri" w:hAnsi="Calibri" w:cs="Arial"/>
                <w:sz w:val="20"/>
              </w:rPr>
              <w:t>for reducing the time and cost of trading for small business</w:t>
            </w:r>
            <w:r w:rsidR="00613CB8">
              <w:rPr>
                <w:rFonts w:ascii="Calibri" w:hAnsi="Calibri" w:cs="Arial"/>
                <w:sz w:val="20"/>
              </w:rPr>
              <w:t>es</w:t>
            </w:r>
            <w:r w:rsidR="00E403B1">
              <w:rPr>
                <w:rFonts w:ascii="Calibri" w:hAnsi="Calibri" w:cs="Arial"/>
                <w:sz w:val="20"/>
              </w:rPr>
              <w:t xml:space="preserve"> and new to export</w:t>
            </w:r>
            <w:r w:rsidR="00613CB8">
              <w:rPr>
                <w:rFonts w:ascii="Calibri" w:hAnsi="Calibri" w:cs="Arial"/>
                <w:sz w:val="20"/>
              </w:rPr>
              <w:t>ing</w:t>
            </w:r>
            <w:r w:rsidR="00E403B1">
              <w:rPr>
                <w:rFonts w:ascii="Calibri" w:hAnsi="Calibri" w:cs="Arial"/>
                <w:sz w:val="20"/>
              </w:rPr>
              <w:t xml:space="preserve"> companies.  </w:t>
            </w:r>
            <w:r>
              <w:rPr>
                <w:rFonts w:ascii="Calibri" w:hAnsi="Calibri" w:cs="Arial"/>
                <w:sz w:val="20"/>
              </w:rPr>
              <w:t xml:space="preserve">Under the TFA, countries </w:t>
            </w:r>
            <w:r w:rsidR="00E403B1">
              <w:rPr>
                <w:rFonts w:ascii="Calibri" w:hAnsi="Calibri" w:cs="Arial"/>
                <w:sz w:val="20"/>
              </w:rPr>
              <w:t>must publish</w:t>
            </w:r>
            <w:r w:rsidR="00761F25">
              <w:rPr>
                <w:rFonts w:ascii="Calibri" w:hAnsi="Calibri" w:cs="Arial"/>
                <w:sz w:val="20"/>
              </w:rPr>
              <w:t xml:space="preserve"> on the internet</w:t>
            </w:r>
            <w:r w:rsidR="00E403B1">
              <w:rPr>
                <w:rFonts w:ascii="Calibri" w:hAnsi="Calibri" w:cs="Arial"/>
                <w:sz w:val="20"/>
              </w:rPr>
              <w:t xml:space="preserve"> </w:t>
            </w:r>
            <w:r>
              <w:rPr>
                <w:rFonts w:ascii="Calibri" w:hAnsi="Calibri" w:cs="Arial"/>
                <w:sz w:val="20"/>
              </w:rPr>
              <w:t xml:space="preserve">all customs procedures, forms, </w:t>
            </w:r>
            <w:r w:rsidR="00761F25">
              <w:rPr>
                <w:rFonts w:ascii="Calibri" w:hAnsi="Calibri" w:cs="Arial"/>
                <w:sz w:val="20"/>
              </w:rPr>
              <w:t>requirements, and notify the WTO of the online location of that information.</w:t>
            </w:r>
            <w:r>
              <w:rPr>
                <w:rFonts w:ascii="Calibri" w:hAnsi="Calibri" w:cs="Arial"/>
                <w:sz w:val="20"/>
              </w:rPr>
              <w:t xml:space="preserve"> </w:t>
            </w:r>
            <w:r w:rsidR="00761F25">
              <w:rPr>
                <w:rFonts w:ascii="Calibri" w:hAnsi="Calibri" w:cs="Arial"/>
                <w:sz w:val="20"/>
              </w:rPr>
              <w:t>It is vital for business of all sizes to have equal access to accurate</w:t>
            </w:r>
            <w:r>
              <w:rPr>
                <w:rFonts w:ascii="Calibri" w:hAnsi="Calibri" w:cs="Arial"/>
                <w:sz w:val="20"/>
              </w:rPr>
              <w:t xml:space="preserve"> and </w:t>
            </w:r>
            <w:r w:rsidR="00761F25">
              <w:rPr>
                <w:rFonts w:ascii="Calibri" w:hAnsi="Calibri" w:cs="Arial"/>
                <w:sz w:val="20"/>
              </w:rPr>
              <w:t>easily accessible</w:t>
            </w:r>
            <w:r>
              <w:rPr>
                <w:rFonts w:ascii="Calibri" w:hAnsi="Calibri" w:cs="Arial"/>
                <w:sz w:val="20"/>
              </w:rPr>
              <w:t xml:space="preserve"> information </w:t>
            </w:r>
            <w:r w:rsidR="00761F25">
              <w:rPr>
                <w:rFonts w:ascii="Calibri" w:hAnsi="Calibri" w:cs="Arial"/>
                <w:sz w:val="20"/>
              </w:rPr>
              <w:t xml:space="preserve">to be </w:t>
            </w:r>
            <w:r>
              <w:rPr>
                <w:rFonts w:ascii="Calibri" w:hAnsi="Calibri" w:cs="Arial"/>
                <w:sz w:val="20"/>
              </w:rPr>
              <w:t>able to trade internationally.</w:t>
            </w:r>
            <w:r w:rsidR="0082156D">
              <w:rPr>
                <w:rFonts w:ascii="Calibri" w:hAnsi="Calibri" w:cs="Arial"/>
                <w:sz w:val="20"/>
              </w:rPr>
              <w:t xml:space="preserve">  The U.S. works bilaterally and regionally, through existing economic initiatives</w:t>
            </w:r>
            <w:r w:rsidR="00CD7141">
              <w:rPr>
                <w:rFonts w:ascii="Calibri" w:hAnsi="Calibri" w:cs="Arial"/>
                <w:sz w:val="20"/>
              </w:rPr>
              <w:t xml:space="preserve"> like APEC</w:t>
            </w:r>
            <w:r w:rsidR="0082156D">
              <w:rPr>
                <w:rFonts w:ascii="Calibri" w:hAnsi="Calibri" w:cs="Arial"/>
                <w:sz w:val="20"/>
              </w:rPr>
              <w:t>, to encourage all WTO Members to comply with TFA transparency notifications as soon as feasible.</w:t>
            </w:r>
          </w:p>
        </w:tc>
      </w:tr>
      <w:tr w:rsidR="0081130F" w:rsidRPr="00B72FF6" w14:paraId="19E1493A" w14:textId="77777777" w:rsidTr="00E92BBC">
        <w:tc>
          <w:tcPr>
            <w:tcW w:w="3524" w:type="dxa"/>
          </w:tcPr>
          <w:p w14:paraId="18206B38"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lastRenderedPageBreak/>
              <w:t xml:space="preserve">Website for further information:  </w:t>
            </w:r>
          </w:p>
        </w:tc>
        <w:tc>
          <w:tcPr>
            <w:tcW w:w="5387" w:type="dxa"/>
          </w:tcPr>
          <w:p w14:paraId="2EBE13F8" w14:textId="38B6EE0B" w:rsidR="0081130F" w:rsidRPr="00CE4250" w:rsidRDefault="00975B81" w:rsidP="00E92BBC">
            <w:pPr>
              <w:pStyle w:val="Heading9"/>
              <w:rPr>
                <w:rFonts w:ascii="Calibri" w:hAnsi="Calibri"/>
                <w:b w:val="0"/>
              </w:rPr>
            </w:pPr>
            <w:hyperlink r:id="rId16" w:history="1">
              <w:r w:rsidR="008757E8" w:rsidRPr="007047F1">
                <w:rPr>
                  <w:rStyle w:val="Hyperlink"/>
                  <w:rFonts w:ascii="Calibri" w:hAnsi="Calibri"/>
                </w:rPr>
                <w:t>https://www.tfadatabase.org/members/united-states-of-america</w:t>
              </w:r>
            </w:hyperlink>
          </w:p>
        </w:tc>
        <w:tc>
          <w:tcPr>
            <w:tcW w:w="5670" w:type="dxa"/>
          </w:tcPr>
          <w:p w14:paraId="4D10D5A7" w14:textId="77777777" w:rsidR="0081130F" w:rsidRPr="00BF37B1" w:rsidRDefault="0081130F" w:rsidP="00E92BBC">
            <w:pPr>
              <w:pStyle w:val="Heading9"/>
              <w:rPr>
                <w:rFonts w:ascii="Calibri" w:hAnsi="Calibri"/>
                <w:b w:val="0"/>
              </w:rPr>
            </w:pPr>
          </w:p>
        </w:tc>
      </w:tr>
      <w:tr w:rsidR="0081130F" w:rsidRPr="00B72FF6" w14:paraId="2E8CBED7" w14:textId="77777777" w:rsidTr="00E92BBC">
        <w:tc>
          <w:tcPr>
            <w:tcW w:w="3524" w:type="dxa"/>
          </w:tcPr>
          <w:p w14:paraId="72C2FC93"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Contact point for further details:</w:t>
            </w:r>
          </w:p>
        </w:tc>
        <w:tc>
          <w:tcPr>
            <w:tcW w:w="5387" w:type="dxa"/>
          </w:tcPr>
          <w:p w14:paraId="5CD6EBA5" w14:textId="77777777" w:rsidR="008757E8" w:rsidRPr="007047F1" w:rsidRDefault="008757E8" w:rsidP="00707409">
            <w:pPr>
              <w:pStyle w:val="Heading9"/>
              <w:rPr>
                <w:rFonts w:ascii="Calibri Light" w:hAnsi="Calibri Light"/>
                <w:b w:val="0"/>
                <w:i w:val="0"/>
              </w:rPr>
            </w:pPr>
            <w:r w:rsidRPr="007047F1">
              <w:rPr>
                <w:rFonts w:ascii="Calibri Light" w:hAnsi="Calibri Light"/>
                <w:b w:val="0"/>
                <w:i w:val="0"/>
              </w:rPr>
              <w:t>For information regarding the U.S. transparency notifications:</w:t>
            </w:r>
          </w:p>
          <w:p w14:paraId="3C1AF601" w14:textId="77777777" w:rsidR="008757E8" w:rsidRPr="00983458" w:rsidRDefault="008757E8" w:rsidP="008757E8">
            <w:pPr>
              <w:pStyle w:val="Default"/>
              <w:rPr>
                <w:rFonts w:ascii="Calibri Light" w:hAnsi="Calibri Light" w:cs="Times New Roman"/>
                <w:sz w:val="20"/>
                <w:szCs w:val="20"/>
              </w:rPr>
            </w:pPr>
            <w:r w:rsidRPr="00983458">
              <w:rPr>
                <w:rFonts w:ascii="Calibri Light" w:hAnsi="Calibri Light" w:cs="Times New Roman"/>
                <w:sz w:val="20"/>
                <w:szCs w:val="20"/>
              </w:rPr>
              <w:t>The U.S. National Trade Facilitation Committee</w:t>
            </w:r>
          </w:p>
          <w:p w14:paraId="715C4EC4" w14:textId="77777777" w:rsidR="008757E8" w:rsidRPr="00983458" w:rsidRDefault="008757E8" w:rsidP="008757E8">
            <w:pPr>
              <w:rPr>
                <w:rFonts w:ascii="Calibri Light" w:hAnsi="Calibri Light"/>
                <w:sz w:val="20"/>
              </w:rPr>
            </w:pPr>
            <w:r w:rsidRPr="00983458">
              <w:rPr>
                <w:rFonts w:ascii="Calibri Light" w:hAnsi="Calibri Light"/>
                <w:sz w:val="20"/>
              </w:rPr>
              <w:t xml:space="preserve">U.S. Trade Representative, 600 17th St., NW, Washington, DC 20508, </w:t>
            </w:r>
          </w:p>
          <w:p w14:paraId="7D469D33" w14:textId="77777777" w:rsidR="00707409" w:rsidRPr="007047F1" w:rsidRDefault="00975B81" w:rsidP="00707409">
            <w:pPr>
              <w:pStyle w:val="Heading9"/>
              <w:rPr>
                <w:rFonts w:ascii="Calibri Light" w:hAnsi="Calibri Light"/>
                <w:b w:val="0"/>
                <w:i w:val="0"/>
              </w:rPr>
            </w:pPr>
            <w:hyperlink r:id="rId17" w:history="1">
              <w:r w:rsidR="008757E8" w:rsidRPr="007047F1">
                <w:rPr>
                  <w:rStyle w:val="Hyperlink"/>
                  <w:rFonts w:ascii="Calibri Light" w:hAnsi="Calibri Light"/>
                </w:rPr>
                <w:t>TFA@ustr.eop.gov</w:t>
              </w:r>
            </w:hyperlink>
          </w:p>
          <w:p w14:paraId="1909B23A" w14:textId="77777777" w:rsidR="008757E8" w:rsidRPr="007047F1" w:rsidRDefault="008757E8" w:rsidP="007047F1">
            <w:pPr>
              <w:rPr>
                <w:rFonts w:ascii="Calibri Light" w:hAnsi="Calibri Light"/>
                <w:sz w:val="20"/>
              </w:rPr>
            </w:pPr>
          </w:p>
          <w:p w14:paraId="240728EC" w14:textId="77777777" w:rsidR="008757E8" w:rsidRPr="007047F1" w:rsidRDefault="008757E8" w:rsidP="007047F1">
            <w:pPr>
              <w:rPr>
                <w:rFonts w:ascii="Calibri Light" w:hAnsi="Calibri Light"/>
                <w:sz w:val="20"/>
              </w:rPr>
            </w:pPr>
            <w:r w:rsidRPr="007047F1">
              <w:rPr>
                <w:rFonts w:ascii="Calibri Light" w:hAnsi="Calibri Light"/>
                <w:sz w:val="20"/>
              </w:rPr>
              <w:t>For information regarding technical assistance and capacity ybuilding support:</w:t>
            </w:r>
          </w:p>
          <w:p w14:paraId="41B9B502" w14:textId="77777777" w:rsidR="008757E8" w:rsidRPr="007047F1" w:rsidRDefault="008757E8" w:rsidP="008757E8">
            <w:pPr>
              <w:rPr>
                <w:rFonts w:ascii="Calibri Light" w:hAnsi="Calibri Light"/>
                <w:sz w:val="20"/>
              </w:rPr>
            </w:pPr>
            <w:r w:rsidRPr="008450C4">
              <w:rPr>
                <w:rFonts w:ascii="Calibri Light" w:hAnsi="Calibri Light"/>
                <w:sz w:val="20"/>
              </w:rPr>
              <w:t>Ms. Virginia Brown</w:t>
            </w:r>
          </w:p>
          <w:p w14:paraId="0C61EE50" w14:textId="77777777" w:rsidR="008757E8" w:rsidRPr="007047F1" w:rsidRDefault="008757E8" w:rsidP="008757E8">
            <w:pPr>
              <w:rPr>
                <w:rFonts w:ascii="Calibri Light" w:hAnsi="Calibri Light"/>
                <w:sz w:val="20"/>
              </w:rPr>
            </w:pPr>
            <w:r w:rsidRPr="007047F1">
              <w:rPr>
                <w:rFonts w:ascii="Calibri Light" w:hAnsi="Calibri Light"/>
                <w:sz w:val="20"/>
              </w:rPr>
              <w:t>United States Agency for International Development</w:t>
            </w:r>
          </w:p>
          <w:p w14:paraId="24002BB6" w14:textId="77777777" w:rsidR="008757E8" w:rsidRPr="007047F1" w:rsidRDefault="008757E8" w:rsidP="008757E8">
            <w:pPr>
              <w:rPr>
                <w:rFonts w:ascii="Calibri Light" w:hAnsi="Calibri Light"/>
                <w:sz w:val="20"/>
              </w:rPr>
            </w:pPr>
            <w:r w:rsidRPr="007047F1">
              <w:rPr>
                <w:rFonts w:ascii="Calibri Light" w:hAnsi="Calibri Light"/>
                <w:sz w:val="20"/>
              </w:rPr>
              <w:t>Director, Office of Trade and Regulatory Reform</w:t>
            </w:r>
          </w:p>
          <w:p w14:paraId="3599A4E2" w14:textId="77777777" w:rsidR="008757E8" w:rsidRPr="007047F1" w:rsidRDefault="008757E8" w:rsidP="008757E8">
            <w:pPr>
              <w:rPr>
                <w:rFonts w:ascii="Calibri Light" w:hAnsi="Calibri Light"/>
                <w:sz w:val="20"/>
              </w:rPr>
            </w:pPr>
            <w:r w:rsidRPr="007047F1">
              <w:rPr>
                <w:rFonts w:ascii="Calibri Light" w:hAnsi="Calibri Light"/>
                <w:sz w:val="20"/>
              </w:rPr>
              <w:t>Bureau of Economic Growth, Education and Environment</w:t>
            </w:r>
          </w:p>
          <w:p w14:paraId="62573BAE" w14:textId="77777777" w:rsidR="008757E8" w:rsidRPr="007047F1" w:rsidRDefault="008757E8" w:rsidP="008757E8">
            <w:pPr>
              <w:rPr>
                <w:rFonts w:ascii="Calibri Light" w:hAnsi="Calibri Light"/>
                <w:sz w:val="20"/>
              </w:rPr>
            </w:pPr>
            <w:r w:rsidRPr="007047F1">
              <w:rPr>
                <w:rFonts w:ascii="Calibri Light" w:hAnsi="Calibri Light"/>
                <w:sz w:val="20"/>
              </w:rPr>
              <w:t>E-Mail: ptf@usaid.gov</w:t>
            </w:r>
          </w:p>
          <w:p w14:paraId="47996A49" w14:textId="77777777" w:rsidR="008757E8" w:rsidRPr="007047F1" w:rsidRDefault="008757E8" w:rsidP="008757E8">
            <w:pPr>
              <w:rPr>
                <w:rFonts w:ascii="Calibri Light" w:hAnsi="Calibri Light"/>
                <w:sz w:val="20"/>
              </w:rPr>
            </w:pPr>
          </w:p>
          <w:p w14:paraId="3D6090AF" w14:textId="638F57D2" w:rsidR="0081130F" w:rsidRPr="00CE4250" w:rsidRDefault="008757E8" w:rsidP="00CE4250">
            <w:pPr>
              <w:rPr>
                <w:rFonts w:ascii="Calibri" w:hAnsi="Calibri"/>
              </w:rPr>
            </w:pPr>
            <w:r w:rsidRPr="007047F1">
              <w:rPr>
                <w:rFonts w:ascii="Calibri Light" w:hAnsi="Calibri Light"/>
                <w:sz w:val="20"/>
              </w:rPr>
              <w:t>https://www.usaid.gov/where-we-work.</w:t>
            </w:r>
          </w:p>
        </w:tc>
        <w:tc>
          <w:tcPr>
            <w:tcW w:w="5670" w:type="dxa"/>
          </w:tcPr>
          <w:p w14:paraId="3C9B5806" w14:textId="77777777" w:rsidR="0081130F" w:rsidRPr="00BF37B1" w:rsidRDefault="0081130F" w:rsidP="00E92BBC">
            <w:pPr>
              <w:pStyle w:val="Heading9"/>
              <w:rPr>
                <w:rFonts w:ascii="Calibri" w:hAnsi="Calibri"/>
                <w:b w:val="0"/>
              </w:rPr>
            </w:pPr>
          </w:p>
        </w:tc>
      </w:tr>
    </w:tbl>
    <w:p w14:paraId="6881FDB8" w14:textId="77777777" w:rsidR="0081130F" w:rsidRDefault="0081130F"/>
    <w:p w14:paraId="5DEF5DD9" w14:textId="77777777"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81130F" w:rsidRPr="000A33A0" w14:paraId="640E5ECA" w14:textId="77777777" w:rsidTr="00E92BBC">
        <w:trPr>
          <w:cantSplit/>
        </w:trPr>
        <w:tc>
          <w:tcPr>
            <w:tcW w:w="14581" w:type="dxa"/>
            <w:gridSpan w:val="4"/>
            <w:shd w:val="clear" w:color="auto" w:fill="DBE5F1"/>
          </w:tcPr>
          <w:p w14:paraId="42F03E26" w14:textId="77777777" w:rsidR="0081130F" w:rsidRPr="000A33A0" w:rsidRDefault="0081130F" w:rsidP="00E92BBC">
            <w:pPr>
              <w:rPr>
                <w:rFonts w:ascii="Calibri" w:hAnsi="Calibri"/>
                <w:b/>
                <w:sz w:val="20"/>
              </w:rPr>
            </w:pPr>
          </w:p>
          <w:p w14:paraId="158D1C5D" w14:textId="77777777" w:rsidR="0081130F" w:rsidRPr="000A33A0" w:rsidRDefault="0081130F" w:rsidP="00E92BBC">
            <w:pPr>
              <w:rPr>
                <w:rFonts w:ascii="Calibri" w:hAnsi="Calibri"/>
                <w:b/>
                <w:sz w:val="20"/>
                <w:vertAlign w:val="superscript"/>
                <w:lang w:eastAsia="zh-TW"/>
              </w:rPr>
            </w:pPr>
            <w:r w:rsidRPr="000A33A0">
              <w:rPr>
                <w:rFonts w:ascii="Calibri" w:hAnsi="Calibri"/>
                <w:b/>
                <w:sz w:val="20"/>
              </w:rPr>
              <w:t xml:space="preserve">RTAs/FTAs </w:t>
            </w:r>
            <w:r w:rsidRPr="000A33A0">
              <w:rPr>
                <w:rFonts w:ascii="Calibri" w:hAnsi="Calibri"/>
                <w:b/>
                <w:sz w:val="20"/>
                <w:vertAlign w:val="superscript"/>
                <w:lang w:eastAsia="zh-TW"/>
              </w:rPr>
              <w:t xml:space="preserve"> </w:t>
            </w:r>
          </w:p>
          <w:p w14:paraId="6185C61E" w14:textId="77777777" w:rsidR="0081130F" w:rsidRPr="000A33A0" w:rsidRDefault="0081130F" w:rsidP="00E92BBC">
            <w:pPr>
              <w:rPr>
                <w:rFonts w:ascii="Calibri" w:hAnsi="Calibri"/>
                <w:sz w:val="20"/>
                <w:lang w:val="en-US"/>
              </w:rPr>
            </w:pPr>
          </w:p>
        </w:tc>
      </w:tr>
      <w:tr w:rsidR="0081130F" w:rsidRPr="00BF37B1" w14:paraId="3E2FD661" w14:textId="77777777" w:rsidTr="00E92BBC">
        <w:trPr>
          <w:gridAfter w:val="1"/>
          <w:wAfter w:w="17" w:type="dxa"/>
          <w:cantSplit/>
        </w:trPr>
        <w:tc>
          <w:tcPr>
            <w:tcW w:w="3524" w:type="dxa"/>
            <w:gridSpan w:val="2"/>
          </w:tcPr>
          <w:p w14:paraId="165748D2" w14:textId="77777777" w:rsidR="0081130F" w:rsidRPr="00BF37B1" w:rsidRDefault="0081130F" w:rsidP="00E92BBC">
            <w:pPr>
              <w:spacing w:before="120" w:after="120"/>
              <w:rPr>
                <w:rFonts w:ascii="Calibri" w:hAnsi="Calibri"/>
                <w:b/>
                <w:i/>
                <w:sz w:val="20"/>
              </w:rPr>
            </w:pPr>
            <w:r w:rsidRPr="00BF37B1">
              <w:rPr>
                <w:rFonts w:ascii="Calibri" w:hAnsi="Calibri"/>
                <w:b/>
                <w:i/>
                <w:sz w:val="20"/>
              </w:rPr>
              <w:lastRenderedPageBreak/>
              <w:t xml:space="preserve">- </w:t>
            </w:r>
            <w:bookmarkStart w:id="46" w:name="Row17"/>
            <w:r w:rsidRPr="00BF37B1">
              <w:rPr>
                <w:rFonts w:ascii="Calibri" w:hAnsi="Calibri"/>
                <w:b/>
                <w:i/>
                <w:sz w:val="20"/>
              </w:rPr>
              <w:t>Description of current   agreements</w:t>
            </w:r>
            <w:bookmarkEnd w:id="46"/>
          </w:p>
        </w:tc>
        <w:tc>
          <w:tcPr>
            <w:tcW w:w="11040" w:type="dxa"/>
          </w:tcPr>
          <w:p w14:paraId="2D91672C" w14:textId="77777777" w:rsidR="0081130F" w:rsidRPr="00BF37B1" w:rsidRDefault="0081130F" w:rsidP="00E92BBC">
            <w:pPr>
              <w:spacing w:before="120" w:after="120"/>
              <w:rPr>
                <w:rFonts w:ascii="Calibri" w:hAnsi="Calibri"/>
                <w:i/>
                <w:sz w:val="20"/>
              </w:rPr>
            </w:pPr>
            <w:bookmarkStart w:id="47" w:name="Cell33"/>
            <w:bookmarkEnd w:id="47"/>
            <w:r w:rsidRPr="00BF37B1">
              <w:rPr>
                <w:rFonts w:ascii="Calibri" w:hAnsi="Calibri"/>
                <w:i/>
                <w:sz w:val="20"/>
              </w:rPr>
              <w:t xml:space="preserve">Please use Part 1 of the RTA/FTA reporting template to provide a short description or hyperlinks to any new agreements and to report improvements to existing agreements.  </w:t>
            </w:r>
          </w:p>
        </w:tc>
      </w:tr>
      <w:tr w:rsidR="0081130F" w:rsidRPr="00BF37B1" w14:paraId="3918223A" w14:textId="77777777" w:rsidTr="00E92BBC">
        <w:trPr>
          <w:gridAfter w:val="1"/>
          <w:wAfter w:w="17" w:type="dxa"/>
          <w:cantSplit/>
        </w:trPr>
        <w:tc>
          <w:tcPr>
            <w:tcW w:w="3524" w:type="dxa"/>
            <w:gridSpan w:val="2"/>
          </w:tcPr>
          <w:p w14:paraId="4C402772" w14:textId="77777777" w:rsidR="0081130F" w:rsidRPr="00BF37B1" w:rsidRDefault="0081130F" w:rsidP="00E92BBC">
            <w:pPr>
              <w:spacing w:before="120" w:after="120"/>
              <w:rPr>
                <w:rFonts w:ascii="Calibri" w:hAnsi="Calibri"/>
                <w:b/>
                <w:i/>
                <w:sz w:val="20"/>
              </w:rPr>
            </w:pPr>
            <w:r w:rsidRPr="00BF37B1">
              <w:rPr>
                <w:rFonts w:ascii="Calibri" w:hAnsi="Calibri"/>
                <w:b/>
                <w:i/>
                <w:sz w:val="20"/>
              </w:rPr>
              <w:t>- Agreements under negotiation</w:t>
            </w:r>
          </w:p>
          <w:p w14:paraId="543622F2" w14:textId="77777777" w:rsidR="0081130F" w:rsidRPr="00BF37B1" w:rsidRDefault="0081130F" w:rsidP="00E92BBC">
            <w:pPr>
              <w:spacing w:before="120" w:after="120"/>
              <w:rPr>
                <w:rFonts w:ascii="Calibri" w:hAnsi="Calibri"/>
                <w:b/>
                <w:i/>
                <w:sz w:val="20"/>
              </w:rPr>
            </w:pPr>
          </w:p>
        </w:tc>
        <w:tc>
          <w:tcPr>
            <w:tcW w:w="11040" w:type="dxa"/>
          </w:tcPr>
          <w:p w14:paraId="3BE77249" w14:textId="77777777" w:rsidR="0081130F" w:rsidRPr="00BF37B1" w:rsidRDefault="0081130F" w:rsidP="00E92BBC">
            <w:pPr>
              <w:spacing w:before="120" w:after="120"/>
              <w:rPr>
                <w:rFonts w:ascii="Calibri" w:hAnsi="Calibri"/>
                <w:i/>
                <w:sz w:val="20"/>
              </w:rPr>
            </w:pPr>
            <w:r w:rsidRPr="00BF37B1">
              <w:rPr>
                <w:rFonts w:ascii="Calibri" w:hAnsi="Calibri"/>
                <w:i/>
                <w:sz w:val="20"/>
              </w:rPr>
              <w:t xml:space="preserve">Please provide information on agreements that are currently under negotiation eg issues being covered in the negotiation and the status of the negotiation. </w:t>
            </w:r>
          </w:p>
        </w:tc>
      </w:tr>
      <w:tr w:rsidR="0081130F" w:rsidRPr="00BF37B1" w14:paraId="7CE43CED" w14:textId="77777777" w:rsidTr="00E92BBC">
        <w:trPr>
          <w:gridAfter w:val="1"/>
          <w:wAfter w:w="17" w:type="dxa"/>
          <w:cantSplit/>
        </w:trPr>
        <w:tc>
          <w:tcPr>
            <w:tcW w:w="764" w:type="dxa"/>
            <w:vMerge w:val="restart"/>
          </w:tcPr>
          <w:p w14:paraId="6DE5DE63" w14:textId="77777777" w:rsidR="0081130F" w:rsidRPr="00BF37B1" w:rsidRDefault="0081130F" w:rsidP="00E92BBC">
            <w:pPr>
              <w:rPr>
                <w:rFonts w:ascii="Calibri" w:hAnsi="Calibri"/>
                <w:b/>
                <w:i/>
                <w:sz w:val="20"/>
              </w:rPr>
            </w:pPr>
          </w:p>
        </w:tc>
        <w:tc>
          <w:tcPr>
            <w:tcW w:w="2760" w:type="dxa"/>
          </w:tcPr>
          <w:p w14:paraId="26917B92" w14:textId="77777777" w:rsidR="0081130F" w:rsidRPr="00BF37B1" w:rsidRDefault="0081130F" w:rsidP="00E92BBC">
            <w:pPr>
              <w:rPr>
                <w:rFonts w:ascii="Calibri" w:hAnsi="Calibri"/>
                <w:b/>
                <w:i/>
                <w:sz w:val="20"/>
              </w:rPr>
            </w:pPr>
            <w:bookmarkStart w:id="48" w:name="Agreement01"/>
          </w:p>
          <w:p w14:paraId="363E5067" w14:textId="77777777" w:rsidR="0081130F" w:rsidRPr="00BF37B1" w:rsidRDefault="0081130F" w:rsidP="00E92BBC">
            <w:pPr>
              <w:rPr>
                <w:rFonts w:ascii="Calibri" w:hAnsi="Calibri"/>
                <w:b/>
                <w:i/>
                <w:sz w:val="20"/>
              </w:rPr>
            </w:pPr>
            <w:r w:rsidRPr="00BF37B1">
              <w:rPr>
                <w:rFonts w:ascii="Calibri" w:hAnsi="Calibri"/>
                <w:b/>
                <w:i/>
                <w:sz w:val="20"/>
              </w:rPr>
              <w:t>Agreement #1</w:t>
            </w:r>
            <w:bookmarkEnd w:id="48"/>
          </w:p>
          <w:p w14:paraId="0F9F5A62" w14:textId="77777777" w:rsidR="0081130F" w:rsidRPr="00BF37B1" w:rsidRDefault="0081130F" w:rsidP="00E92BBC">
            <w:pPr>
              <w:rPr>
                <w:rFonts w:ascii="Calibri" w:hAnsi="Calibri"/>
                <w:b/>
                <w:i/>
                <w:sz w:val="20"/>
              </w:rPr>
            </w:pPr>
          </w:p>
        </w:tc>
        <w:tc>
          <w:tcPr>
            <w:tcW w:w="11040" w:type="dxa"/>
          </w:tcPr>
          <w:p w14:paraId="6F5B28B5" w14:textId="77777777" w:rsidR="0081130F" w:rsidRPr="00CE4250" w:rsidRDefault="0081130F" w:rsidP="00E92BBC">
            <w:pPr>
              <w:rPr>
                <w:rFonts w:asciiTheme="minorHAnsi" w:hAnsiTheme="minorHAnsi" w:cstheme="minorHAnsi"/>
                <w:sz w:val="20"/>
              </w:rPr>
            </w:pPr>
            <w:bookmarkStart w:id="49" w:name="A01"/>
            <w:bookmarkEnd w:id="49"/>
          </w:p>
          <w:p w14:paraId="21F559EB" w14:textId="5E6862C9" w:rsidR="00CE4250" w:rsidRPr="00CE4250" w:rsidRDefault="00241F80" w:rsidP="00CE4250">
            <w:pPr>
              <w:pStyle w:val="NormalWeb"/>
              <w:shd w:val="clear" w:color="auto" w:fill="FFFFFF"/>
              <w:rPr>
                <w:rFonts w:asciiTheme="minorHAnsi" w:hAnsiTheme="minorHAnsi" w:cstheme="minorHAnsi"/>
                <w:color w:val="222222"/>
                <w:sz w:val="20"/>
                <w:szCs w:val="20"/>
              </w:rPr>
            </w:pPr>
            <w:r w:rsidRPr="00CE4250">
              <w:rPr>
                <w:rFonts w:asciiTheme="minorHAnsi" w:hAnsiTheme="minorHAnsi" w:cstheme="minorHAnsi"/>
                <w:sz w:val="20"/>
                <w:szCs w:val="20"/>
              </w:rPr>
              <w:t>The United States-Korea Free Trade Agreement (KORUS FTA, or Agreement) entered into force on March 15, 2012.  As of January 1, 2018, six rounds of tariff cuts have taken place under KORUS.  In July 2017, the United States  called for a special session of the Joint Committee under KORUS to initiate bilateral negotiations.   Following the completion of Korea’s domestic procedures, negotiations on amendments and modifications to improve the Agreement were announced at the end of December 2017.</w:t>
            </w:r>
            <w:r w:rsidR="005F5284" w:rsidRPr="00CE4250">
              <w:rPr>
                <w:rFonts w:asciiTheme="minorHAnsi" w:hAnsiTheme="minorHAnsi" w:cstheme="minorHAnsi"/>
                <w:sz w:val="20"/>
                <w:szCs w:val="20"/>
              </w:rPr>
              <w:t xml:space="preserve">  </w:t>
            </w:r>
            <w:r w:rsidR="00CE4250" w:rsidRPr="00CE4250">
              <w:rPr>
                <w:rFonts w:asciiTheme="minorHAnsi" w:hAnsiTheme="minorHAnsi" w:cstheme="minorHAnsi"/>
                <w:color w:val="222222"/>
                <w:sz w:val="20"/>
                <w:szCs w:val="20"/>
              </w:rPr>
              <w:t xml:space="preserve"> In March 2018, the United States and Korea reached an agreement in principle on the general terms of amendments and modifications </w:t>
            </w:r>
            <w:r w:rsidR="00E52111">
              <w:rPr>
                <w:rFonts w:asciiTheme="minorHAnsi" w:hAnsiTheme="minorHAnsi" w:cstheme="minorHAnsi"/>
                <w:color w:val="222222"/>
                <w:sz w:val="20"/>
                <w:szCs w:val="20"/>
              </w:rPr>
              <w:t xml:space="preserve">to </w:t>
            </w:r>
            <w:r w:rsidR="00CE4250" w:rsidRPr="00CE4250">
              <w:rPr>
                <w:rFonts w:asciiTheme="minorHAnsi" w:hAnsiTheme="minorHAnsi" w:cstheme="minorHAnsi"/>
                <w:color w:val="222222"/>
                <w:sz w:val="20"/>
                <w:szCs w:val="20"/>
              </w:rPr>
              <w:t xml:space="preserve">KORUS.  </w:t>
            </w:r>
          </w:p>
          <w:p w14:paraId="1735900F" w14:textId="7E43EB9F" w:rsidR="0081130F" w:rsidRPr="00CE4250" w:rsidRDefault="0081130F" w:rsidP="00E92BBC">
            <w:pPr>
              <w:rPr>
                <w:rFonts w:asciiTheme="minorHAnsi" w:hAnsiTheme="minorHAnsi" w:cstheme="minorHAnsi"/>
                <w:sz w:val="20"/>
              </w:rPr>
            </w:pPr>
          </w:p>
        </w:tc>
      </w:tr>
      <w:tr w:rsidR="0081130F" w:rsidRPr="00BF37B1" w14:paraId="10B749D1" w14:textId="77777777" w:rsidTr="00E92BBC">
        <w:trPr>
          <w:gridAfter w:val="1"/>
          <w:wAfter w:w="17" w:type="dxa"/>
          <w:cantSplit/>
        </w:trPr>
        <w:tc>
          <w:tcPr>
            <w:tcW w:w="764" w:type="dxa"/>
            <w:vMerge/>
          </w:tcPr>
          <w:p w14:paraId="5B025A1D" w14:textId="77777777" w:rsidR="0081130F" w:rsidRPr="00BF37B1" w:rsidRDefault="0081130F" w:rsidP="00E92BBC">
            <w:pPr>
              <w:rPr>
                <w:rFonts w:ascii="Calibri" w:hAnsi="Calibri"/>
                <w:b/>
                <w:i/>
                <w:sz w:val="20"/>
              </w:rPr>
            </w:pPr>
          </w:p>
        </w:tc>
        <w:tc>
          <w:tcPr>
            <w:tcW w:w="2760" w:type="dxa"/>
          </w:tcPr>
          <w:p w14:paraId="0447FADB" w14:textId="77777777" w:rsidR="0081130F" w:rsidRPr="00BF37B1" w:rsidRDefault="0081130F" w:rsidP="00E92BBC">
            <w:pPr>
              <w:rPr>
                <w:rFonts w:ascii="Calibri" w:hAnsi="Calibri"/>
                <w:b/>
                <w:i/>
                <w:sz w:val="20"/>
              </w:rPr>
            </w:pPr>
            <w:bookmarkStart w:id="50" w:name="Agreement02"/>
          </w:p>
          <w:p w14:paraId="586F61BF" w14:textId="77777777" w:rsidR="0081130F" w:rsidRPr="00BF37B1" w:rsidRDefault="0081130F" w:rsidP="00E92BBC">
            <w:pPr>
              <w:rPr>
                <w:rFonts w:ascii="Calibri" w:hAnsi="Calibri"/>
                <w:b/>
                <w:i/>
                <w:sz w:val="20"/>
              </w:rPr>
            </w:pPr>
            <w:r w:rsidRPr="00BF37B1">
              <w:rPr>
                <w:rFonts w:ascii="Calibri" w:hAnsi="Calibri"/>
                <w:b/>
                <w:i/>
                <w:sz w:val="20"/>
              </w:rPr>
              <w:t>Agreement #2</w:t>
            </w:r>
            <w:bookmarkEnd w:id="50"/>
          </w:p>
          <w:p w14:paraId="4405D373" w14:textId="77777777" w:rsidR="0081130F" w:rsidRPr="00BF37B1" w:rsidRDefault="0081130F" w:rsidP="00E92BBC">
            <w:pPr>
              <w:rPr>
                <w:rFonts w:ascii="Calibri" w:hAnsi="Calibri"/>
                <w:b/>
                <w:i/>
                <w:sz w:val="20"/>
              </w:rPr>
            </w:pPr>
          </w:p>
        </w:tc>
        <w:tc>
          <w:tcPr>
            <w:tcW w:w="11040" w:type="dxa"/>
          </w:tcPr>
          <w:p w14:paraId="2E8DAE4E" w14:textId="77777777" w:rsidR="0081130F" w:rsidRPr="00CE4250" w:rsidRDefault="0081130F" w:rsidP="00E92BBC">
            <w:pPr>
              <w:rPr>
                <w:rFonts w:asciiTheme="minorHAnsi" w:hAnsiTheme="minorHAnsi" w:cstheme="minorHAnsi"/>
                <w:sz w:val="20"/>
              </w:rPr>
            </w:pPr>
            <w:bookmarkStart w:id="51" w:name="A02"/>
            <w:bookmarkEnd w:id="51"/>
          </w:p>
          <w:p w14:paraId="0C64C3C6" w14:textId="1A78607D" w:rsidR="0081130F" w:rsidRPr="00CE4250" w:rsidRDefault="00BC7DB1" w:rsidP="00E119B7">
            <w:pPr>
              <w:rPr>
                <w:rFonts w:asciiTheme="minorHAnsi" w:hAnsiTheme="minorHAnsi" w:cstheme="minorHAnsi"/>
                <w:sz w:val="20"/>
              </w:rPr>
            </w:pPr>
            <w:r w:rsidRPr="00CE4250">
              <w:rPr>
                <w:rFonts w:asciiTheme="minorHAnsi" w:hAnsiTheme="minorHAnsi" w:cstheme="minorHAnsi"/>
                <w:sz w:val="20"/>
              </w:rPr>
              <w:t xml:space="preserve">The North America Free Trade Agreement (NAFTA) went into force on January 1, 1994.   In May 2017 </w:t>
            </w:r>
            <w:r>
              <w:rPr>
                <w:rFonts w:asciiTheme="minorHAnsi" w:hAnsiTheme="minorHAnsi" w:cstheme="minorHAnsi"/>
                <w:sz w:val="20"/>
              </w:rPr>
              <w:t>USTR</w:t>
            </w:r>
            <w:r w:rsidRPr="00CE4250">
              <w:rPr>
                <w:rFonts w:asciiTheme="minorHAnsi" w:hAnsiTheme="minorHAnsi" w:cstheme="minorHAnsi"/>
                <w:sz w:val="20"/>
              </w:rPr>
              <w:t xml:space="preserve"> provided Congress with the 90-day notice required under Trade Promotion Authority to launch renegotiations. On August 16, 2017 – the 91st day after Congressional notification – those renegotiations began</w:t>
            </w:r>
            <w:r>
              <w:rPr>
                <w:rFonts w:asciiTheme="minorHAnsi" w:hAnsiTheme="minorHAnsi" w:cstheme="minorHAnsi"/>
                <w:sz w:val="20"/>
              </w:rPr>
              <w:t xml:space="preserve"> and</w:t>
            </w:r>
            <w:r w:rsidRPr="00CE4250">
              <w:rPr>
                <w:rFonts w:asciiTheme="minorHAnsi" w:hAnsiTheme="minorHAnsi" w:cstheme="minorHAnsi"/>
                <w:sz w:val="20"/>
              </w:rPr>
              <w:t>are currently ongoing.  In the renegotiations, the United States has two primary goals.  First, it wants to update NAFTA with modern provisions representing a high standard agreement for the 21st century – including strong provisions on digital trade, intellectual property, good regulatory practices, and treatment of state-owned enterprises.  Second, the Untied States seeks to rebalance NAFTA</w:t>
            </w:r>
            <w:r>
              <w:rPr>
                <w:rFonts w:asciiTheme="minorHAnsi" w:hAnsiTheme="minorHAnsi" w:cstheme="minorHAnsi"/>
                <w:sz w:val="20"/>
              </w:rPr>
              <w:t xml:space="preserve"> to incentivize production in the United States and North America.</w:t>
            </w:r>
          </w:p>
        </w:tc>
      </w:tr>
      <w:tr w:rsidR="0081130F" w:rsidRPr="00BF37B1" w14:paraId="0FA08EE5" w14:textId="77777777" w:rsidTr="00E92BBC">
        <w:trPr>
          <w:gridAfter w:val="1"/>
          <w:wAfter w:w="17" w:type="dxa"/>
          <w:cantSplit/>
        </w:trPr>
        <w:tc>
          <w:tcPr>
            <w:tcW w:w="764" w:type="dxa"/>
            <w:vMerge/>
          </w:tcPr>
          <w:p w14:paraId="629783F5" w14:textId="77777777" w:rsidR="0081130F" w:rsidRPr="00BF37B1" w:rsidRDefault="0081130F" w:rsidP="00E92BBC">
            <w:pPr>
              <w:rPr>
                <w:rFonts w:ascii="Calibri" w:hAnsi="Calibri"/>
                <w:b/>
                <w:i/>
                <w:sz w:val="20"/>
              </w:rPr>
            </w:pPr>
          </w:p>
        </w:tc>
        <w:tc>
          <w:tcPr>
            <w:tcW w:w="2760" w:type="dxa"/>
          </w:tcPr>
          <w:p w14:paraId="69AE2E36" w14:textId="77777777" w:rsidR="0081130F" w:rsidRPr="00BF37B1" w:rsidRDefault="0081130F" w:rsidP="00E92BBC">
            <w:pPr>
              <w:rPr>
                <w:rFonts w:ascii="Calibri" w:hAnsi="Calibri"/>
                <w:b/>
                <w:i/>
                <w:sz w:val="20"/>
              </w:rPr>
            </w:pPr>
            <w:bookmarkStart w:id="52" w:name="Agreement03"/>
          </w:p>
          <w:p w14:paraId="5A2FB026" w14:textId="77777777" w:rsidR="0081130F" w:rsidRPr="00BF37B1" w:rsidRDefault="0081130F" w:rsidP="00E92BBC">
            <w:pPr>
              <w:rPr>
                <w:rFonts w:ascii="Calibri" w:hAnsi="Calibri"/>
                <w:b/>
                <w:i/>
                <w:sz w:val="20"/>
              </w:rPr>
            </w:pPr>
            <w:r w:rsidRPr="00BF37B1">
              <w:rPr>
                <w:rFonts w:ascii="Calibri" w:hAnsi="Calibri"/>
                <w:b/>
                <w:i/>
                <w:sz w:val="20"/>
              </w:rPr>
              <w:t>Agreement #3</w:t>
            </w:r>
            <w:bookmarkEnd w:id="52"/>
          </w:p>
          <w:p w14:paraId="7285762C" w14:textId="77777777" w:rsidR="0081130F" w:rsidRPr="00BF37B1" w:rsidRDefault="0081130F" w:rsidP="00E92BBC">
            <w:pPr>
              <w:rPr>
                <w:rFonts w:ascii="Calibri" w:hAnsi="Calibri"/>
                <w:b/>
                <w:i/>
                <w:sz w:val="20"/>
              </w:rPr>
            </w:pPr>
          </w:p>
        </w:tc>
        <w:tc>
          <w:tcPr>
            <w:tcW w:w="11040" w:type="dxa"/>
          </w:tcPr>
          <w:p w14:paraId="0513640F" w14:textId="77777777" w:rsidR="0081130F" w:rsidRPr="00BF37B1" w:rsidRDefault="0081130F" w:rsidP="00E92BBC">
            <w:pPr>
              <w:rPr>
                <w:rFonts w:ascii="Calibri" w:hAnsi="Calibri"/>
                <w:sz w:val="20"/>
              </w:rPr>
            </w:pPr>
            <w:bookmarkStart w:id="53" w:name="A03"/>
            <w:bookmarkEnd w:id="53"/>
          </w:p>
          <w:p w14:paraId="53F2407B" w14:textId="77777777" w:rsidR="0081130F" w:rsidRPr="00BF37B1" w:rsidRDefault="0081130F" w:rsidP="00E92BBC">
            <w:pPr>
              <w:rPr>
                <w:rFonts w:ascii="Calibri" w:hAnsi="Calibri"/>
                <w:sz w:val="20"/>
              </w:rPr>
            </w:pPr>
          </w:p>
        </w:tc>
      </w:tr>
      <w:tr w:rsidR="0081130F" w:rsidRPr="00BF37B1" w14:paraId="517124DC" w14:textId="77777777" w:rsidTr="00E92BBC">
        <w:trPr>
          <w:gridAfter w:val="1"/>
          <w:wAfter w:w="17" w:type="dxa"/>
          <w:cantSplit/>
        </w:trPr>
        <w:tc>
          <w:tcPr>
            <w:tcW w:w="764" w:type="dxa"/>
            <w:vMerge/>
          </w:tcPr>
          <w:p w14:paraId="1D96A35C" w14:textId="77777777" w:rsidR="0081130F" w:rsidRPr="00BF37B1" w:rsidRDefault="0081130F" w:rsidP="00E92BBC">
            <w:pPr>
              <w:rPr>
                <w:rFonts w:ascii="Calibri" w:hAnsi="Calibri"/>
                <w:b/>
                <w:i/>
                <w:sz w:val="20"/>
              </w:rPr>
            </w:pPr>
          </w:p>
        </w:tc>
        <w:tc>
          <w:tcPr>
            <w:tcW w:w="2760" w:type="dxa"/>
          </w:tcPr>
          <w:p w14:paraId="3705D4CB" w14:textId="77777777" w:rsidR="0081130F" w:rsidRPr="00BF37B1" w:rsidRDefault="0081130F" w:rsidP="00E92BBC">
            <w:pPr>
              <w:rPr>
                <w:rFonts w:ascii="Calibri" w:hAnsi="Calibri"/>
                <w:b/>
                <w:i/>
                <w:sz w:val="20"/>
              </w:rPr>
            </w:pPr>
            <w:bookmarkStart w:id="54" w:name="Agreement04"/>
          </w:p>
          <w:p w14:paraId="75C13773" w14:textId="77777777" w:rsidR="0081130F" w:rsidRPr="00BF37B1" w:rsidRDefault="0081130F" w:rsidP="00E92BBC">
            <w:pPr>
              <w:rPr>
                <w:rFonts w:ascii="Calibri" w:hAnsi="Calibri"/>
                <w:b/>
                <w:i/>
                <w:sz w:val="20"/>
              </w:rPr>
            </w:pPr>
            <w:r w:rsidRPr="00BF37B1">
              <w:rPr>
                <w:rFonts w:ascii="Calibri" w:hAnsi="Calibri"/>
                <w:b/>
                <w:i/>
                <w:sz w:val="20"/>
              </w:rPr>
              <w:t>Agreement #4</w:t>
            </w:r>
            <w:bookmarkEnd w:id="54"/>
          </w:p>
          <w:p w14:paraId="10793077" w14:textId="77777777" w:rsidR="0081130F" w:rsidRPr="00BF37B1" w:rsidRDefault="0081130F" w:rsidP="00E92BBC">
            <w:pPr>
              <w:rPr>
                <w:rFonts w:ascii="Calibri" w:hAnsi="Calibri"/>
                <w:b/>
                <w:i/>
                <w:sz w:val="20"/>
              </w:rPr>
            </w:pPr>
          </w:p>
        </w:tc>
        <w:tc>
          <w:tcPr>
            <w:tcW w:w="11040" w:type="dxa"/>
          </w:tcPr>
          <w:p w14:paraId="1444F81C" w14:textId="77777777" w:rsidR="0081130F" w:rsidRPr="00BF37B1" w:rsidRDefault="0081130F" w:rsidP="00E92BBC">
            <w:pPr>
              <w:rPr>
                <w:rFonts w:ascii="Calibri" w:hAnsi="Calibri"/>
                <w:sz w:val="20"/>
              </w:rPr>
            </w:pPr>
            <w:bookmarkStart w:id="55" w:name="A04"/>
            <w:bookmarkEnd w:id="55"/>
          </w:p>
          <w:p w14:paraId="34EF0A76" w14:textId="77777777" w:rsidR="0081130F" w:rsidRPr="00BF37B1" w:rsidRDefault="0081130F" w:rsidP="00E92BBC">
            <w:pPr>
              <w:rPr>
                <w:rFonts w:ascii="Calibri" w:hAnsi="Calibri"/>
                <w:sz w:val="20"/>
              </w:rPr>
            </w:pPr>
          </w:p>
        </w:tc>
      </w:tr>
      <w:tr w:rsidR="0081130F" w:rsidRPr="00BF37B1" w14:paraId="73C0B09E" w14:textId="77777777" w:rsidTr="00E92BBC">
        <w:trPr>
          <w:gridAfter w:val="1"/>
          <w:wAfter w:w="17" w:type="dxa"/>
          <w:cantSplit/>
        </w:trPr>
        <w:tc>
          <w:tcPr>
            <w:tcW w:w="764" w:type="dxa"/>
            <w:vMerge/>
          </w:tcPr>
          <w:p w14:paraId="7C9FFD83" w14:textId="77777777" w:rsidR="0081130F" w:rsidRPr="00BF37B1" w:rsidRDefault="0081130F" w:rsidP="00E92BBC">
            <w:pPr>
              <w:rPr>
                <w:rFonts w:ascii="Calibri" w:hAnsi="Calibri"/>
                <w:b/>
                <w:i/>
                <w:sz w:val="20"/>
              </w:rPr>
            </w:pPr>
          </w:p>
        </w:tc>
        <w:tc>
          <w:tcPr>
            <w:tcW w:w="2760" w:type="dxa"/>
          </w:tcPr>
          <w:p w14:paraId="20CD7285" w14:textId="77777777" w:rsidR="0081130F" w:rsidRPr="00BF37B1" w:rsidRDefault="0081130F" w:rsidP="00E92BBC">
            <w:pPr>
              <w:rPr>
                <w:rFonts w:ascii="Calibri" w:hAnsi="Calibri"/>
                <w:b/>
                <w:i/>
                <w:sz w:val="20"/>
              </w:rPr>
            </w:pPr>
            <w:bookmarkStart w:id="56" w:name="Agreement05"/>
          </w:p>
          <w:p w14:paraId="04AF0966" w14:textId="77777777" w:rsidR="0081130F" w:rsidRPr="00BF37B1" w:rsidRDefault="0081130F" w:rsidP="00E92BBC">
            <w:pPr>
              <w:rPr>
                <w:rFonts w:ascii="Calibri" w:hAnsi="Calibri"/>
                <w:b/>
                <w:i/>
                <w:sz w:val="20"/>
              </w:rPr>
            </w:pPr>
            <w:r w:rsidRPr="00BF37B1">
              <w:rPr>
                <w:rFonts w:ascii="Calibri" w:hAnsi="Calibri"/>
                <w:b/>
                <w:i/>
                <w:sz w:val="20"/>
              </w:rPr>
              <w:t>Agreement #5</w:t>
            </w:r>
            <w:bookmarkEnd w:id="56"/>
          </w:p>
          <w:p w14:paraId="4A08408E" w14:textId="77777777" w:rsidR="0081130F" w:rsidRPr="00BF37B1" w:rsidRDefault="0081130F" w:rsidP="00E92BBC">
            <w:pPr>
              <w:rPr>
                <w:rFonts w:ascii="Calibri" w:hAnsi="Calibri"/>
                <w:b/>
                <w:i/>
                <w:sz w:val="20"/>
              </w:rPr>
            </w:pPr>
          </w:p>
        </w:tc>
        <w:tc>
          <w:tcPr>
            <w:tcW w:w="11040" w:type="dxa"/>
          </w:tcPr>
          <w:p w14:paraId="39A171C3" w14:textId="77777777" w:rsidR="0081130F" w:rsidRPr="00BF37B1" w:rsidRDefault="0081130F" w:rsidP="00E92BBC">
            <w:pPr>
              <w:rPr>
                <w:rFonts w:ascii="Calibri" w:hAnsi="Calibri"/>
                <w:sz w:val="20"/>
              </w:rPr>
            </w:pPr>
            <w:bookmarkStart w:id="57" w:name="A05"/>
            <w:bookmarkEnd w:id="57"/>
          </w:p>
          <w:p w14:paraId="01960815" w14:textId="77777777" w:rsidR="0081130F" w:rsidRPr="00BF37B1" w:rsidRDefault="0081130F" w:rsidP="00E92BBC">
            <w:pPr>
              <w:rPr>
                <w:rFonts w:ascii="Calibri" w:hAnsi="Calibri"/>
                <w:sz w:val="20"/>
              </w:rPr>
            </w:pPr>
          </w:p>
        </w:tc>
      </w:tr>
      <w:tr w:rsidR="0081130F" w:rsidRPr="00BF37B1" w14:paraId="40E2FE34" w14:textId="77777777" w:rsidTr="00E92BBC">
        <w:trPr>
          <w:gridAfter w:val="1"/>
          <w:wAfter w:w="17" w:type="dxa"/>
          <w:cantSplit/>
        </w:trPr>
        <w:tc>
          <w:tcPr>
            <w:tcW w:w="764" w:type="dxa"/>
            <w:vMerge/>
          </w:tcPr>
          <w:p w14:paraId="424496EF" w14:textId="77777777" w:rsidR="0081130F" w:rsidRPr="00BF37B1" w:rsidRDefault="0081130F" w:rsidP="00E92BBC">
            <w:pPr>
              <w:rPr>
                <w:rFonts w:ascii="Calibri" w:hAnsi="Calibri"/>
                <w:b/>
                <w:i/>
                <w:sz w:val="20"/>
              </w:rPr>
            </w:pPr>
          </w:p>
        </w:tc>
        <w:tc>
          <w:tcPr>
            <w:tcW w:w="2760" w:type="dxa"/>
          </w:tcPr>
          <w:p w14:paraId="5C5F25AA" w14:textId="77777777" w:rsidR="0081130F" w:rsidRPr="00BF37B1" w:rsidRDefault="0081130F" w:rsidP="00E92BBC">
            <w:pPr>
              <w:rPr>
                <w:rFonts w:ascii="Calibri" w:hAnsi="Calibri"/>
                <w:b/>
                <w:i/>
                <w:sz w:val="20"/>
              </w:rPr>
            </w:pPr>
            <w:bookmarkStart w:id="58" w:name="Agreement06"/>
          </w:p>
          <w:p w14:paraId="4934D89A" w14:textId="77777777" w:rsidR="0081130F" w:rsidRPr="00BF37B1" w:rsidRDefault="0081130F" w:rsidP="00E92BBC">
            <w:pPr>
              <w:rPr>
                <w:rFonts w:ascii="Calibri" w:hAnsi="Calibri"/>
                <w:b/>
                <w:i/>
                <w:sz w:val="20"/>
              </w:rPr>
            </w:pPr>
            <w:r w:rsidRPr="00BF37B1">
              <w:rPr>
                <w:rFonts w:ascii="Calibri" w:hAnsi="Calibri"/>
                <w:b/>
                <w:i/>
                <w:sz w:val="20"/>
              </w:rPr>
              <w:t>Agreement #6</w:t>
            </w:r>
            <w:bookmarkEnd w:id="58"/>
          </w:p>
          <w:p w14:paraId="0B6670BA" w14:textId="77777777" w:rsidR="0081130F" w:rsidRPr="00BF37B1" w:rsidRDefault="0081130F" w:rsidP="00E92BBC">
            <w:pPr>
              <w:rPr>
                <w:rFonts w:ascii="Calibri" w:hAnsi="Calibri"/>
                <w:b/>
                <w:i/>
                <w:sz w:val="20"/>
              </w:rPr>
            </w:pPr>
          </w:p>
        </w:tc>
        <w:tc>
          <w:tcPr>
            <w:tcW w:w="11040" w:type="dxa"/>
          </w:tcPr>
          <w:p w14:paraId="73FF4ECF" w14:textId="77777777" w:rsidR="0081130F" w:rsidRPr="00BF37B1" w:rsidRDefault="0081130F" w:rsidP="00E92BBC">
            <w:pPr>
              <w:rPr>
                <w:rFonts w:ascii="Calibri" w:hAnsi="Calibri"/>
                <w:sz w:val="20"/>
              </w:rPr>
            </w:pPr>
            <w:bookmarkStart w:id="59" w:name="A06"/>
            <w:bookmarkEnd w:id="59"/>
          </w:p>
          <w:p w14:paraId="247F40BB" w14:textId="77777777" w:rsidR="0081130F" w:rsidRPr="00BF37B1" w:rsidRDefault="0081130F" w:rsidP="00E92BBC">
            <w:pPr>
              <w:rPr>
                <w:rFonts w:ascii="Calibri" w:hAnsi="Calibri"/>
                <w:sz w:val="20"/>
              </w:rPr>
            </w:pPr>
          </w:p>
        </w:tc>
      </w:tr>
      <w:tr w:rsidR="0081130F" w:rsidRPr="00BF37B1" w14:paraId="00F1451A" w14:textId="77777777" w:rsidTr="00E92BBC">
        <w:trPr>
          <w:gridAfter w:val="1"/>
          <w:wAfter w:w="17" w:type="dxa"/>
          <w:cantSplit/>
        </w:trPr>
        <w:tc>
          <w:tcPr>
            <w:tcW w:w="764" w:type="dxa"/>
            <w:vMerge/>
          </w:tcPr>
          <w:p w14:paraId="5F3EFA8A" w14:textId="77777777" w:rsidR="0081130F" w:rsidRPr="00BF37B1" w:rsidRDefault="0081130F" w:rsidP="00E92BBC">
            <w:pPr>
              <w:rPr>
                <w:rFonts w:ascii="Calibri" w:hAnsi="Calibri"/>
                <w:b/>
                <w:i/>
                <w:sz w:val="20"/>
              </w:rPr>
            </w:pPr>
          </w:p>
        </w:tc>
        <w:tc>
          <w:tcPr>
            <w:tcW w:w="2760" w:type="dxa"/>
          </w:tcPr>
          <w:p w14:paraId="0E1E5E52" w14:textId="77777777" w:rsidR="0081130F" w:rsidRPr="00BF37B1" w:rsidRDefault="0081130F" w:rsidP="00E92BBC">
            <w:pPr>
              <w:rPr>
                <w:rFonts w:ascii="Calibri" w:hAnsi="Calibri"/>
                <w:b/>
                <w:i/>
                <w:sz w:val="20"/>
              </w:rPr>
            </w:pPr>
            <w:bookmarkStart w:id="60" w:name="Agreement07"/>
          </w:p>
          <w:p w14:paraId="3E152FA1" w14:textId="77777777" w:rsidR="0081130F" w:rsidRPr="00BF37B1" w:rsidRDefault="0081130F" w:rsidP="00E92BBC">
            <w:pPr>
              <w:rPr>
                <w:rFonts w:ascii="Calibri" w:hAnsi="Calibri"/>
                <w:b/>
                <w:i/>
                <w:sz w:val="20"/>
              </w:rPr>
            </w:pPr>
            <w:r w:rsidRPr="00BF37B1">
              <w:rPr>
                <w:rFonts w:ascii="Calibri" w:hAnsi="Calibri"/>
                <w:b/>
                <w:i/>
                <w:sz w:val="20"/>
              </w:rPr>
              <w:t>Agreement #7</w:t>
            </w:r>
            <w:bookmarkEnd w:id="60"/>
          </w:p>
          <w:p w14:paraId="4DD10409" w14:textId="77777777" w:rsidR="0081130F" w:rsidRPr="00BF37B1" w:rsidRDefault="0081130F" w:rsidP="00E92BBC">
            <w:pPr>
              <w:rPr>
                <w:rFonts w:ascii="Calibri" w:hAnsi="Calibri"/>
                <w:b/>
                <w:i/>
                <w:sz w:val="20"/>
              </w:rPr>
            </w:pPr>
          </w:p>
        </w:tc>
        <w:tc>
          <w:tcPr>
            <w:tcW w:w="11040" w:type="dxa"/>
          </w:tcPr>
          <w:p w14:paraId="6694B139" w14:textId="77777777" w:rsidR="0081130F" w:rsidRPr="00BF37B1" w:rsidRDefault="0081130F" w:rsidP="00E92BBC">
            <w:pPr>
              <w:rPr>
                <w:rFonts w:ascii="Calibri" w:hAnsi="Calibri"/>
                <w:sz w:val="20"/>
              </w:rPr>
            </w:pPr>
            <w:bookmarkStart w:id="61" w:name="A07"/>
            <w:bookmarkEnd w:id="61"/>
          </w:p>
          <w:p w14:paraId="715FBD62" w14:textId="77777777" w:rsidR="0081130F" w:rsidRPr="00BF37B1" w:rsidRDefault="0081130F" w:rsidP="00E92BBC">
            <w:pPr>
              <w:rPr>
                <w:rFonts w:ascii="Calibri" w:hAnsi="Calibri"/>
                <w:sz w:val="20"/>
              </w:rPr>
            </w:pPr>
          </w:p>
        </w:tc>
      </w:tr>
      <w:tr w:rsidR="0081130F" w:rsidRPr="00BF37B1" w14:paraId="262A2FFD" w14:textId="77777777" w:rsidTr="00E92BBC">
        <w:trPr>
          <w:gridAfter w:val="1"/>
          <w:wAfter w:w="17" w:type="dxa"/>
          <w:cantSplit/>
        </w:trPr>
        <w:tc>
          <w:tcPr>
            <w:tcW w:w="764" w:type="dxa"/>
            <w:vMerge/>
          </w:tcPr>
          <w:p w14:paraId="42F4AA85" w14:textId="77777777" w:rsidR="0081130F" w:rsidRPr="00BF37B1" w:rsidRDefault="0081130F" w:rsidP="00E92BBC">
            <w:pPr>
              <w:rPr>
                <w:rFonts w:ascii="Calibri" w:hAnsi="Calibri"/>
                <w:b/>
                <w:i/>
                <w:sz w:val="20"/>
              </w:rPr>
            </w:pPr>
          </w:p>
        </w:tc>
        <w:tc>
          <w:tcPr>
            <w:tcW w:w="2760" w:type="dxa"/>
          </w:tcPr>
          <w:p w14:paraId="3F3E9360" w14:textId="77777777" w:rsidR="0081130F" w:rsidRPr="00BF37B1" w:rsidRDefault="0081130F" w:rsidP="00E92BBC">
            <w:pPr>
              <w:rPr>
                <w:rFonts w:ascii="Calibri" w:hAnsi="Calibri"/>
                <w:b/>
                <w:i/>
                <w:sz w:val="20"/>
              </w:rPr>
            </w:pPr>
            <w:bookmarkStart w:id="62" w:name="Agreement08"/>
          </w:p>
          <w:p w14:paraId="5EA88DC2" w14:textId="77777777" w:rsidR="0081130F" w:rsidRPr="00BF37B1" w:rsidRDefault="0081130F" w:rsidP="00E92BBC">
            <w:pPr>
              <w:rPr>
                <w:rFonts w:ascii="Calibri" w:hAnsi="Calibri"/>
                <w:b/>
                <w:i/>
                <w:sz w:val="20"/>
              </w:rPr>
            </w:pPr>
            <w:r w:rsidRPr="00BF37B1">
              <w:rPr>
                <w:rFonts w:ascii="Calibri" w:hAnsi="Calibri"/>
                <w:b/>
                <w:i/>
                <w:sz w:val="20"/>
              </w:rPr>
              <w:t>Agreement #8</w:t>
            </w:r>
            <w:bookmarkEnd w:id="62"/>
          </w:p>
          <w:p w14:paraId="03533B0C" w14:textId="77777777" w:rsidR="0081130F" w:rsidRPr="00BF37B1" w:rsidRDefault="0081130F" w:rsidP="00E92BBC">
            <w:pPr>
              <w:rPr>
                <w:rFonts w:ascii="Calibri" w:hAnsi="Calibri"/>
                <w:b/>
                <w:i/>
                <w:sz w:val="20"/>
              </w:rPr>
            </w:pPr>
          </w:p>
        </w:tc>
        <w:tc>
          <w:tcPr>
            <w:tcW w:w="11040" w:type="dxa"/>
          </w:tcPr>
          <w:p w14:paraId="2B0D0098" w14:textId="77777777" w:rsidR="0081130F" w:rsidRPr="00BF37B1" w:rsidRDefault="0081130F" w:rsidP="00E92BBC">
            <w:pPr>
              <w:rPr>
                <w:rFonts w:ascii="Calibri" w:hAnsi="Calibri"/>
                <w:sz w:val="20"/>
              </w:rPr>
            </w:pPr>
            <w:bookmarkStart w:id="63" w:name="A08"/>
            <w:bookmarkEnd w:id="63"/>
          </w:p>
          <w:p w14:paraId="2CDC9AC5" w14:textId="77777777" w:rsidR="0081130F" w:rsidRPr="00BF37B1" w:rsidRDefault="0081130F" w:rsidP="00E92BBC">
            <w:pPr>
              <w:rPr>
                <w:rFonts w:ascii="Calibri" w:hAnsi="Calibri"/>
                <w:sz w:val="20"/>
              </w:rPr>
            </w:pPr>
          </w:p>
        </w:tc>
      </w:tr>
      <w:tr w:rsidR="0081130F" w:rsidRPr="00BF37B1" w14:paraId="2138AF3C" w14:textId="77777777" w:rsidTr="00E92BBC">
        <w:trPr>
          <w:gridAfter w:val="1"/>
          <w:wAfter w:w="17" w:type="dxa"/>
          <w:cantSplit/>
        </w:trPr>
        <w:tc>
          <w:tcPr>
            <w:tcW w:w="764" w:type="dxa"/>
            <w:vMerge/>
          </w:tcPr>
          <w:p w14:paraId="3B7FCE22" w14:textId="77777777" w:rsidR="0081130F" w:rsidRPr="00BF37B1" w:rsidRDefault="0081130F" w:rsidP="00E92BBC">
            <w:pPr>
              <w:rPr>
                <w:rFonts w:ascii="Calibri" w:hAnsi="Calibri"/>
                <w:b/>
                <w:i/>
                <w:sz w:val="20"/>
              </w:rPr>
            </w:pPr>
          </w:p>
        </w:tc>
        <w:tc>
          <w:tcPr>
            <w:tcW w:w="2760" w:type="dxa"/>
          </w:tcPr>
          <w:p w14:paraId="3113C44C" w14:textId="77777777" w:rsidR="0081130F" w:rsidRPr="00BF37B1" w:rsidRDefault="0081130F" w:rsidP="00E92BBC">
            <w:pPr>
              <w:rPr>
                <w:rFonts w:ascii="Calibri" w:hAnsi="Calibri"/>
                <w:b/>
                <w:i/>
                <w:sz w:val="20"/>
              </w:rPr>
            </w:pPr>
            <w:bookmarkStart w:id="64" w:name="Agreement09"/>
          </w:p>
          <w:p w14:paraId="5E5E5832" w14:textId="77777777" w:rsidR="0081130F" w:rsidRPr="00BF37B1" w:rsidRDefault="0081130F" w:rsidP="00E92BBC">
            <w:pPr>
              <w:rPr>
                <w:rFonts w:ascii="Calibri" w:hAnsi="Calibri"/>
                <w:b/>
                <w:i/>
                <w:sz w:val="20"/>
              </w:rPr>
            </w:pPr>
            <w:r w:rsidRPr="00BF37B1">
              <w:rPr>
                <w:rFonts w:ascii="Calibri" w:hAnsi="Calibri"/>
                <w:b/>
                <w:i/>
                <w:sz w:val="20"/>
              </w:rPr>
              <w:t>Agreement #9</w:t>
            </w:r>
            <w:bookmarkEnd w:id="64"/>
          </w:p>
          <w:p w14:paraId="646A6608" w14:textId="77777777" w:rsidR="0081130F" w:rsidRPr="00BF37B1" w:rsidRDefault="0081130F" w:rsidP="00E92BBC">
            <w:pPr>
              <w:rPr>
                <w:rFonts w:ascii="Calibri" w:hAnsi="Calibri"/>
                <w:b/>
                <w:i/>
                <w:sz w:val="20"/>
              </w:rPr>
            </w:pPr>
          </w:p>
        </w:tc>
        <w:tc>
          <w:tcPr>
            <w:tcW w:w="11040" w:type="dxa"/>
          </w:tcPr>
          <w:p w14:paraId="60D92203" w14:textId="77777777" w:rsidR="0081130F" w:rsidRPr="00BF37B1" w:rsidRDefault="0081130F" w:rsidP="00E92BBC">
            <w:pPr>
              <w:rPr>
                <w:rFonts w:ascii="Calibri" w:hAnsi="Calibri"/>
                <w:sz w:val="20"/>
              </w:rPr>
            </w:pPr>
            <w:bookmarkStart w:id="65" w:name="A09"/>
            <w:bookmarkEnd w:id="65"/>
          </w:p>
          <w:p w14:paraId="04FAB685" w14:textId="77777777" w:rsidR="0081130F" w:rsidRPr="00BF37B1" w:rsidRDefault="0081130F" w:rsidP="00E92BBC">
            <w:pPr>
              <w:rPr>
                <w:rFonts w:ascii="Calibri" w:hAnsi="Calibri"/>
                <w:sz w:val="20"/>
              </w:rPr>
            </w:pPr>
          </w:p>
        </w:tc>
      </w:tr>
      <w:tr w:rsidR="0081130F" w:rsidRPr="00BF37B1" w14:paraId="32BF460E" w14:textId="77777777" w:rsidTr="00E92BBC">
        <w:trPr>
          <w:gridAfter w:val="1"/>
          <w:wAfter w:w="17" w:type="dxa"/>
          <w:cantSplit/>
        </w:trPr>
        <w:tc>
          <w:tcPr>
            <w:tcW w:w="764" w:type="dxa"/>
            <w:vMerge/>
          </w:tcPr>
          <w:p w14:paraId="16A75D00" w14:textId="77777777" w:rsidR="0081130F" w:rsidRPr="00BF37B1" w:rsidRDefault="0081130F" w:rsidP="00E92BBC">
            <w:pPr>
              <w:rPr>
                <w:rFonts w:ascii="Calibri" w:hAnsi="Calibri"/>
                <w:b/>
                <w:i/>
                <w:sz w:val="20"/>
              </w:rPr>
            </w:pPr>
          </w:p>
        </w:tc>
        <w:tc>
          <w:tcPr>
            <w:tcW w:w="2760" w:type="dxa"/>
          </w:tcPr>
          <w:p w14:paraId="2DA7986D" w14:textId="77777777" w:rsidR="0081130F" w:rsidRPr="00BF37B1" w:rsidRDefault="0081130F" w:rsidP="00E92BBC">
            <w:pPr>
              <w:rPr>
                <w:rFonts w:ascii="Calibri" w:hAnsi="Calibri"/>
                <w:b/>
                <w:i/>
                <w:sz w:val="20"/>
              </w:rPr>
            </w:pPr>
            <w:bookmarkStart w:id="66" w:name="Agreement10"/>
          </w:p>
          <w:p w14:paraId="118F55C2" w14:textId="77777777" w:rsidR="0081130F" w:rsidRPr="00BF37B1" w:rsidRDefault="0081130F" w:rsidP="00E92BBC">
            <w:pPr>
              <w:rPr>
                <w:rFonts w:ascii="Calibri" w:hAnsi="Calibri"/>
                <w:b/>
                <w:i/>
                <w:sz w:val="20"/>
              </w:rPr>
            </w:pPr>
            <w:r w:rsidRPr="00BF37B1">
              <w:rPr>
                <w:rFonts w:ascii="Calibri" w:hAnsi="Calibri"/>
                <w:b/>
                <w:i/>
                <w:sz w:val="20"/>
              </w:rPr>
              <w:t>Agreement #10</w:t>
            </w:r>
            <w:bookmarkEnd w:id="66"/>
          </w:p>
          <w:p w14:paraId="42D9A3E1" w14:textId="77777777" w:rsidR="0081130F" w:rsidRPr="00BF37B1" w:rsidRDefault="0081130F" w:rsidP="00E92BBC">
            <w:pPr>
              <w:rPr>
                <w:rFonts w:ascii="Calibri" w:hAnsi="Calibri"/>
                <w:b/>
                <w:i/>
                <w:sz w:val="20"/>
              </w:rPr>
            </w:pPr>
          </w:p>
        </w:tc>
        <w:tc>
          <w:tcPr>
            <w:tcW w:w="11040" w:type="dxa"/>
          </w:tcPr>
          <w:p w14:paraId="3270D59E" w14:textId="77777777" w:rsidR="0081130F" w:rsidRPr="00BF37B1" w:rsidRDefault="0081130F" w:rsidP="00E92BBC">
            <w:pPr>
              <w:rPr>
                <w:rFonts w:ascii="Calibri" w:hAnsi="Calibri"/>
                <w:sz w:val="20"/>
              </w:rPr>
            </w:pPr>
            <w:bookmarkStart w:id="67" w:name="A10"/>
            <w:bookmarkEnd w:id="67"/>
          </w:p>
          <w:p w14:paraId="2DBFD0F0" w14:textId="77777777" w:rsidR="0081130F" w:rsidRPr="00BF37B1" w:rsidRDefault="0081130F" w:rsidP="00E92BBC">
            <w:pPr>
              <w:rPr>
                <w:rFonts w:ascii="Calibri" w:hAnsi="Calibri"/>
                <w:sz w:val="20"/>
              </w:rPr>
            </w:pPr>
          </w:p>
        </w:tc>
      </w:tr>
      <w:tr w:rsidR="0081130F" w:rsidRPr="00BF37B1" w14:paraId="32AF836C" w14:textId="77777777" w:rsidTr="00E92BBC">
        <w:trPr>
          <w:gridAfter w:val="1"/>
          <w:wAfter w:w="17" w:type="dxa"/>
          <w:cantSplit/>
        </w:trPr>
        <w:tc>
          <w:tcPr>
            <w:tcW w:w="764" w:type="dxa"/>
            <w:vMerge/>
          </w:tcPr>
          <w:p w14:paraId="6EEF49C5" w14:textId="77777777" w:rsidR="0081130F" w:rsidRPr="00BF37B1" w:rsidRDefault="0081130F" w:rsidP="00E92BBC">
            <w:pPr>
              <w:rPr>
                <w:rFonts w:ascii="Calibri" w:hAnsi="Calibri"/>
                <w:b/>
                <w:i/>
                <w:sz w:val="20"/>
              </w:rPr>
            </w:pPr>
          </w:p>
        </w:tc>
        <w:tc>
          <w:tcPr>
            <w:tcW w:w="2760" w:type="dxa"/>
          </w:tcPr>
          <w:p w14:paraId="6CEDFDBB" w14:textId="77777777" w:rsidR="0081130F" w:rsidRPr="00BF37B1" w:rsidRDefault="0081130F" w:rsidP="00E92BBC">
            <w:pPr>
              <w:rPr>
                <w:rFonts w:ascii="Calibri" w:hAnsi="Calibri"/>
                <w:b/>
                <w:i/>
                <w:sz w:val="20"/>
              </w:rPr>
            </w:pPr>
            <w:bookmarkStart w:id="68" w:name="Agreement11"/>
          </w:p>
          <w:p w14:paraId="012BCFD2" w14:textId="77777777" w:rsidR="0081130F" w:rsidRPr="00BF37B1" w:rsidRDefault="0081130F" w:rsidP="00E92BBC">
            <w:pPr>
              <w:rPr>
                <w:rFonts w:ascii="Calibri" w:hAnsi="Calibri"/>
                <w:b/>
                <w:i/>
                <w:sz w:val="20"/>
              </w:rPr>
            </w:pPr>
            <w:r w:rsidRPr="00BF37B1">
              <w:rPr>
                <w:rFonts w:ascii="Calibri" w:hAnsi="Calibri"/>
                <w:b/>
                <w:i/>
                <w:sz w:val="20"/>
              </w:rPr>
              <w:t>Agreement #11</w:t>
            </w:r>
            <w:bookmarkEnd w:id="68"/>
          </w:p>
          <w:p w14:paraId="08D05986" w14:textId="77777777" w:rsidR="0081130F" w:rsidRPr="00BF37B1" w:rsidRDefault="0081130F" w:rsidP="00E92BBC">
            <w:pPr>
              <w:rPr>
                <w:rFonts w:ascii="Calibri" w:hAnsi="Calibri"/>
                <w:b/>
                <w:i/>
                <w:sz w:val="20"/>
              </w:rPr>
            </w:pPr>
          </w:p>
        </w:tc>
        <w:tc>
          <w:tcPr>
            <w:tcW w:w="11040" w:type="dxa"/>
          </w:tcPr>
          <w:p w14:paraId="3C071FEE" w14:textId="77777777" w:rsidR="0081130F" w:rsidRPr="00BF37B1" w:rsidRDefault="0081130F" w:rsidP="00E92BBC">
            <w:pPr>
              <w:rPr>
                <w:rFonts w:ascii="Calibri" w:hAnsi="Calibri"/>
                <w:sz w:val="20"/>
              </w:rPr>
            </w:pPr>
            <w:bookmarkStart w:id="69" w:name="A11"/>
            <w:bookmarkEnd w:id="69"/>
          </w:p>
          <w:p w14:paraId="7860BFEB" w14:textId="77777777" w:rsidR="0081130F" w:rsidRPr="00BF37B1" w:rsidRDefault="0081130F" w:rsidP="00E92BBC">
            <w:pPr>
              <w:rPr>
                <w:rFonts w:ascii="Calibri" w:hAnsi="Calibri"/>
                <w:sz w:val="20"/>
              </w:rPr>
            </w:pPr>
          </w:p>
        </w:tc>
      </w:tr>
      <w:tr w:rsidR="0081130F" w:rsidRPr="00BF37B1" w14:paraId="63C8FF88" w14:textId="77777777" w:rsidTr="00E92BBC">
        <w:trPr>
          <w:gridAfter w:val="1"/>
          <w:wAfter w:w="17" w:type="dxa"/>
          <w:cantSplit/>
        </w:trPr>
        <w:tc>
          <w:tcPr>
            <w:tcW w:w="764" w:type="dxa"/>
            <w:vMerge/>
          </w:tcPr>
          <w:p w14:paraId="12519330" w14:textId="77777777" w:rsidR="0081130F" w:rsidRPr="00BF37B1" w:rsidRDefault="0081130F" w:rsidP="00E92BBC">
            <w:pPr>
              <w:rPr>
                <w:rFonts w:ascii="Calibri" w:hAnsi="Calibri"/>
                <w:b/>
                <w:i/>
                <w:sz w:val="20"/>
              </w:rPr>
            </w:pPr>
          </w:p>
        </w:tc>
        <w:tc>
          <w:tcPr>
            <w:tcW w:w="2760" w:type="dxa"/>
          </w:tcPr>
          <w:p w14:paraId="5E8860D1" w14:textId="77777777" w:rsidR="0081130F" w:rsidRPr="00BF37B1" w:rsidRDefault="0081130F" w:rsidP="00E92BBC">
            <w:pPr>
              <w:rPr>
                <w:rFonts w:ascii="Calibri" w:hAnsi="Calibri"/>
                <w:b/>
                <w:i/>
                <w:sz w:val="20"/>
              </w:rPr>
            </w:pPr>
            <w:bookmarkStart w:id="70" w:name="Agreement12"/>
          </w:p>
          <w:p w14:paraId="30F71D99" w14:textId="77777777" w:rsidR="0081130F" w:rsidRPr="00BF37B1" w:rsidRDefault="0081130F" w:rsidP="00E92BBC">
            <w:pPr>
              <w:rPr>
                <w:rFonts w:ascii="Calibri" w:hAnsi="Calibri"/>
                <w:b/>
                <w:i/>
                <w:sz w:val="20"/>
              </w:rPr>
            </w:pPr>
            <w:r w:rsidRPr="00BF37B1">
              <w:rPr>
                <w:rFonts w:ascii="Calibri" w:hAnsi="Calibri"/>
                <w:b/>
                <w:i/>
                <w:sz w:val="20"/>
              </w:rPr>
              <w:t>Agreement #12</w:t>
            </w:r>
            <w:bookmarkEnd w:id="70"/>
          </w:p>
          <w:p w14:paraId="13375119" w14:textId="77777777" w:rsidR="0081130F" w:rsidRPr="00BF37B1" w:rsidRDefault="0081130F" w:rsidP="00E92BBC">
            <w:pPr>
              <w:rPr>
                <w:rFonts w:ascii="Calibri" w:hAnsi="Calibri"/>
                <w:b/>
                <w:i/>
                <w:sz w:val="20"/>
              </w:rPr>
            </w:pPr>
          </w:p>
        </w:tc>
        <w:tc>
          <w:tcPr>
            <w:tcW w:w="11040" w:type="dxa"/>
          </w:tcPr>
          <w:p w14:paraId="4C2EEFBE" w14:textId="77777777" w:rsidR="0081130F" w:rsidRPr="00BF37B1" w:rsidRDefault="0081130F" w:rsidP="00E92BBC">
            <w:pPr>
              <w:rPr>
                <w:rFonts w:ascii="Calibri" w:hAnsi="Calibri"/>
                <w:sz w:val="20"/>
              </w:rPr>
            </w:pPr>
            <w:bookmarkStart w:id="71" w:name="A12"/>
            <w:bookmarkEnd w:id="71"/>
          </w:p>
          <w:p w14:paraId="3FB026B0" w14:textId="77777777" w:rsidR="0081130F" w:rsidRPr="00BF37B1" w:rsidRDefault="0081130F" w:rsidP="00E92BBC">
            <w:pPr>
              <w:rPr>
                <w:rFonts w:ascii="Calibri" w:hAnsi="Calibri"/>
                <w:sz w:val="20"/>
              </w:rPr>
            </w:pPr>
          </w:p>
        </w:tc>
      </w:tr>
      <w:tr w:rsidR="0081130F" w:rsidRPr="00BF37B1" w14:paraId="1497EC31" w14:textId="77777777" w:rsidTr="00E92BBC">
        <w:trPr>
          <w:gridAfter w:val="1"/>
          <w:wAfter w:w="17" w:type="dxa"/>
          <w:cantSplit/>
        </w:trPr>
        <w:tc>
          <w:tcPr>
            <w:tcW w:w="764" w:type="dxa"/>
            <w:vMerge/>
          </w:tcPr>
          <w:p w14:paraId="30FFFD31" w14:textId="77777777" w:rsidR="0081130F" w:rsidRPr="00BF37B1" w:rsidRDefault="0081130F" w:rsidP="00E92BBC">
            <w:pPr>
              <w:rPr>
                <w:rFonts w:ascii="Calibri" w:hAnsi="Calibri"/>
                <w:b/>
                <w:i/>
                <w:sz w:val="20"/>
              </w:rPr>
            </w:pPr>
          </w:p>
        </w:tc>
        <w:tc>
          <w:tcPr>
            <w:tcW w:w="2760" w:type="dxa"/>
          </w:tcPr>
          <w:p w14:paraId="67A11325" w14:textId="77777777" w:rsidR="0081130F" w:rsidRPr="00BF37B1" w:rsidRDefault="0081130F" w:rsidP="00E92BBC">
            <w:pPr>
              <w:rPr>
                <w:rFonts w:ascii="Calibri" w:hAnsi="Calibri"/>
                <w:b/>
                <w:i/>
                <w:sz w:val="20"/>
              </w:rPr>
            </w:pPr>
            <w:bookmarkStart w:id="72" w:name="Agreement13"/>
          </w:p>
          <w:p w14:paraId="2968642F" w14:textId="77777777" w:rsidR="0081130F" w:rsidRPr="00BF37B1" w:rsidRDefault="0081130F" w:rsidP="00E92BBC">
            <w:pPr>
              <w:rPr>
                <w:rFonts w:ascii="Calibri" w:hAnsi="Calibri"/>
                <w:b/>
                <w:i/>
                <w:sz w:val="20"/>
              </w:rPr>
            </w:pPr>
            <w:r w:rsidRPr="00BF37B1">
              <w:rPr>
                <w:rFonts w:ascii="Calibri" w:hAnsi="Calibri"/>
                <w:b/>
                <w:i/>
                <w:sz w:val="20"/>
              </w:rPr>
              <w:t>Agreement #13</w:t>
            </w:r>
            <w:bookmarkEnd w:id="72"/>
          </w:p>
          <w:p w14:paraId="24D82E93" w14:textId="77777777" w:rsidR="0081130F" w:rsidRPr="00BF37B1" w:rsidRDefault="0081130F" w:rsidP="00E92BBC">
            <w:pPr>
              <w:rPr>
                <w:rFonts w:ascii="Calibri" w:hAnsi="Calibri"/>
                <w:b/>
                <w:i/>
                <w:sz w:val="20"/>
              </w:rPr>
            </w:pPr>
          </w:p>
        </w:tc>
        <w:tc>
          <w:tcPr>
            <w:tcW w:w="11040" w:type="dxa"/>
          </w:tcPr>
          <w:p w14:paraId="147F8C88" w14:textId="77777777" w:rsidR="0081130F" w:rsidRPr="00BF37B1" w:rsidRDefault="0081130F" w:rsidP="00E92BBC">
            <w:pPr>
              <w:rPr>
                <w:rFonts w:ascii="Calibri" w:hAnsi="Calibri"/>
                <w:sz w:val="20"/>
              </w:rPr>
            </w:pPr>
            <w:bookmarkStart w:id="73" w:name="A13"/>
            <w:bookmarkEnd w:id="73"/>
          </w:p>
          <w:p w14:paraId="7C3EE9AF" w14:textId="77777777" w:rsidR="0081130F" w:rsidRPr="00BF37B1" w:rsidRDefault="0081130F" w:rsidP="00E92BBC">
            <w:pPr>
              <w:rPr>
                <w:rFonts w:ascii="Calibri" w:hAnsi="Calibri"/>
                <w:sz w:val="20"/>
              </w:rPr>
            </w:pPr>
          </w:p>
        </w:tc>
      </w:tr>
      <w:tr w:rsidR="0081130F" w:rsidRPr="00BF37B1" w14:paraId="1EEB757B" w14:textId="77777777" w:rsidTr="00E92BBC">
        <w:trPr>
          <w:gridAfter w:val="1"/>
          <w:wAfter w:w="17" w:type="dxa"/>
          <w:cantSplit/>
        </w:trPr>
        <w:tc>
          <w:tcPr>
            <w:tcW w:w="764" w:type="dxa"/>
            <w:vMerge/>
          </w:tcPr>
          <w:p w14:paraId="234CD2F8" w14:textId="77777777" w:rsidR="0081130F" w:rsidRPr="00BF37B1" w:rsidRDefault="0081130F" w:rsidP="00E92BBC">
            <w:pPr>
              <w:rPr>
                <w:rFonts w:ascii="Calibri" w:hAnsi="Calibri"/>
                <w:b/>
                <w:i/>
                <w:sz w:val="20"/>
              </w:rPr>
            </w:pPr>
          </w:p>
        </w:tc>
        <w:tc>
          <w:tcPr>
            <w:tcW w:w="2760" w:type="dxa"/>
          </w:tcPr>
          <w:p w14:paraId="55462C4A" w14:textId="77777777" w:rsidR="0081130F" w:rsidRPr="00BF37B1" w:rsidRDefault="0081130F" w:rsidP="00E92BBC">
            <w:pPr>
              <w:rPr>
                <w:rFonts w:ascii="Calibri" w:hAnsi="Calibri"/>
                <w:b/>
                <w:i/>
                <w:sz w:val="20"/>
              </w:rPr>
            </w:pPr>
            <w:bookmarkStart w:id="74" w:name="Agreement14"/>
          </w:p>
          <w:p w14:paraId="001DF591" w14:textId="77777777" w:rsidR="0081130F" w:rsidRPr="00BF37B1" w:rsidRDefault="0081130F" w:rsidP="00E92BBC">
            <w:pPr>
              <w:rPr>
                <w:rFonts w:ascii="Calibri" w:hAnsi="Calibri"/>
                <w:b/>
                <w:i/>
                <w:sz w:val="20"/>
              </w:rPr>
            </w:pPr>
            <w:r w:rsidRPr="00BF37B1">
              <w:rPr>
                <w:rFonts w:ascii="Calibri" w:hAnsi="Calibri"/>
                <w:b/>
                <w:i/>
                <w:sz w:val="20"/>
              </w:rPr>
              <w:t>Agreement #14</w:t>
            </w:r>
            <w:bookmarkEnd w:id="74"/>
          </w:p>
          <w:p w14:paraId="1862779F" w14:textId="77777777" w:rsidR="0081130F" w:rsidRPr="00BF37B1" w:rsidRDefault="0081130F" w:rsidP="00E92BBC">
            <w:pPr>
              <w:rPr>
                <w:rFonts w:ascii="Calibri" w:hAnsi="Calibri"/>
                <w:b/>
                <w:i/>
                <w:sz w:val="20"/>
              </w:rPr>
            </w:pPr>
          </w:p>
        </w:tc>
        <w:tc>
          <w:tcPr>
            <w:tcW w:w="11040" w:type="dxa"/>
          </w:tcPr>
          <w:p w14:paraId="1493CE3B" w14:textId="77777777" w:rsidR="0081130F" w:rsidRPr="00BF37B1" w:rsidRDefault="0081130F" w:rsidP="00E92BBC">
            <w:pPr>
              <w:rPr>
                <w:rFonts w:ascii="Calibri" w:hAnsi="Calibri"/>
                <w:sz w:val="20"/>
              </w:rPr>
            </w:pPr>
            <w:bookmarkStart w:id="75" w:name="A14"/>
            <w:bookmarkEnd w:id="75"/>
          </w:p>
          <w:p w14:paraId="055B6983" w14:textId="77777777" w:rsidR="0081130F" w:rsidRPr="00BF37B1" w:rsidRDefault="0081130F" w:rsidP="00E92BBC">
            <w:pPr>
              <w:rPr>
                <w:rFonts w:ascii="Calibri" w:hAnsi="Calibri"/>
                <w:sz w:val="20"/>
              </w:rPr>
            </w:pPr>
          </w:p>
        </w:tc>
      </w:tr>
      <w:tr w:rsidR="0081130F" w:rsidRPr="00BF37B1" w14:paraId="4F523130" w14:textId="77777777" w:rsidTr="00E92BBC">
        <w:trPr>
          <w:gridAfter w:val="1"/>
          <w:wAfter w:w="17" w:type="dxa"/>
          <w:cantSplit/>
        </w:trPr>
        <w:tc>
          <w:tcPr>
            <w:tcW w:w="764" w:type="dxa"/>
            <w:vMerge/>
          </w:tcPr>
          <w:p w14:paraId="4A069FC5" w14:textId="77777777" w:rsidR="0081130F" w:rsidRPr="00BF37B1" w:rsidRDefault="0081130F" w:rsidP="00E92BBC">
            <w:pPr>
              <w:rPr>
                <w:rFonts w:ascii="Calibri" w:hAnsi="Calibri"/>
                <w:b/>
                <w:i/>
                <w:sz w:val="20"/>
              </w:rPr>
            </w:pPr>
          </w:p>
        </w:tc>
        <w:tc>
          <w:tcPr>
            <w:tcW w:w="2760" w:type="dxa"/>
          </w:tcPr>
          <w:p w14:paraId="7B2C1B6F" w14:textId="77777777" w:rsidR="0081130F" w:rsidRPr="00BF37B1" w:rsidRDefault="0081130F" w:rsidP="00E92BBC">
            <w:pPr>
              <w:rPr>
                <w:rFonts w:ascii="Calibri" w:hAnsi="Calibri"/>
                <w:b/>
                <w:i/>
                <w:sz w:val="20"/>
              </w:rPr>
            </w:pPr>
            <w:bookmarkStart w:id="76" w:name="Agreement15"/>
          </w:p>
          <w:p w14:paraId="66256D7A" w14:textId="77777777" w:rsidR="0081130F" w:rsidRPr="00BF37B1" w:rsidRDefault="0081130F" w:rsidP="00E92BBC">
            <w:pPr>
              <w:rPr>
                <w:rFonts w:ascii="Calibri" w:hAnsi="Calibri"/>
                <w:b/>
                <w:i/>
                <w:sz w:val="20"/>
              </w:rPr>
            </w:pPr>
            <w:r w:rsidRPr="00BF37B1">
              <w:rPr>
                <w:rFonts w:ascii="Calibri" w:hAnsi="Calibri"/>
                <w:b/>
                <w:i/>
                <w:sz w:val="20"/>
              </w:rPr>
              <w:t>Agreement #15</w:t>
            </w:r>
            <w:bookmarkEnd w:id="76"/>
          </w:p>
          <w:p w14:paraId="44E5E0C6" w14:textId="77777777" w:rsidR="0081130F" w:rsidRPr="00BF37B1" w:rsidRDefault="0081130F" w:rsidP="00E92BBC">
            <w:pPr>
              <w:rPr>
                <w:rFonts w:ascii="Calibri" w:hAnsi="Calibri"/>
                <w:b/>
                <w:i/>
                <w:sz w:val="20"/>
              </w:rPr>
            </w:pPr>
          </w:p>
        </w:tc>
        <w:tc>
          <w:tcPr>
            <w:tcW w:w="11040" w:type="dxa"/>
          </w:tcPr>
          <w:p w14:paraId="41ECE4A5" w14:textId="77777777" w:rsidR="0081130F" w:rsidRPr="00BF37B1" w:rsidRDefault="0081130F" w:rsidP="00E92BBC">
            <w:pPr>
              <w:rPr>
                <w:rFonts w:ascii="Calibri" w:hAnsi="Calibri"/>
                <w:sz w:val="20"/>
              </w:rPr>
            </w:pPr>
            <w:bookmarkStart w:id="77" w:name="A15"/>
            <w:bookmarkEnd w:id="77"/>
          </w:p>
          <w:p w14:paraId="380C6A2E" w14:textId="77777777" w:rsidR="0081130F" w:rsidRPr="00BF37B1" w:rsidRDefault="0081130F" w:rsidP="00E92BBC">
            <w:pPr>
              <w:rPr>
                <w:rFonts w:ascii="Calibri" w:hAnsi="Calibri"/>
                <w:sz w:val="20"/>
              </w:rPr>
            </w:pPr>
          </w:p>
        </w:tc>
      </w:tr>
      <w:tr w:rsidR="0081130F" w:rsidRPr="00BF37B1" w14:paraId="00D9D2F1" w14:textId="77777777" w:rsidTr="00E92BBC">
        <w:trPr>
          <w:gridAfter w:val="1"/>
          <w:wAfter w:w="17" w:type="dxa"/>
          <w:cantSplit/>
        </w:trPr>
        <w:tc>
          <w:tcPr>
            <w:tcW w:w="764" w:type="dxa"/>
            <w:vMerge/>
          </w:tcPr>
          <w:p w14:paraId="1F35ED69" w14:textId="77777777" w:rsidR="0081130F" w:rsidRPr="00BF37B1" w:rsidRDefault="0081130F" w:rsidP="00E92BBC">
            <w:pPr>
              <w:rPr>
                <w:rFonts w:ascii="Calibri" w:hAnsi="Calibri"/>
                <w:b/>
                <w:i/>
                <w:sz w:val="20"/>
              </w:rPr>
            </w:pPr>
          </w:p>
        </w:tc>
        <w:tc>
          <w:tcPr>
            <w:tcW w:w="2760" w:type="dxa"/>
          </w:tcPr>
          <w:p w14:paraId="72E188FE" w14:textId="77777777" w:rsidR="0081130F" w:rsidRPr="00BF37B1" w:rsidRDefault="0081130F" w:rsidP="00E92BBC">
            <w:pPr>
              <w:rPr>
                <w:rFonts w:ascii="Calibri" w:hAnsi="Calibri"/>
                <w:b/>
                <w:i/>
                <w:sz w:val="20"/>
              </w:rPr>
            </w:pPr>
            <w:bookmarkStart w:id="78" w:name="Agreement16"/>
          </w:p>
          <w:p w14:paraId="51516CC9" w14:textId="77777777" w:rsidR="0081130F" w:rsidRPr="00BF37B1" w:rsidRDefault="0081130F" w:rsidP="00E92BBC">
            <w:pPr>
              <w:rPr>
                <w:rFonts w:ascii="Calibri" w:hAnsi="Calibri"/>
                <w:b/>
                <w:i/>
                <w:sz w:val="20"/>
              </w:rPr>
            </w:pPr>
            <w:r w:rsidRPr="00BF37B1">
              <w:rPr>
                <w:rFonts w:ascii="Calibri" w:hAnsi="Calibri"/>
                <w:b/>
                <w:i/>
                <w:sz w:val="20"/>
              </w:rPr>
              <w:t>Agreement #16</w:t>
            </w:r>
            <w:bookmarkEnd w:id="78"/>
          </w:p>
          <w:p w14:paraId="3BC7463E" w14:textId="77777777" w:rsidR="0081130F" w:rsidRPr="00BF37B1" w:rsidRDefault="0081130F" w:rsidP="00E92BBC">
            <w:pPr>
              <w:rPr>
                <w:rFonts w:ascii="Calibri" w:hAnsi="Calibri"/>
                <w:b/>
                <w:i/>
                <w:sz w:val="20"/>
              </w:rPr>
            </w:pPr>
          </w:p>
        </w:tc>
        <w:tc>
          <w:tcPr>
            <w:tcW w:w="11040" w:type="dxa"/>
          </w:tcPr>
          <w:p w14:paraId="66DE8F97" w14:textId="77777777" w:rsidR="0081130F" w:rsidRPr="00BF37B1" w:rsidRDefault="0081130F" w:rsidP="00E92BBC">
            <w:pPr>
              <w:rPr>
                <w:rFonts w:ascii="Calibri" w:hAnsi="Calibri"/>
                <w:sz w:val="20"/>
              </w:rPr>
            </w:pPr>
            <w:bookmarkStart w:id="79" w:name="A16"/>
            <w:bookmarkEnd w:id="79"/>
          </w:p>
          <w:p w14:paraId="0337703F" w14:textId="77777777" w:rsidR="0081130F" w:rsidRPr="00BF37B1" w:rsidRDefault="0081130F" w:rsidP="00E92BBC">
            <w:pPr>
              <w:rPr>
                <w:rFonts w:ascii="Calibri" w:hAnsi="Calibri"/>
                <w:sz w:val="20"/>
              </w:rPr>
            </w:pPr>
          </w:p>
        </w:tc>
      </w:tr>
      <w:tr w:rsidR="0081130F" w:rsidRPr="00BF37B1" w14:paraId="1C6A6EC2" w14:textId="77777777" w:rsidTr="00E92BBC">
        <w:trPr>
          <w:gridAfter w:val="1"/>
          <w:wAfter w:w="17" w:type="dxa"/>
          <w:cantSplit/>
        </w:trPr>
        <w:tc>
          <w:tcPr>
            <w:tcW w:w="764" w:type="dxa"/>
            <w:vMerge/>
          </w:tcPr>
          <w:p w14:paraId="3F7E27EB" w14:textId="77777777" w:rsidR="0081130F" w:rsidRPr="00BF37B1" w:rsidRDefault="0081130F" w:rsidP="00E92BBC">
            <w:pPr>
              <w:rPr>
                <w:rFonts w:ascii="Calibri" w:hAnsi="Calibri"/>
                <w:b/>
                <w:i/>
                <w:sz w:val="20"/>
              </w:rPr>
            </w:pPr>
          </w:p>
        </w:tc>
        <w:tc>
          <w:tcPr>
            <w:tcW w:w="2760" w:type="dxa"/>
          </w:tcPr>
          <w:p w14:paraId="65CE2DF7" w14:textId="77777777" w:rsidR="0081130F" w:rsidRPr="00BF37B1" w:rsidRDefault="0081130F" w:rsidP="00E92BBC">
            <w:pPr>
              <w:rPr>
                <w:rFonts w:ascii="Calibri" w:hAnsi="Calibri"/>
                <w:b/>
                <w:i/>
                <w:sz w:val="20"/>
              </w:rPr>
            </w:pPr>
            <w:bookmarkStart w:id="80" w:name="Agreement17"/>
          </w:p>
          <w:p w14:paraId="31C65464" w14:textId="77777777" w:rsidR="0081130F" w:rsidRPr="00BF37B1" w:rsidRDefault="0081130F" w:rsidP="00E92BBC">
            <w:pPr>
              <w:rPr>
                <w:rFonts w:ascii="Calibri" w:hAnsi="Calibri"/>
                <w:b/>
                <w:i/>
                <w:sz w:val="20"/>
              </w:rPr>
            </w:pPr>
            <w:r w:rsidRPr="00BF37B1">
              <w:rPr>
                <w:rFonts w:ascii="Calibri" w:hAnsi="Calibri"/>
                <w:b/>
                <w:i/>
                <w:sz w:val="20"/>
              </w:rPr>
              <w:t>Agreement #17</w:t>
            </w:r>
            <w:bookmarkEnd w:id="80"/>
          </w:p>
          <w:p w14:paraId="20A05D3E" w14:textId="77777777" w:rsidR="0081130F" w:rsidRPr="00BF37B1" w:rsidRDefault="0081130F" w:rsidP="00E92BBC">
            <w:pPr>
              <w:rPr>
                <w:rFonts w:ascii="Calibri" w:hAnsi="Calibri"/>
                <w:b/>
                <w:i/>
                <w:sz w:val="20"/>
              </w:rPr>
            </w:pPr>
          </w:p>
        </w:tc>
        <w:tc>
          <w:tcPr>
            <w:tcW w:w="11040" w:type="dxa"/>
          </w:tcPr>
          <w:p w14:paraId="4325CFFE" w14:textId="77777777" w:rsidR="0081130F" w:rsidRPr="00BF37B1" w:rsidRDefault="0081130F" w:rsidP="00E92BBC">
            <w:pPr>
              <w:rPr>
                <w:rFonts w:ascii="Calibri" w:hAnsi="Calibri"/>
                <w:sz w:val="20"/>
              </w:rPr>
            </w:pPr>
            <w:bookmarkStart w:id="81" w:name="A17"/>
            <w:bookmarkEnd w:id="81"/>
          </w:p>
          <w:p w14:paraId="1CA90D28" w14:textId="77777777" w:rsidR="0081130F" w:rsidRPr="00BF37B1" w:rsidRDefault="0081130F" w:rsidP="00E92BBC">
            <w:pPr>
              <w:rPr>
                <w:rFonts w:ascii="Calibri" w:hAnsi="Calibri"/>
                <w:sz w:val="20"/>
              </w:rPr>
            </w:pPr>
          </w:p>
        </w:tc>
      </w:tr>
      <w:tr w:rsidR="0081130F" w:rsidRPr="00BF37B1" w14:paraId="7006CE1D" w14:textId="77777777" w:rsidTr="00E92BBC">
        <w:trPr>
          <w:gridAfter w:val="1"/>
          <w:wAfter w:w="17" w:type="dxa"/>
          <w:cantSplit/>
        </w:trPr>
        <w:tc>
          <w:tcPr>
            <w:tcW w:w="764" w:type="dxa"/>
            <w:vMerge/>
          </w:tcPr>
          <w:p w14:paraId="3A27B6EF" w14:textId="77777777" w:rsidR="0081130F" w:rsidRPr="00BF37B1" w:rsidRDefault="0081130F" w:rsidP="00E92BBC">
            <w:pPr>
              <w:rPr>
                <w:rFonts w:ascii="Calibri" w:hAnsi="Calibri"/>
                <w:b/>
                <w:i/>
                <w:sz w:val="20"/>
              </w:rPr>
            </w:pPr>
          </w:p>
        </w:tc>
        <w:tc>
          <w:tcPr>
            <w:tcW w:w="2760" w:type="dxa"/>
          </w:tcPr>
          <w:p w14:paraId="20A1B9FB" w14:textId="77777777" w:rsidR="0081130F" w:rsidRPr="00BF37B1" w:rsidRDefault="0081130F" w:rsidP="00E92BBC">
            <w:pPr>
              <w:rPr>
                <w:rFonts w:ascii="Calibri" w:hAnsi="Calibri"/>
                <w:b/>
                <w:i/>
                <w:sz w:val="20"/>
              </w:rPr>
            </w:pPr>
            <w:bookmarkStart w:id="82" w:name="Agreement18"/>
          </w:p>
          <w:p w14:paraId="77688CC6" w14:textId="77777777" w:rsidR="0081130F" w:rsidRPr="00BF37B1" w:rsidRDefault="0081130F" w:rsidP="00E92BBC">
            <w:pPr>
              <w:rPr>
                <w:rFonts w:ascii="Calibri" w:hAnsi="Calibri"/>
                <w:b/>
                <w:i/>
                <w:sz w:val="20"/>
              </w:rPr>
            </w:pPr>
            <w:r w:rsidRPr="00BF37B1">
              <w:rPr>
                <w:rFonts w:ascii="Calibri" w:hAnsi="Calibri"/>
                <w:b/>
                <w:i/>
                <w:sz w:val="20"/>
              </w:rPr>
              <w:t>Agreement #18</w:t>
            </w:r>
            <w:bookmarkEnd w:id="82"/>
          </w:p>
          <w:p w14:paraId="00ED89C9" w14:textId="77777777" w:rsidR="0081130F" w:rsidRPr="00BF37B1" w:rsidRDefault="0081130F" w:rsidP="00E92BBC">
            <w:pPr>
              <w:rPr>
                <w:rFonts w:ascii="Calibri" w:hAnsi="Calibri"/>
                <w:b/>
                <w:i/>
                <w:sz w:val="20"/>
              </w:rPr>
            </w:pPr>
          </w:p>
        </w:tc>
        <w:tc>
          <w:tcPr>
            <w:tcW w:w="11040" w:type="dxa"/>
          </w:tcPr>
          <w:p w14:paraId="33CB8F41" w14:textId="77777777" w:rsidR="0081130F" w:rsidRPr="00BF37B1" w:rsidRDefault="0081130F" w:rsidP="00E92BBC">
            <w:pPr>
              <w:rPr>
                <w:rFonts w:ascii="Calibri" w:hAnsi="Calibri"/>
                <w:sz w:val="20"/>
              </w:rPr>
            </w:pPr>
            <w:bookmarkStart w:id="83" w:name="A18"/>
            <w:bookmarkEnd w:id="83"/>
          </w:p>
          <w:p w14:paraId="2343830A" w14:textId="77777777" w:rsidR="0081130F" w:rsidRPr="00BF37B1" w:rsidRDefault="0081130F" w:rsidP="00E92BBC">
            <w:pPr>
              <w:rPr>
                <w:rFonts w:ascii="Calibri" w:hAnsi="Calibri"/>
                <w:sz w:val="20"/>
              </w:rPr>
            </w:pPr>
          </w:p>
        </w:tc>
      </w:tr>
      <w:tr w:rsidR="0081130F" w:rsidRPr="00BF37B1" w14:paraId="40D72A9E" w14:textId="77777777" w:rsidTr="00E92BBC">
        <w:trPr>
          <w:gridAfter w:val="1"/>
          <w:wAfter w:w="17" w:type="dxa"/>
          <w:cantSplit/>
        </w:trPr>
        <w:tc>
          <w:tcPr>
            <w:tcW w:w="764" w:type="dxa"/>
            <w:vMerge/>
          </w:tcPr>
          <w:p w14:paraId="501E2EED" w14:textId="77777777" w:rsidR="0081130F" w:rsidRPr="00BF37B1" w:rsidRDefault="0081130F" w:rsidP="00E92BBC">
            <w:pPr>
              <w:rPr>
                <w:rFonts w:ascii="Calibri" w:hAnsi="Calibri"/>
                <w:b/>
                <w:i/>
                <w:sz w:val="20"/>
              </w:rPr>
            </w:pPr>
          </w:p>
        </w:tc>
        <w:tc>
          <w:tcPr>
            <w:tcW w:w="2760" w:type="dxa"/>
          </w:tcPr>
          <w:p w14:paraId="30FB0A0C" w14:textId="77777777" w:rsidR="0081130F" w:rsidRPr="00BF37B1" w:rsidRDefault="0081130F" w:rsidP="00E92BBC">
            <w:pPr>
              <w:rPr>
                <w:rFonts w:ascii="Calibri" w:hAnsi="Calibri"/>
                <w:b/>
                <w:i/>
                <w:sz w:val="20"/>
              </w:rPr>
            </w:pPr>
            <w:bookmarkStart w:id="84" w:name="Agreement19"/>
          </w:p>
          <w:p w14:paraId="29BD40EF" w14:textId="77777777" w:rsidR="0081130F" w:rsidRPr="00BF37B1" w:rsidRDefault="0081130F" w:rsidP="00E92BBC">
            <w:pPr>
              <w:rPr>
                <w:rFonts w:ascii="Calibri" w:hAnsi="Calibri"/>
                <w:b/>
                <w:i/>
                <w:sz w:val="20"/>
              </w:rPr>
            </w:pPr>
            <w:r w:rsidRPr="00BF37B1">
              <w:rPr>
                <w:rFonts w:ascii="Calibri" w:hAnsi="Calibri"/>
                <w:b/>
                <w:i/>
                <w:sz w:val="20"/>
              </w:rPr>
              <w:t>Agreement #19</w:t>
            </w:r>
            <w:bookmarkEnd w:id="84"/>
          </w:p>
          <w:p w14:paraId="5C70CABE" w14:textId="77777777" w:rsidR="0081130F" w:rsidRPr="00BF37B1" w:rsidRDefault="0081130F" w:rsidP="00E92BBC">
            <w:pPr>
              <w:rPr>
                <w:rFonts w:ascii="Calibri" w:hAnsi="Calibri"/>
                <w:b/>
                <w:i/>
                <w:sz w:val="20"/>
              </w:rPr>
            </w:pPr>
          </w:p>
        </w:tc>
        <w:tc>
          <w:tcPr>
            <w:tcW w:w="11040" w:type="dxa"/>
          </w:tcPr>
          <w:p w14:paraId="6E1EC485" w14:textId="77777777" w:rsidR="0081130F" w:rsidRPr="00BF37B1" w:rsidRDefault="0081130F" w:rsidP="00E92BBC">
            <w:pPr>
              <w:rPr>
                <w:rFonts w:ascii="Calibri" w:hAnsi="Calibri"/>
                <w:sz w:val="20"/>
              </w:rPr>
            </w:pPr>
            <w:bookmarkStart w:id="85" w:name="A19"/>
            <w:bookmarkEnd w:id="85"/>
          </w:p>
          <w:p w14:paraId="2D6618EE" w14:textId="77777777" w:rsidR="0081130F" w:rsidRPr="00BF37B1" w:rsidRDefault="0081130F" w:rsidP="00E92BBC">
            <w:pPr>
              <w:rPr>
                <w:rFonts w:ascii="Calibri" w:hAnsi="Calibri"/>
                <w:sz w:val="20"/>
              </w:rPr>
            </w:pPr>
          </w:p>
        </w:tc>
      </w:tr>
      <w:tr w:rsidR="0081130F" w:rsidRPr="00BF37B1" w14:paraId="6046389C" w14:textId="77777777" w:rsidTr="00E92BBC">
        <w:trPr>
          <w:gridAfter w:val="1"/>
          <w:wAfter w:w="17" w:type="dxa"/>
          <w:cantSplit/>
        </w:trPr>
        <w:tc>
          <w:tcPr>
            <w:tcW w:w="764" w:type="dxa"/>
            <w:vMerge/>
          </w:tcPr>
          <w:p w14:paraId="198AC62B" w14:textId="77777777" w:rsidR="0081130F" w:rsidRPr="00BF37B1" w:rsidRDefault="0081130F" w:rsidP="00E92BBC">
            <w:pPr>
              <w:rPr>
                <w:rFonts w:ascii="Calibri" w:hAnsi="Calibri"/>
                <w:b/>
                <w:i/>
                <w:sz w:val="20"/>
              </w:rPr>
            </w:pPr>
          </w:p>
        </w:tc>
        <w:tc>
          <w:tcPr>
            <w:tcW w:w="2760" w:type="dxa"/>
          </w:tcPr>
          <w:p w14:paraId="7BE12022" w14:textId="77777777" w:rsidR="0081130F" w:rsidRPr="00BF37B1" w:rsidRDefault="0081130F" w:rsidP="00E92BBC">
            <w:pPr>
              <w:rPr>
                <w:rFonts w:ascii="Calibri" w:hAnsi="Calibri"/>
                <w:b/>
                <w:i/>
                <w:sz w:val="20"/>
              </w:rPr>
            </w:pPr>
            <w:bookmarkStart w:id="86" w:name="Agreement20"/>
          </w:p>
          <w:p w14:paraId="069AA141" w14:textId="77777777" w:rsidR="0081130F" w:rsidRPr="00BF37B1" w:rsidRDefault="0081130F" w:rsidP="00E92BBC">
            <w:pPr>
              <w:rPr>
                <w:rFonts w:ascii="Calibri" w:hAnsi="Calibri"/>
                <w:b/>
                <w:i/>
                <w:sz w:val="20"/>
              </w:rPr>
            </w:pPr>
            <w:r w:rsidRPr="00BF37B1">
              <w:rPr>
                <w:rFonts w:ascii="Calibri" w:hAnsi="Calibri"/>
                <w:b/>
                <w:i/>
                <w:sz w:val="20"/>
              </w:rPr>
              <w:t>Agreement #20</w:t>
            </w:r>
            <w:bookmarkEnd w:id="86"/>
          </w:p>
          <w:p w14:paraId="7528F97A" w14:textId="77777777" w:rsidR="0081130F" w:rsidRPr="00BF37B1" w:rsidRDefault="0081130F" w:rsidP="00E92BBC">
            <w:pPr>
              <w:rPr>
                <w:rFonts w:ascii="Calibri" w:hAnsi="Calibri"/>
                <w:b/>
                <w:i/>
                <w:sz w:val="20"/>
              </w:rPr>
            </w:pPr>
          </w:p>
        </w:tc>
        <w:tc>
          <w:tcPr>
            <w:tcW w:w="11040" w:type="dxa"/>
          </w:tcPr>
          <w:p w14:paraId="3FF7A65F" w14:textId="77777777" w:rsidR="0081130F" w:rsidRPr="00BF37B1" w:rsidRDefault="0081130F" w:rsidP="00E92BBC">
            <w:pPr>
              <w:rPr>
                <w:rFonts w:ascii="Calibri" w:hAnsi="Calibri"/>
                <w:sz w:val="20"/>
              </w:rPr>
            </w:pPr>
            <w:bookmarkStart w:id="87" w:name="A20"/>
            <w:bookmarkEnd w:id="87"/>
          </w:p>
          <w:p w14:paraId="1AB65777" w14:textId="77777777" w:rsidR="0081130F" w:rsidRPr="00BF37B1" w:rsidRDefault="0081130F" w:rsidP="00E92BBC">
            <w:pPr>
              <w:rPr>
                <w:rFonts w:ascii="Calibri" w:hAnsi="Calibri"/>
                <w:sz w:val="20"/>
              </w:rPr>
            </w:pPr>
          </w:p>
        </w:tc>
      </w:tr>
      <w:tr w:rsidR="0081130F" w:rsidRPr="00BF37B1" w14:paraId="23B6169E" w14:textId="77777777" w:rsidTr="00E92BBC">
        <w:trPr>
          <w:gridAfter w:val="1"/>
          <w:wAfter w:w="17" w:type="dxa"/>
          <w:cantSplit/>
        </w:trPr>
        <w:tc>
          <w:tcPr>
            <w:tcW w:w="3524" w:type="dxa"/>
            <w:gridSpan w:val="2"/>
          </w:tcPr>
          <w:p w14:paraId="00F6A459" w14:textId="77777777" w:rsidR="0081130F" w:rsidRPr="00BF37B1" w:rsidRDefault="0081130F" w:rsidP="00E92BBC">
            <w:pPr>
              <w:rPr>
                <w:rFonts w:ascii="Calibri" w:hAnsi="Calibri"/>
                <w:b/>
                <w:i/>
                <w:sz w:val="20"/>
              </w:rPr>
            </w:pPr>
          </w:p>
          <w:p w14:paraId="110B9E7C" w14:textId="77777777" w:rsidR="0081130F" w:rsidRPr="00BF37B1" w:rsidRDefault="0081130F" w:rsidP="00E92BBC">
            <w:pPr>
              <w:rPr>
                <w:rFonts w:ascii="Calibri" w:hAnsi="Calibri"/>
                <w:b/>
                <w:i/>
                <w:sz w:val="20"/>
              </w:rPr>
            </w:pPr>
            <w:r w:rsidRPr="00BF37B1">
              <w:rPr>
                <w:rFonts w:ascii="Calibri" w:hAnsi="Calibri"/>
                <w:b/>
                <w:i/>
                <w:sz w:val="20"/>
              </w:rPr>
              <w:t xml:space="preserve">- </w:t>
            </w:r>
            <w:bookmarkStart w:id="88" w:name="future"/>
            <w:r w:rsidRPr="00BF37B1">
              <w:rPr>
                <w:rFonts w:ascii="Calibri" w:hAnsi="Calibri"/>
                <w:b/>
                <w:i/>
                <w:sz w:val="20"/>
              </w:rPr>
              <w:t>Future plans</w:t>
            </w:r>
            <w:bookmarkEnd w:id="88"/>
          </w:p>
          <w:p w14:paraId="05CBBEB6" w14:textId="77777777" w:rsidR="0081130F" w:rsidRPr="00BF37B1" w:rsidRDefault="0081130F" w:rsidP="00E92BBC">
            <w:pPr>
              <w:rPr>
                <w:rFonts w:ascii="Calibri" w:hAnsi="Calibri"/>
                <w:b/>
                <w:i/>
                <w:sz w:val="20"/>
              </w:rPr>
            </w:pPr>
          </w:p>
        </w:tc>
        <w:tc>
          <w:tcPr>
            <w:tcW w:w="11040" w:type="dxa"/>
          </w:tcPr>
          <w:p w14:paraId="74600BEA" w14:textId="77777777" w:rsidR="0081130F" w:rsidRPr="00BF37B1" w:rsidRDefault="0081130F" w:rsidP="00AD0242">
            <w:pPr>
              <w:rPr>
                <w:rFonts w:ascii="Calibri" w:hAnsi="Calibri"/>
                <w:sz w:val="20"/>
              </w:rPr>
            </w:pPr>
            <w:bookmarkStart w:id="89" w:name="cell34"/>
            <w:bookmarkEnd w:id="89"/>
          </w:p>
        </w:tc>
      </w:tr>
      <w:tr w:rsidR="0081130F" w:rsidRPr="00BF37B1" w14:paraId="294E24D4" w14:textId="77777777" w:rsidTr="00E92BBC">
        <w:trPr>
          <w:gridAfter w:val="1"/>
          <w:wAfter w:w="17" w:type="dxa"/>
          <w:cantSplit/>
        </w:trPr>
        <w:tc>
          <w:tcPr>
            <w:tcW w:w="3524" w:type="dxa"/>
            <w:gridSpan w:val="2"/>
          </w:tcPr>
          <w:p w14:paraId="1B8E7E59"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 xml:space="preserve">Website for further information:  </w:t>
            </w:r>
          </w:p>
        </w:tc>
        <w:tc>
          <w:tcPr>
            <w:tcW w:w="11040" w:type="dxa"/>
          </w:tcPr>
          <w:p w14:paraId="4491D2BB" w14:textId="77777777" w:rsidR="0081130F" w:rsidRPr="00BF37B1" w:rsidRDefault="0081130F" w:rsidP="00E92BBC">
            <w:pPr>
              <w:pStyle w:val="Heading9"/>
              <w:rPr>
                <w:rFonts w:ascii="Calibri" w:hAnsi="Calibri"/>
                <w:b w:val="0"/>
                <w:color w:val="FF0000"/>
              </w:rPr>
            </w:pPr>
          </w:p>
        </w:tc>
      </w:tr>
      <w:tr w:rsidR="0081130F" w:rsidRPr="00BF37B1" w14:paraId="11DC0F16" w14:textId="77777777" w:rsidTr="00E92BBC">
        <w:trPr>
          <w:gridAfter w:val="1"/>
          <w:wAfter w:w="17" w:type="dxa"/>
          <w:cantSplit/>
        </w:trPr>
        <w:tc>
          <w:tcPr>
            <w:tcW w:w="3524" w:type="dxa"/>
            <w:gridSpan w:val="2"/>
          </w:tcPr>
          <w:p w14:paraId="35E7AB23" w14:textId="77777777" w:rsidR="0081130F" w:rsidRPr="00BF37B1" w:rsidRDefault="0081130F" w:rsidP="00E92BBC">
            <w:pPr>
              <w:pStyle w:val="Heading9"/>
              <w:rPr>
                <w:rFonts w:ascii="Calibri" w:hAnsi="Calibri"/>
                <w:b w:val="0"/>
                <w:color w:val="808080"/>
              </w:rPr>
            </w:pPr>
            <w:r w:rsidRPr="00BF37B1">
              <w:rPr>
                <w:rFonts w:ascii="Calibri" w:hAnsi="Calibri"/>
                <w:b w:val="0"/>
                <w:color w:val="808080"/>
              </w:rPr>
              <w:t>Contact point for further details:</w:t>
            </w:r>
          </w:p>
        </w:tc>
        <w:tc>
          <w:tcPr>
            <w:tcW w:w="11040" w:type="dxa"/>
          </w:tcPr>
          <w:p w14:paraId="139D3A8E" w14:textId="77777777" w:rsidR="0081130F" w:rsidRPr="00BF37B1" w:rsidRDefault="0081130F" w:rsidP="00E92BBC">
            <w:pPr>
              <w:pStyle w:val="Heading9"/>
              <w:rPr>
                <w:rFonts w:ascii="Calibri" w:hAnsi="Calibri"/>
                <w:b w:val="0"/>
                <w:color w:val="FF0000"/>
              </w:rPr>
            </w:pPr>
          </w:p>
        </w:tc>
      </w:tr>
    </w:tbl>
    <w:p w14:paraId="423B8CFE" w14:textId="77777777" w:rsidR="00CB6A57" w:rsidRPr="0081130F" w:rsidRDefault="00CB6A57">
      <w:pPr>
        <w:pStyle w:val="Title"/>
        <w:jc w:val="both"/>
        <w:rPr>
          <w:lang w:val="en-AU"/>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14:paraId="12081FCF" w14:textId="77777777" w:rsidTr="008F223D">
        <w:tc>
          <w:tcPr>
            <w:tcW w:w="3524" w:type="dxa"/>
          </w:tcPr>
          <w:p w14:paraId="019CC97D" w14:textId="77777777" w:rsidR="008F223D" w:rsidRDefault="008F223D" w:rsidP="00B72FF6">
            <w:pPr>
              <w:rPr>
                <w:rFonts w:ascii="Arial" w:hAnsi="Arial"/>
                <w:b/>
                <w:i/>
                <w:sz w:val="20"/>
              </w:rPr>
            </w:pPr>
          </w:p>
          <w:p w14:paraId="76EA7262" w14:textId="77777777" w:rsidR="008F223D" w:rsidRDefault="008F223D" w:rsidP="00B72FF6">
            <w:pPr>
              <w:rPr>
                <w:rFonts w:ascii="Arial" w:hAnsi="Arial"/>
                <w:b/>
                <w:i/>
                <w:sz w:val="20"/>
              </w:rPr>
            </w:pPr>
            <w:r>
              <w:rPr>
                <w:rFonts w:ascii="Arial" w:hAnsi="Arial"/>
                <w:b/>
                <w:i/>
                <w:sz w:val="20"/>
              </w:rPr>
              <w:t>Other voluntary reporting areas</w:t>
            </w:r>
          </w:p>
          <w:p w14:paraId="1B331FBA" w14:textId="77777777" w:rsidR="008F223D" w:rsidRDefault="008F223D" w:rsidP="00B72FF6">
            <w:pPr>
              <w:rPr>
                <w:rFonts w:ascii="Arial" w:hAnsi="Arial"/>
                <w:b/>
                <w:i/>
                <w:sz w:val="20"/>
              </w:rPr>
            </w:pPr>
          </w:p>
        </w:tc>
        <w:tc>
          <w:tcPr>
            <w:tcW w:w="5387" w:type="dxa"/>
          </w:tcPr>
          <w:p w14:paraId="1354E6D5" w14:textId="105445B3" w:rsidR="008F223D" w:rsidRPr="00CE4250" w:rsidRDefault="008F223D" w:rsidP="00B72FF6">
            <w:pPr>
              <w:rPr>
                <w:rFonts w:asciiTheme="minorHAnsi" w:hAnsiTheme="minorHAnsi" w:cstheme="minorHAnsi"/>
                <w:color w:val="808080"/>
                <w:sz w:val="20"/>
              </w:rPr>
            </w:pPr>
          </w:p>
        </w:tc>
        <w:tc>
          <w:tcPr>
            <w:tcW w:w="5670" w:type="dxa"/>
          </w:tcPr>
          <w:p w14:paraId="3B283F10" w14:textId="77777777" w:rsidR="008F223D" w:rsidRPr="008F223D" w:rsidRDefault="008F223D" w:rsidP="00B72FF6">
            <w:pPr>
              <w:rPr>
                <w:color w:val="808080"/>
              </w:rPr>
            </w:pPr>
            <w:r w:rsidRPr="008F223D">
              <w:rPr>
                <w:rFonts w:ascii="Arial" w:hAnsi="Arial" w:cs="Arial"/>
                <w:i/>
                <w:color w:val="808080"/>
                <w:sz w:val="18"/>
              </w:rPr>
              <w:t>Provide brief points only</w:t>
            </w:r>
          </w:p>
        </w:tc>
      </w:tr>
      <w:tr w:rsidR="008F223D" w:rsidRPr="008F223D" w14:paraId="7369D203" w14:textId="77777777" w:rsidTr="008F223D">
        <w:tc>
          <w:tcPr>
            <w:tcW w:w="3524" w:type="dxa"/>
          </w:tcPr>
          <w:p w14:paraId="5CB8F741" w14:textId="77777777" w:rsidR="008F223D" w:rsidRPr="008F223D" w:rsidRDefault="008F223D" w:rsidP="00B72FF6">
            <w:pPr>
              <w:pStyle w:val="Heading9"/>
              <w:rPr>
                <w:b w:val="0"/>
                <w:color w:val="808080"/>
              </w:rPr>
            </w:pPr>
            <w:r w:rsidRPr="008F223D">
              <w:rPr>
                <w:b w:val="0"/>
                <w:color w:val="808080"/>
              </w:rPr>
              <w:t xml:space="preserve">Website for further information:  </w:t>
            </w:r>
          </w:p>
        </w:tc>
        <w:tc>
          <w:tcPr>
            <w:tcW w:w="5387" w:type="dxa"/>
          </w:tcPr>
          <w:p w14:paraId="3EF25526" w14:textId="77777777" w:rsidR="008F223D" w:rsidRPr="008F223D" w:rsidRDefault="008F223D" w:rsidP="00B72FF6">
            <w:pPr>
              <w:pStyle w:val="Heading9"/>
              <w:rPr>
                <w:b w:val="0"/>
              </w:rPr>
            </w:pPr>
          </w:p>
        </w:tc>
        <w:tc>
          <w:tcPr>
            <w:tcW w:w="5670" w:type="dxa"/>
          </w:tcPr>
          <w:p w14:paraId="71B97927" w14:textId="77777777" w:rsidR="008F223D" w:rsidRPr="008F223D" w:rsidRDefault="008F223D" w:rsidP="00B72FF6">
            <w:pPr>
              <w:pStyle w:val="Heading9"/>
              <w:rPr>
                <w:b w:val="0"/>
              </w:rPr>
            </w:pPr>
          </w:p>
        </w:tc>
      </w:tr>
      <w:tr w:rsidR="008F223D" w:rsidRPr="008F223D" w14:paraId="3B3D153A" w14:textId="77777777" w:rsidTr="008F223D">
        <w:tc>
          <w:tcPr>
            <w:tcW w:w="3524" w:type="dxa"/>
          </w:tcPr>
          <w:p w14:paraId="3DAABF3E" w14:textId="77777777" w:rsidR="008F223D" w:rsidRPr="008F223D" w:rsidRDefault="008F223D" w:rsidP="00B72FF6">
            <w:pPr>
              <w:pStyle w:val="Heading9"/>
              <w:rPr>
                <w:b w:val="0"/>
                <w:color w:val="808080"/>
              </w:rPr>
            </w:pPr>
            <w:r w:rsidRPr="008F223D">
              <w:rPr>
                <w:b w:val="0"/>
                <w:color w:val="808080"/>
              </w:rPr>
              <w:t>Contact point for further details:</w:t>
            </w:r>
          </w:p>
        </w:tc>
        <w:tc>
          <w:tcPr>
            <w:tcW w:w="5387" w:type="dxa"/>
          </w:tcPr>
          <w:p w14:paraId="5A7774A1" w14:textId="77777777" w:rsidR="008F223D" w:rsidRPr="008F223D" w:rsidRDefault="008F223D" w:rsidP="00B72FF6">
            <w:pPr>
              <w:pStyle w:val="Heading9"/>
              <w:rPr>
                <w:b w:val="0"/>
              </w:rPr>
            </w:pPr>
          </w:p>
        </w:tc>
        <w:tc>
          <w:tcPr>
            <w:tcW w:w="5670" w:type="dxa"/>
          </w:tcPr>
          <w:p w14:paraId="33C22CCA" w14:textId="77777777" w:rsidR="008F223D" w:rsidRPr="008F223D" w:rsidRDefault="008F223D" w:rsidP="00B72FF6">
            <w:pPr>
              <w:pStyle w:val="Heading9"/>
              <w:rPr>
                <w:b w:val="0"/>
              </w:rPr>
            </w:pPr>
          </w:p>
        </w:tc>
      </w:tr>
    </w:tbl>
    <w:p w14:paraId="316435BA" w14:textId="77777777" w:rsidR="00CB6A57" w:rsidRPr="008F223D" w:rsidRDefault="00CB6A57">
      <w:pPr>
        <w:pStyle w:val="Title"/>
        <w:jc w:val="both"/>
        <w:rPr>
          <w:b w:val="0"/>
          <w:i/>
          <w:lang w:val="en-AU"/>
        </w:rPr>
      </w:pPr>
    </w:p>
    <w:sectPr w:rsidR="00CB6A57" w:rsidRPr="008F223D">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007C3" w14:textId="77777777" w:rsidR="00975B81" w:rsidRDefault="00975B81">
      <w:r>
        <w:separator/>
      </w:r>
    </w:p>
  </w:endnote>
  <w:endnote w:type="continuationSeparator" w:id="0">
    <w:p w14:paraId="7AC057B1" w14:textId="77777777" w:rsidR="00975B81" w:rsidRDefault="00975B81">
      <w:r>
        <w:continuationSeparator/>
      </w:r>
    </w:p>
  </w:endnote>
  <w:endnote w:type="continuationNotice" w:id="1">
    <w:p w14:paraId="207F84F6" w14:textId="77777777" w:rsidR="00975B81" w:rsidRDefault="00975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756B0" w14:textId="77777777" w:rsidR="00975B81" w:rsidRDefault="00975B81">
      <w:r>
        <w:separator/>
      </w:r>
    </w:p>
  </w:footnote>
  <w:footnote w:type="continuationSeparator" w:id="0">
    <w:p w14:paraId="6BDE561D" w14:textId="77777777" w:rsidR="00975B81" w:rsidRDefault="00975B81">
      <w:r>
        <w:continuationSeparator/>
      </w:r>
    </w:p>
  </w:footnote>
  <w:footnote w:type="continuationNotice" w:id="1">
    <w:p w14:paraId="0014F659" w14:textId="77777777" w:rsidR="00975B81" w:rsidRDefault="00975B81"/>
  </w:footnote>
  <w:footnote w:id="2">
    <w:p w14:paraId="4FC53B7E" w14:textId="77777777" w:rsidR="00646C05" w:rsidRPr="000568C1" w:rsidRDefault="00646C05" w:rsidP="002400F3">
      <w:pPr>
        <w:pStyle w:val="FootnoteText"/>
        <w:jc w:val="both"/>
        <w:rPr>
          <w:rFonts w:ascii="Arial" w:hAnsi="Arial" w:cs="Arial"/>
          <w:sz w:val="18"/>
          <w:szCs w:val="18"/>
          <w:lang w:val="en-US"/>
        </w:rPr>
      </w:pPr>
      <w:r>
        <w:rPr>
          <w:rStyle w:val="FootnoteReference"/>
        </w:rPr>
        <w:footnoteRef/>
      </w:r>
      <w:r>
        <w:t xml:space="preserve"> </w:t>
      </w:r>
      <w:r w:rsidRPr="000568C1">
        <w:rPr>
          <w:rFonts w:ascii="Arial" w:hAnsi="Arial" w:cs="Arial"/>
          <w:sz w:val="18"/>
          <w:szCs w:val="18"/>
          <w:lang w:val="en-US"/>
        </w:rPr>
        <w:t xml:space="preserve">Economies assessed in 2010, on the achievement of the Bogor Goals: APEC industrialized economies: Australia, Canada, Japan, New Zealand, and the United States, and volunteer developing economies: Chile; Hong Kong, China; Korea; Malaysia; Mexico; Peru; Singapore and Chinese Taipei.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15:restartNumberingAfterBreak="0">
    <w:nsid w:val="456C0E31"/>
    <w:multiLevelType w:val="hybridMultilevel"/>
    <w:tmpl w:val="1A8CBF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C27128"/>
    <w:multiLevelType w:val="hybridMultilevel"/>
    <w:tmpl w:val="DD2A4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Spacing" w:val=" 0"/>
  </w:docVars>
  <w:rsids>
    <w:rsidRoot w:val="009E7439"/>
    <w:rsid w:val="000020DF"/>
    <w:rsid w:val="00004DCF"/>
    <w:rsid w:val="0001261C"/>
    <w:rsid w:val="0001497F"/>
    <w:rsid w:val="00046AC3"/>
    <w:rsid w:val="00054229"/>
    <w:rsid w:val="00066458"/>
    <w:rsid w:val="00090838"/>
    <w:rsid w:val="000959D4"/>
    <w:rsid w:val="000A31A1"/>
    <w:rsid w:val="0011067F"/>
    <w:rsid w:val="00190F83"/>
    <w:rsid w:val="001A1859"/>
    <w:rsid w:val="001B4988"/>
    <w:rsid w:val="001F22A2"/>
    <w:rsid w:val="001F2BDE"/>
    <w:rsid w:val="001F6DE7"/>
    <w:rsid w:val="002232DA"/>
    <w:rsid w:val="00226226"/>
    <w:rsid w:val="00232A06"/>
    <w:rsid w:val="002400F3"/>
    <w:rsid w:val="00241F80"/>
    <w:rsid w:val="0026026B"/>
    <w:rsid w:val="00270BB3"/>
    <w:rsid w:val="002B399D"/>
    <w:rsid w:val="002B5735"/>
    <w:rsid w:val="002C62BF"/>
    <w:rsid w:val="002F7A75"/>
    <w:rsid w:val="00332A16"/>
    <w:rsid w:val="00350284"/>
    <w:rsid w:val="00355C0F"/>
    <w:rsid w:val="00362042"/>
    <w:rsid w:val="00366BCE"/>
    <w:rsid w:val="00384FA9"/>
    <w:rsid w:val="00391E97"/>
    <w:rsid w:val="003B3A81"/>
    <w:rsid w:val="003B7F1D"/>
    <w:rsid w:val="003C63E7"/>
    <w:rsid w:val="004446CF"/>
    <w:rsid w:val="00455F77"/>
    <w:rsid w:val="004811FC"/>
    <w:rsid w:val="00484DFD"/>
    <w:rsid w:val="00493D9A"/>
    <w:rsid w:val="004C4F9B"/>
    <w:rsid w:val="004E11F1"/>
    <w:rsid w:val="004F48D6"/>
    <w:rsid w:val="005060EF"/>
    <w:rsid w:val="005275CF"/>
    <w:rsid w:val="00531260"/>
    <w:rsid w:val="00580521"/>
    <w:rsid w:val="005877F5"/>
    <w:rsid w:val="005A6A9A"/>
    <w:rsid w:val="005B3E01"/>
    <w:rsid w:val="005C5ACF"/>
    <w:rsid w:val="005E7FAE"/>
    <w:rsid w:val="005F5284"/>
    <w:rsid w:val="00613CB8"/>
    <w:rsid w:val="00646C05"/>
    <w:rsid w:val="0067374F"/>
    <w:rsid w:val="006A5EDD"/>
    <w:rsid w:val="006B65A5"/>
    <w:rsid w:val="006C2F68"/>
    <w:rsid w:val="006D01CC"/>
    <w:rsid w:val="006D2359"/>
    <w:rsid w:val="006F202E"/>
    <w:rsid w:val="00703BD1"/>
    <w:rsid w:val="007047F1"/>
    <w:rsid w:val="00707409"/>
    <w:rsid w:val="0073105B"/>
    <w:rsid w:val="00747732"/>
    <w:rsid w:val="00761F25"/>
    <w:rsid w:val="00793671"/>
    <w:rsid w:val="007C0645"/>
    <w:rsid w:val="007F1F45"/>
    <w:rsid w:val="00801660"/>
    <w:rsid w:val="008024A3"/>
    <w:rsid w:val="0080267F"/>
    <w:rsid w:val="008072D7"/>
    <w:rsid w:val="0081130F"/>
    <w:rsid w:val="0082156D"/>
    <w:rsid w:val="008340AB"/>
    <w:rsid w:val="00841B2C"/>
    <w:rsid w:val="008450C4"/>
    <w:rsid w:val="00860231"/>
    <w:rsid w:val="00872650"/>
    <w:rsid w:val="008757E8"/>
    <w:rsid w:val="00890839"/>
    <w:rsid w:val="0089506A"/>
    <w:rsid w:val="008A614F"/>
    <w:rsid w:val="008A70D3"/>
    <w:rsid w:val="008C767A"/>
    <w:rsid w:val="008E0C69"/>
    <w:rsid w:val="008F223D"/>
    <w:rsid w:val="0090632F"/>
    <w:rsid w:val="00950932"/>
    <w:rsid w:val="00975B81"/>
    <w:rsid w:val="00983458"/>
    <w:rsid w:val="009849CF"/>
    <w:rsid w:val="0099579A"/>
    <w:rsid w:val="00996A66"/>
    <w:rsid w:val="009E1689"/>
    <w:rsid w:val="009E28DA"/>
    <w:rsid w:val="009E7439"/>
    <w:rsid w:val="00A34AD9"/>
    <w:rsid w:val="00A63671"/>
    <w:rsid w:val="00A94F6A"/>
    <w:rsid w:val="00AC0D23"/>
    <w:rsid w:val="00AC760D"/>
    <w:rsid w:val="00AD0242"/>
    <w:rsid w:val="00B1640D"/>
    <w:rsid w:val="00B62385"/>
    <w:rsid w:val="00B72FF6"/>
    <w:rsid w:val="00B97944"/>
    <w:rsid w:val="00BA5277"/>
    <w:rsid w:val="00BC7DB1"/>
    <w:rsid w:val="00BD6BC8"/>
    <w:rsid w:val="00BE00AB"/>
    <w:rsid w:val="00BF3056"/>
    <w:rsid w:val="00BF3CEC"/>
    <w:rsid w:val="00C031FE"/>
    <w:rsid w:val="00C04368"/>
    <w:rsid w:val="00C22D21"/>
    <w:rsid w:val="00C3286F"/>
    <w:rsid w:val="00C51533"/>
    <w:rsid w:val="00C52482"/>
    <w:rsid w:val="00C6530E"/>
    <w:rsid w:val="00C65AD1"/>
    <w:rsid w:val="00CB6A57"/>
    <w:rsid w:val="00CD7141"/>
    <w:rsid w:val="00CE4250"/>
    <w:rsid w:val="00D013BC"/>
    <w:rsid w:val="00D205C0"/>
    <w:rsid w:val="00D555D0"/>
    <w:rsid w:val="00D62986"/>
    <w:rsid w:val="00D67EC3"/>
    <w:rsid w:val="00D72ABC"/>
    <w:rsid w:val="00D810AC"/>
    <w:rsid w:val="00DA775C"/>
    <w:rsid w:val="00DD3B23"/>
    <w:rsid w:val="00E119B7"/>
    <w:rsid w:val="00E403B1"/>
    <w:rsid w:val="00E465C0"/>
    <w:rsid w:val="00E52111"/>
    <w:rsid w:val="00E55B18"/>
    <w:rsid w:val="00E8103E"/>
    <w:rsid w:val="00E92BBC"/>
    <w:rsid w:val="00EF488C"/>
    <w:rsid w:val="00EF518D"/>
    <w:rsid w:val="00F40C38"/>
    <w:rsid w:val="00F456E8"/>
    <w:rsid w:val="00F91E50"/>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4:docId w14:val="4397AFD0"/>
  <w15:chartTrackingRefBased/>
  <w15:docId w15:val="{23940253-E419-4481-AC6B-7B0F7F30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AU"/>
    </w:rPr>
  </w:style>
  <w:style w:type="paragraph" w:styleId="Heading1">
    <w:name w:val="heading 1"/>
    <w:basedOn w:val="Normal"/>
    <w:next w:val="Normal"/>
    <w:qFormat/>
    <w:pPr>
      <w:keepNext/>
      <w:jc w:val="center"/>
      <w:outlineLvl w:val="0"/>
    </w:pPr>
    <w:rPr>
      <w:rFonts w:ascii="Arial" w:hAnsi="Arial"/>
      <w:b/>
      <w:i/>
      <w:lang w:val="en-US"/>
    </w:rPr>
  </w:style>
  <w:style w:type="paragraph" w:styleId="Heading2">
    <w:name w:val="heading 2"/>
    <w:basedOn w:val="Normal"/>
    <w:next w:val="Normal"/>
    <w:qFormat/>
    <w:pPr>
      <w:keepNext/>
      <w:outlineLvl w:val="1"/>
    </w:pPr>
    <w:rPr>
      <w:rFonts w:ascii="Arial" w:hAnsi="Arial"/>
      <w:b/>
      <w:i/>
      <w:lang w:val="en-US"/>
    </w:rPr>
  </w:style>
  <w:style w:type="paragraph" w:styleId="Heading3">
    <w:name w:val="heading 3"/>
    <w:basedOn w:val="Normal"/>
    <w:next w:val="Normal"/>
    <w:qFormat/>
    <w:pPr>
      <w:keepNext/>
      <w:ind w:left="2160" w:hanging="2160"/>
      <w:jc w:val="center"/>
      <w:outlineLvl w:val="2"/>
    </w:pPr>
    <w:rPr>
      <w:b/>
      <w:i/>
      <w:lang w:val="en-US"/>
    </w:rPr>
  </w:style>
  <w:style w:type="paragraph" w:styleId="Heading4">
    <w:name w:val="heading 4"/>
    <w:basedOn w:val="Normal"/>
    <w:next w:val="Normal"/>
    <w:qFormat/>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pPr>
      <w:keepNext/>
      <w:spacing w:after="120"/>
      <w:outlineLvl w:val="4"/>
    </w:pPr>
    <w:rPr>
      <w:rFonts w:ascii="Arial" w:hAnsi="Arial"/>
      <w:b/>
      <w:sz w:val="20"/>
    </w:rPr>
  </w:style>
  <w:style w:type="paragraph" w:styleId="Heading6">
    <w:name w:val="heading 6"/>
    <w:basedOn w:val="Normal"/>
    <w:next w:val="Normal"/>
    <w:qFormat/>
    <w:pPr>
      <w:keepNext/>
      <w:jc w:val="center"/>
      <w:outlineLvl w:val="5"/>
    </w:pPr>
    <w:rPr>
      <w:rFonts w:ascii="Arial" w:hAnsi="Arial"/>
      <w:b/>
      <w:i/>
      <w:color w:val="FF0000"/>
      <w:lang w:val="en-US"/>
    </w:rPr>
  </w:style>
  <w:style w:type="paragraph" w:styleId="Heading7">
    <w:name w:val="heading 7"/>
    <w:basedOn w:val="Normal"/>
    <w:next w:val="Normal"/>
    <w:qFormat/>
    <w:pPr>
      <w:keepNext/>
      <w:jc w:val="center"/>
      <w:outlineLvl w:val="6"/>
    </w:pPr>
    <w:rPr>
      <w:rFonts w:ascii="Arial" w:hAnsi="Arial"/>
      <w:i/>
      <w:sz w:val="28"/>
    </w:rPr>
  </w:style>
  <w:style w:type="paragraph" w:styleId="Heading8">
    <w:name w:val="heading 8"/>
    <w:basedOn w:val="Normal"/>
    <w:next w:val="Normal"/>
    <w:qFormat/>
    <w:pPr>
      <w:keepNext/>
      <w:jc w:val="center"/>
      <w:outlineLvl w:val="7"/>
    </w:pPr>
    <w:rPr>
      <w:rFonts w:ascii="Arial" w:hAnsi="Arial"/>
      <w:b/>
      <w:i/>
      <w:sz w:val="20"/>
      <w:lang w:val="en-US"/>
    </w:rPr>
  </w:style>
  <w:style w:type="paragraph" w:styleId="Heading9">
    <w:name w:val="heading 9"/>
    <w:basedOn w:val="Normal"/>
    <w:next w:val="Normal"/>
    <w:link w:val="Heading9Char"/>
    <w:qFormat/>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US"/>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rPr>
      <w:sz w:val="20"/>
      <w:lang w:val="en-US"/>
    </w:rPr>
  </w:style>
  <w:style w:type="paragraph" w:styleId="Subtitle">
    <w:name w:val="Subtitle"/>
    <w:basedOn w:val="Normal"/>
    <w:qFormat/>
    <w:rPr>
      <w:b/>
      <w:lang w:val="en-US"/>
    </w:rPr>
  </w:style>
  <w:style w:type="paragraph" w:styleId="BodyTextIndent">
    <w:name w:val="Body Text Indent"/>
    <w:basedOn w:val="Normal"/>
    <w:semiHidden/>
    <w:pPr>
      <w:tabs>
        <w:tab w:val="left" w:pos="2304"/>
      </w:tabs>
      <w:ind w:left="567"/>
      <w:jc w:val="center"/>
    </w:pPr>
    <w:rPr>
      <w:rFonts w:ascii="Arial" w:hAnsi="Arial"/>
      <w:b/>
    </w:rPr>
  </w:style>
  <w:style w:type="paragraph" w:styleId="BodyText2">
    <w:name w:val="Body Text 2"/>
    <w:basedOn w:val="Normal"/>
    <w:semiHidden/>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style>
  <w:style w:type="paragraph" w:styleId="BodyText3">
    <w:name w:val="Body Text 3"/>
    <w:basedOn w:val="Normal"/>
    <w:semiHidden/>
    <w:rPr>
      <w:rFonts w:ascii="Arial" w:hAnsi="Arial"/>
      <w:b/>
      <w:i/>
      <w:sz w:val="20"/>
      <w:lang w:val="en-US"/>
    </w:rPr>
  </w:style>
  <w:style w:type="character" w:styleId="Hyperlink">
    <w:name w:val="Hyperlink"/>
    <w:semiHidden/>
    <w:rPr>
      <w:color w:val="0000FF"/>
      <w:u w:val="single"/>
    </w:rPr>
  </w:style>
  <w:style w:type="paragraph" w:styleId="NormalIndent">
    <w:name w:val="Normal Indent"/>
    <w:basedOn w:val="Normal"/>
    <w:semiHidden/>
    <w:pPr>
      <w:ind w:left="851"/>
    </w:pPr>
    <w:rPr>
      <w:rFonts w:eastAsia="MS Mincho"/>
    </w:rPr>
  </w:style>
  <w:style w:type="paragraph" w:styleId="BlockText">
    <w:name w:val="Block Text"/>
    <w:basedOn w:val="Normal"/>
    <w:semiHidden/>
    <w:pPr>
      <w:tabs>
        <w:tab w:val="left" w:pos="720"/>
      </w:tabs>
      <w:spacing w:before="10" w:after="10"/>
      <w:ind w:left="180" w:right="180"/>
    </w:pPr>
    <w:rPr>
      <w:rFonts w:ascii="Arial" w:eastAsia="MS Mincho" w:hAnsi="Arial"/>
      <w:i/>
      <w:sz w:val="20"/>
    </w:rPr>
  </w:style>
  <w:style w:type="paragraph" w:customStyle="1" w:styleId="Blockquote">
    <w:name w:val="Blockquote"/>
    <w:basedOn w:val="Normal"/>
    <w:pPr>
      <w:spacing w:before="100" w:after="100"/>
      <w:ind w:left="360" w:right="360"/>
    </w:pPr>
    <w:rPr>
      <w:rFonts w:eastAsia="MS Mincho"/>
      <w:snapToGrid w:val="0"/>
    </w:rPr>
  </w:style>
  <w:style w:type="paragraph" w:customStyle="1" w:styleId="ChartMainHeading">
    <w:name w:val="Chart Main Heading"/>
    <w:basedOn w:val="Normal"/>
    <w:next w:val="Normal"/>
    <w:pPr>
      <w:jc w:val="center"/>
    </w:pPr>
    <w:rPr>
      <w:rFonts w:eastAsia="MS Mincho"/>
      <w:b/>
      <w:caps/>
    </w:rPr>
  </w:style>
  <w:style w:type="paragraph" w:styleId="FootnoteText">
    <w:name w:val="footnote text"/>
    <w:basedOn w:val="Normal"/>
    <w:link w:val="FootnoteTextChar"/>
    <w:semiHidden/>
    <w:pPr>
      <w:spacing w:before="100"/>
      <w:ind w:left="113" w:hanging="113"/>
    </w:pPr>
    <w:rPr>
      <w:sz w:val="20"/>
    </w:rPr>
  </w:style>
  <w:style w:type="character" w:styleId="FootnoteReference">
    <w:name w:val="footnote reference"/>
    <w:semiHidden/>
    <w:rPr>
      <w:vertAlign w:val="superscript"/>
    </w:rPr>
  </w:style>
  <w:style w:type="paragraph" w:styleId="BodyTextIndent2">
    <w:name w:val="Body Text Indent 2"/>
    <w:basedOn w:val="Normal"/>
    <w:semiHidden/>
    <w:pPr>
      <w:ind w:left="720" w:hanging="720"/>
    </w:pPr>
    <w:rPr>
      <w:rFonts w:ascii="Arial" w:hAnsi="Arial" w:cs="Arial"/>
      <w:sz w:val="20"/>
    </w:rPr>
  </w:style>
  <w:style w:type="paragraph" w:styleId="BodyTextIndent3">
    <w:name w:val="Body Text Indent 3"/>
    <w:basedOn w:val="Normal"/>
    <w:semiHidden/>
    <w:pPr>
      <w:ind w:left="35"/>
      <w:jc w:val="center"/>
    </w:pPr>
    <w:rPr>
      <w:rFonts w:ascii="Arial" w:hAnsi="Arial" w:cs="Arial"/>
      <w:vertAlign w:val="superscript"/>
      <w:lang w:eastAsia="zh-TW"/>
    </w:rPr>
  </w:style>
  <w:style w:type="paragraph" w:customStyle="1" w:styleId="BulletPoints">
    <w:name w:val="Bullet Points"/>
    <w:basedOn w:val="Normal"/>
    <w:pPr>
      <w:spacing w:after="240"/>
      <w:ind w:left="720" w:hanging="720"/>
      <w:jc w:val="both"/>
    </w:pPr>
    <w:rPr>
      <w:rFonts w:ascii="Arial" w:hAnsi="Arial" w:cs="Arial"/>
      <w:sz w:val="20"/>
      <w:lang w:val="en-US"/>
    </w:rPr>
  </w:style>
  <w:style w:type="paragraph" w:customStyle="1" w:styleId="NormalVerdana">
    <w:name w:val="Normal + Verdana"/>
    <w:basedOn w:val="Normal"/>
    <w:pPr>
      <w:ind w:left="720"/>
    </w:pPr>
    <w:rPr>
      <w:rFonts w:ascii="Verdana" w:hAnsi="Verdana"/>
      <w:sz w:val="20"/>
      <w:lang w:val="en-US"/>
    </w:rPr>
  </w:style>
  <w:style w:type="character" w:customStyle="1" w:styleId="msoins0">
    <w:name w:val="msoins"/>
    <w:rPr>
      <w:u w:val="single"/>
    </w:rPr>
  </w:style>
  <w:style w:type="character" w:styleId="FollowedHyperlink">
    <w:name w:val="FollowedHyperlink"/>
    <w:semiHidden/>
    <w:rPr>
      <w:color w:val="800080"/>
      <w:u w:val="single"/>
    </w:rPr>
  </w:style>
  <w:style w:type="paragraph" w:customStyle="1" w:styleId="BalloonText1">
    <w:name w:val="Balloon Text1"/>
    <w:basedOn w:val="Normal"/>
    <w:semiHidden/>
    <w:rPr>
      <w:rFonts w:ascii="Arial" w:eastAsia="Dotum" w:hAnsi="Arial"/>
      <w:sz w:val="18"/>
      <w:szCs w:val="18"/>
    </w:rPr>
  </w:style>
  <w:style w:type="paragraph" w:styleId="Caption">
    <w:name w:val="caption"/>
    <w:basedOn w:val="Normal"/>
    <w:next w:val="Normal"/>
    <w:qFormat/>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aliases w:val="List Paragraph1,Recommendation"/>
    <w:basedOn w:val="Normal"/>
    <w:link w:val="ListParagraphChar"/>
    <w:uiPriority w:val="34"/>
    <w:qFormat/>
    <w:rsid w:val="00646C05"/>
    <w:pPr>
      <w:ind w:left="708"/>
    </w:pPr>
    <w:rPr>
      <w:rFonts w:ascii="Calibri" w:eastAsia="SimSun" w:hAnsi="Calibri"/>
      <w:sz w:val="22"/>
      <w:szCs w:val="22"/>
      <w:lang w:val="en-US" w:eastAsia="zh-CN"/>
    </w:rPr>
  </w:style>
  <w:style w:type="character" w:customStyle="1" w:styleId="ListParagraphChar">
    <w:name w:val="List Paragraph Char"/>
    <w:aliases w:val="List Paragraph1 Char,Recommendation Char"/>
    <w:link w:val="ListParagraph"/>
    <w:uiPriority w:val="34"/>
    <w:locked/>
    <w:rsid w:val="0081130F"/>
    <w:rPr>
      <w:rFonts w:ascii="Calibri" w:eastAsia="SimSun" w:hAnsi="Calibri"/>
      <w:sz w:val="22"/>
      <w:szCs w:val="22"/>
      <w:lang w:val="en-US" w:eastAsia="zh-CN"/>
    </w:rPr>
  </w:style>
  <w:style w:type="character" w:styleId="CommentReference">
    <w:name w:val="annotation reference"/>
    <w:uiPriority w:val="99"/>
    <w:semiHidden/>
    <w:unhideWhenUsed/>
    <w:rsid w:val="0081130F"/>
    <w:rPr>
      <w:sz w:val="16"/>
      <w:szCs w:val="16"/>
    </w:rPr>
  </w:style>
  <w:style w:type="paragraph" w:styleId="CommentText">
    <w:name w:val="annotation text"/>
    <w:basedOn w:val="Normal"/>
    <w:link w:val="CommentTextChar"/>
    <w:uiPriority w:val="99"/>
    <w:semiHidden/>
    <w:unhideWhenUsed/>
    <w:rsid w:val="0081130F"/>
    <w:rPr>
      <w:sz w:val="20"/>
    </w:rPr>
  </w:style>
  <w:style w:type="character" w:customStyle="1" w:styleId="CommentTextChar">
    <w:name w:val="Comment Text Char"/>
    <w:link w:val="CommentText"/>
    <w:uiPriority w:val="99"/>
    <w:semiHidden/>
    <w:rsid w:val="0081130F"/>
    <w:rPr>
      <w:lang w:val="en-AU" w:eastAsia="en-US"/>
    </w:rPr>
  </w:style>
  <w:style w:type="paragraph" w:styleId="Revision">
    <w:name w:val="Revision"/>
    <w:hidden/>
    <w:uiPriority w:val="99"/>
    <w:semiHidden/>
    <w:rsid w:val="008072D7"/>
    <w:rPr>
      <w:sz w:val="24"/>
      <w:lang w:val="en-AU"/>
    </w:rPr>
  </w:style>
  <w:style w:type="paragraph" w:styleId="CommentSubject">
    <w:name w:val="annotation subject"/>
    <w:basedOn w:val="CommentText"/>
    <w:next w:val="CommentText"/>
    <w:link w:val="CommentSubjectChar"/>
    <w:uiPriority w:val="99"/>
    <w:semiHidden/>
    <w:unhideWhenUsed/>
    <w:rsid w:val="0090632F"/>
    <w:rPr>
      <w:b/>
      <w:bCs/>
    </w:rPr>
  </w:style>
  <w:style w:type="character" w:customStyle="1" w:styleId="CommentSubjectChar">
    <w:name w:val="Comment Subject Char"/>
    <w:link w:val="CommentSubject"/>
    <w:uiPriority w:val="99"/>
    <w:semiHidden/>
    <w:rsid w:val="0090632F"/>
    <w:rPr>
      <w:b/>
      <w:bCs/>
      <w:lang w:val="en-AU" w:eastAsia="en-US"/>
    </w:rPr>
  </w:style>
  <w:style w:type="character" w:customStyle="1" w:styleId="UnresolvedMention">
    <w:name w:val="Unresolved Mention"/>
    <w:uiPriority w:val="99"/>
    <w:semiHidden/>
    <w:unhideWhenUsed/>
    <w:rsid w:val="00B97944"/>
    <w:rPr>
      <w:color w:val="808080"/>
      <w:shd w:val="clear" w:color="auto" w:fill="E6E6E6"/>
    </w:rPr>
  </w:style>
  <w:style w:type="character" w:customStyle="1" w:styleId="Heading9Char">
    <w:name w:val="Heading 9 Char"/>
    <w:link w:val="Heading9"/>
    <w:rsid w:val="00B97944"/>
    <w:rPr>
      <w:rFonts w:ascii="Arial" w:hAnsi="Arial"/>
      <w:b/>
      <w:i/>
      <w:lang w:val="en-AU"/>
    </w:rPr>
  </w:style>
  <w:style w:type="paragraph" w:customStyle="1" w:styleId="Default">
    <w:name w:val="Default"/>
    <w:rsid w:val="00B97944"/>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semiHidden/>
    <w:unhideWhenUsed/>
    <w:rsid w:val="00CE4250"/>
    <w:pPr>
      <w:spacing w:before="100" w:beforeAutospacing="1" w:after="100" w:afterAutospacing="1"/>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795143">
      <w:bodyDiv w:val="1"/>
      <w:marLeft w:val="0"/>
      <w:marRight w:val="0"/>
      <w:marTop w:val="0"/>
      <w:marBottom w:val="0"/>
      <w:divBdr>
        <w:top w:val="none" w:sz="0" w:space="0" w:color="auto"/>
        <w:left w:val="none" w:sz="0" w:space="0" w:color="auto"/>
        <w:bottom w:val="none" w:sz="0" w:space="0" w:color="auto"/>
        <w:right w:val="none" w:sz="0" w:space="0" w:color="auto"/>
      </w:divBdr>
    </w:div>
    <w:div w:id="892039391">
      <w:bodyDiv w:val="1"/>
      <w:marLeft w:val="0"/>
      <w:marRight w:val="0"/>
      <w:marTop w:val="0"/>
      <w:marBottom w:val="0"/>
      <w:divBdr>
        <w:top w:val="none" w:sz="0" w:space="0" w:color="auto"/>
        <w:left w:val="none" w:sz="0" w:space="0" w:color="auto"/>
        <w:bottom w:val="none" w:sz="0" w:space="0" w:color="auto"/>
        <w:right w:val="none" w:sz="0" w:space="0" w:color="auto"/>
      </w:divBdr>
    </w:div>
    <w:div w:id="1122073274">
      <w:bodyDiv w:val="1"/>
      <w:marLeft w:val="0"/>
      <w:marRight w:val="0"/>
      <w:marTop w:val="0"/>
      <w:marBottom w:val="0"/>
      <w:divBdr>
        <w:top w:val="none" w:sz="0" w:space="0" w:color="auto"/>
        <w:left w:val="none" w:sz="0" w:space="0" w:color="auto"/>
        <w:bottom w:val="none" w:sz="0" w:space="0" w:color="auto"/>
        <w:right w:val="none" w:sz="0" w:space="0" w:color="auto"/>
      </w:divBdr>
    </w:div>
    <w:div w:id="1470705431">
      <w:bodyDiv w:val="1"/>
      <w:marLeft w:val="0"/>
      <w:marRight w:val="0"/>
      <w:marTop w:val="0"/>
      <w:marBottom w:val="0"/>
      <w:divBdr>
        <w:top w:val="none" w:sz="0" w:space="0" w:color="auto"/>
        <w:left w:val="none" w:sz="0" w:space="0" w:color="auto"/>
        <w:bottom w:val="none" w:sz="0" w:space="0" w:color="auto"/>
        <w:right w:val="none" w:sz="0" w:space="0" w:color="auto"/>
      </w:divBdr>
    </w:div>
    <w:div w:id="1783569147">
      <w:bodyDiv w:val="1"/>
      <w:marLeft w:val="0"/>
      <w:marRight w:val="0"/>
      <w:marTop w:val="0"/>
      <w:marBottom w:val="0"/>
      <w:divBdr>
        <w:top w:val="none" w:sz="0" w:space="0" w:color="auto"/>
        <w:left w:val="none" w:sz="0" w:space="0" w:color="auto"/>
        <w:bottom w:val="none" w:sz="0" w:space="0" w:color="auto"/>
        <w:right w:val="none" w:sz="0" w:space="0" w:color="auto"/>
      </w:divBdr>
    </w:div>
    <w:div w:id="18184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p.gov/trade/trade-community/programs-outreach/convict-import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bp.gov/trade/trade-enforcement/tftea/enforce-and-protect-act-eapa" TargetMode="External"/><Relationship Id="rId17" Type="http://schemas.openxmlformats.org/officeDocument/2006/relationships/hyperlink" Target="mailto:TFA@ustr.eop.gov" TargetMode="External"/><Relationship Id="rId2" Type="http://schemas.openxmlformats.org/officeDocument/2006/relationships/customXml" Target="../customXml/item2.xml"/><Relationship Id="rId16" Type="http://schemas.openxmlformats.org/officeDocument/2006/relationships/hyperlink" Target="https://www.tfadatabase.org/members/united-states-of-ameri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FA@ustr.eop.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bp.gov/trade/priority-issues/ipr/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DDBVenCity xmlns="21825695-5fbc-4f8f-8909-2f62151a4dcc" xsi:nil="true"/>
    <MDDBVenEco xmlns="21825695-5fbc-4f8f-8909-2f62151a4dcc" xsi:nil="true"/>
    <MDDBStatus xmlns="21825695-5fbc-4f8f-8909-2f62151a4dcc" xsi:nil="true"/>
    <MDDBDocNum xmlns="21825695-5fbc-4f8f-8909-2f62151a4dcc" xsi:nil="true"/>
    <MDDBEndDate xmlns="21825695-5fbc-4f8f-8909-2f62151a4dcc" xsi:nil="true"/>
    <MDDBSubEco xmlns="21825695-5fbc-4f8f-8909-2f62151a4dcc"/>
    <MDDBOrder xmlns="21825695-5fbc-4f8f-8909-2f62151a4dcc">99999</MDDBOrder>
    <MDDBClass xmlns="21825695-5fbc-4f8f-8909-2f62151a4dcc" xsi:nil="true"/>
    <MDDBDocType xmlns="21825695-5fbc-4f8f-8909-2f62151a4dcc" xsi:nil="true"/>
    <MDDBSubOrg xmlns="21825695-5fbc-4f8f-8909-2f62151a4dcc"/>
    <MDDBStartDate xmlns="21825695-5fbc-4f8f-8909-2f62151a4dcc" xsi:nil="true"/>
    <MDDBMeetingName xmlns="21825695-5fbc-4f8f-8909-2f62151a4dcc" xsi:nil="true"/>
    <MDDBSubGroup xmlns="21825695-5fbc-4f8f-8909-2f62151a4dcc">
      <Value>Committee on Trade and Investment (CTI)</Value>
    </MDDBSubGroup>
    <MDDBTitle xmlns="21825695-5fbc-4f8f-8909-2f62151a4dcc" xsi:nil="true"/>
    <MDDBGroup xmlns="21825695-5fbc-4f8f-8909-2f62151a4dcc">
      <Value>APEC Ministerial Meetings (AMM)</Value>
    </MDDB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FB9D2041F12D4CA412A4929D3C2FD2" ma:contentTypeVersion="15" ma:contentTypeDescription="Create a new document." ma:contentTypeScope="" ma:versionID="492ceb5944b1b78589e79eb4f06ac627">
  <xsd:schema xmlns:xsd="http://www.w3.org/2001/XMLSchema" xmlns:p="http://schemas.microsoft.com/office/2006/metadata/properties" xmlns:ns2="21825695-5fbc-4f8f-8909-2f62151a4dcc" targetNamespace="http://schemas.microsoft.com/office/2006/metadata/properties" ma:root="true" ma:fieldsID="7204edf23488f5d0bb328f86a9ae3592" ns2:_="">
    <xsd:import namespace="21825695-5fbc-4f8f-8909-2f62151a4dcc"/>
    <xsd:element name="properties">
      <xsd:complexType>
        <xsd:sequence>
          <xsd:element name="documentManagement">
            <xsd:complexType>
              <xsd:all>
                <xsd:element ref="ns2:MDDBDocType" minOccurs="0"/>
                <xsd:element ref="ns2:MDDBOrder" minOccurs="0"/>
                <xsd:element ref="ns2:MDDBDocNum" minOccurs="0"/>
                <xsd:element ref="ns2:MDDBTitle" minOccurs="0"/>
                <xsd:element ref="ns2:MDDBStartDate" minOccurs="0"/>
                <xsd:element ref="ns2:MDDBEndDate" minOccurs="0"/>
                <xsd:element ref="ns2:MDDBMeetingName" minOccurs="0"/>
                <xsd:element ref="ns2:MDDBVenEco" minOccurs="0"/>
                <xsd:element ref="ns2:MDDBVenCity" minOccurs="0"/>
                <xsd:element ref="ns2:MDDBGroup" minOccurs="0"/>
                <xsd:element ref="ns2:MDDBSubEco" minOccurs="0"/>
                <xsd:element ref="ns2:MDDBSubGroup" minOccurs="0"/>
                <xsd:element ref="ns2:MDDBSubOrg" minOccurs="0"/>
                <xsd:element ref="ns2:MDDBClass" minOccurs="0"/>
                <xsd:element ref="ns2:MDDBStatus" minOccurs="0"/>
              </xsd:all>
            </xsd:complexType>
          </xsd:element>
        </xsd:sequence>
      </xsd:complexType>
    </xsd:element>
  </xsd:schema>
  <xsd:schema xmlns:xsd="http://www.w3.org/2001/XMLSchema" xmlns:dms="http://schemas.microsoft.com/office/2006/documentManagement/types" targetNamespace="21825695-5fbc-4f8f-8909-2f62151a4dcc" elementFormDefault="qualified">
    <xsd:import namespace="http://schemas.microsoft.com/office/2006/documentManagement/types"/>
    <xsd:element name="MDDBDocType" ma:index="8" nillable="true" ma:displayName="Document Type" ma:format="Dropdown" ma:internalName="MDDBDocType">
      <xsd:simpleType>
        <xsd:restriction base="dms:Choice">
          <xsd:enumeration value="Agenda"/>
          <xsd:enumeration value="Document List"/>
          <xsd:enumeration value="Leaders’ Declaration"/>
          <xsd:enumeration value="Ministerial Statement - Annual"/>
          <xsd:enumeration value="Ministerial Statement - Sectoral"/>
          <xsd:enumeration value="Participant List"/>
          <xsd:enumeration value="Paper"/>
          <xsd:enumeration value="Summary Record"/>
        </xsd:restriction>
      </xsd:simpleType>
    </xsd:element>
    <xsd:element name="MDDBOrder" ma:index="9" nillable="true" ma:displayName="Custom Order" ma:decimals="0" ma:default="99999" ma:internalName="MDDBOrder">
      <xsd:simpleType>
        <xsd:restriction base="dms:Number"/>
      </xsd:simpleType>
    </xsd:element>
    <xsd:element name="MDDBDocNum" ma:index="10" nillable="true" ma:displayName="Document Number" ma:internalName="MDDBDocNum">
      <xsd:simpleType>
        <xsd:restriction base="dms:Text">
          <xsd:maxLength value="255"/>
        </xsd:restriction>
      </xsd:simpleType>
    </xsd:element>
    <xsd:element name="MDDBTitle" ma:index="11" nillable="true" ma:displayName="Document Title" ma:internalName="MDDBTitle">
      <xsd:simpleType>
        <xsd:restriction base="dms:Note"/>
      </xsd:simpleType>
    </xsd:element>
    <xsd:element name="MDDBStartDate" ma:index="12" nillable="true" ma:displayName="Meeting Start Date" ma:format="DateOnly" ma:internalName="MDDBStartDate">
      <xsd:simpleType>
        <xsd:restriction base="dms:DateTime"/>
      </xsd:simpleType>
    </xsd:element>
    <xsd:element name="MDDBEndDate" ma:index="13" nillable="true" ma:displayName="Meeting End Date" ma:format="DateOnly" ma:internalName="MDDBEndDate">
      <xsd:simpleType>
        <xsd:restriction base="dms:DateTime"/>
      </xsd:simpleType>
    </xsd:element>
    <xsd:element name="MDDBMeetingName" ma:index="14" nillable="true" ma:displayName="Meeting Name" ma:internalName="MDDBMeetingName">
      <xsd:simpleType>
        <xsd:restriction base="dms:Note"/>
      </xsd:simpleType>
    </xsd:element>
    <xsd:element name="MDDBVenEco" ma:index="15" nillable="true" ma:displayName="Meeting Venue - Economy" ma:format="Dropdown" ma:internalName="MDDBVenEco">
      <xsd:simpleType>
        <xsd:restriction base="dms:Choice">
          <xsd:enumeration value="Australia"/>
          <xsd:enumeration value="Brunei Darussalam"/>
          <xsd:enumeration value="Canada"/>
          <xsd:enumeration value="Chile"/>
          <xsd:enumeration value="China"/>
          <xsd:enumeration value="Hong Kong, China"/>
          <xsd:enumeration value="Indonesia"/>
          <xsd:enumeration value="Japan"/>
          <xsd:enumeration value="Korea"/>
          <xsd:enumeration value="Malaysia"/>
          <xsd:enumeration value="Mexico"/>
          <xsd:enumeration value="New Zealand"/>
          <xsd:enumeration value="Papua New Guinea"/>
          <xsd:enumeration value="Peru"/>
          <xsd:enumeration value="Philippines"/>
          <xsd:enumeration value="Russia"/>
          <xsd:enumeration value="Singapore"/>
          <xsd:enumeration value="Chinese Taipei"/>
          <xsd:enumeration value="Thailand"/>
          <xsd:enumeration value="United States"/>
          <xsd:enumeration value="Viet Nam"/>
        </xsd:restriction>
      </xsd:simpleType>
    </xsd:element>
    <xsd:element name="MDDBVenCity" ma:index="16" nillable="true" ma:displayName="Meeting Venue - City" ma:format="Dropdown" ma:internalName="MDDBVenCity">
      <xsd:simpleType>
        <xsd:union memberTypes="dms:Text">
          <xsd:simpleType>
            <xsd:restriction base="dms:Choice">
              <xsd:enumeration value="Acapulco"/>
              <xsd:enumeration value="Adelaide"/>
              <xsd:enumeration value="Antofagasta"/>
              <xsd:enumeration value="Arequipa"/>
              <xsd:enumeration value="Auckland"/>
              <xsd:enumeration value="Ayutthaya"/>
              <xsd:enumeration value="Bandar Seri Begawan"/>
              <xsd:enumeration value="Bandung"/>
              <xsd:enumeration value="Bangkok"/>
              <xsd:enumeration value="Bali"/>
              <xsd:enumeration value="Beijing"/>
              <xsd:enumeration value="Beppu"/>
              <xsd:enumeration value="Big Sky"/>
              <xsd:enumeration value="Blake's Island"/>
              <xsd:enumeration value="Bogor"/>
              <xsd:enumeration value="Bohol"/>
              <xsd:enumeration value="Brisbane"/>
              <xsd:enumeration value="Busan"/>
              <xsd:enumeration value="Cairns"/>
              <xsd:enumeration value="Calgary"/>
              <xsd:enumeration value="Callao"/>
              <xsd:enumeration value="Canberra"/>
              <xsd:enumeration value="Cancun"/>
              <xsd:enumeration value="Cebu"/>
              <xsd:enumeration value="Chejudo"/>
              <xsd:enumeration value="Chiang Mai"/>
              <xsd:enumeration value="Chiang Rai"/>
              <xsd:enumeration value="Chicago"/>
              <xsd:enumeration value="Chiclayo"/>
              <xsd:enumeration value="Christchurch"/>
              <xsd:enumeration value="Coolum"/>
              <xsd:enumeration value="Cusco"/>
              <xsd:enumeration value="Da Nang"/>
              <xsd:enumeration value="Daegu"/>
              <xsd:enumeration value="Daejong"/>
              <xsd:enumeration value="Dalian"/>
              <xsd:enumeration value="Darwin"/>
              <xsd:enumeration value="Davao"/>
              <xsd:enumeration value="Edmonton"/>
              <xsd:enumeration value="Fukui"/>
              <xsd:enumeration value="Fukuoka"/>
              <xsd:enumeration value="Genting Highlands"/>
              <xsd:enumeration value="Gifu"/>
              <xsd:enumeration value="Ginowan"/>
              <xsd:enumeration value="Gold Coast"/>
              <xsd:enumeration value="Guadalajara"/>
              <xsd:enumeration value="Gwangju"/>
              <xsd:enumeration value="Gyeongju"/>
              <xsd:enumeration value="Ha Noi"/>
              <xsd:enumeration value="Hangzhou"/>
              <xsd:enumeration value="Hawaii"/>
              <xsd:enumeration value="Himeji"/>
              <xsd:enumeration value="Hiroshima"/>
              <xsd:enumeration value="Ho Chi Minh City"/>
              <xsd:enumeration value="Hobart"/>
              <xsd:enumeration value="Hoi An"/>
              <xsd:enumeration value="Hong Kong, China"/>
              <xsd:enumeration value="Hualien"/>
              <xsd:enumeration value="Incheon"/>
              <xsd:enumeration value="Iquitos"/>
              <xsd:enumeration value="Ixtapa"/>
              <xsd:enumeration value="Jakarta"/>
              <xsd:enumeration value="Jeju"/>
              <xsd:enumeration value="Jerudong"/>
              <xsd:enumeration value="Jinju"/>
              <xsd:enumeration value="Kananaskis"/>
              <xsd:enumeration value="Kanazawa"/>
              <xsd:enumeration value="Kaohsiung"/>
              <xsd:enumeration value="Khanh Hoa Province"/>
              <xsd:enumeration value="Khon Kaen"/>
              <xsd:enumeration value="Kitakyushu"/>
              <xsd:enumeration value="Kuala Lumpur"/>
              <xsd:enumeration value="Kuantan"/>
              <xsd:enumeration value="Kuching"/>
              <xsd:enumeration value="Kumamoto"/>
              <xsd:enumeration value="Kunming"/>
              <xsd:enumeration value="Kyongju"/>
              <xsd:enumeration value="Kyoto"/>
              <xsd:enumeration value="Langkawi"/>
              <xsd:enumeration value="Lima"/>
              <xsd:enumeration value="Lombok"/>
              <xsd:enumeration value="Los Cabos"/>
              <xsd:enumeration value="Makati"/>
              <xsd:enumeration value="Malacca"/>
              <xsd:enumeration value="Manila"/>
              <xsd:enumeration value="Manzanillo"/>
              <xsd:enumeration value="Melbourne"/>
              <xsd:enumeration value="Merida"/>
              <xsd:enumeration value="Mexico City"/>
              <xsd:enumeration value="Miyazaki"/>
              <xsd:enumeration value="Montreal"/>
              <xsd:enumeration value="Morelia"/>
              <xsd:enumeration value="Moscow"/>
              <xsd:enumeration value="Nara"/>
              <xsd:enumeration value="Nha Trang"/>
              <xsd:enumeration value="Niigata"/>
              <xsd:enumeration value="Oakland"/>
              <xsd:enumeration value="Okinawa"/>
              <xsd:enumeration value="Osaka"/>
              <xsd:enumeration value="Ottawa"/>
              <xsd:enumeration value="Paracas"/>
              <xsd:enumeration value="Pattaya"/>
              <xsd:enumeration value="Penang"/>
              <xsd:enumeration value="Perth"/>
              <xsd:enumeration value="Petchburi"/>
              <xsd:enumeration value="Phuket"/>
              <xsd:enumeration value="Piura"/>
              <xsd:enumeration value="Port Douglas"/>
              <xsd:enumeration value="Port Moresby"/>
              <xsd:enumeration value="Portland"/>
              <xsd:enumeration value="Pucón"/>
              <xsd:enumeration value="Puerto Vallarta"/>
              <xsd:enumeration value="Puerto Varas"/>
              <xsd:enumeration value="Punta Arenas"/>
              <xsd:enumeration value="Qingdao"/>
              <xsd:enumeration value="Quang Ninh Province"/>
              <xsd:enumeration value="Quebec"/>
              <xsd:enumeration value="Queensland"/>
              <xsd:enumeration value="Ranzan"/>
              <xsd:enumeration value="Rotorua"/>
              <xsd:enumeration value="San Diego"/>
              <xsd:enumeration value="San Francisco"/>
              <xsd:enumeration value="Sandakan"/>
              <xsd:enumeration value="Santiago"/>
              <xsd:enumeration value="Sapporo"/>
              <xsd:enumeration value="Seattle"/>
              <xsd:enumeration value="Sendai"/>
              <xsd:enumeration value="Seoul"/>
              <xsd:enumeration value="Shanghai"/>
              <xsd:enumeration value="Shenyang"/>
              <xsd:enumeration value="Shenzhen"/>
              <xsd:enumeration value="Shizuoka"/>
              <xsd:enumeration value="Sidney"/>
              <xsd:enumeration value="Singapore"/>
              <xsd:enumeration value="Southern Highlands, NSW"/>
              <xsd:enumeration value="St. John's"/>
              <xsd:enumeration value="St. Petersburg"/>
              <xsd:enumeration value="Subic"/>
              <xsd:enumeration value="Suzhou"/>
              <xsd:enumeration value="Sydney"/>
              <xsd:enumeration value="Taipei"/>
              <xsd:enumeration value="Terengganu"/>
              <xsd:enumeration value="Ternate"/>
              <xsd:enumeration value="Tokyo"/>
              <xsd:enumeration value="Toronto"/>
              <xsd:enumeration value="Trujillo"/>
              <xsd:enumeration value="Ulsan"/>
              <xsd:enumeration value="Vancouver"/>
              <xsd:enumeration value="Victoria"/>
              <xsd:enumeration value="Viña del Mar"/>
              <xsd:enumeration value="Vladivostok"/>
              <xsd:enumeration value="Washington, D.C."/>
              <xsd:enumeration value="Wellington"/>
              <xsd:enumeration value="Williamsburg"/>
              <xsd:enumeration value="Yogyakarta"/>
              <xsd:enumeration value="Yokohama"/>
              <xsd:enumeration value="Yuzhno-Sakhalinsk"/>
            </xsd:restriction>
          </xsd:simpleType>
        </xsd:union>
      </xsd:simpleType>
    </xsd:element>
    <xsd:element name="MDDBGroup" ma:index="17" nillable="true" ma:displayName="APEC Group" ma:internalName="MDDBGroup">
      <xsd:complexType>
        <xsd:complexContent>
          <xsd:extension base="dms:MultiChoice">
            <xsd:sequence>
              <xsd:element name="Value" maxOccurs="unbounded" minOccurs="0" nillable="true">
                <xsd:simpleType>
                  <xsd:restriction base="dms:Choice">
                    <xsd:enumeration value="Agricultural Technical Cooperation Working Group (ATCWG)"/>
                    <xsd:enumeration value="Anti-Corruption and Transparency Experts Task Force (ACT)"/>
                    <xsd:enumeration value="Anti-Corruption and Transparency Experts Working Group (ACTWG)"/>
                    <xsd:enumeration value="APEC Ministerial Meetings (AMM)"/>
                    <xsd:enumeration value="APEC Economic Leaders' Meeting (AELM)"/>
                    <xsd:enumeration value="Automotive Dialogue (AD)"/>
                    <xsd:enumeration value="Avian and Influenza Pandemics Ministerial Meeting (AIPMM)"/>
                    <xsd:enumeration value="Budget and Management Committee (BMC)"/>
                    <xsd:enumeration value="Business Mobility Group (BMG)"/>
                    <xsd:enumeration value="Chemical Dialogue (CD)"/>
                    <xsd:enumeration value="Committee on Trade and Investment (CTI)"/>
                    <xsd:enumeration value="Committee on Trade and Investment Groups"/>
                    <xsd:enumeration value="Committees"/>
                    <xsd:enumeration value="Competition Policy and Deregulation Group (CPDG)"/>
                    <xsd:enumeration value="Competition Policy and Law Group (CPLG)"/>
                    <xsd:enumeration value="Counter-Terrorism Task Force (CTTF)"/>
                    <xsd:enumeration value="Cultural Focal Point Network (CFPN)"/>
                    <xsd:enumeration value="Economic Committee (EC)"/>
                    <xsd:enumeration value="Education Ministerial Meetings (AEMM)"/>
                    <xsd:enumeration value="Electronic Commerce Steering Group (ECSG)"/>
                    <xsd:enumeration value="Emergency Preparedness Working Group (EPWG)"/>
                    <xsd:enumeration value="Energy Ministerial Meetings (EMM)"/>
                    <xsd:enumeration value="Energy Working Group (EWG)"/>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Gender Focal Point Network (GFPN)"/>
                    <xsd:enumeration value="Government Procurement Experts' Group (GPEG)"/>
                    <xsd:enumeration value="Group on Services (GOS)"/>
                    <xsd:enumeration value="Growth Strategy High-Level Policy Round Table (HLRT)"/>
                    <xsd:enumeration value="Health Ministerial Meetings (HMM)"/>
                    <xsd:enumeration value="Health Task Force (HTF)"/>
                    <xsd:enumeration value="Health Working Group (HWG)"/>
                    <xsd:enumeration value="High Level Meeting on Health and the Economy (HLM-HE)"/>
                    <xsd:enumeration value="High Level Policy Dialogue on Agricultural Biotechnology (HLPDAB)"/>
                    <xsd:enumeration value="High Level Policy Dialogue on Disaster Resiliency (HLPD-DR)"/>
                    <xsd:enumeration value="High Level Policy Dialogue on Open Governance and Economic Growth (HLPD-OGEG)"/>
                    <xsd:enumeration value="High Level Policy Dialogue on Women and the Economy (HLPD-WE)"/>
                    <xsd:enumeration value="Human Resource Development Ministerial Meetings (HRDMM)"/>
                    <xsd:enumeration value="Human Resources Development Working Group (HRDWG)"/>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Life Sciences Innovation Forum (LSIF)"/>
                    <xsd:enumeration value="Marine Resource Conservation Working Group (MRCWG)"/>
                    <xsd:enumeration value="Market Access Group (MAG)"/>
                    <xsd:enumeration value="Mining Ministerial Meetings (MRM)"/>
                    <xsd:enumeration value="Mining Task Force (MTF)"/>
                    <xsd:enumeration value="Non-Ferrous Metals Dialogue (NFMD)"/>
                    <xsd:enumeration value="Ocean and Fisheries Working Group (OFWG)"/>
                    <xsd:enumeration value="Ocean-Related Ministerial Meetings (OMM)"/>
                    <xsd:enumeration value="Other APEC Groups"/>
                    <xsd:enumeration value="Policy Partnership on Women and the Economy (PPWE)"/>
                    <xsd:enumeration value="Science and Technology Ministerial Meetings (STMM)"/>
                    <xsd:enumeration value="Sectoral Ministerial Meetings"/>
                    <xsd:enumeration value="Senior Officials' Meeting Task Groups"/>
                    <xsd:enumeration value="Senior Officials' Meetings (SOM)"/>
                    <xsd:enumeration value="Small and Medium Enterprises Ministerial Meetings (SMEMM)"/>
                    <xsd:enumeration value="Small and Medium Enterprises Working Group (SMEWG)"/>
                    <xsd:enumeration value="Social Safety Net Capacity Building Network (SSN-CBN)"/>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SD)"/>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orking Groups"/>
                    <xsd:enumeration value="WTO Capacity Building Group (WCBG)"/>
                  </xsd:restriction>
                </xsd:simpleType>
              </xsd:element>
            </xsd:sequence>
          </xsd:extension>
        </xsd:complexContent>
      </xsd:complexType>
    </xsd:element>
    <xsd:element name="MDDBSubEco" ma:index="18" nillable="true" ma:displayName="Submitted by - Economies" ma:internalName="MDDBSubEco">
      <xsd:complexType>
        <xsd:complexContent>
          <xsd:extension base="dms:MultiChoice">
            <xsd:sequence>
              <xsd:element name="Value" maxOccurs="unbounded" minOccurs="0" nillable="true">
                <xsd:simpleType>
                  <xsd:restriction base="dms:Choice">
                    <xsd:enumeration value="Australia"/>
                    <xsd:enumeration value="Brunei Darussalam"/>
                    <xsd:enumeration value="Cambodia"/>
                    <xsd:enumeration value="Canada"/>
                    <xsd:enumeration value="Chile"/>
                    <xsd:enumeration value="China"/>
                    <xsd:enumeration value="Colombia"/>
                    <xsd:enumeration value="Costa Rica"/>
                    <xsd:enumeration value="Croatia"/>
                    <xsd:enumeration value="Dominican Republic"/>
                    <xsd:enumeration value="Egypt"/>
                    <xsd:enumeration value="France"/>
                    <xsd:enumeration value="Hong Kong, China"/>
                    <xsd:enumeration value="Hungary"/>
                    <xsd:enumeration value="India"/>
                    <xsd:enumeration value="Indonesia"/>
                    <xsd:enumeration value="Ireland"/>
                    <xsd:enumeration value="Japan"/>
                    <xsd:enumeration value="Korea"/>
                    <xsd:enumeration value="Laos"/>
                    <xsd:enumeration value="Macao, China"/>
                    <xsd:enumeration value="Malaysia"/>
                    <xsd:enumeration value="Mexico"/>
                    <xsd:enumeration value="Netherlands"/>
                    <xsd:enumeration value="New Zealand"/>
                    <xsd:enumeration value="Papua New Guinea"/>
                    <xsd:enumeration value="Peru"/>
                    <xsd:enumeration value="Philippines"/>
                    <xsd:enumeration value="Poland"/>
                    <xsd:enumeration value="Russia"/>
                    <xsd:enumeration value="Saudi Arabia"/>
                    <xsd:enumeration value="Singapore"/>
                    <xsd:enumeration value="Sweden"/>
                    <xsd:enumeration value="Chinese Taipei"/>
                    <xsd:enumeration value="Thailand"/>
                    <xsd:enumeration value="United Kingdom"/>
                    <xsd:enumeration value="United States"/>
                    <xsd:enumeration value="Viet Nam"/>
                  </xsd:restriction>
                </xsd:simpleType>
              </xsd:element>
            </xsd:sequence>
          </xsd:extension>
        </xsd:complexContent>
      </xsd:complexType>
    </xsd:element>
    <xsd:element name="MDDBSubGroup" ma:index="19" nillable="true" ma:displayName="Submitted by - APEC Group" ma:internalName="MDDBSubGroup">
      <xsd:complexType>
        <xsd:complexContent>
          <xsd:extension base="dms:MultiChoice">
            <xsd:sequence>
              <xsd:element name="Value" maxOccurs="unbounded" minOccurs="0" nillable="true">
                <xsd:simpleType>
                  <xsd:restriction base="dms:Choice">
                    <xsd:enumeration value="Ad Hoc Advisory Group on Gender Integration (AGGI)"/>
                    <xsd:enumeration value="Agricultural Technical Cooperation Working Group (ATCWG)"/>
                    <xsd:enumeration value="Anti-Corruption and Transparency Experts Task Force (ACT)"/>
                    <xsd:enumeration value="Anti-Corruption and Transparency Experts Working Group (ACTWG)"/>
                    <xsd:enumeration value="APEC Business Advisory Council (ABAC)"/>
                    <xsd:enumeration value="APEC Climate Center (APCC)"/>
                    <xsd:enumeration value="APEC E-Commerce Business Alliance (ECBA)"/>
                    <xsd:enumeration value="APEC Economic Leaders' Meeting (AELM)"/>
                    <xsd:enumeration value="APEC Education Foundation"/>
                    <xsd:enumeration value="APEC Harmonization Center"/>
                    <xsd:enumeration value="APEC International Centre for Sustainable Tourism (AICST)"/>
                    <xsd:enumeration value="APEC Ministerial Meetings (AMM)"/>
                    <xsd:enumeration value="APEC Secretariat"/>
                    <xsd:enumeration value="APEC SME Innovation Center (SMEIC)"/>
                    <xsd:enumeration value="APEC Study Centre - Australia"/>
                    <xsd:enumeration value="APEC Study Center - China"/>
                    <xsd:enumeration value="APEC Study Centre - New Zealand"/>
                    <xsd:enumeration value="APEC Study Centre Consortium (ASCC)"/>
                    <xsd:enumeration value="Automotive Dialogue (AD)"/>
                    <xsd:enumeration value="Avian and Influenza Pandemics Ministerial Meeting (AIPMM)"/>
                    <xsd:enumeration value="Budget and Management Committee (BMC)"/>
                    <xsd:enumeration value="Business Mobility Group (BMG)"/>
                    <xsd:enumeration value="Capacity Building Network (CBN) - Human Resources Development Working Group (HRDWG)"/>
                    <xsd:enumeration value="Chemical Dialogue (CD)"/>
                    <xsd:enumeration value="Committee on Trade and Investment (CTI)"/>
                    <xsd:enumeration value="Competition Policy and Deregulation Group (CPDG)"/>
                    <xsd:enumeration value="Competition Policy and Law Group (CPLG)"/>
                    <xsd:enumeration value="Counter-Terrorism Task Force (CTTF)"/>
                    <xsd:enumeration value="Cross-Border Rules Study Group - Electronic Commerce Steering Group (ECSG)"/>
                    <xsd:enumeration value="Cultural Focal Point Network (CFPN)"/>
                    <xsd:enumeration value="Data Privacy Subgroup (DPS) - Electronic Commerce Steering Group (ECSG)"/>
                    <xsd:enumeration value="Economic Committee (EC)"/>
                    <xsd:enumeration value="Education Ministerial Meetings (AEMM)"/>
                    <xsd:enumeration value="Education Network (EDNET) - Human Resources Development Working Group (HRDWG)"/>
                    <xsd:enumeration value="Electronic Commerce Steering Group (ECSG)"/>
                    <xsd:enumeration value="Emergency Preparedness Working Group (EPWG)"/>
                    <xsd:enumeration value="Energy Ministerial Meetings (EMM)"/>
                    <xsd:enumeration value="Energy Working Group (EWG)"/>
                    <xsd:enumeration value="Energy Working Group Biofuels Task Force (BTF)"/>
                    <xsd:enumeration value="Energy Working Group Business Network (EBN)"/>
                    <xsd:enumeration value="Energy Working Group Expert Group on Clean Fossil Energy (EGCFE)"/>
                    <xsd:enumeration value="Energy Working Group Expert Group on Energy Data &amp; Analysis (EGEDA)"/>
                    <xsd:enumeration value="Energy Working Group Expert Group on Energy Efficiency &amp; Conservation (EGEEC)"/>
                    <xsd:enumeration value="Energy Working Group Expert Group on New and Renewable Energy Technologies (EGNRET)"/>
                    <xsd:enumeration value="Energy Working Group Energy Trade and Investment Task Force (ETITF)"/>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Friends of the Chair (FOTC) - Action Plan"/>
                    <xsd:enumeration value="Friends of the Chair (FOTC) - Committee on Trade and Investment (CTI)"/>
                    <xsd:enumeration value="Friends of the Chair (FOTC) - Reform"/>
                    <xsd:enumeration value="Friends of the Chair (FOTC) - RTAs/FTAs"/>
                    <xsd:enumeration value="Friends of the Chair (FOTC) - Trade Facilitation"/>
                    <xsd:enumeration value="Friends of the Chair (FOTC) - Transparency and Anti-Corruption"/>
                    <xsd:enumeration value="Gender Focal Point Network (GFPN)"/>
                    <xsd:enumeration value="Geneva APEC Caucus"/>
                    <xsd:enumeration value="Government Procurement Experts' Group (GPEG)"/>
                    <xsd:enumeration value="Group on Services (GOS)"/>
                    <xsd:enumeration value="Health Ministerial Meetings (HMM)"/>
                    <xsd:enumeration value="Health Task Force (HTF)"/>
                    <xsd:enumeration value="Health Working Group (HWG)"/>
                    <xsd:enumeration value="High Level Meeting on Health and the Economy (HLM-HE)"/>
                    <xsd:enumeration value="High Level Policy Dialogue on Agricultural Biotechnology (HLPDAB)"/>
                    <xsd:enumeration value="High Level Policy Dialogue on Disaster Resiliency (HLPD-DR)"/>
                    <xsd:enumeration value="High Level Policy Dialogue on Open Governance and Economic Growth (HLPD-OGEG)"/>
                    <xsd:enumeration value="High Level Policy Dialogue on Women and the Economy (HLPD-WE)"/>
                    <xsd:enumeration value="Human Resource Development Ministerial Meetings (HRDMM)"/>
                    <xsd:enumeration value="Human Resources Development Working Group (HRDWG)"/>
                    <xsd:enumeration value="ICT Development Steering Group (DSG) - Telecommunications and Information Working Group (TEL)"/>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Joint Advisory Committee (JAC)- Sub-Committee on Standards and Conformance (SCSC)"/>
                    <xsd:enumeration value="Labour and Social Protection Network (LSPN) - Human Resources Development Working Group (HRDWG)"/>
                    <xsd:enumeration value="Liberalization Steering Group (LSG) - Telecommunications and Information Working Group (TEL)"/>
                    <xsd:enumeration value="Life Sciences Innovation Forum (LSIF)"/>
                    <xsd:enumeration value="Marine Resource Conservation Working Group (MRCWG)"/>
                    <xsd:enumeration value="Market Access Group (MAG)"/>
                    <xsd:enumeration value="Micro-Enterprises Sub-Group (MESG) - Small and Medium Enterprises Working Group (SMEWG)"/>
                    <xsd:enumeration value="Mid-Term Stocktake Steering Group"/>
                    <xsd:enumeration value="Mining Ministerial Meetings (MRM)"/>
                    <xsd:enumeration value="Mining Task Force (MTF)"/>
                    <xsd:enumeration value="Mutual Recognition Arrangement Task Force (MRATF) - Telecommunications and Information Working Group (TEL)"/>
                    <xsd:enumeration value="Non-Ferrous Metals Dialogue (NFMD)"/>
                    <xsd:enumeration value="Ocean and Fisheries Working Group (OFWG)"/>
                    <xsd:enumeration value="Ocean-Related Ministerial Meetings (OMM)"/>
                    <xsd:enumeration value="Paperless Trading Subgroup (PTS) - Electronic Commerce Steering Group (ECSG)"/>
                    <xsd:enumeration value="Policy Partnership on Women and the Economy (PPWE)"/>
                    <xsd:enumeration value="Regulatory Harmonization Steering Committee (RHSC) - Life Sciences Innovation Forum (LSIF)"/>
                    <xsd:enumeration value="Research, Development and Extension of Agricultural Biotechnology (RDEAB) - Agriculture Technical Cooperation Working Group (ATCWG)"/>
                    <xsd:enumeration value="Science and Technology Ministerial Meetings (STMM)"/>
                    <xsd:enumeration value="Security and Prosperity Steering Group (SPSG) - Telecommunications and Information Working Group (TEL)"/>
                    <xsd:enumeration value="Senior Officials' Meetings (SOM)"/>
                    <xsd:enumeration value="Single Window Working Group (SWWG) - Sub-Committee on Customs Procedures (SCCP)"/>
                    <xsd:enumeration value="Small and Medium Enterprises Ministerial Meetings (SMEMM)"/>
                    <xsd:enumeration value="Small and Medium Enterprises Working Group (SMEWG)"/>
                    <xsd:enumeration value="Social Safety Net Capacity Building Network (SSN-CBN)"/>
                    <xsd:enumeration value="SOM Committee on Economic and Technical Cooperation (ESC)"/>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TO Capacity Building Group (WCBG)"/>
                  </xsd:restriction>
                </xsd:simpleType>
              </xsd:element>
            </xsd:sequence>
          </xsd:extension>
        </xsd:complexContent>
      </xsd:complexType>
    </xsd:element>
    <xsd:element name="MDDBSubOrg" ma:index="20" nillable="true" ma:displayName="Submitted by - Organisations" ma:internalName="MDDBSubOrg">
      <xsd:complexType>
        <xsd:complexContent>
          <xsd:extension base="dms:MultiChoiceFillIn">
            <xsd:sequence>
              <xsd:element name="Value" maxOccurs="unbounded" minOccurs="0" nillable="true">
                <xsd:simpleType>
                  <xsd:union memberTypes="dms:Text">
                    <xsd:simpleType>
                      <xsd:restriction base="dms:Choice">
                        <xsd:enumeration value="3M"/>
                        <xsd:enumeration value="a2peak Power"/>
                        <xsd:enumeration value="A.S. Louken Group Pte Ltd"/>
                        <xsd:enumeration value="Abbott Laboratories"/>
                        <xsd:enumeration value="Accenture"/>
                        <xsd:enumeration value="ACCORD Australasia Limited"/>
                        <xsd:enumeration value="ACP Computer Training and Consultancy"/>
                        <xsd:enumeration value="Action Community for Entrepreneurship (ACE)"/>
                        <xsd:enumeration value="Acushnet Company"/>
                        <xsd:enumeration value="Advanced Material On Technology (AMOTECH)"/>
                        <xsd:enumeration value="Advanced Medical Technology Association (AdvaMed)"/>
                        <xsd:enumeration value="Advanced Micro Devices"/>
                        <xsd:enumeration value="Aeropuertos del Perú"/>
                        <xsd:enumeration value="Age-friendly New York City"/>
                        <xsd:enumeration value="Age Wave"/>
                        <xsd:enumeration value="Agencia Chilena de Eficiencia. Energética (ACHEE)"/>
                        <xsd:enumeration value="Agilent Technologies"/>
                        <xsd:enumeration value="Agrícola Athos S.A."/>
                        <xsd:enumeration value="Air-Conditioning, Heating, and Refrigeration Institute (AHRI)"/>
                        <xsd:enumeration value="Airspan"/>
                        <xsd:enumeration value="Ajou University"/>
                        <xsd:enumeration value="Alam Sekitar Malaysia Sdn Bhd (ASMA)"/>
                        <xsd:enumeration value="Alcatel-Lucent"/>
                        <xsd:enumeration value="Alhen"/>
                        <xsd:enumeration value="Alita"/>
                        <xsd:enumeration value="All Real Technology Co., Ltd"/>
                        <xsd:enumeration value="All-Russia Market Research Institute (VNIKI)"/>
                        <xsd:enumeration value="Allen &amp; Gledhill LLP"/>
                        <xsd:enumeration value="Alliance for Financial Inclusion (AFI)"/>
                        <xsd:enumeration value="Alliance to Save Energy"/>
                        <xsd:enumeration value="Alpamayo Entertainment"/>
                        <xsd:enumeration value="Alston &amp; Bird LLP"/>
                        <xsd:enumeration value="American Automotive Policy Council (AAPC)"/>
                        <xsd:enumeration value="American Bar Association"/>
                        <xsd:enumeration value="American Chamber of Commerce (Singapore)"/>
                        <xsd:enumeration value="American Chemistry Council"/>
                        <xsd:enumeration value="American Commercial Transport"/>
                        <xsd:enumeration value="American Forest &amp; Paper Association (AF&amp;PA)"/>
                        <xsd:enumeration value="American Council for an Energy-Efficient Economy (ACEEE)"/>
                        <xsd:enumeration value="American Institute of Certified Public Accountants (AICPA)"/>
                        <xsd:enumeration value="American National Standards Institute (ANSI)"/>
                        <xsd:enumeration value="American Registry for Internet Numbers (ARIN)"/>
                        <xsd:enumeration value="American Science and Engineering, Inc. (AS&amp;E)"/>
                        <xsd:enumeration value="American Society of Heating, Refrigerating and Air-Conditioning Engineers (ASHRAE)"/>
                        <xsd:enumeration value="AmericanTCB (ATCB)"/>
                        <xsd:enumeration value="Ancora Capital Management"/>
                        <xsd:enumeration value="Animation Council of the Philippines, Inc. (ACPI)"/>
                        <xsd:enumeration value="Antamina"/>
                        <xsd:enumeration value="Aoyama Gakuin University"/>
                        <xsd:enumeration value="APL Limited"/>
                        <xsd:enumeration value="Applied Materials (AMAT)"/>
                        <xsd:enumeration value="Aquatec-Maxcon"/>
                        <xsd:enumeration value="Arbortech"/>
                        <xsd:enumeration value="Arcadia Biosciences"/>
                        <xsd:enumeration value="Armstrong"/>
                        <xsd:enumeration value="Arnold &amp; Porter LLP"/>
                        <xsd:enumeration value="Arizona State University (ASU)"/>
                        <xsd:enumeration value="ASEAN Automotive Federation (AAF)"/>
                        <xsd:enumeration value="ASEAN Business Advisory Council (ASEAN-BAC)"/>
                        <xsd:enumeration value="ASEAN Primary Care Association"/>
                        <xsd:enumeration value="Asia BioBusiness Pte. Ltd"/>
                        <xsd:enumeration value="Asia Injury Prevention Foundation"/>
                        <xsd:enumeration value="Asia Oceania Electronic Marketplace Association (AOEMA)"/>
                        <xsd:enumeration value="Asia Pacific Chemical Industry Coalition (APCIC)"/>
                        <xsd:enumeration value="Asia Pacific Coalition Against Unsolicited Commercial Email (APCAUCE)"/>
                        <xsd:enumeration value="Asia-Pacific Computer Emergency Response Team (APCERT)"/>
                        <xsd:enumeration value="Asia-Pacific Credit Coalition (APCC)"/>
                        <xsd:enumeration value="Asia Pacific Energy Research Centre (APERC)"/>
                        <xsd:enumeration value="Asia-Pacific Finance and Development Center (AFDC)"/>
                        <xsd:enumeration value="Asia Pacific Foundation of Canada (APFC)"/>
                        <xsd:enumeration value="Asia-Pacific Industrial Property Center (APIC)"/>
                        <xsd:enumeration value="Asia Pacific Laboratory Accreditation Cooperation (APLAC)"/>
                        <xsd:enumeration value="Asia-Pacific Legal Metrology Forum (APLMF)"/>
                        <xsd:enumeration value="Asia-Pacific Metrology Programme (APMP)"/>
                        <xsd:enumeration value="Asia-Pacific Network for Sustainable Forest Management and Rehabilitation (APFNet)"/>
                        <xsd:enumeration value="Asia Pacific Network Information Centre ( APNIC)"/>
                        <xsd:enumeration value="Asia Pacific Privacy Authorities (APPA)"/>
                        <xsd:enumeration value="Asia-Pacific Telecommunity (APT)"/>
                        <xsd:enumeration value="Asian Development Bank (ADB)"/>
                        <xsd:enumeration value="Asian Development Bank Institute (ADBI)"/>
                        <xsd:enumeration value="Asian Disaster Preparedness Center (ADPC)"/>
                        <xsd:enumeration value="Asian Disaster Reduction and Response Network (ADRRN)"/>
                        <xsd:enumeration value="Asian Disaster Reduction Center (ADRC)"/>
                        <xsd:enumeration value="Asian Food Information Centre (AFIC)"/>
                        <xsd:enumeration value="Asian Institute of Management"/>
                        <xsd:enumeration value="Asian Institute of Technology (AIT)"/>
                        <xsd:enumeration value="Asian Pacific Women's Information Network Center (APWINC)"/>
                        <xsd:enumeration value="Asociación Chilena de Empresas de Tecnología de Información A.G. (ACTI)"/>
                        <xsd:enumeration value="Asociación de Exportadores (ADEX)"/>
                        <xsd:enumeration value="Asociación de Industrias Metalúrgicas y Metalmecánicas A.G. (ASIMET)"/>
                        <xsd:enumeration value="Asociación de Oficinas de Arquitectos de Chile (AOA)"/>
                        <xsd:enumeration value="Asociación Gremial de Empresas Internacionales de Productos Eléctricos (EPEI)"/>
                        <xsd:enumeration value="Asociación Gremial de Industriales Químicos de Chile (ASIQUIM)"/>
                        <xsd:enumeration value="Asociación Latinoamericana de Integración (ALADI)"/>
                        <xsd:enumeration value="Asociación Mexicana de la Industria Publicitaria y Comercial en el Internet (AMIPCI)"/>
                        <xsd:enumeration value="Asociacion Nacional de Normalizacion y Certificacion del Sector Electrico (ANCE)"/>
                        <xsd:enumeration value="Asociación Peruana de Productores de Software (APESOFT)"/>
                        <xsd:enumeration value="Assenda"/>
                        <xsd:enumeration value="Association Européenne du Cautionnement Mutuel (AECM)"/>
                        <xsd:enumeration value="Association of Accredited Advertising Agencies of Hong Kong (HK4As)"/>
                        <xsd:enumeration value="Association of Credit Rating Agencies in Asia (ACRAA)"/>
                        <xsd:enumeration value="Association of Pacific Rim Universities (APRU)"/>
                        <xsd:enumeration value="Association of Southeast Asian Nations (ASEAN)"/>
                        <xsd:enumeration value="Association of University Technology Managers (AUTM)"/>
                        <xsd:enumeration value="Assumption University"/>
                        <xsd:enumeration value="ASTM International"/>
                        <xsd:enumeration value="AT&amp;T"/>
                        <xsd:enumeration value="Atlas Material Testing Technology"/>
                        <xsd:enumeration value="Auburn University"/>
                        <xsd:enumeration value="Auscott Limited"/>
                        <xsd:enumeration value="Australia and New Zealand School of Government (ANZSOG)"/>
                        <xsd:enumeration value="Australia's National Computer Emergency Response Team (AusCERT)"/>
                        <xsd:enumeration value="Australian Bureau of Agricultural and Resource Economics (ABARE)"/>
                        <xsd:enumeration value="Australian Competition and Consumer Commission (ACCC)"/>
                        <xsd:enumeration value="Australian Electrical and Electronic Manufacturers' Association (AEEMA)"/>
                        <xsd:enumeration value="Australian Emergency Management Volunteer Forum (AEMVF)"/>
                        <xsd:enumeration value="Australian Federation Against Copyright Theft (AFACT)"/>
                        <xsd:enumeration value="Australian Food and Grocery Council (AFGC)"/>
                        <xsd:enumeration value="Australian Industry Greenhouse Network"/>
                        <xsd:enumeration value="Australian Information Industry Association (AIIA)"/>
                        <xsd:enumeration value="Australian Marketing Institute (AMI)"/>
                        <xsd:enumeration value="Australian National University (ANU)"/>
                        <xsd:enumeration value="Australasian Performing Right Association (APRA)"/>
                        <xsd:enumeration value="Australian Petroleum Production &amp; Exploration Association (APPEA)"/>
                        <xsd:enumeration value="Australian Privacy Foundation"/>
                        <xsd:enumeration value="Australian Red Cross"/>
                        <xsd:enumeration value="Australian Water Association (AWA)"/>
                        <xsd:enumeration value="Automotive Parts Remanufacturers Association (APRA)"/>
                        <xsd:enumeration value="Automotive Trade Policy Council (ATPC)"/>
                        <xsd:enumeration value="Avante International Technology, Inc."/>
                        <xsd:enumeration value="Axway"/>
                        <xsd:enumeration value="A-Z Solutions"/>
                        <xsd:enumeration value="AZCA, Inc."/>
                        <xsd:enumeration value="Babcock &amp; Brown Power"/>
                        <xsd:enumeration value="Baker &amp; McKenzie"/>
                        <xsd:enumeration value="Ballard Power Systems"/>
                        <xsd:enumeration value="Banchile Asesoría Financiera S.A."/>
                        <xsd:enumeration value="Bank Bukopin"/>
                        <xsd:enumeration value="Bank of Tokyo-Mitsubishi UFJ, Ltd."/>
                        <xsd:enumeration value="Bank Rakyat Indonesia (BRI)"/>
                        <xsd:enumeration value="Bankable Frontier Associates"/>
                        <xsd:enumeration value="BankThai Public Company Limited"/>
                        <xsd:enumeration value="BASF Petronas Chemicals"/>
                        <xsd:enumeration value="BASIX"/>
                        <xsd:enumeration value="Bauhinia Foundation Research Centre"/>
                        <xsd:enumeration value="Baycorp Advantage"/>
                        <xsd:enumeration value="Bayer CropScience"/>
                        <xsd:enumeration value="BBBOnline"/>
                        <xsd:enumeration value="BD"/>
                        <xsd:enumeration value="BearingPoint"/>
                        <xsd:enumeration value="Bedfordshire Chamber of Commerce"/>
                        <xsd:enumeration value="Beijing Normal University"/>
                        <xsd:enumeration value="Beijing University of Posts and Telecommunication (BUPT)"/>
                        <xsd:enumeration value="Benemann Associates"/>
                        <xsd:enumeration value="Best Buy"/>
                        <xsd:enumeration value="BiD Network"/>
                        <xsd:enumeration value="BII Group"/>
                        <xsd:enumeration value="Bio Economic Research Associates"/>
                        <xsd:enumeration value="Bio-Link Partners Ltd"/>
                        <xsd:enumeration value="bioDevelopments International Institute Inc."/>
                        <xsd:enumeration value="BioEuroLatina"/>
                        <xsd:enumeration value="Biomimicry Group"/>
                        <xsd:enumeration value="Biotechnology and Bioengineering"/>
                        <xsd:enumeration value="Biotechnology Coalition of the Philippines (BCP)"/>
                        <xsd:enumeration value="Biotechnology Industry Organization (BIO)"/>
                        <xsd:enumeration value="BlueScope Steel"/>
                        <xsd:enumeration value="Bloomberg"/>
                        <xsd:enumeration value="Boehmert &amp; Boehmert"/>
                        <xsd:enumeration value="Boeing"/>
                        <xsd:enumeration value="Boost Juice"/>
                        <xsd:enumeration value="Booz Allen Hamilton"/>
                        <xsd:enumeration value="BP"/>
                        <xsd:enumeration value="BP Solar"/>
                        <xsd:enumeration value="Brookings Institution"/>
                        <xsd:enumeration value="Bryan Cave LLP"/>
                        <xsd:enumeration value="BT"/>
                        <xsd:enumeration value="Bunkyo University"/>
                        <xsd:enumeration value="Burrill &amp; Company"/>
                        <xsd:enumeration value="Bursa Malaysia"/>
                        <xsd:enumeration value="Business and Industry Advisory Committee to the OECD (BIAC)"/>
                        <xsd:enumeration value="Business Continuity Management Institute"/>
                        <xsd:enumeration value="Business Processing Association of the Philippines (BPAP)"/>
                        <xsd:enumeration value="Business Software Alliance (BSA)"/>
                        <xsd:enumeration value="CAB International"/>
                        <xsd:enumeration value="Calgary-TELUS Convention Centre"/>
                        <xsd:enumeration value="California Earthquake Authority (CEA)"/>
                        <xsd:enumeration value="Cámara de Comercio de Santiago (CCS)"/>
                        <xsd:enumeration value="Cámara Maritima y Portuaria de Chile A.G."/>
                        <xsd:enumeration value="Cambodian Legal Resources Development Center (CLRDC)"/>
                        <xsd:enumeration value="Canadian Standards Association (CSA)"/>
                        <xsd:enumeration value="Canon"/>
                        <xsd:enumeration value="Capital Markets Association for Asia (CMAA)"/>
                        <xsd:enumeration value="Capital Sisters International"/>
                        <xsd:enumeration value="CARD MRI"/>
                        <xsd:enumeration value="CARE"/>
                        <xsd:enumeration value="Cargill"/>
                        <xsd:enumeration value="Carleton University"/>
                        <xsd:enumeration value="Carnegie Mellon University"/>
                        <xsd:enumeration value="Castalia Advisors"/>
                        <xsd:enumeration value="CAT Telecom Public Company Limited"/>
                        <xsd:enumeration value="Caterpillar"/>
                        <xsd:enumeration value="Catholic University of America (CUA)"/>
                        <xsd:enumeration value="Catholic University of Korea"/>
                        <xsd:enumeration value="CEMEX"/>
                        <xsd:enumeration value="Center for Drug Evaluation"/>
                        <xsd:enumeration value="Center for Information Policy Leadership (CIPL)"/>
                        <xsd:enumeration value="Center for Information Technology Research in the Interest of Society (CITRIS)"/>
                        <xsd:enumeration value="Center for Ocean-Land-Atmosphere Studies (COLA)"/>
                        <xsd:enumeration value="Center for Responsible Travel (CREST)"/>
                        <xsd:enumeration value="Center for Strategic and International Studies (CSIS)"/>
                        <xsd:enumeration value="Center for the Study of Democracy (CSD)"/>
                        <xsd:enumeration value="Central Institute for Economic Management (CIEM)"/>
                        <xsd:enumeration value="Centre for Corporate Social Responsibility (CCSR)"/>
                        <xsd:enumeration value="Centre for Financial Stability (CEF)"/>
                        <xsd:enumeration value="Centre for International Economics (CIE)"/>
                        <xsd:enumeration value="Centre for Regional Innovation and Competitiveness (CRIC)"/>
                        <xsd:enumeration value="Centro de Capacitacion Investigación y Desarrollo Tecnológico en Energía y Sustentabilidad, A.C. (CCIDTE)"/>
                        <xsd:enumeration value="Centro de Estudios Económicos del Sector Privado (CEESP)"/>
                        <xsd:enumeration value="Centro Internacional para la Investigación del Fenómeno El Niño (CIIFEN)"/>
                        <xsd:enumeration value="Centro Nacional de Metrología (CENAM)"/>
                        <xsd:enumeration value="Centro Nacional de Productividad y Calidad (ChileCalidad)"/>
                        <xsd:enumeration value="Centro para la Estabilidad Financiera (CEF)"/>
                        <xsd:enumeration value="Century Logistics Holdings Berhad"/>
                        <xsd:enumeration value="Chamber of Mines of the Philippines (CMP)"/>
                        <xsd:enumeration value="Channel Logistics"/>
                        <xsd:enumeration value="CHEMTREC"/>
                        <xsd:enumeration value="CHEP"/>
                        <xsd:enumeration value="Chiang Mai University (CMU)"/>
                        <xsd:enumeration value="Chiba University"/>
                        <xsd:enumeration value="Chicago Council on Global Affairs"/>
                        <xsd:enumeration value="Chilean Copper Commission (COCHILCO)"/>
                        <xsd:enumeration value="China Academy of Sciences (CAS)"/>
                        <xsd:enumeration value="China Association of Automobile Manufacturers"/>
                        <xsd:enumeration value="China Household Electronic Appliance Research Institute (CHEARI)"/>
                        <xsd:enumeration value="China Certification"/>
                        <xsd:enumeration value="China Council for the Promotion of International Trade (CCPIT)"/>
                        <xsd:enumeration value="China Flooring Holding Company Limited"/>
                        <xsd:enumeration value="China General Certification Center (CGC)"/>
                        <xsd:enumeration value="China IWNCOMM Co., Ltd."/>
                        <xsd:enumeration value="China Mobile"/>
                        <xsd:enumeration value="China Network Communication Group Corporation (CNC)"/>
                        <xsd:enumeration value="China Pharmaceutical Industry Research and Development Association (SINO-PhIRDA)"/>
                        <xsd:enumeration value="China Telecom"/>
                        <xsd:enumeration value="Chinese Academy of Agricultural Sciences (CAAS)"/>
                        <xsd:enumeration value="Chinese Academy of Forestry"/>
                        <xsd:enumeration value="Chinese Academy of Inspection and Quarantine (CAIQ)"/>
                        <xsd:enumeration value="Chinese Academy of Science and Technology for Development (CASTED)"/>
                        <xsd:enumeration value="Chinese Academy of Sciences"/>
                        <xsd:enumeration value="Chinese Academy of Social Sciences (CASS)"/>
                        <xsd:enumeration value="Chinese University of Hong Kong"/>
                        <xsd:enumeration value="Chongqing University"/>
                        <xsd:enumeration value="Chubb Insurance"/>
                        <xsd:enumeration value="Chugai Pharmaceutical"/>
                        <xsd:enumeration value="Chulalongkorn University"/>
                        <xsd:enumeration value="Chung-Hwa Institution for Economic Research (CIER)"/>
                        <xsd:enumeration value="Chunghwa Telecom"/>
                        <xsd:enumeration value="Cisco Systems, Inc"/>
                        <xsd:enumeration value="Citigroup"/>
                        <xsd:enumeration value="City University"/>
                        <xsd:enumeration value="CityLink Ltd"/>
                        <xsd:enumeration value="Clayton Utz"/>
                        <xsd:enumeration value="Cleary Gottlieb Steen &amp; Hamilton LLP"/>
                        <xsd:enumeration value="Clorox Company"/>
                        <xsd:enumeration value="Codex Alimentarius Commission (CAC)"/>
                        <xsd:enumeration value="COFCO"/>
                        <xsd:enumeration value="Coles Myer"/>
                        <xsd:enumeration value="Collaborative Labeling and Appliance Standards Program (CLASP)"/>
                        <xsd:enumeration value="Comcast"/>
                        <xsd:enumeration value="Comisión Permanente del Pacífico Sur (CPPS)"/>
                        <xsd:enumeration value="Comité Estatal De Sanidad Vegetal (CESAVEG)"/>
                        <xsd:enumeration value="CommerceNet Singapore"/>
                        <xsd:enumeration value="Commission nationale de l'informatique et des libertés (CNIL)"/>
                        <xsd:enumeration value="Commonwealth Scientific and Industrial Research Organisation (CSIRO)"/>
                        <xsd:enumeration value="Commonwealth Secretariat"/>
                        <xsd:enumeration value="Community College Research Center (CCRC)"/>
                        <xsd:enumeration value="Companies Commission of Malaysia"/>
                        <xsd:enumeration value="Competition Commission of Singapore (CCS)"/>
                        <xsd:enumeration value="Compañía Minera Antamina S.A."/>
                        <xsd:enumeration value="Computing Technology Industry Association (CompTIA)"/>
                        <xsd:enumeration value="Confederación de Cámaras Industriales (CONCAMIN)"/>
                        <xsd:enumeration value="Conference Board of Canada"/>
                        <xsd:enumeration value="Conference of Asia Pacific Express Carriers (CAPEC)"/>
                        <xsd:enumeration value="Conference of Latin American and Caribbean Express Companies (CLADEC)"/>
                        <xsd:enumeration value="Connected Nation"/>
                        <xsd:enumeration value="Connection Research"/>
                        <xsd:enumeration value="ConocoPhillips"/>
                        <xsd:enumeration value="Consejo Regulador del Tequila (CRT)"/>
                        <xsd:enumeration value="Construction Sector Transparency Initiative (CoST)"/>
                        <xsd:enumeration value="Consultative Group to Assist the Poor (CGAP)"/>
                        <xsd:enumeration value="Consumer Council"/>
                        <xsd:enumeration value="Consumer Electronics Association (CEA)"/>
                        <xsd:enumeration value="Consumers Association of Singapore (CASE)"/>
                        <xsd:enumeration value="Consumers’ Federation of Australia"/>
                        <xsd:enumeration value="Consumers International"/>
                        <xsd:enumeration value="Coordinadora de Organismos Empresariales de Comercio Exterior (COECE)"/>
                        <xsd:enumeration value="Coordinating Body on the Seas of East Asia (COBSEA)"/>
                        <xsd:enumeration value="Cornell University"/>
                        <xsd:enumeration value="Corporación Nacional del Cobre de Chile (Codelco)"/>
                        <xsd:enumeration value="Corporate Network for Disaster Response (CNDR)"/>
                        <xsd:enumeration value="Corrs Chambers Westgarth"/>
                        <xsd:enumeration value="Costco Wholesale Corporation"/>
                        <xsd:enumeration value="Council for Biotechnology Information"/>
                        <xsd:enumeration value="Council of Europe"/>
                        <xsd:enumeration value="Counter-Terrorism Action Group (CTAG)"/>
                        <xsd:enumeration value="Covidien"/>
                        <xsd:enumeration value="Covington &amp; Burling LLP"/>
                        <xsd:enumeration value="CP3 Group"/>
                        <xsd:enumeration value="CPA Australia"/>
                        <xsd:enumeration value="CPSR-Perú"/>
                        <xsd:enumeration value="Cranleigh Merchant Bankers"/>
                        <xsd:enumeration value="CrimsonLogic Pte Ltd"/>
                        <xsd:enumeration value="CrisisCommons"/>
                        <xsd:enumeration value="CropLife Asia"/>
                        <xsd:enumeration value="CropLife International"/>
                        <xsd:enumeration value="Crowell &amp; Moring LLP"/>
                        <xsd:enumeration value="Crystal Lagoons"/>
                        <xsd:enumeration value="CSA Standards"/>
                        <xsd:enumeration value="CSIRO Sustainable Ecosystems"/>
                        <xsd:enumeration value="Cullen International"/>
                        <xsd:enumeration value="CWorks"/>
                        <xsd:enumeration value="DagangNet Technologies Sdn Bhd (DNT)"/>
                        <xsd:enumeration value="DAI"/>
                        <xsd:enumeration value="DAMConsult Limited"/>
                        <xsd:enumeration value="Da Nang Young Entrepreneurs’ Association"/>
                        <xsd:enumeration value="Daimler Chrysler"/>
                        <xsd:enumeration value="Daiwa Institute of Research Ltd"/>
                        <xsd:enumeration value="Darden Restaurants"/>
                        <xsd:enumeration value="Data Security Council of India (DSCI)"/>
                        <xsd:enumeration value="Davara Abogados, S.C."/>
                        <xsd:enumeration value="David A. Pawlak LLC"/>
                        <xsd:enumeration value="Davies Collison Cave"/>
                        <xsd:enumeration value="Davis Wright Tremaine"/>
                        <xsd:enumeration value="De Leon Consulting"/>
                        <xsd:enumeration value="Debevoise &amp; Plimpton LLP"/>
                        <xsd:enumeration value="DEKRA Certification"/>
                        <xsd:enumeration value="Dell"/>
                        <xsd:enumeration value="Deloitte"/>
                        <xsd:enumeration value="Deloitte Touche Tohmatsu"/>
                        <xsd:enumeration value="Desaku Trading"/>
                        <xsd:enumeration value="Detecon"/>
                        <xsd:enumeration value="Deutsche Gesellschaft für Internationale Zusammenarbeit (GIZ) GmbH"/>
                        <xsd:enumeration value="Developing Trade Consultants Ltd."/>
                        <xsd:enumeration value="Developing World Markets (DWM)"/>
                        <xsd:enumeration value="Development Center for Appropriate Technology (DCAT)"/>
                        <xsd:enumeration value="Development Initiatives Pty Ltd"/>
                        <xsd:enumeration value="DHL"/>
                        <xsd:enumeration value="D.I. Mendeleev All-Russian Institute for Metrology (VNIIM)"/>
                        <xsd:enumeration value="DICTUC"/>
                        <xsd:enumeration value="Digital Divide Institute"/>
                        <xsd:enumeration value="Digital Trade and Transportation Network Limited"/>
                        <xsd:enumeration value="Doi Chaang Coffee Original Co."/>
                        <xsd:enumeration value="DOMANI Sustainability Consulting, LLC"/>
                        <xsd:enumeration value="Donald Danforth Plant Science Center"/>
                        <xsd:enumeration value="Dongfeng Automobile Company Limited (DFAC)"/>
                        <xsd:enumeration value="Dow Chemical Company"/>
                        <xsd:enumeration value="DP Information Group"/>
                        <xsd:enumeration value="DP World"/>
                        <xsd:enumeration value="Drew and Napier LLC"/>
                        <xsd:enumeration value="Duke Medicine"/>
                        <xsd:enumeration value="DuPont"/>
                        <xsd:enumeration value="eBay"/>
                        <xsd:enumeration value="Eco-product Research Institute (ERI)"/>
                        <xsd:enumeration value="École Polytechnique Federale de Lausanne (EPFL)"/>
                        <xsd:enumeration value="Economic Research Institute for ASEAN and East Asia (ERIA)"/>
                        <xsd:enumeration value="Ecotourism Australia Limited"/>
                        <xsd:enumeration value="Edelman"/>
                        <xsd:enumeration value="EDGE Environmental Consulting Ltd."/>
                        <xsd:enumeration value="Educational Data Systems"/>
                        <xsd:enumeration value="eGlobalTech"/>
                        <xsd:enumeration value="EH Consulting"/>
                        <xsd:enumeration value="El Colegio de México"/>
                        <xsd:enumeration value="Electrical and Electronics Institute (EEI)"/>
                        <xsd:enumeration value="Electronic Arts Inc."/>
                        <xsd:enumeration value="Electronic Data Systems (EDS)"/>
                        <xsd:enumeration value="Electronic Privacy Information Center (EPIC)"/>
                        <xsd:enumeration value="Eli Lilly"/>
                        <xsd:enumeration value="EMC Corporation"/>
                        <xsd:enumeration value="Energy Charter"/>
                        <xsd:enumeration value="Energy Futures Australia"/>
                        <xsd:enumeration value="Entertainment Software Association (ESA)"/>
                        <xsd:enumeration value="Environment and Bio Science Institute (EBSI)"/>
                        <xsd:enumeration value="Environment and Development Foundation (EDF)"/>
                        <xsd:enumeration value="Environment Japan K.K."/>
                        <xsd:enumeration value="Environmental Business International"/>
                        <xsd:enumeration value="EPCglobal"/>
                        <xsd:enumeration value="Ericsson"/>
                        <xsd:enumeration value="ESAN University"/>
                        <xsd:enumeration value="ESCo Committee of China Energy Conservation Association (EMCA)"/>
                        <xsd:enumeration value="E.Sun FHC"/>
                        <xsd:enumeration value="Essex Woodlands"/>
                        <xsd:enumeration value="ETS Laboratories"/>
                        <xsd:enumeration value="Eucomed"/>
                        <xsd:enumeration value="Eureka Strategic Research"/>
                        <xsd:enumeration value="Eurometaux"/>
                        <xsd:enumeration value="European Academy for Standardization (EURAS)"/>
                        <xsd:enumeration value="European Anti-Fraud Office (OLAF)"/>
                        <xsd:enumeration value="European Commission"/>
                        <xsd:enumeration value="European Committee for Standardization (CEN)"/>
                        <xsd:enumeration value="European Directorate for the Quality of Medicines &amp; HealthCare (EDQM)"/>
                        <xsd:enumeration value="European Feed Manufacturers' Federation (FEFAC)"/>
                        <xsd:enumeration value="European Patent Office (EPO)"/>
                        <xsd:enumeration value="European Union"/>
                        <xsd:enumeration value="Ewha Womans University"/>
                        <xsd:enumeration value="Excellence Through Stewardship"/>
                        <xsd:enumeration value="Exergy"/>
                        <xsd:enumeration value="Experian Information Solutions"/>
                        <xsd:enumeration value="Express Association of America (EAA)"/>
                        <xsd:enumeration value="Exxonmobile"/>
                        <xsd:enumeration value="Far East Forestry Research Institute (FEFRI)"/>
                        <xsd:enumeration value="Federal Express (FedEx)"/>
                        <xsd:enumeration value="Federal Institute for Materials Research and Testing (BAM)"/>
                        <xsd:enumeration value="Federation Asia Pacific Aircargo Association (FAPAA)"/>
                        <xsd:enumeration value="Federation of Hong Kong Industries"/>
                        <xsd:enumeration value="Fenwick &amp; West LLP"/>
                        <xsd:enumeration value="Financial Supervisory Service"/>
                        <xsd:enumeration value="First Thoughts"/>
                        <xsd:enumeration value="Fish &amp; Co"/>
                        <xsd:enumeration value="Fish Marketing Organization (FMO)"/>
                        <xsd:enumeration value="Fitch Ratings"/>
                        <xsd:enumeration value="Fluor"/>
                        <xsd:enumeration value="Food and Agriculture Organization (FAO)"/>
                        <xsd:enumeration value="Fondo Nacional Para El Fomento De Las Artesanias (FONART)"/>
                        <xsd:enumeration value="Fonterra"/>
                        <xsd:enumeration value="Ford Lio Ho"/>
                        <xsd:enumeration value="Ford Motor Company"/>
                        <xsd:enumeration value="Forest Science Institute of Vietnam (FSIV)"/>
                        <xsd:enumeration value="Foster’s Group Limited"/>
                        <xsd:enumeration value="FPS Global Logistics"/>
                        <xsd:enumeration value="Franchise Services, Inc. (FSI)"/>
                        <xsd:enumeration value="Franklin Pierce Law Center"/>
                        <xsd:enumeration value="Fred Hutchinson Cancer Research Center"/>
                        <xsd:enumeration value="Frontex"/>
                        <xsd:enumeration value="Frost &amp; Sullivan"/>
                        <xsd:enumeration value="Fujitsu Limited"/>
                        <xsd:enumeration value="Futurepast"/>
                        <xsd:enumeration value="Fukuoka Prefectural University"/>
                        <xsd:enumeration value="Fundación Chile"/>
                        <xsd:enumeration value="Fundación Mexicana para la Salud (FUNSALUD)"/>
                        <xsd:enumeration value="Gadjah Mada University"/>
                        <xsd:enumeration value="Galexia"/>
                        <xsd:enumeration value="GazInformService"/>
                        <xsd:enumeration value="GDP Global"/>
                        <xsd:enumeration value="GE Appliances"/>
                        <xsd:enumeration value="GE Capital"/>
                        <xsd:enumeration value="General Electric (GE)"/>
                        <xsd:enumeration value="General Mills"/>
                        <xsd:enumeration value="General Motors Corporation (GM)"/>
                        <xsd:enumeration value="GeoHazards International (GHI)"/>
                        <xsd:enumeration value="George Mason University"/>
                        <xsd:enumeration value="George Washington University"/>
                        <xsd:enumeration value="Georgeson"/>
                        <xsd:enumeration value="Georgetown University"/>
                        <xsd:enumeration value="Gilbert &amp; Tobin"/>
                        <xsd:enumeration value="GlaxoSmithKline (GSK)"/>
                        <xsd:enumeration value="GlaxoSmithKline Biologicals (GSK Biologicals)"/>
                        <xsd:enumeration value="Global Adventitious Presence Coalition (GAPC)"/>
                        <xsd:enumeration value="Global Business Dialogue on Electronic Commerce (GBDe)"/>
                        <xsd:enumeration value="Global Business Network (GBN)"/>
                        <xsd:enumeration value="Global Environment Facility (GEF)"/>
                        <xsd:enumeration value="Global Intellectual Property Center (GIPC)"/>
                        <xsd:enumeration value="Global Road Safety Partnership"/>
                        <xsd:enumeration value="Global Subsidies Initiative (GSI)"/>
                        <xsd:enumeration value="GM Holden Ltd"/>
                        <xsd:enumeration value="Golden Helix"/>
                        <xsd:enumeration value="Goldman Sachs"/>
                        <xsd:enumeration value="Gomberg, Fredrikson &amp; Associates"/>
                        <xsd:enumeration value="González de Cossío Abogados, S.C. (GCA)"/>
                        <xsd:enumeration value="Google"/>
                        <xsd:enumeration value="Grain Growers of Canada"/>
                        <xsd:enumeration value="Green Building Council Indonesia"/>
                        <xsd:enumeration value="Green IT Promotion Council"/>
                        <xsd:enumeration value="Green Meeting Industry Council (GMIC)"/>
                        <xsd:enumeration value="Griffith Hack"/>
                        <xsd:enumeration value="Grocery Manufacturers Association (GMA)"/>
                        <xsd:enumeration value="Group of Eight (Go8)"/>
                        <xsd:enumeration value="Grupo de Acción Financiera para Sudamérica (GAFISUD)"/>
                        <xsd:enumeration value="GS1"/>
                        <xsd:enumeration value="GTM Research"/>
                        <xsd:enumeration value="Guardian Industries"/>
                        <xsd:enumeration value="Hallym University"/>
                        <xsd:enumeration value="Hannam University"/>
                        <xsd:enumeration value="Hanoi ICT Association (HANCITA)"/>
                        <xsd:enumeration value="Hanoi School of Public Health"/>
                        <xsd:enumeration value="Hanoi University of Agriculture (HUA)"/>
                        <xsd:enumeration value="Hanyang University"/>
                        <xsd:enumeration value="Harley-Davidson"/>
                        <xsd:enumeration value="Harvard University"/>
                        <xsd:enumeration value="Hasbro"/>
                        <xsd:enumeration value="Hastings Fund Management"/>
                        <xsd:enumeration value="Headworks"/>
                        <xsd:enumeration value="Health Insurance System Research Office (HISRO)"/>
                        <xsd:enumeration value="Health Supplements Industry Association Singapore (HSIAS)"/>
                        <xsd:enumeration value="Heenan Blaikie"/>
                        <xsd:enumeration value="Helmut Schmidt University"/>
                        <xsd:enumeration value="Hewlett-Packard (HP)"/>
                        <xsd:enumeration value="Hitachi"/>
                        <xsd:enumeration value="Hitachi Kokusai Electric"/>
                        <xsd:enumeration value="Hitotsubashi University"/>
                        <xsd:enumeration value="HM Revenue &amp; Customs"/>
                        <xsd:enumeration value="Honda Motor Company"/>
                        <xsd:enumeration value="Honeywell"/>
                        <xsd:enumeration value="Hong Kong Baptist University"/>
                        <xsd:enumeration value="Hong Kong Information Technology Federation (HKITF)"/>
                        <xsd:enumeration value="Hong Kong Polytechnic University"/>
                        <xsd:enumeration value="Hong Kong Science &amp; Technology Parks"/>
                        <xsd:enumeration value="Hong Kong Society of Medical Informatics"/>
                        <xsd:enumeration value="Hong Kong University of Science and Technology (HKUST)"/>
                        <xsd:enumeration value="Hongik University"/>
                        <xsd:enumeration value="HTC Corporation"/>
                        <xsd:enumeration value="HTC Purenergy"/>
                        <xsd:enumeration value="Huawei Technologies"/>
                        <xsd:enumeration value="Hunt &amp; Hunt"/>
                        <xsd:enumeration value="Hunton &amp; Williams"/>
                        <xsd:enumeration value="Hyundai Motor Company"/>
                        <xsd:enumeration value="IACC Foundation"/>
                        <xsd:enumeration value="ICC International Maritime Bureau (IMB)"/>
                        <xsd:enumeration value="ICTI CARE Foundation"/>
                        <xsd:enumeration value="ideacorp"/>
                        <xsd:enumeration value="IE Technology Co., Ltd."/>
                        <xsd:enumeration value="IEEE Standards Association (IEEE-SA)"/>
                        <xsd:enumeration value="IFES"/>
                        <xsd:enumeration value="IMOBIX"/>
                        <xsd:enumeration value="Imus Institute"/>
                        <xsd:enumeration value="Incheon International Airport (ICN)"/>
                        <xsd:enumeration value="Independent Commission Against Corruption (ICAC)"/>
                        <xsd:enumeration value="Independent Electricity System Operator (IESO)"/>
                        <xsd:enumeration value="Indian Council of Agricultural Research (ICAR)"/>
                        <xsd:enumeration value="Indian Institute of Toxicology Research (IITR)"/>
                        <xsd:enumeration value="Indiana University (IU)"/>
                        <xsd:enumeration value="Indonesia Business Links (IBL)"/>
                        <xsd:enumeration value="Indonesia Infrastructure Guarantee Fund (IIGF)"/>
                        <xsd:enumeration value="Indonesia–Security Incident Response Teams on Internet Infrastructure (ID-SIRTII)"/>
                        <xsd:enumeration value="Indonesian Chamber of Commerce and Industry (KADIN)"/>
                        <xsd:enumeration value="Indonesian Competition Commission"/>
                        <xsd:enumeration value="Indonesian Institute for Corporate Directorship (IICD)"/>
                        <xsd:enumeration value="Indonesian Intellectual Property Society (IIPS)"/>
                        <xsd:enumeration value="Indonesian Mining Association (IMA)"/>
                        <xsd:enumeration value="Industrial and Commercial Bank of China (ICBC)"/>
                        <xsd:enumeration value="Industrial Technology Research Institute (ITRI)"/>
                        <xsd:enumeration value="Infinitus Law Corporation"/>
                        <xsd:enumeration value="Information &amp; Communication Security Technology Center (ICST)"/>
                        <xsd:enumeration value="Information Integrity Solutions Pty Ltd"/>
                        <xsd:enumeration value="Information Technology &amp; Innovation Foundation (ITIF)"/>
                        <xsd:enumeration value="Information Technology Industry Council (ITI)"/>
                        <xsd:enumeration value="Information Technology Standards Committee (ITSC)"/>
                        <xsd:enumeration value="Ingersoll Rand"/>
                        <xsd:enumeration value="INNOVA"/>
                        <xsd:enumeration value="iSIGHT Partners"/>
                        <xsd:enumeration value="Institut de recherche pour le développement (IRD)"/>
                        <xsd:enumeration value="Institut Pertanian Bogor (IPB)"/>
                        <xsd:enumeration value="Institute for Biotechnology and Medicine Industry (IBMI)"/>
                        <xsd:enumeration value="Institute for Global Environmental Strategies"/>
                        <xsd:enumeration value="Institute for Industrial Promotion (IPI)"/>
                        <xsd:enumeration value="Institute for Health and Productivity Management (IHPM)"/>
                        <xsd:enumeration value="Institute for Information Industry (III)"/>
                        <xsd:enumeration value="Institute for International Studies and Training (IIST)"/>
                        <xsd:enumeration value="Institute for International Trade (IIT)"/>
                        <xsd:enumeration value="Institute for Transportation and Development Policy (ITDP)"/>
                        <xsd:enumeration value="Institute of Biotechnology (IBT)"/>
                        <xsd:enumeration value="Institute of Corporate Directors"/>
                        <xsd:enumeration value="Institute of Defence and Strategic Studies (IDSS)"/>
                        <xsd:enumeration value="Institute of Developing Economies-Japan External Trade Organization (IDE-JETRO)"/>
                        <xsd:enumeration value="Institute of Energy Economics (IEE)"/>
                        <xsd:enumeration value="Institute of Occupational Medicine and Industrial Hygiene"/>
                        <xsd:enumeration value="Institute of Patent and Trade Mark Attorneys of Australia (IPTA)"/>
                        <xsd:enumeration value="Institute of Population Research (IPR)"/>
                        <xsd:enumeration value="Institute of Water Resources Planning (IWARP)"/>
                        <xsd:enumeration value="Institute of World Economics and Politics (IWEP)"/>
                        <xsd:enumeration value="Institute of World Economy and International Relations (IMEMO)"/>
                        <xsd:enumeration value="Institute On Governance (IOG)"/>
                        <xsd:enumeration value="Instituto de Desarrollo Social (IDS)"/>
                        <xsd:enumeration value="Instituto de Investigaciones Agropecuarias (INIA)"/>
                        <xsd:enumeration value="Instituto Federal de Acceso a la Información Pública (IFAI)"/>
                        <xsd:enumeration value="Instituto Nacional de Meteorologia (INMET)"/>
                        <xsd:enumeration value="Instituto Tecnológico y de Estudios Superiores de Monterrey"/>
                        <xsd:enumeration value="Integrated Framework (IF)"/>
                        <xsd:enumeration value="Integrative Concepts"/>
                        <xsd:enumeration value="Intel"/>
                        <xsd:enumeration value="Intellectual Ventures"/>
                        <xsd:enumeration value="Inter-American Development Bank"/>
                        <xsd:enumeration value="Inter-American Institute for Cooperation on Agriculture (IICA)"/>
                        <xsd:enumeration value="Inter-Pacific Bar Association (IPBA)"/>
                        <xsd:enumeration value="Intercedent Asia"/>
                        <xsd:enumeration value="Intergovernmental Oceanographic Commission (IOC)"/>
                        <xsd:enumeration value="International Accreditation Forum (IAF)"/>
                        <xsd:enumeration value="International Air Transport Association (IATA)"/>
                        <xsd:enumeration value="International Amateur Radio Union"/>
                        <xsd:enumeration value="International Anti-Corruption Academy (IACA)"/>
                        <xsd:enumeration value="International Association of Internet Hotlines (INHOPE)"/>
                        <xsd:enumeration value="International Association of Maritime Universities (IAMU)"/>
                        <xsd:enumeration value="International Association of Oil &amp; Gas Producers (OGP)"/>
                        <xsd:enumeration value="International Association of Plumbing and Mechanical Officials (IAPMO)"/>
                        <xsd:enumeration value="International Business Machines Corporation (IBM)"/>
                        <xsd:enumeration value="International Cable Protection Committee (ICPC)"/>
                        <xsd:enumeration value="International Centre for Settlement of Investment Disputes (ICSID)"/>
                        <xsd:enumeration value="International Centre for the Management of Pest Fruit Flies (ICMPFF)"/>
                        <xsd:enumeration value="International Centre for Trade and Sustainable Development (ICTSD)"/>
                        <xsd:enumeration value="International Chamber of Commerce (ICC)"/>
                        <xsd:enumeration value="International Civil Aviation Organization (ICAO)"/>
                        <xsd:enumeration value="International Code Council (ICC)"/>
                        <xsd:enumeration value="International Competition Network (ICN)"/>
                        <xsd:enumeration value="International Confederation of Societies of Authors and Composers (CISAC)"/>
                        <xsd:enumeration value="International Conference on Harmonisation of Technical Requirements for Registration of Pharmaceuticals for Human Use (ICH)"/>
                        <xsd:enumeration value="International Cooperation on Education About Standardization (ICES)"/>
                        <xsd:enumeration value="International Copper Association, Ltd. (ICA)"/>
                        <xsd:enumeration value="International Council of Chemical Associations (ICCA)"/>
                        <xsd:enumeration value="International Council of Toy Industries (ICTI)"/>
                        <xsd:enumeration value="International Council on Clean Transportation (ICCT)"/>
                        <xsd:enumeration value="International Criminal Police Organization"/>
                        <xsd:enumeration value="International Development Law Organisation (IDLO)"/>
                        <xsd:enumeration value="International Development Research Centre (IDRC)"/>
                        <xsd:enumeration value="International Data Corporation (IDC)"/>
                        <xsd:enumeration value="International Electrotechnical Commission (IEC)"/>
                        <xsd:enumeration value="International Energy Agency (IEA)"/>
                        <xsd:enumeration value="International Federation of Business and Professional Women (BPW International)"/>
                        <xsd:enumeration value="International Federation of Freight Forwarders Associations (FIATA)"/>
                        <xsd:enumeration value="International Federation of Library Associations and Institutions  (IFLA)"/>
                        <xsd:enumeration value="International Federation of Pharmaceutical Manufacturers &amp; Associations (IFPMA)"/>
                        <xsd:enumeration value="International Federation of Red Cross and Red Crescent Societies (IFRC)"/>
                        <xsd:enumeration value="International Federation of Reproduction Rights Organisations (IFRRO)"/>
                        <xsd:enumeration value="International Federation of the Phonographic Industry (IFPI)"/>
                        <xsd:enumeration value="International Finance Corporation (IFC)"/>
                        <xsd:enumeration value="International Food &amp; Agricultural Trade Policy Council (IPC)"/>
                        <xsd:enumeration value="International Food Policy Research Institute (IFPRI)"/>
                        <xsd:enumeration value="International Fund for Agricultural Development (IFAD)"/>
                        <xsd:enumeration value="International Grain Trade Coalition (IGTC)"/>
                        <xsd:enumeration value="International Initiative for a Sustainable Built Environment (iiSBE)"/>
                        <xsd:enumeration value="International Laboratory Accreditation Cooperation (ILAC)"/>
                        <xsd:enumeration value="International Labour Organization (ILO)"/>
                        <xsd:enumeration value="International Life Sciences Institute (ILSI)"/>
                        <xsd:enumeration value="International Maritime Organization (IMO)"/>
                        <xsd:enumeration value="International Monetary Fund (IMF)"/>
                        <xsd:enumeration value="International Network for Bamboo and Rattan (INBAR)"/>
                        <xsd:enumeration value="International Organization for Standardization (ISO)"/>
                        <xsd:enumeration value="International Research Institute for Climate and Society (IRI)"/>
                        <xsd:enumeration value="International Rice Research Institute (IRRI)"/>
                        <xsd:enumeration value="International School of Tourism and Marketing (ISTM)"/>
                        <xsd:enumeration value="International Security Technology Ltd"/>
                        <xsd:enumeration value="International Service for the Acquisition of Agri-biotech Applications (ISAAA)"/>
                        <xsd:enumeration value="International Social Security Association (ISSA)"/>
                        <xsd:enumeration value="International Telecommunication Union (ITU)"/>
                        <xsd:enumeration value="International Telecommunications Users Group (INTUG)"/>
                        <xsd:enumeration value="International Trademark Association (INTA)"/>
                        <xsd:enumeration value="International Tropical Timber Organization (ITTO)"/>
                        <xsd:enumeration value="Internet Corporation for Assigned Names and Numbers (ICANN)"/>
                        <xsd:enumeration value="Internet Industry Association"/>
                        <xsd:enumeration value="Internet Society (ISOC)"/>
                        <xsd:enumeration value="Inter-Organization Programme for the Sound Management of Chemicals (IOMC)"/>
                        <xsd:enumeration value="Intertek"/>
                        <xsd:enumeration value="IQQuest"/>
                        <xsd:enumeration value="IP Mirror Pte Ltd"/>
                        <xsd:enumeration value="IP*SEVA"/>
                        <xsd:enumeration value="IPC"/>
                        <xsd:enumeration value="ITS Global"/>
                        <xsd:enumeration value="Jacobs &amp; Associates"/>
                        <xsd:enumeration value="James Cook University (JCU)"/>
                        <xsd:enumeration value="Jane’s Information Group"/>
                        <xsd:enumeration value="Japan Advanced Institute of Science and Technology (JAIST)"/>
                        <xsd:enumeration value="Japan Association for Simplification of International Trade Procedures (JASTPRO)"/>
                        <xsd:enumeration value="Japan Automobile Manufacturers Association (JAMA)"/>
                        <xsd:enumeration value="Japan Automobile Research Institute"/>
                        <xsd:enumeration value="Japan Automobile Standards Internationalization Center (JASIC)"/>
                        <xsd:enumeration value="Japan Bioindustry Association"/>
                        <xsd:enumeration value="Japan Chemical Industry Association"/>
                        <xsd:enumeration value="Japan Computer Emergency Response Team Coordination Center (JCERT/CC)"/>
                        <xsd:enumeration value="Japan Customs Brokers Association"/>
                        <xsd:enumeration value="Japan Electrical Manufacturers' Association (JEMA)"/>
                        <xsd:enumeration value="Japan Electrical Safety and Environment Technology Laboratories (JET)"/>
                        <xsd:enumeration value="Japan Electronics and Information Technology Industries Association (JEITA)"/>
                        <xsd:enumeration value="Japan Environmental Management Association for Industry (JEMAI)"/>
                        <xsd:enumeration value="Japan Fair Trade Commission (JFTC)"/>
                        <xsd:enumeration value="Japan Federation of Medical Devices Associations (JFMDA)"/>
                        <xsd:enumeration value="Japan Industries Association of Radiological Systems (JIRA)"/>
                        <xsd:enumeration value="Japan Information Processing Development Corporation (JIPDEC)"/>
                        <xsd:enumeration value="Japan Institute of International Affairs (JIIA)"/>
                        <xsd:enumeration value="Japan International Cooperation Agency (JICA)"/>
                        <xsd:enumeration value="Japan Machinery Center for Trade and Investment (JMC)"/>
                        <xsd:enumeration value="Japan Mining Industry Association"/>
                        <xsd:enumeration value="Japan Pharmaceutical Manufacturers Association (JPMA)"/>
                        <xsd:enumeration value="Japan Securities Dealers Association (JSDA)"/>
                        <xsd:enumeration value="Japan Securities Depository Center, Inc. (JASDEC)"/>
                        <xsd:enumeration value="Japan Smart Community Alliance (JSCA)"/>
                        <xsd:enumeration value="Japan Soap and Detergent Association"/>
                        <xsd:enumeration value="Japan Women's Innovative Network (J-Win)"/>
                        <xsd:enumeration value="JDB Solutions"/>
                        <xsd:enumeration value="Jeekai &amp; Partners"/>
                        <xsd:enumeration value="Jeonju University"/>
                        <xsd:enumeration value="Jetstar Pacific Airlines"/>
                        <xsd:enumeration value="Jetta Company Limited"/>
                        <xsd:enumeration value="JGC Corporation"/>
                        <xsd:enumeration value="Jhpiego"/>
                        <xsd:enumeration value="JMA Research Institute, Inc. (JMAR)"/>
                        <xsd:enumeration value="John Wiley &amp; Sons"/>
                        <xsd:enumeration value="Johnson &amp; Johnson"/>
                        <xsd:enumeration value="Johnson Controls"/>
                        <xsd:enumeration value="Joint Credit Information Center (JCIC)"/>
                        <xsd:enumeration value="Joint Institute for Food Safety and Applied Nutrition (JIFSAN)"/>
                        <xsd:enumeration value="Joint United Nations Programme on HIV/AIDS (UNAIDS)"/>
                        <xsd:enumeration value="Jorge &amp; Dassen"/>
                        <xsd:enumeration value="Joyce A. Tan &amp; Partners"/>
                        <xsd:enumeration value="J.P. Morgan"/>
                        <xsd:enumeration value="JPMorgan Chase"/>
                        <xsd:enumeration value="JR East"/>
                        <xsd:enumeration value="Juniper Networks"/>
                        <xsd:enumeration value="Just Change Management Consultants"/>
                        <xsd:enumeration value="KaloBios Pharmaceuticals"/>
                        <xsd:enumeration value="Kangwon National University"/>
                        <xsd:enumeration value="Kaohsiung Medical University"/>
                        <xsd:enumeration value="Kasetsart University"/>
                        <xsd:enumeration value="Kasikorn Bank"/>
                        <xsd:enumeration value="KDDI Corporation"/>
                        <xsd:enumeration value="Keio University"/>
                        <xsd:enumeration value="Keller and Heckman"/>
                        <xsd:enumeration value="KinderGolf"/>
                        <xsd:enumeration value="King &amp; Wood"/>
                        <xsd:enumeration value="King Mongkut's University of Technology Thonburi (KMUTT)"/>
                        <xsd:enumeration value="Kogakuin University"/>
                        <xsd:enumeration value="Kohshin Rubber"/>
                        <xsd:enumeration value="Komite Pemantauan Pelaksanaan Otonomi Daerah (KPPOD)"/>
                        <xsd:enumeration value="Konkuk University"/>
                        <xsd:enumeration value="Korea Advanced Institute of Science and Technology (KAIST)"/>
                        <xsd:enumeration value="Korea Automobile Manufacturers Association (KAMA)"/>
                        <xsd:enumeration value="Korea Biosafety Clearing House (KBCH)"/>
                        <xsd:enumeration value="Korea Development Institute (KDI)"/>
                        <xsd:enumeration value="Korea Digital Content Association (KDCA)"/>
                        <xsd:enumeration value="Korea e-Health Association (KeHA)"/>
                        <xsd:enumeration value="Korea Electronics Association (KEA)"/>
                        <xsd:enumeration value="Korea Energy Economics Institute (KEEI)"/>
                        <xsd:enumeration value="Korea Energy Management Corporation (KEMCO)"/>
                        <xsd:enumeration value="Korea Health Industry Development Institute (KHIDI)"/>
                        <xsd:enumeration value="Korea Industrial Complex Corporation (KICOX)"/>
                        <xsd:enumeration value="Korea Information Security Agency (KISA)"/>
                        <xsd:enumeration value="Korea Institute for Electronic Commerce (KIEC)"/>
                        <xsd:enumeration value="Korea Institute for Health and Social Affairs (KIHASA)"/>
                        <xsd:enumeration value="Korea Institute for International Economic Policy (KIEP)"/>
                        <xsd:enumeration value="Korea Institute of Construction Technology (KICT)"/>
                        <xsd:enumeration value="Korea Institute of Energy Research (KIER)"/>
                        <xsd:enumeration value="Korea Institute of Intellectual Property (KIIP)"/>
                        <xsd:enumeration value="Korea Institute of Public Administration"/>
                        <xsd:enumeration value="Korea International Trade Association (KITA)"/>
                        <xsd:enumeration value="Korea Mine Reclamation Corporation (MIRECO)"/>
                        <xsd:enumeration value="Korea Nonferrous Metal Association"/>
                        <xsd:enumeration value="Korea Polytechnic University (KPU)"/>
                        <xsd:enumeration value="Korea Ratings"/>
                        <xsd:enumeration value="Korea Research Institute of Bioscience and Biotechnology (KRIBB)"/>
                        <xsd:enumeration value="Korea Research Institute of Standards and Science (KRISS)"/>
                        <xsd:enumeration value="Korea Small Business Institute (KOSBI)"/>
                        <xsd:enumeration value="Korean Standards Association (KSA)"/>
                        <xsd:enumeration value="Korea Technology and Information Promotion Agency for SMEs (TIPA)"/>
                        <xsd:enumeration value="Korea Testing Laboratory (KTL)"/>
                        <xsd:enumeration value="Korea Trade-Investment Promotion Agency (KOTRA)"/>
                        <xsd:enumeration value="Korea Trade Network (KTNet)"/>
                        <xsd:enumeration value="Korea University"/>
                        <xsd:enumeration value="Korean Air"/>
                        <xsd:enumeration value="KPMG"/>
                        <xsd:enumeration value="KT Corporation"/>
                        <xsd:enumeration value="Kuala Lumpur Regional Centre for Arbitration"/>
                        <xsd:enumeration value="Kyoto University"/>
                        <xsd:enumeration value="Kyung Hee University"/>
                        <xsd:enumeration value="Kyushu Institute of Technology"/>
                        <xsd:enumeration value="La Trobe University"/>
                        <xsd:enumeration value="LAN Airlines S.A."/>
                        <xsd:enumeration value="Las Vegas Convention and Visitors Authority (LVCVA)"/>
                        <xsd:enumeration value="Lasko Products"/>
                        <xsd:enumeration value="Lawrie Savage &amp; Associates Inc."/>
                        <xsd:enumeration value="LECG"/>
                        <xsd:enumeration value="Lembaga Ilmu Pengetahuan Indonesia - LIPI"/>
                        <xsd:enumeration value="LEX Counsel"/>
                        <xsd:enumeration value="LexisNexis"/>
                        <xsd:enumeration value="Leyte State University"/>
                        <xsd:enumeration value="LG Electronics (LGE)"/>
                        <xsd:enumeration value="Light Years IP"/>
                        <xsd:enumeration value="LigoCyte"/>
                        <xsd:enumeration value="Linfox"/>
                        <xsd:enumeration value="Lloyd’s Register"/>
                        <xsd:enumeration value="Lonergan Edwards &amp; Associates Limited"/>
                        <xsd:enumeration value="Lufthansa Technik"/>
                        <xsd:enumeration value="Macquarie"/>
                        <xsd:enumeration value="Macquarie Telecom"/>
                        <xsd:enumeration value="Macquarie University"/>
                        <xsd:enumeration value="Maejo University"/>
                        <xsd:enumeration value="Malaysian Agri Hi-Tech Sdn. Bhd."/>
                        <xsd:enumeration value="Malaysian Agricultural Research and Development Institute (MARDI)"/>
                        <xsd:enumeration value="Malaysian Association of Standards Users"/>
                        <xsd:enumeration value="Malaysian Biotechnology Corporation (MBC)"/>
                        <xsd:enumeration value="Malaysian Panel-Products Manufacturers’ Association"/>
                        <xsd:enumeration value="Management Systems International (MSI)"/>
                        <xsd:enumeration value="Managing Intellectual Property"/>
                        <xsd:enumeration value="Mando Corporation"/>
                        <xsd:enumeration value="Manila Water Company"/>
                        <xsd:enumeration value="Manka"/>
                        <xsd:enumeration value="Marine Aquarium Council"/>
                        <xsd:enumeration value="Marine Stewardship Council (MSC)"/>
                        <xsd:enumeration value="MarkAny"/>
                        <xsd:enumeration value="Marubeni America Corporation"/>
                        <xsd:enumeration value="Massachusetts Institute of Technology (MIT)"/>
                        <xsd:enumeration value="Matsushita Electric Industrial Company"/>
                        <xsd:enumeration value="Mattel"/>
                        <xsd:enumeration value="Max Planck Institute for Intellectual Property"/>
                        <xsd:enumeration value="Mayer Brown Practices"/>
                        <xsd:enumeration value="MBK Ventura"/>
                        <xsd:enumeration value="McKinsey &amp; Company"/>
                        <xsd:enumeration value="McKinsey Global Institute (MGI)"/>
                        <xsd:enumeration value="Measurement Standards Laboratory (MSL)"/>
                        <xsd:enumeration value="Medical Technology Association of New Zealand (MTANZ)"/>
                        <xsd:enumeration value="Medinet Co., Ltd."/>
                        <xsd:enumeration value="Medtronic"/>
                        <xsd:enumeration value="Meiji Gakuin University"/>
                        <xsd:enumeration value="Melbourne Convention + Visitors Bureau (MCVB)"/>
                        <xsd:enumeration value="Melbourne Storm"/>
                        <xsd:enumeration value="Mendel Biotechnology, Inc."/>
                        <xsd:enumeration value="Merck"/>
                        <xsd:enumeration value="Merck Sharp &amp; Dohme Australia"/>
                        <xsd:enumeration value="Metalloinvest"/>
                        <xsd:enumeration value="Michigan State University"/>
                        <xsd:enumeration value="MICRA Indonesia"/>
                        <xsd:enumeration value="Microsoft"/>
                        <xsd:enumeration value="Micrus Endovascular Corporation"/>
                        <xsd:enumeration value="Mighty River Power"/>
                        <xsd:enumeration value="Milken Institute"/>
                        <xsd:enumeration value="Miller &amp; Martin PLLC"/>
                        <xsd:enumeration value="Mining Association of Canada (MAC)"/>
                        <xsd:enumeration value="Minter Ellison"/>
                        <xsd:enumeration value="Mitsubishi Corporation"/>
                        <xsd:enumeration value="Mitsubishi Electric Research Laboratories (MERL)"/>
                        <xsd:enumeration value="Mitsubishi Materials Corporation"/>
                        <xsd:enumeration value="Mitsui &amp; Co Ltd"/>
                        <xsd:enumeration value="Mitsui Global Strategic Studies Institute (MGSSI)"/>
                        <xsd:enumeration value="MLC"/>
                        <xsd:enumeration value="MOH Holdings"/>
                        <xsd:enumeration value="Monohakobi Technology Institute (MTI)"/>
                        <xsd:enumeration value="Monsanto Company"/>
                        <xsd:enumeration value="Motion Picture Association (MPA)"/>
                        <xsd:enumeration value="Motor &amp; Equipment Manufacturers Association (MEMA)"/>
                        <xsd:enumeration value="Motor Vehicle Parts Manufacturers Association of the Philippines (MVPMAP)"/>
                        <xsd:enumeration value="MDS Nordion"/>
                        <xsd:enumeration value="Motorola"/>
                        <xsd:enumeration value="MSE Technology Applications, Inc."/>
                        <xsd:enumeration value="Multimedia Glory Sdn Bhd (MGSB)"/>
                        <xsd:enumeration value="Murdoch University"/>
                        <xsd:enumeration value="Myongji University"/>
                        <xsd:enumeration value="Nacional de Normalización (INN)"/>
                        <xsd:enumeration value="Nagasaki University"/>
                        <xsd:enumeration value="Nagoya Institute of Technology"/>
                        <xsd:enumeration value="Nanyang Technological University (NTU)"/>
                        <xsd:enumeration value="Nathan Associates"/>
                        <xsd:enumeration value="National Bureau of Asian Research (NBR)"/>
                        <xsd:enumeration value="National Bus Rapid Transit Institute"/>
                        <xsd:enumeration value="National Center for Asia-Pacific Economic Cooperation (NCAPEC)"/>
                        <xsd:enumeration value="National Central University"/>
                        <xsd:enumeration value="National Cheng Kung University"/>
                        <xsd:enumeration value="National Chengchi University (NCCU)"/>
                        <xsd:enumeration value="National Committee on Governance"/>
                        <xsd:enumeration value="National Council for Grains and Oilseeds Supply (CONAGO)"/>
                        <xsd:enumeration value="National Consumers League"/>
                        <xsd:enumeration value="National Economics University"/>
                        <xsd:enumeration value="National Food Institute"/>
                        <xsd:enumeration value="National Foreign Trade Council (NFTC)"/>
                        <xsd:enumeration value="National Graduate Institute for Policy Studies (GRIPS)"/>
                        <xsd:enumeration value="National Institutes for Food and Drug Control (NIFDC)"/>
                        <xsd:enumeration value="National Institute of Advanced Industrial Science and Technology (AIST)"/>
                        <xsd:enumeration value="National Institute of Building Sciences (NIBS)"/>
                        <xsd:enumeration value="National Institute of Education (NIE)"/>
                        <xsd:enumeration value="National Institute of Metrology Thailand (NIMT)"/>
                        <xsd:enumeration value="National Institute of Water &amp; Atmospheric Research (NIWA)"/>
                        <xsd:enumeration value="National Kidney Foundation (NKF) Singapore"/>
                        <xsd:enumeration value="National Metrology Institute of Japan (NMIJ)"/>
                        <xsd:enumeration value="National Science and Technology Center for Disaster Reduction (NCDR)"/>
                        <xsd:enumeration value="National Science and Technology Development Agency (NSTDA)"/>
                        <xsd:enumeration value="National Science Technology and Innovation Policy Office(STI)"/>
                        <xsd:enumeration value="National Standardization Agency of Indonesia (BSN)"/>
                        <xsd:enumeration value="National University of Malaysia"/>
                        <xsd:enumeration value="National University of Mexico"/>
                        <xsd:enumeration value="National University of Singapore (NUS)"/>
                        <xsd:enumeration value="Natural Resources Defense Council (NRDC)"/>
                        <xsd:enumeration value="NEC Corporation"/>
                        <xsd:enumeration value="NERA Economic Consulting"/>
                        <xsd:enumeration value="Nestlé"/>
                        <xsd:enumeration value="Net Peripheral"/>
                        <xsd:enumeration value="NetSafe"/>
                        <xsd:enumeration value="Network of Aquacultures Centres in Asia-Pacific (NACA)"/>
                        <xsd:enumeration value="New Deantronics"/>
                        <xsd:enumeration value="New Zealand Winegrowers"/>
                        <xsd:enumeration value="New Water Consulting"/>
                        <xsd:enumeration value="New York University"/>
                        <xsd:enumeration value="Nextel del Perú"/>
                        <xsd:enumeration value="NHN"/>
                        <xsd:enumeration value="Nihon Kohden"/>
                        <xsd:enumeration value="Nippon Steel Corporation"/>
                        <xsd:enumeration value="Nippon Yusen Kaisha (NYK Line)"/>
                        <xsd:enumeration value="Nishogakusha University"/>
                        <xsd:enumeration value="Nokia"/>
                        <xsd:enumeration value="Nokia Siemens Networks"/>
                        <xsd:enumeration value="Nomura Institute of Capital Markets Research"/>
                        <xsd:enumeration value="Nomura Research Institute (NRI)"/>
                        <xsd:enumeration value="Nortel"/>
                        <xsd:enumeration value="North Carolina State University"/>
                        <xsd:enumeration value="North Dakota State University (NDSU)"/>
                        <xsd:enumeration value="Northrop Grumman Corporation"/>
                        <xsd:enumeration value="Novartis"/>
                        <xsd:enumeration value="NTA"/>
                        <xsd:enumeration value="NTT Data Corporation"/>
                        <xsd:enumeration value="NTT DOCOMO"/>
                        <xsd:enumeration value="NTT Energy and Environment Systems Laboratories"/>
                        <xsd:enumeration value="NZ Institute of Economic Research Inc (NZIER)"/>
                        <xsd:enumeration value="OCBC Bank"/>
                        <xsd:enumeration value="Office for the Coordination of Humanitarian Affairs (OCHA)"/>
                        <xsd:enumeration value="Office of the Privacy Commissioner for Personal Data (PCPD)"/>
                        <xsd:enumeration value="Open Computing Alliance"/>
                        <xsd:enumeration value="OpenNet Pte Ltd"/>
                        <xsd:enumeration value="Opportunity International"/>
                        <xsd:enumeration value="Opteon"/>
                        <xsd:enumeration value="Oracle Corporation"/>
                        <xsd:enumeration value="Oracle University"/>
                        <xsd:enumeration value="Organisation for Economic Co-operation and Development (OECD)"/>
                        <xsd:enumeration value="Organization for an International Geographical Indications Network (oriGIn)"/>
                        <xsd:enumeration value="Organization for the Advancement of Structured Information Standards (OASIS)"/>
                        <xsd:enumeration value="Organization of American States (OAS)"/>
                        <xsd:enumeration value="Organization of Petroleum Exporting Countries (OPEC)"/>
                        <xsd:enumeration value="Osaka University"/>
                        <xsd:enumeration value="Ovum"/>
                        <xsd:enumeration value="Owens Corning"/>
                        <xsd:enumeration value="Oxfam"/>
                        <xsd:enumeration value="Oxford University"/>
                        <xsd:enumeration value="Ozdocs"/>
                        <xsd:enumeration value="Ozgene Pty Ltd"/>
                        <xsd:enumeration value="Pacific Accreditation Cooperation (PAC)"/>
                        <xsd:enumeration value="Pacific Air Limited"/>
                        <xsd:enumeration value="Pacific Area Standards Congress (PASC)"/>
                        <xsd:enumeration value="Pacific Asia Travel Association (PATA)"/>
                        <xsd:enumeration value="Pacific Disaster Center"/>
                        <xsd:enumeration value="Pacific Economic Cooperation Council (PECC)"/>
                        <xsd:enumeration value="Pacific Hydro"/>
                        <xsd:enumeration value="Pacific Islands Forum (PIF)"/>
                        <xsd:enumeration value="Pacific Islands Regional Ocean Forum (PIROF)"/>
                        <xsd:enumeration value="Pacific Islands Telecommunications Association (PITA)"/>
                        <xsd:enumeration value="Pacific NorthWest Economic Region (PNWER)"/>
                        <xsd:enumeration value="Pacific Public Health Surveillance Network (PPHSN)"/>
                        <xsd:enumeration value="Pacifica Skincare"/>
                        <xsd:enumeration value="Packet Clearing House (PCH)"/>
                        <xsd:enumeration value="Pacto Etico Comercial (PEC)"/>
                        <xsd:enumeration value="Pan American Health Organization (PAHO)"/>
                        <xsd:enumeration value="Pan-Asian e-commerce Alliance (PAA)"/>
                        <xsd:enumeration value="Panasonic Corporation"/>
                        <xsd:enumeration value="Panasonic System Solutions Company"/>
                        <xsd:enumeration value="Papua New Guinea University of Technology"/>
                        <xsd:enumeration value="Partnership for Safe Medicines (PSM)"/>
                        <xsd:enumeration value="Partnerships in Environmental Management for the Seas of East Asia (PEMSEA)"/>
                        <xsd:enumeration value="PATH"/>
                        <xsd:enumeration value="PayPal"/>
                        <xsd:enumeration value="Peace Winds"/>
                        <xsd:enumeration value="Pegadaian"/>
                        <xsd:enumeration value="Peterson Institute for International Economics"/>
                        <xsd:enumeration value="Pfizer"/>
                        <xsd:enumeration value="Pharmaceutical Research and Manufacturers of America (PhRMA)"/>
                        <xsd:enumeration value="Pharmaceutical Security Institute"/>
                        <xsd:enumeration value="Philippine Automotive Federation, Inc (PAFI)"/>
                        <xsd:enumeration value="Philippine Chamber of Commerce and Industry"/>
                        <xsd:enumeration value="Philippine Institute for Development Studies (PIDS)"/>
                        <xsd:enumeration value="Philippine Long Distance Company (PLDT)"/>
                        <xsd:enumeration value="Philippine Maize Federation Inc."/>
                        <xsd:enumeration value="Philippine Rice Research Institute (PhilRice)"/>
                        <xsd:enumeration value="Philips"/>
                        <xsd:enumeration value="Pioneer Hi-Bred"/>
                        <xsd:enumeration value="PLANET Technology Corporation"/>
                        <xsd:enumeration value="Plastics and Chemicals Industries Association (PACIA)"/>
                        <xsd:enumeration value="Policy and Economic Research Council (PERC)"/>
                        <xsd:enumeration value="Pollet Environmental Consulting"/>
                        <xsd:enumeration value="Pontificia Universidad Católica del Perú"/>
                        <xsd:enumeration value="Ports of Auckland"/>
                        <xsd:enumeration value="POSDATA Co., Ltd"/>
                        <xsd:enumeration value="PPP Resource and Advisory Centre Sdn Bhd"/>
                        <xsd:enumeration value="PricewaterhouseCoopers (PwC)"/>
                        <xsd:enumeration value="Privacy Commissioner"/>
                        <xsd:enumeration value="Privacy International"/>
                        <xsd:enumeration value="Proactive Corporation"/>
                        <xsd:enumeration value="ProChile"/>
                        <xsd:enumeration value="Procter &amp; Gamble"/>
                        <xsd:enumeration value="Profinanzas"/>
                        <xsd:enumeration value="ProFuturo AFP"/>
                        <xsd:enumeration value="Promoviendo Alianzas y Estrategias (PRAES)"/>
                        <xsd:enumeration value="Pro Mujer"/>
                        <xsd:enumeration value="Prospectors and Developers Association of Canada (PDAC)"/>
                        <xsd:enumeration value="PSA Corporation"/>
                        <xsd:enumeration value="PSA Singapore Terminals"/>
                        <xsd:enumeration value="PT Sarana Multi Infrastruktur (Persero)"/>
                        <xsd:enumeration value="Public Research &amp; Regulation Initiative (PRRI)"/>
                        <xsd:enumeration value="Pulse Canada"/>
                        <xsd:enumeration value="Pusat Tenaga Malaysia (PTM)"/>
                        <xsd:enumeration value="Qantas Airways"/>
                        <xsd:enumeration value="Qartas Corporation"/>
                        <xsd:enumeration value="QB3"/>
                        <xsd:enumeration value="Quadrem International, Ltd"/>
                        <xsd:enumeration value="Qualcomm"/>
                        <xsd:enumeration value="Queensland Investment Corporation (QIC)"/>
                        <xsd:enumeration value="Queensland University of Technology (QUT)"/>
                        <xsd:enumeration value="Rainforest Expeditions"/>
                        <xsd:enumeration value="Raytheon"/>
                        <xsd:enumeration value="Recordkeeping Innovation"/>
                        <xsd:enumeration value="Redwood Internet Business"/>
                        <xsd:enumeration value="Regulatel"/>
                        <xsd:enumeration value="Reitaku University"/>
                        <xsd:enumeration value="Renewable Energy and Energy Efficiency Partnership (REEEP)"/>
                        <xsd:enumeration value="Renmin University of China (RUC)"/>
                        <xsd:enumeration value="Research Institute of Economy, Trade and Industry (RIETI)"/>
                        <xsd:enumeration value="Resolution Health, Inc. (RHI)"/>
                        <xsd:enumeration value="Rhodium Group (RHG)"/>
                        <xsd:enumeration value="Ricoh"/>
                        <xsd:enumeration value="RINEX Technology"/>
                        <xsd:enumeration value="Rio Tinto"/>
                        <xsd:enumeration value="RMIT University"/>
                        <xsd:enumeration value="Rochestor Institute of Technology"/>
                        <xsd:enumeration value="Rock Spring Ventures"/>
                        <xsd:enumeration value="Rocket-X Media Pte Ltd."/>
                        <xsd:enumeration value="Rockwell Automation"/>
                        <xsd:enumeration value="Rosselló Abogados"/>
                        <xsd:enumeration value="Royal Adelaide Hospital"/>
                        <xsd:enumeration value="Russell Investments"/>
                        <xsd:enumeration value="Russian Academy Of Agricultural Sciences (RAAS)"/>
                        <xsd:enumeration value="Russian Information Technology Association (RiTA)"/>
                        <xsd:enumeration value="Rutgers University"/>
                        <xsd:enumeration value="S&amp;I International"/>
                        <xsd:enumeration value="SAE International"/>
                        <xsd:enumeration value="Safe Kids China"/>
                        <xsd:enumeration value="SAIC-Frederick, Inc"/>
                        <xsd:enumeration value="Saigon Cosmetics Corporation (SCC)"/>
                        <xsd:enumeration value="Salans LLP"/>
                        <xsd:enumeration value="Salesforce.com"/>
                        <xsd:enumeration value="Samsung Economic Research Institute (SERI)"/>
                        <xsd:enumeration value="Sandler &amp; Travis Trade Advisory Services (STTAS)"/>
                        <xsd:enumeration value="Sang Myung Women's University"/>
                        <xsd:enumeration value="Sanofi-Aventis"/>
                        <xsd:enumeration value="Santiago Chamber of Commerce"/>
                        <xsd:enumeration value="Saracom"/>
                        <xsd:enumeration value="Satcon Technology Corporation"/>
                        <xsd:enumeration value="Schneider Electric"/>
                        <xsd:enumeration value="Science and Technology Policy Institute (STEPI)"/>
                        <xsd:enumeration value="Scientific American"/>
                        <xsd:enumeration value="Scotiabank"/>
                        <xsd:enumeration value="Sea Resources Management Sdn Bhd (SRM)"/>
                        <xsd:enumeration value="Secretariat of the Convention on Biological Diversity"/>
                        <xsd:enumeration value="Secretariat of the Pacific Community (SPC)"/>
                        <xsd:enumeration value="Secure Online Shopping Association (SOSA)"/>
                        <xsd:enumeration value="Securities Commission Malaysia"/>
                        <xsd:enumeration value="Security Seals Limited (SSL)"/>
                        <xsd:enumeration value="Seinan Gakuin University (SGU)"/>
                        <xsd:enumeration value="Semiconductor Equipment and Materials International (SEMI)"/>
                        <xsd:enumeration value="Semiconductor Industry Association (SIA)"/>
                        <xsd:enumeration value="Sensis"/>
                        <xsd:enumeration value="Seoul Feed Co. Ltd."/>
                        <xsd:enumeration value="Seoul National University (SNU)"/>
                        <xsd:enumeration value="Servicio de Impuestos Internos de Chile"/>
                        <xsd:enumeration value="Shanghai Automotive Industry Corporation (SAIC)"/>
                        <xsd:enumeration value="Shanghai International Port Group"/>
                        <xsd:enumeration value="Sharp Electronics"/>
                        <xsd:enumeration value="Shih-Hsin University"/>
                        <xsd:enumeration value="Shin-Etsu Denso Co., Ltd."/>
                        <xsd:enumeration value="Shipping Australia Limited"/>
                        <xsd:enumeration value="Shirlaws"/>
                        <xsd:enumeration value="Sidley Austin LLP"/>
                        <xsd:enumeration value="Siemens Schweiz AG"/>
                        <xsd:enumeration value="SIFT Pty Ltd"/>
                        <xsd:enumeration value="Silk Road Telecommunications"/>
                        <xsd:enumeration value="Simplifying Passenger Travel (SPT)"/>
                        <xsd:enumeration value="Sinclair Capital LLC"/>
                        <xsd:enumeration value="Singapore Business and Professional Women’s Association (SBPWA)"/>
                        <xsd:enumeration value="Singapore Green Building Council (SGBC)"/>
                        <xsd:enumeration value="Singapore Institute of Directors"/>
                        <xsd:enumeration value="Singapore Institute of International Affairs"/>
                        <xsd:enumeration value="Singapore Management University"/>
                        <xsd:enumeration value="Sino-Singapore Tianjin Eco-city Investment Development Co. Ltd"/>
                        <xsd:enumeration value="Skadden"/>
                        <xsd:enumeration value="SKYS"/>
                        <xsd:enumeration value="Small and Medium Business Investment &amp; Consultation Co. Ltd"/>
                        <xsd:enumeration value="Small and Medium Industries Association of Malaysia"/>
                        <xsd:enumeration value="SMART Communications"/>
                        <xsd:enumeration value="Smith &amp; Nephew"/>
                        <xsd:enumeration value="SNC-Lavalin"/>
                        <xsd:enumeration value="SNV"/>
                        <xsd:enumeration value="Soap and Detergent Association (SDA)"/>
                        <xsd:enumeration value="Sociedad de Fomento Fabril (SOFOFA)"/>
                        <xsd:enumeration value="Sociedad Peruana de Derecho Ambiental (SPDA)"/>
                        <xsd:enumeration value="Society for Worldwide Interbank Financial Telecommunication (SWIFT)"/>
                        <xsd:enumeration value="Society of Automotive Engineers of Japan (JSAE)"/>
                        <xsd:enumeration value="Society of Corporate Compliance and Ethics (SCCE)"/>
                        <xsd:enumeration value="Society of Indian Automobile Manufacturers (SIAM)"/>
                        <xsd:enumeration value="SoftBank"/>
                        <xsd:enumeration value="Solar Energy Industries Association (SEIA)"/>
                        <xsd:enumeration value="Solar Turbines Incorporated"/>
                        <xsd:enumeration value="Sony Corporation"/>
                        <xsd:enumeration value="Soochow University"/>
                        <xsd:enumeration value="Sookmyung Women’s University"/>
                        <xsd:enumeration value="Soong Sil University"/>
                        <xsd:enumeration value="Sound Global"/>
                        <xsd:enumeration value="Soundbuzz"/>
                        <xsd:enumeration value="Southern Perspectives"/>
                        <xsd:enumeration value="Southwestern Law School"/>
                        <xsd:enumeration value="Squire, Sanders &amp; Dempsey L.L.P."/>
                        <xsd:enumeration value="Standard &amp; Poor's"/>
                        <xsd:enumeration value="Standard Chartered Bank"/>
                        <xsd:enumeration value="Standards Australia"/>
                        <xsd:enumeration value="Stanford Center on Longevity"/>
                        <xsd:enumeration value="Stanford University"/>
                        <xsd:enumeration value="State Grid Corporation of China"/>
                        <xsd:enumeration value="State Street Global Advisors (SSgA)"/>
                        <xsd:enumeration value="STATS ChipPAC"/>
                        <xsd:enumeration value="Steinbeis-Transfer-Institute Intellectual Property Management (STI-IPM)"/>
                        <xsd:enumeration value="stratsec"/>
                        <xsd:enumeration value="Strive Foundation"/>
                        <xsd:enumeration value="Sukhothai Thammathirat Open University (STOU)"/>
                        <xsd:enumeration value="Superintendencia de Administradoras de Fondos de Pensiones (SAFP)"/>
                        <xsd:enumeration value="Sustainable Business Australia (SBA)"/>
                        <xsd:enumeration value="Sustainable Fisheries Management"/>
                        <xsd:enumeration value="Sustainable Oils"/>
                        <xsd:enumeration value="Suvitech"/>
                        <xsd:enumeration value="Suzuki Kogyo"/>
                        <xsd:enumeration value="Swedish Machinery Testing Institute (SMP)"/>
                        <xsd:enumeration value="Switzer"/>
                        <xsd:enumeration value="Sydney Water"/>
                        <xsd:enumeration value="Symantec Corporation"/>
                        <xsd:enumeration value="Syngenta"/>
                        <xsd:enumeration value="Syniverse Technologies"/>
                        <xsd:enumeration value="Synthetic Organic Chemical Manufacturers Association (SOCMA)"/>
                        <xsd:enumeration value="Syracuse University"/>
                        <xsd:enumeration value="TAITRA"/>
                        <xsd:enumeration value="Taman Safari Indonesia"/>
                        <xsd:enumeration value="Tamkang University"/>
                        <xsd:enumeration value="Target"/>
                        <xsd:enumeration value="Tata Communications"/>
                        <xsd:enumeration value="Tata Motors"/>
                        <xsd:enumeration value="T.C. Hoffmann &amp; Associates, LLC (TCH&amp;A)"/>
                        <xsd:enumeration value="Technology Transfer Network (TTN)"/>
                        <xsd:enumeration value="TECO"/>
                        <xsd:enumeration value="Telecommunications Users Association of New Zealand (TUANZ)"/>
                        <xsd:enumeration value="Telefónica del Perú"/>
                        <xsd:enumeration value="Telemedicine Reference Center Ltd. (TRCL)"/>
                        <xsd:enumeration value="TELKOM"/>
                        <xsd:enumeration value="Telmex"/>
                        <xsd:enumeration value="Telstra"/>
                        <xsd:enumeration value="Terra Novum"/>
                        <xsd:enumeration value="Thailand Center of Excellence for Life Sciences (TCELS)"/>
                        <xsd:enumeration value="Thailand Conventions and Exhibition Bureau (TCEB)"/>
                        <xsd:enumeration value="Thailand Development Research Institute (TDRI)"/>
                        <xsd:enumeration value="Thailand Institute of Scientific and Technological Research (TISTR)"/>
                        <xsd:enumeration value="The Asia Foundation"/>
                        <xsd:enumeration value="The Distillery"/>
                        <xsd:enumeration value="The Electrical and Electronics Association of Malaysia (TEEAM)"/>
                        <xsd:enumeration value="The Global Compact"/>
                        <xsd:enumeration value="The Green Building Initiative (GBI)"/>
                        <xsd:enumeration value="The International Air Cargo Association (TIACA)"/>
                        <xsd:enumeration value="The Logistics Institute – Asia Pacific (TLI-AP)"/>
                        <xsd:enumeration value="The National Telecommunications Commission (NTC)"/>
                        <xsd:enumeration value="The Nature Conservancy (TNC)"/>
                        <xsd:enumeration value="The Sunyata Group"/>
                        <xsd:enumeration value="Thomas Jefferson School of Law"/>
                        <xsd:enumeration value="Thomson Scientific"/>
                        <xsd:enumeration value="TIAA-CREF"/>
                        <xsd:enumeration value="Tim Haahs Engineers and Architects"/>
                        <xsd:enumeration value="TIME Engineering Berhad"/>
                        <xsd:enumeration value="TLC"/>
                        <xsd:enumeration value="Tokyo City University"/>
                        <xsd:enumeration value="Tomy Company Limited"/>
                        <xsd:enumeration value="Topitop"/>
                        <xsd:enumeration value="Toshiba"/>
                        <xsd:enumeration value="Tourism New Zealand"/>
                        <xsd:enumeration value="Toy Industry Association (TIA)"/>
                        <xsd:enumeration value="Toyo University"/>
                        <xsd:enumeration value="Toyohashi University of Technology"/>
                        <xsd:enumeration value="Toyota"/>
                        <xsd:enumeration value="TRACE"/>
                        <xsd:enumeration value="Trade and Environment Solutions (Tesol)"/>
                        <xsd:enumeration value="Trade Facilitation Services"/>
                        <xsd:enumeration value="TradeBeam"/>
                        <xsd:enumeration value="Tradegate"/>
                        <xsd:enumeration value="Tradelink"/>
                        <xsd:enumeration value="Trade-Van Information Services Company"/>
                        <xsd:enumeration value="Tran H. N. &amp; Associates"/>
                        <xsd:enumeration value="Transparency International"/>
                        <xsd:enumeration value="Transport and Chartering Corporation (VIETFRACHT)"/>
                        <xsd:enumeration value="Trialogue Assurance Services (TAS)"/>
                        <xsd:enumeration value="TRPC"/>
                        <xsd:enumeration value="TRUSTe"/>
                        <xsd:enumeration value="Tsinghua University"/>
                        <xsd:enumeration value="TSMC"/>
                        <xsd:enumeration value="TTG Asia"/>
                        <xsd:enumeration value="Tu Transformas"/>
                        <xsd:enumeration value="Tufts University"/>
                        <xsd:enumeration value="Tuskegee University"/>
                        <xsd:enumeration value="Tzu Chi University"/>
                        <xsd:enumeration value="Twitter"/>
                        <xsd:enumeration value="Tyco Telecommunications"/>
                        <xsd:enumeration value="Ulteig"/>
                        <xsd:enumeration value="Underwriters Laboratories Inc."/>
                        <xsd:enumeration value="Unisys"/>
                        <xsd:enumeration value="United Laboratories"/>
                        <xsd:enumeration value="United Nations"/>
                        <xsd:enumeration value="United Nations Centre for Trade Facilitation and Electronic Business (UN/CEFACT)"/>
                        <xsd:enumeration value="United Nations Children’s Fund (UNICEF)"/>
                        <xsd:enumeration value="United Nations Commission on International Trade Law (UNCITRAL)"/>
                        <xsd:enumeration value="United Nations Commission on Sustainable Development (CSD)"/>
                        <xsd:enumeration value="United Nations Conference on Trade and Development (UNCTAD)"/>
                        <xsd:enumeration value="United Nations Counter-Terrorism Committee (CTC)"/>
                        <xsd:enumeration value="United Nations Counter-Terrorism Committee Executive Directorate (UN CTED)"/>
                        <xsd:enumeration value="United Nations Development Program (UNDP)"/>
                        <xsd:enumeration value="United Nations Economic and Social Commission for Asia and the Pacific (ESCAP)"/>
                        <xsd:enumeration value="United Nations Economic Commission for Europe (UNECE)"/>
                        <xsd:enumeration value="United Nations Economic Commission for Latin America and the Caribbean (UN ECLAC)"/>
                        <xsd:enumeration value="United Nations Environment Programme (UNEP)"/>
                        <xsd:enumeration value="United Nations High-Level Task Force on the Global Food Security Crisis (UNHLTF)"/>
                        <xsd:enumeration value="United Nations Industrial Development Organization (UNIDO)"/>
                        <xsd:enumeration value="United Nations International Strategy for Disaster Reduction (UN/ISDR)"/>
                        <xsd:enumeration value="United Nations Office for the Coordination of Humanitarian Affairs (UNOCHA)"/>
                        <xsd:enumeration value="United Nations Office on Drugs and Crime (UNODC)"/>
                        <xsd:enumeration value="United Nations System Influenza Coordination (UNSIC)"/>
                        <xsd:enumeration value="United Nations University"/>
                        <xsd:enumeration value="United Parcel Service (UPS)"/>
                        <xsd:enumeration value="United States Chamber of Commerce (USCC)"/>
                        <xsd:enumeration value="United States Council for Automotive Research (USCAR)"/>
                        <xsd:enumeration value="United States Council for International Business (USCIB)"/>
                        <xsd:enumeration value="United States Pharmacopeia (USP)"/>
                        <xsd:enumeration value="United Technologies Research Center (UTRC)"/>
                        <xsd:enumeration value="Universidad de San Martin de Porres"/>
                        <xsd:enumeration value="Universidad del Pacífico"/>
                        <xsd:enumeration value="Universidad Nacional Autónoma de México"/>
                        <xsd:enumeration value="Universitas Indonesia (UI)"/>
                        <xsd:enumeration value="Universiti Brunei Darussalam (UBD)"/>
                        <xsd:enumeration value="Universiti Putra Malaysia"/>
                        <xsd:enumeration value="University of Adelaide"/>
                        <xsd:enumeration value="University of Auckland"/>
                        <xsd:enumeration value="University of British Columbia"/>
                        <xsd:enumeration value="University of Calgary"/>
                        <xsd:enumeration value="University of California"/>
                        <xsd:enumeration value="University of California, Berkeley"/>
                        <xsd:enumeration value="University of California Davis"/>
                        <xsd:enumeration value="University of California, San Diego (UCSD)"/>
                        <xsd:enumeration value="University of Canberra"/>
                        <xsd:enumeration value="University of Chile"/>
                        <xsd:enumeration value="University of Denver"/>
                        <xsd:enumeration value="University of Hawai'i"/>
                        <xsd:enumeration value="University of Hong Kong"/>
                        <xsd:enumeration value="University of Indonesia"/>
                        <xsd:enumeration value="University of Kansas"/>
                        <xsd:enumeration value="University of Kent"/>
                        <xsd:enumeration value="University of Maryland"/>
                        <xsd:enumeration value="University of Melbourne"/>
                        <xsd:enumeration value="University of Michigan"/>
                        <xsd:enumeration value="University of Milan"/>
                        <xsd:enumeration value="University of New South Wales"/>
                        <xsd:enumeration value="University of North Carolina"/>
                        <xsd:enumeration value="University of Notre Dame"/>
                        <xsd:enumeration value="University of Nottingham"/>
                        <xsd:enumeration value="University of Ottawa"/>
                        <xsd:enumeration value="University of Pennsylvania"/>
                        <xsd:enumeration value="University of São Paulo"/>
                        <xsd:enumeration value="University of South Australia"/>
                        <xsd:enumeration value="University of Southern California"/>
                        <xsd:enumeration value="University of Southern Queensland"/>
                        <xsd:enumeration value="University of Sydney"/>
                        <xsd:enumeration value="University of Tasmania"/>
                        <xsd:enumeration value="University of the Philippines"/>
                        <xsd:enumeration value="University of the Philippines, Diliman"/>
                        <xsd:enumeration value="University of the Philippines Los Baños"/>
                        <xsd:enumeration value="University of Tokyo"/>
                        <xsd:enumeration value="University of Toronto"/>
                        <xsd:enumeration value="University of Tsukuba"/>
                        <xsd:enumeration value="University of Twente"/>
                        <xsd:enumeration value="University of Utah"/>
                        <xsd:enumeration value="University of Waikato"/>
                        <xsd:enumeration value="University of Western Australia"/>
                        <xsd:enumeration value="University of Western Sydney"/>
                        <xsd:enumeration value="University of Wollongong"/>
                        <xsd:enumeration value="University-Industry Demonstration Partnership (UIDP)"/>
                        <xsd:enumeration value="Urban Institute"/>
                        <xsd:enumeration value="Urban Resilience Strategies"/>
                        <xsd:enumeration value="U.S. Bank"/>
                        <xsd:enumeration value="U.S. Chamber of Commerce"/>
                        <xsd:enumeration value="US-ASEAN Business Council"/>
                        <xsd:enumeration value="US Council for International Business"/>
                        <xsd:enumeration value="USA Poultry and Egg Export Council (USAPEEC)"/>
                        <xsd:enumeration value="Value Innovation Action Camp (VIAC) Korea"/>
                        <xsd:enumeration value="Vanderbilt University"/>
                        <xsd:enumeration value="Veda Advantage"/>
                        <xsd:enumeration value="Vegetable Marketing Organization (VMO)"/>
                        <xsd:enumeration value="Venus Group"/>
                        <xsd:enumeration value="Veolia Water"/>
                        <xsd:enumeration value="Vereenigde"/>
                        <xsd:enumeration value="Verizon"/>
                        <xsd:enumeration value="Victoria University"/>
                        <xsd:enumeration value="Vietfracht"/>
                        <xsd:enumeration value="Vietnam Academy of Agricultural Sciences (VAAS)"/>
                        <xsd:enumeration value="Vietnam Academy of Social Sciences (VASS)"/>
                        <xsd:enumeration value="Vietnam Airlines Corporation"/>
                        <xsd:enumeration value="Vietnam Association for SMEs"/>
                        <xsd:enumeration value="Vietnam Chamber of Commerce and Industry (VCCI)"/>
                        <xsd:enumeration value="Vietnam Competitiveness Initiative (VNCI)"/>
                        <xsd:enumeration value="Vietnam E-Commerce and Information Technology Agency (VECITA)"/>
                        <xsd:enumeration value="Vietnam Institute of Geosciences and Mineral Resources (VIGMR)"/>
                        <xsd:enumeration value="Vietnam National University of Hanoi (VNUH)"/>
                        <xsd:enumeration value="Vietnam Post and Telecommunications Group (VNPT)"/>
                        <xsd:enumeration value="Vietnam Tea Association"/>
                        <xsd:enumeration value="Viet Nam Women’s Union"/>
                        <xsd:enumeration value="Vietnamese Academy of Science and Technology (VAST)"/>
                        <xsd:enumeration value="VietSoftware"/>
                        <xsd:enumeration value="Viettech"/>
                        <xsd:enumeration value="Vinos De Chile"/>
                        <xsd:enumeration value="Visa"/>
                        <xsd:enumeration value="Warner Bros. Online"/>
                        <xsd:enumeration value="Waseda University"/>
                        <xsd:enumeration value="Washington Trade Reports (WTR)"/>
                        <xsd:enumeration value="Water Resources University (WRU)"/>
                        <xsd:enumeration value="Wellness Institute"/>
                        <xsd:enumeration value="Western Renewables Group"/>
                        <xsd:enumeration value="Whirlpool"/>
                        <xsd:enumeration value="White &amp; Case"/>
                        <xsd:enumeration value="Whole Earth Essentials, LLC"/>
                        <xsd:enumeration value="Wildlife Conservation Society (WCS)"/>
                        <xsd:enumeration value="Wiley-Blackwell"/>
                        <xsd:enumeration value="Wiliam"/>
                        <xsd:enumeration value="Winemakers Federation of Australia (WFA)"/>
                        <xsd:enumeration value="Winrock International"/>
                        <xsd:enumeration value="W.J. Byrnes &amp; Co."/>
                        <xsd:enumeration value="Women Leaders’ Network (WLN)"/>
                        <xsd:enumeration value="Women's World Banking"/>
                        <xsd:enumeration value="World Bank"/>
                        <xsd:enumeration value="World Bank Institute (WBI)"/>
                        <xsd:enumeration value="World BASC Organization"/>
                        <xsd:enumeration value="World Customs Organization (WCO)"/>
                        <xsd:enumeration value="World Economic Forum"/>
                        <xsd:enumeration value="World Electronics Forum"/>
                        <xsd:enumeration value="World Energy Council"/>
                        <xsd:enumeration value="World Food Programme (WFP)"/>
                        <xsd:enumeration value="World Green Building Council"/>
                        <xsd:enumeration value="World Health Organization (WHO)"/>
                        <xsd:enumeration value="World Intellectual Property Organization (WIPO)"/>
                        <xsd:enumeration value="World Meteorological Organization (WMO)"/>
                        <xsd:enumeration value="World Organisation for Animal Health (OIE)"/>
                        <xsd:enumeration value="World Resource Institute"/>
                        <xsd:enumeration value="World Self-Medication Industry (WSMI)"/>
                        <xsd:enumeration value="World Semiconductor Council (WSC)"/>
                        <xsd:enumeration value="World Tourism Organization (UNWTO)"/>
                        <xsd:enumeration value="World Trade Institute (WTI)"/>
                        <xsd:enumeration value="World Trade Organization (WTO)"/>
                        <xsd:enumeration value="World Travel &amp; Tourism Council (WTTC)"/>
                        <xsd:enumeration value="World Wildlife Fund (WWF)"/>
                        <xsd:enumeration value="Worldwide System for Conformity Testing and Certification of Electrotechnical Equipment and Components (IECEE)"/>
                        <xsd:enumeration value="Worrell Water Technologies"/>
                        <xsd:enumeration value="Xiamen University"/>
                        <xsd:enumeration value="Xi’an Jiaotong University"/>
                        <xsd:enumeration value="Xue Xue Institute"/>
                        <xsd:enumeration value="Yahoo Japan Corporation"/>
                        <xsd:enumeration value="Yale University"/>
                        <xsd:enumeration value="YAOX Edutainment"/>
                        <xsd:enumeration value="Yeon Technologies"/>
                        <xsd:enumeration value="Yeungnam University"/>
                        <xsd:enumeration value="Yokogawa Electric Corporation"/>
                        <xsd:enumeration value="Yonsei University"/>
                        <xsd:enumeration value="York University"/>
                        <xsd:enumeration value="Yunnan Nationalities University (YNU)"/>
                        <xsd:enumeration value="ZEN-NOH"/>
                        <xsd:enumeration value="Zhanjiang Guolian Aquatic Products Co Ltd"/>
                        <xsd:enumeration value="ZTE Corporation"/>
                      </xsd:restriction>
                    </xsd:simpleType>
                  </xsd:union>
                </xsd:simpleType>
              </xsd:element>
            </xsd:sequence>
          </xsd:extension>
        </xsd:complexContent>
      </xsd:complexType>
    </xsd:element>
    <xsd:element name="MDDBClass" ma:index="21" nillable="true" ma:displayName="Classification" ma:format="RadioButtons" ma:internalName="MDDBClass">
      <xsd:simpleType>
        <xsd:restriction base="dms:Choice">
          <xsd:enumeration value="Restricted"/>
          <xsd:enumeration value="Public"/>
        </xsd:restriction>
      </xsd:simpleType>
    </xsd:element>
    <xsd:element name="MDDBStatus" ma:index="22" nillable="true" ma:displayName="Status of Record" ma:format="RadioButtons" ma:internalName="MDDBStatus">
      <xsd:simpleType>
        <xsd:restriction base="dms:Choice">
          <xsd:enumeration value="Provisional"/>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00DA3-D696-4FC4-94F3-617D3BEC27AB}">
  <ds:schemaRefs>
    <ds:schemaRef ds:uri="http://schemas.microsoft.com/sharepoint/v3/contenttype/forms"/>
  </ds:schemaRefs>
</ds:datastoreItem>
</file>

<file path=customXml/itemProps2.xml><?xml version="1.0" encoding="utf-8"?>
<ds:datastoreItem xmlns:ds="http://schemas.openxmlformats.org/officeDocument/2006/customXml" ds:itemID="{7F1F3B87-1892-4426-A491-4E855B783C39}">
  <ds:schemaRefs>
    <ds:schemaRef ds:uri="http://schemas.microsoft.com/office/2006/metadata/properties"/>
    <ds:schemaRef ds:uri="http://schemas.microsoft.com/office/infopath/2007/PartnerControls"/>
    <ds:schemaRef ds:uri="21825695-5fbc-4f8f-8909-2f62151a4dcc"/>
  </ds:schemaRefs>
</ds:datastoreItem>
</file>

<file path=customXml/itemProps3.xml><?xml version="1.0" encoding="utf-8"?>
<ds:datastoreItem xmlns:ds="http://schemas.openxmlformats.org/officeDocument/2006/customXml" ds:itemID="{B97979F6-FE2C-472D-AF29-39FF0E0B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25695-5fbc-4f8f-8909-2f62151a4d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9489E2-7E85-4910-8CC5-C12FB1FC75F5}">
  <ds:schemaRefs>
    <ds:schemaRef ds:uri="http://schemas.microsoft.com/office/2006/metadata/longProperties"/>
  </ds:schemaRefs>
</ds:datastoreItem>
</file>

<file path=customXml/itemProps5.xml><?xml version="1.0" encoding="utf-8"?>
<ds:datastoreItem xmlns:ds="http://schemas.openxmlformats.org/officeDocument/2006/customXml" ds:itemID="{068730A2-8CAA-4F96-8ABF-BD55B74A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3012</Words>
  <Characters>17172</Characters>
  <Application>Microsoft Office Word</Application>
  <DocSecurity>0</DocSecurity>
  <Lines>143</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IAP Summary</vt:lpstr>
      <vt:lpstr>IAP Summary</vt:lpstr>
    </vt:vector>
  </TitlesOfParts>
  <Company>DFAT</Company>
  <LinksUpToDate>false</LinksUpToDate>
  <CharactersWithSpaces>20144</CharactersWithSpaces>
  <SharedDoc>false</SharedDoc>
  <HLinks>
    <vt:vector size="18" baseType="variant">
      <vt:variant>
        <vt:i4>1900559</vt:i4>
      </vt:variant>
      <vt:variant>
        <vt:i4>9</vt:i4>
      </vt:variant>
      <vt:variant>
        <vt:i4>0</vt:i4>
      </vt:variant>
      <vt:variant>
        <vt:i4>5</vt:i4>
      </vt:variant>
      <vt:variant>
        <vt:lpwstr>https://www.cbp.gov/trade/priority-issues/ipr/protection</vt:lpwstr>
      </vt:variant>
      <vt:variant>
        <vt:lpwstr/>
      </vt:variant>
      <vt:variant>
        <vt:i4>851991</vt:i4>
      </vt:variant>
      <vt:variant>
        <vt:i4>6</vt:i4>
      </vt:variant>
      <vt:variant>
        <vt:i4>0</vt:i4>
      </vt:variant>
      <vt:variant>
        <vt:i4>5</vt:i4>
      </vt:variant>
      <vt:variant>
        <vt:lpwstr>https://www.cbp.gov/trade/trade-community/programs-outreach/convict-importations</vt:lpwstr>
      </vt:variant>
      <vt:variant>
        <vt:lpwstr/>
      </vt:variant>
      <vt:variant>
        <vt:i4>3014713</vt:i4>
      </vt:variant>
      <vt:variant>
        <vt:i4>3</vt:i4>
      </vt:variant>
      <vt:variant>
        <vt:i4>0</vt:i4>
      </vt:variant>
      <vt:variant>
        <vt:i4>5</vt:i4>
      </vt:variant>
      <vt:variant>
        <vt:lpwstr>https://www.cbp.gov/trade/trade-enforcement/tftea/enforce-and-protect-act-eapa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cp:lastModifiedBy>USTR Comments</cp:lastModifiedBy>
  <cp:revision>4</cp:revision>
  <cp:lastPrinted>2018-01-08T14:53:00Z</cp:lastPrinted>
  <dcterms:created xsi:type="dcterms:W3CDTF">2018-04-02T17:23:00Z</dcterms:created>
  <dcterms:modified xsi:type="dcterms:W3CDTF">2018-04-02T20:41:00Z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DBDocType">
    <vt:lpwstr/>
  </property>
  <property fmtid="{D5CDD505-2E9C-101B-9397-08002B2CF9AE}" pid="3" name="Order">
    <vt:lpwstr>425800.000000000</vt:lpwstr>
  </property>
  <property fmtid="{D5CDD505-2E9C-101B-9397-08002B2CF9AE}" pid="4" name="MDDBOrder">
    <vt:lpwstr>99999</vt:lpwstr>
  </property>
  <property fmtid="{D5CDD505-2E9C-101B-9397-08002B2CF9AE}" pid="5" name="MDDBClass">
    <vt:lpwstr/>
  </property>
  <property fmtid="{D5CDD505-2E9C-101B-9397-08002B2CF9AE}" pid="6" name="MDDBDocNum">
    <vt:lpwstr/>
  </property>
  <property fmtid="{D5CDD505-2E9C-101B-9397-08002B2CF9AE}" pid="7" name="MDDBTitle">
    <vt:lpwstr/>
  </property>
  <property fmtid="{D5CDD505-2E9C-101B-9397-08002B2CF9AE}" pid="8" name="MDDBSubGroup">
    <vt:lpwstr>Committee on Trade and Investment (CTI)</vt:lpwstr>
  </property>
  <property fmtid="{D5CDD505-2E9C-101B-9397-08002B2CF9AE}" pid="9" name="MDDBStatus">
    <vt:lpwstr/>
  </property>
  <property fmtid="{D5CDD505-2E9C-101B-9397-08002B2CF9AE}" pid="10" name="MDDBEndDate">
    <vt:lpwstr/>
  </property>
  <property fmtid="{D5CDD505-2E9C-101B-9397-08002B2CF9AE}" pid="11" name="MDDBVenCity">
    <vt:lpwstr/>
  </property>
  <property fmtid="{D5CDD505-2E9C-101B-9397-08002B2CF9AE}" pid="12" name="MDDBGroup">
    <vt:lpwstr>APEC Ministerial Meetings (AMM)</vt:lpwstr>
  </property>
  <property fmtid="{D5CDD505-2E9C-101B-9397-08002B2CF9AE}" pid="13" name="MDDBVenEco">
    <vt:lpwstr/>
  </property>
  <property fmtid="{D5CDD505-2E9C-101B-9397-08002B2CF9AE}" pid="14" name="MDDBStartDate">
    <vt:lpwstr/>
  </property>
  <property fmtid="{D5CDD505-2E9C-101B-9397-08002B2CF9AE}" pid="15" name="MDDBMeetingName">
    <vt:lpwstr/>
  </property>
  <property fmtid="{D5CDD505-2E9C-101B-9397-08002B2CF9AE}" pid="16" name="Created">
    <vt:lpwstr>2011-11-12T22:12:26Z</vt:lpwstr>
  </property>
  <property fmtid="{D5CDD505-2E9C-101B-9397-08002B2CF9AE}" pid="17" name="Modified">
    <vt:lpwstr>2011-11-12T22:28:53Z</vt:lpwstr>
  </property>
  <property fmtid="{D5CDD505-2E9C-101B-9397-08002B2CF9AE}" pid="18" name="MDDBSubEco">
    <vt:lpwstr/>
  </property>
  <property fmtid="{D5CDD505-2E9C-101B-9397-08002B2CF9AE}" pid="19" name="MDDBSubOrg">
    <vt:lpwstr/>
  </property>
</Properties>
</file>