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47"/>
      </w:tblGrid>
      <w:tr w:rsidR="00FC4FEB" w:rsidRPr="00FC4FEB" w14:paraId="75129801" w14:textId="77777777" w:rsidTr="00810BCF">
        <w:trPr>
          <w:tblHeader/>
        </w:trPr>
        <w:tc>
          <w:tcPr>
            <w:tcW w:w="14547" w:type="dxa"/>
            <w:shd w:val="clear" w:color="auto" w:fill="DBE5F1"/>
          </w:tcPr>
          <w:p w14:paraId="4C370048" w14:textId="77777777" w:rsidR="00505176" w:rsidRPr="00FC4FEB" w:rsidRDefault="0081130F" w:rsidP="00FC4FEB">
            <w:pPr>
              <w:spacing w:before="120"/>
              <w:jc w:val="center"/>
              <w:rPr>
                <w:b/>
                <w:sz w:val="20"/>
              </w:rPr>
            </w:pPr>
            <w:r w:rsidRPr="00FC4FEB">
              <w:rPr>
                <w:b/>
                <w:sz w:val="20"/>
              </w:rPr>
              <w:t xml:space="preserve">Individual Action Plan Update for </w:t>
            </w:r>
            <w:r w:rsidR="00876AAA" w:rsidRPr="00FC4FEB">
              <w:rPr>
                <w:b/>
                <w:sz w:val="20"/>
              </w:rPr>
              <w:t>the Philippines</w:t>
            </w:r>
            <w:r w:rsidRPr="00FC4FEB">
              <w:rPr>
                <w:b/>
                <w:sz w:val="20"/>
              </w:rPr>
              <w:t xml:space="preserve"> for </w:t>
            </w:r>
            <w:r w:rsidR="0093477A" w:rsidRPr="00FC4FEB">
              <w:rPr>
                <w:b/>
                <w:sz w:val="20"/>
              </w:rPr>
              <w:t>2018</w:t>
            </w:r>
            <w:r w:rsidR="00084523" w:rsidRPr="00FC4FEB">
              <w:rPr>
                <w:b/>
                <w:sz w:val="20"/>
              </w:rPr>
              <w:fldChar w:fldCharType="begin" w:fldLock="1">
                <w:ffData>
                  <w:name w:val="Text30"/>
                  <w:enabled/>
                  <w:calcOnExit w:val="0"/>
                  <w:textInput>
                    <w:default w:val="{Year}"/>
                  </w:textInput>
                </w:ffData>
              </w:fldChar>
            </w:r>
            <w:r w:rsidRPr="00FC4FEB">
              <w:rPr>
                <w:b/>
                <w:sz w:val="20"/>
              </w:rPr>
              <w:instrText xml:space="preserve"> FORMTEXT </w:instrText>
            </w:r>
            <w:r w:rsidR="00B146C8">
              <w:rPr>
                <w:b/>
                <w:sz w:val="20"/>
              </w:rPr>
            </w:r>
            <w:r w:rsidR="00B146C8">
              <w:rPr>
                <w:b/>
                <w:sz w:val="20"/>
              </w:rPr>
              <w:fldChar w:fldCharType="separate"/>
            </w:r>
            <w:r w:rsidR="00084523" w:rsidRPr="00FC4FEB">
              <w:rPr>
                <w:b/>
                <w:sz w:val="20"/>
              </w:rPr>
              <w:fldChar w:fldCharType="end"/>
            </w:r>
          </w:p>
        </w:tc>
      </w:tr>
      <w:tr w:rsidR="00FC4FEB" w:rsidRPr="00FC4FEB" w14:paraId="6EC964BB" w14:textId="77777777" w:rsidTr="00810BCF">
        <w:trPr>
          <w:tblHeader/>
        </w:trPr>
        <w:tc>
          <w:tcPr>
            <w:tcW w:w="14547" w:type="dxa"/>
          </w:tcPr>
          <w:p w14:paraId="655E5400" w14:textId="77777777" w:rsidR="0081130F" w:rsidRPr="00FC4FEB" w:rsidRDefault="0081130F" w:rsidP="000A5925">
            <w:pPr>
              <w:spacing w:before="120"/>
              <w:jc w:val="both"/>
              <w:rPr>
                <w:b/>
                <w:i/>
                <w:sz w:val="20"/>
              </w:rPr>
            </w:pPr>
            <w:bookmarkStart w:id="0" w:name="Highlights"/>
            <w:bookmarkEnd w:id="0"/>
            <w:r w:rsidRPr="00FC4FEB">
              <w:rPr>
                <w:b/>
                <w:i/>
                <w:sz w:val="20"/>
              </w:rPr>
              <w:t xml:space="preserve">Highlights of recent policy developments which indicate how </w:t>
            </w:r>
            <w:r w:rsidR="0017628B" w:rsidRPr="00FC4FEB">
              <w:rPr>
                <w:b/>
                <w:i/>
                <w:sz w:val="20"/>
              </w:rPr>
              <w:t>Philippines</w:t>
            </w:r>
            <w:r w:rsidRPr="00FC4FEB">
              <w:rPr>
                <w:b/>
                <w:i/>
                <w:sz w:val="20"/>
              </w:rPr>
              <w:t xml:space="preserve"> is progressing towards the Bogor Goals and key challenges it faces in its efforts to meet the Goals. </w:t>
            </w:r>
          </w:p>
        </w:tc>
      </w:tr>
      <w:tr w:rsidR="00FC4FEB" w:rsidRPr="00FC4FEB" w14:paraId="66257053" w14:textId="77777777" w:rsidTr="00810BCF">
        <w:trPr>
          <w:tblHeader/>
        </w:trPr>
        <w:tc>
          <w:tcPr>
            <w:tcW w:w="14547" w:type="dxa"/>
          </w:tcPr>
          <w:p w14:paraId="3F2A46E1" w14:textId="77777777" w:rsidR="0093477A" w:rsidRPr="00FC4FEB" w:rsidRDefault="0093477A" w:rsidP="000A5925">
            <w:pPr>
              <w:ind w:right="180"/>
              <w:jc w:val="both"/>
              <w:rPr>
                <w:rFonts w:eastAsiaTheme="minorHAnsi"/>
                <w:sz w:val="20"/>
              </w:rPr>
            </w:pPr>
          </w:p>
          <w:p w14:paraId="53EE03C6" w14:textId="77777777" w:rsidR="00AF4012" w:rsidRPr="00FC4FEB" w:rsidRDefault="00AF4012" w:rsidP="00993030">
            <w:pPr>
              <w:ind w:right="180"/>
              <w:jc w:val="both"/>
              <w:rPr>
                <w:sz w:val="20"/>
              </w:rPr>
            </w:pPr>
            <w:r w:rsidRPr="00FC4FEB">
              <w:rPr>
                <w:sz w:val="20"/>
                <w:shd w:val="clear" w:color="auto" w:fill="FFFFFF"/>
              </w:rPr>
              <w:t>Fully implemented</w:t>
            </w:r>
            <w:r w:rsidR="000A5925" w:rsidRPr="00FC4FEB">
              <w:rPr>
                <w:sz w:val="20"/>
                <w:shd w:val="clear" w:color="auto" w:fill="FFFFFF"/>
              </w:rPr>
              <w:t xml:space="preserve"> the</w:t>
            </w:r>
            <w:r w:rsidRPr="00FC4FEB">
              <w:rPr>
                <w:sz w:val="20"/>
                <w:shd w:val="clear" w:color="auto" w:fill="FFFFFF"/>
              </w:rPr>
              <w:t xml:space="preserve"> tariff commitments under the expanded </w:t>
            </w:r>
            <w:r w:rsidR="000A5925" w:rsidRPr="00FC4FEB">
              <w:rPr>
                <w:sz w:val="20"/>
                <w:shd w:val="clear" w:color="auto" w:fill="FFFFFF"/>
              </w:rPr>
              <w:t xml:space="preserve">WTO </w:t>
            </w:r>
            <w:r w:rsidRPr="00FC4FEB">
              <w:rPr>
                <w:sz w:val="20"/>
                <w:shd w:val="clear" w:color="auto" w:fill="FFFFFF"/>
              </w:rPr>
              <w:t>Information Technology Agreement (ITA-II) throug</w:t>
            </w:r>
            <w:r w:rsidR="00BB230B" w:rsidRPr="00FC4FEB">
              <w:rPr>
                <w:sz w:val="20"/>
                <w:shd w:val="clear" w:color="auto" w:fill="FFFFFF"/>
              </w:rPr>
              <w:t>h Executive Order 21 on 18 May</w:t>
            </w:r>
            <w:r w:rsidRPr="00FC4FEB">
              <w:rPr>
                <w:sz w:val="20"/>
                <w:shd w:val="clear" w:color="auto" w:fill="FFFFFF"/>
              </w:rPr>
              <w:t xml:space="preserve"> 2017.</w:t>
            </w:r>
          </w:p>
          <w:p w14:paraId="6D139B31" w14:textId="77777777" w:rsidR="00AF4012" w:rsidRPr="00FC4FEB" w:rsidRDefault="00AF4012" w:rsidP="00993030">
            <w:pPr>
              <w:ind w:right="180"/>
              <w:jc w:val="both"/>
              <w:rPr>
                <w:sz w:val="20"/>
              </w:rPr>
            </w:pPr>
          </w:p>
          <w:p w14:paraId="2435A5F5" w14:textId="77777777" w:rsidR="00805BEA" w:rsidRPr="00FC4FEB" w:rsidRDefault="00805BEA">
            <w:pPr>
              <w:ind w:right="180"/>
              <w:jc w:val="both"/>
              <w:rPr>
                <w:sz w:val="20"/>
              </w:rPr>
            </w:pPr>
            <w:r w:rsidRPr="00FC4FEB">
              <w:rPr>
                <w:sz w:val="20"/>
              </w:rPr>
              <w:t>Launched the 10-year Maritime Industry Development Program (MIDP) on 01 June 2017 to further strengthen the country’s position as a major maritime nation and to develop our maritime industry.</w:t>
            </w:r>
          </w:p>
          <w:p w14:paraId="392C64EC" w14:textId="77777777" w:rsidR="00403112" w:rsidRPr="00FC4FEB" w:rsidRDefault="00403112">
            <w:pPr>
              <w:ind w:right="180"/>
              <w:jc w:val="both"/>
              <w:rPr>
                <w:sz w:val="20"/>
              </w:rPr>
            </w:pPr>
          </w:p>
          <w:p w14:paraId="77287F0F" w14:textId="77777777" w:rsidR="00403112" w:rsidRPr="00FC4FEB" w:rsidRDefault="00403112">
            <w:pPr>
              <w:ind w:right="180"/>
              <w:jc w:val="both"/>
              <w:rPr>
                <w:sz w:val="20"/>
              </w:rPr>
            </w:pPr>
            <w:r w:rsidRPr="00FC4FEB">
              <w:rPr>
                <w:sz w:val="20"/>
              </w:rPr>
              <w:t xml:space="preserve">Extension on the validity of the Seafarer’s Identification and Record Book from five (5) to ten (10) years. </w:t>
            </w:r>
          </w:p>
          <w:p w14:paraId="679F4DAB" w14:textId="77777777" w:rsidR="00F4378D" w:rsidRPr="00FC4FEB" w:rsidRDefault="00F4378D">
            <w:pPr>
              <w:ind w:right="180"/>
              <w:jc w:val="both"/>
              <w:rPr>
                <w:sz w:val="20"/>
              </w:rPr>
            </w:pPr>
          </w:p>
          <w:p w14:paraId="657396A0" w14:textId="5DCD3B05" w:rsidR="00F4378D" w:rsidRDefault="00F4378D">
            <w:pPr>
              <w:ind w:right="180"/>
              <w:jc w:val="both"/>
              <w:rPr>
                <w:sz w:val="20"/>
              </w:rPr>
            </w:pPr>
            <w:r w:rsidRPr="00FC4FEB">
              <w:rPr>
                <w:sz w:val="20"/>
              </w:rPr>
              <w:t>Launched the Philippine Assessment and Certification for Tourism Professionals.</w:t>
            </w:r>
          </w:p>
          <w:p w14:paraId="255E2A60" w14:textId="288C6C82" w:rsidR="008A1102" w:rsidRDefault="008A1102">
            <w:pPr>
              <w:ind w:right="180"/>
              <w:jc w:val="both"/>
              <w:rPr>
                <w:sz w:val="20"/>
              </w:rPr>
            </w:pPr>
          </w:p>
          <w:p w14:paraId="2E2B8394" w14:textId="7568C38A" w:rsidR="008A1102" w:rsidRDefault="008A1102">
            <w:pPr>
              <w:ind w:right="180"/>
              <w:jc w:val="both"/>
              <w:rPr>
                <w:sz w:val="20"/>
              </w:rPr>
            </w:pPr>
            <w:r>
              <w:rPr>
                <w:sz w:val="20"/>
              </w:rPr>
              <w:t>Launched the National Broadband Plan.</w:t>
            </w:r>
          </w:p>
          <w:p w14:paraId="4F228A6E" w14:textId="7B257D31" w:rsidR="008A1102" w:rsidRDefault="008A1102">
            <w:pPr>
              <w:ind w:right="180"/>
              <w:jc w:val="both"/>
              <w:rPr>
                <w:sz w:val="20"/>
              </w:rPr>
            </w:pPr>
          </w:p>
          <w:p w14:paraId="6840BBD5" w14:textId="7C305010" w:rsidR="008A1102" w:rsidRPr="00FC4FEB" w:rsidRDefault="00267768">
            <w:pPr>
              <w:ind w:right="180"/>
              <w:jc w:val="both"/>
              <w:rPr>
                <w:sz w:val="20"/>
              </w:rPr>
            </w:pPr>
            <w:r>
              <w:rPr>
                <w:sz w:val="20"/>
              </w:rPr>
              <w:t xml:space="preserve">Signing into law of Republic Act No. 10929, also known as the Free </w:t>
            </w:r>
            <w:proofErr w:type="spellStart"/>
            <w:r>
              <w:rPr>
                <w:sz w:val="20"/>
              </w:rPr>
              <w:t>WiFi</w:t>
            </w:r>
            <w:proofErr w:type="spellEnd"/>
            <w:r>
              <w:rPr>
                <w:sz w:val="20"/>
              </w:rPr>
              <w:t xml:space="preserve"> Law.</w:t>
            </w:r>
          </w:p>
          <w:p w14:paraId="1E665B7B" w14:textId="77777777" w:rsidR="00F4378D" w:rsidRPr="00FC4FEB" w:rsidRDefault="00F4378D">
            <w:pPr>
              <w:ind w:right="180"/>
              <w:jc w:val="both"/>
              <w:rPr>
                <w:sz w:val="20"/>
              </w:rPr>
            </w:pPr>
          </w:p>
          <w:p w14:paraId="57D051FA" w14:textId="6A52885B" w:rsidR="00F4378D" w:rsidRPr="00FC4FEB" w:rsidRDefault="00A057C8">
            <w:pPr>
              <w:ind w:right="180"/>
              <w:jc w:val="both"/>
              <w:rPr>
                <w:sz w:val="20"/>
              </w:rPr>
            </w:pPr>
            <w:r>
              <w:rPr>
                <w:sz w:val="20"/>
              </w:rPr>
              <w:t xml:space="preserve">Currently implementing the 2017 Investment Priorities Plan </w:t>
            </w:r>
            <w:r w:rsidR="001C599C">
              <w:rPr>
                <w:sz w:val="20"/>
              </w:rPr>
              <w:t>to</w:t>
            </w:r>
            <w:r>
              <w:rPr>
                <w:sz w:val="20"/>
              </w:rPr>
              <w:t xml:space="preserve"> bring more inclusive economic growth and </w:t>
            </w:r>
            <w:r w:rsidR="00F4378D" w:rsidRPr="00FC4FEB">
              <w:rPr>
                <w:sz w:val="20"/>
              </w:rPr>
              <w:t xml:space="preserve">business opportunities to micro and small enterprises </w:t>
            </w:r>
            <w:r>
              <w:rPr>
                <w:sz w:val="20"/>
              </w:rPr>
              <w:t>by integrating them in the supply chains of medium and large enterprises</w:t>
            </w:r>
            <w:r w:rsidR="00F4378D" w:rsidRPr="00FC4FEB">
              <w:rPr>
                <w:sz w:val="20"/>
              </w:rPr>
              <w:t>.</w:t>
            </w:r>
          </w:p>
          <w:p w14:paraId="6DE5CAEB" w14:textId="77777777" w:rsidR="005F40E5" w:rsidRPr="00FC4FEB" w:rsidRDefault="005F40E5">
            <w:pPr>
              <w:ind w:right="180"/>
              <w:jc w:val="both"/>
              <w:rPr>
                <w:sz w:val="20"/>
              </w:rPr>
            </w:pPr>
          </w:p>
          <w:p w14:paraId="23A6972E" w14:textId="77777777" w:rsidR="005F40E5" w:rsidRPr="00FC4FEB" w:rsidRDefault="005F40E5">
            <w:pPr>
              <w:ind w:right="180"/>
              <w:jc w:val="both"/>
              <w:rPr>
                <w:rFonts w:eastAsiaTheme="minorHAnsi"/>
                <w:sz w:val="20"/>
              </w:rPr>
            </w:pPr>
            <w:r w:rsidRPr="00FC4FEB">
              <w:rPr>
                <w:sz w:val="20"/>
              </w:rPr>
              <w:t>Launched Project Repeal to eliminate laws that place a heavy regulatory burden on companies and reduces the overall competitiveness of businesses in a country.</w:t>
            </w:r>
          </w:p>
          <w:p w14:paraId="4902724A" w14:textId="77777777" w:rsidR="00805BEA" w:rsidRPr="00FC4FEB" w:rsidRDefault="00805BEA">
            <w:pPr>
              <w:ind w:right="180"/>
              <w:jc w:val="both"/>
              <w:rPr>
                <w:rFonts w:eastAsiaTheme="minorHAnsi"/>
                <w:sz w:val="20"/>
              </w:rPr>
            </w:pPr>
          </w:p>
          <w:p w14:paraId="7DE74BA8" w14:textId="77777777" w:rsidR="0093477A" w:rsidRPr="00FC4FEB" w:rsidRDefault="00F83517">
            <w:pPr>
              <w:ind w:right="180"/>
              <w:jc w:val="both"/>
              <w:rPr>
                <w:rFonts w:eastAsiaTheme="minorHAnsi"/>
                <w:sz w:val="20"/>
              </w:rPr>
            </w:pPr>
            <w:r w:rsidRPr="00FC4FEB">
              <w:rPr>
                <w:rFonts w:eastAsiaTheme="minorHAnsi"/>
                <w:sz w:val="20"/>
              </w:rPr>
              <w:t xml:space="preserve">Designated the Intellectual Property Office of the Philippines (IPOPHL) </w:t>
            </w:r>
            <w:proofErr w:type="gramStart"/>
            <w:r w:rsidRPr="00FC4FEB">
              <w:rPr>
                <w:rFonts w:eastAsiaTheme="minorHAnsi"/>
                <w:sz w:val="20"/>
              </w:rPr>
              <w:t>as  International</w:t>
            </w:r>
            <w:proofErr w:type="gramEnd"/>
            <w:r w:rsidRPr="00FC4FEB">
              <w:rPr>
                <w:rFonts w:eastAsiaTheme="minorHAnsi"/>
                <w:sz w:val="20"/>
              </w:rPr>
              <w:t xml:space="preserve"> Searching Authority and International Preliminary Examining Authority (ISA/IPEA) filed under the Patent Cooperation Treaty (PCT)</w:t>
            </w:r>
          </w:p>
          <w:p w14:paraId="2D4E76E0" w14:textId="77777777" w:rsidR="00805BEA" w:rsidRPr="00FC4FEB" w:rsidRDefault="00805BEA">
            <w:pPr>
              <w:ind w:right="180"/>
              <w:jc w:val="both"/>
              <w:rPr>
                <w:rFonts w:eastAsiaTheme="minorHAnsi"/>
                <w:sz w:val="20"/>
              </w:rPr>
            </w:pPr>
          </w:p>
          <w:p w14:paraId="3633392E" w14:textId="77777777" w:rsidR="0081130F" w:rsidRPr="00FC4FEB" w:rsidRDefault="00F07CDB">
            <w:pPr>
              <w:ind w:right="180"/>
              <w:jc w:val="both"/>
              <w:rPr>
                <w:sz w:val="20"/>
              </w:rPr>
            </w:pPr>
            <w:r w:rsidRPr="00FC4FEB">
              <w:rPr>
                <w:rFonts w:eastAsiaTheme="minorHAnsi"/>
                <w:sz w:val="20"/>
              </w:rPr>
              <w:t>Established d</w:t>
            </w:r>
            <w:r w:rsidRPr="00FC4FEB">
              <w:rPr>
                <w:sz w:val="20"/>
              </w:rPr>
              <w:t>esignated Immigration counters for APEC Business Travel Card holders.</w:t>
            </w:r>
          </w:p>
        </w:tc>
      </w:tr>
    </w:tbl>
    <w:p w14:paraId="40FFE611" w14:textId="3E2BDB3D" w:rsidR="00810BCF" w:rsidRPr="00FC4FEB" w:rsidRDefault="00810BCF"/>
    <w:p w14:paraId="342A0241" w14:textId="77777777" w:rsidR="00810BCF" w:rsidRPr="00FC4FEB" w:rsidRDefault="00810BCF"/>
    <w:p w14:paraId="4AA5368D" w14:textId="77777777" w:rsidR="00810BCF" w:rsidRPr="00FC4FEB" w:rsidRDefault="00810BCF"/>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0"/>
        <w:gridCol w:w="5573"/>
        <w:gridCol w:w="5471"/>
      </w:tblGrid>
      <w:tr w:rsidR="00FC4FEB" w:rsidRPr="00FC4FEB" w14:paraId="120374EF" w14:textId="77777777" w:rsidTr="00810BCF">
        <w:trPr>
          <w:trHeight w:val="553"/>
        </w:trPr>
        <w:tc>
          <w:tcPr>
            <w:tcW w:w="3520" w:type="dxa"/>
            <w:shd w:val="clear" w:color="auto" w:fill="DBE5F1" w:themeFill="accent1" w:themeFillTint="33"/>
          </w:tcPr>
          <w:p w14:paraId="3F2AAF3E" w14:textId="77777777" w:rsidR="00810BCF" w:rsidRPr="00FC4FEB" w:rsidRDefault="00810BCF" w:rsidP="00810BCF">
            <w:pPr>
              <w:pStyle w:val="Heading9"/>
              <w:jc w:val="center"/>
              <w:rPr>
                <w:rFonts w:ascii="Times New Roman" w:hAnsi="Times New Roman"/>
                <w:i w:val="0"/>
              </w:rPr>
            </w:pPr>
            <w:r w:rsidRPr="00FC4FEB">
              <w:rPr>
                <w:rFonts w:ascii="Times New Roman" w:hAnsi="Times New Roman"/>
                <w:i w:val="0"/>
              </w:rPr>
              <w:lastRenderedPageBreak/>
              <w:t>IAP Chapter (and Sub-Chapter and Section Heading, if any)</w:t>
            </w:r>
          </w:p>
        </w:tc>
        <w:tc>
          <w:tcPr>
            <w:tcW w:w="5573" w:type="dxa"/>
            <w:shd w:val="clear" w:color="auto" w:fill="DBE5F1" w:themeFill="accent1" w:themeFillTint="33"/>
          </w:tcPr>
          <w:p w14:paraId="6391A634" w14:textId="77777777" w:rsidR="00810BCF" w:rsidRPr="00B146C8" w:rsidRDefault="00810BCF" w:rsidP="0038717D">
            <w:pPr>
              <w:jc w:val="center"/>
              <w:rPr>
                <w:b/>
                <w:sz w:val="20"/>
              </w:rPr>
            </w:pPr>
            <w:r w:rsidRPr="00B146C8">
              <w:rPr>
                <w:b/>
                <w:sz w:val="20"/>
              </w:rPr>
              <w:t>Improvements made since 2016 IAP</w:t>
            </w:r>
          </w:p>
        </w:tc>
        <w:tc>
          <w:tcPr>
            <w:tcW w:w="5471" w:type="dxa"/>
            <w:shd w:val="clear" w:color="auto" w:fill="DBE5F1" w:themeFill="accent1" w:themeFillTint="33"/>
          </w:tcPr>
          <w:p w14:paraId="65A1FA12" w14:textId="77777777" w:rsidR="00810BCF" w:rsidRPr="00FC4FEB" w:rsidRDefault="00810BCF" w:rsidP="00810BCF">
            <w:pPr>
              <w:spacing w:line="0" w:lineRule="atLeast"/>
              <w:ind w:right="191"/>
              <w:jc w:val="center"/>
              <w:rPr>
                <w:b/>
                <w:sz w:val="20"/>
              </w:rPr>
            </w:pPr>
            <w:r w:rsidRPr="00FC4FEB">
              <w:rPr>
                <w:b/>
                <w:sz w:val="20"/>
              </w:rPr>
              <w:t>Further Improvements Planned</w:t>
            </w:r>
          </w:p>
        </w:tc>
      </w:tr>
      <w:tr w:rsidR="00FC4FEB" w:rsidRPr="00FC4FEB" w14:paraId="24BAE43F" w14:textId="77777777" w:rsidTr="00810BCF">
        <w:trPr>
          <w:trHeight w:val="648"/>
        </w:trPr>
        <w:tc>
          <w:tcPr>
            <w:tcW w:w="3520" w:type="dxa"/>
          </w:tcPr>
          <w:p w14:paraId="29A9B9FC" w14:textId="77777777" w:rsidR="00505176" w:rsidRPr="00FC4FEB" w:rsidRDefault="0081130F" w:rsidP="009F4B29">
            <w:pPr>
              <w:pStyle w:val="Heading9"/>
              <w:jc w:val="both"/>
              <w:rPr>
                <w:rFonts w:ascii="Times New Roman" w:hAnsi="Times New Roman"/>
              </w:rPr>
            </w:pPr>
            <w:bookmarkStart w:id="1" w:name="Row01"/>
            <w:r w:rsidRPr="00FC4FEB">
              <w:rPr>
                <w:rFonts w:ascii="Times New Roman" w:hAnsi="Times New Roman"/>
              </w:rPr>
              <w:t>Tariffs</w:t>
            </w:r>
            <w:bookmarkEnd w:id="1"/>
          </w:p>
        </w:tc>
        <w:tc>
          <w:tcPr>
            <w:tcW w:w="5573" w:type="dxa"/>
          </w:tcPr>
          <w:p w14:paraId="6F50C51F" w14:textId="77777777" w:rsidR="005069D8" w:rsidRPr="00FC4FEB" w:rsidRDefault="00E3386B" w:rsidP="000A5925">
            <w:pPr>
              <w:jc w:val="both"/>
              <w:rPr>
                <w:sz w:val="20"/>
                <w:shd w:val="clear" w:color="auto" w:fill="FFFFFF"/>
              </w:rPr>
            </w:pPr>
            <w:bookmarkStart w:id="2" w:name="Cell01"/>
            <w:bookmarkEnd w:id="2"/>
            <w:r w:rsidRPr="00FC4FEB">
              <w:rPr>
                <w:sz w:val="20"/>
                <w:shd w:val="clear" w:color="auto" w:fill="FFFFFF"/>
              </w:rPr>
              <w:t>Issued</w:t>
            </w:r>
            <w:r w:rsidR="008853CF" w:rsidRPr="00FC4FEB">
              <w:rPr>
                <w:sz w:val="20"/>
                <w:shd w:val="clear" w:color="auto" w:fill="FFFFFF"/>
              </w:rPr>
              <w:t xml:space="preserve"> </w:t>
            </w:r>
            <w:r w:rsidR="00B74446" w:rsidRPr="00FC4FEB">
              <w:rPr>
                <w:sz w:val="20"/>
                <w:shd w:val="clear" w:color="auto" w:fill="FFFFFF"/>
              </w:rPr>
              <w:t>Executive Order No. 20 on 27 April 2017 to implement the MFN tariff schedule from 2017 to 2020.</w:t>
            </w:r>
          </w:p>
          <w:p w14:paraId="08A72888" w14:textId="77777777" w:rsidR="00B74446" w:rsidRPr="00FC4FEB" w:rsidRDefault="00B74446" w:rsidP="00993030">
            <w:pPr>
              <w:jc w:val="both"/>
              <w:rPr>
                <w:sz w:val="20"/>
                <w:shd w:val="clear" w:color="auto" w:fill="FFFFFF"/>
              </w:rPr>
            </w:pPr>
          </w:p>
          <w:p w14:paraId="0FCA9D09" w14:textId="15223E32" w:rsidR="00B74446" w:rsidRPr="00FC4FEB" w:rsidRDefault="00F74404" w:rsidP="00993030">
            <w:pPr>
              <w:jc w:val="both"/>
              <w:rPr>
                <w:sz w:val="20"/>
                <w:shd w:val="clear" w:color="auto" w:fill="FFFFFF"/>
              </w:rPr>
            </w:pPr>
            <w:r>
              <w:rPr>
                <w:sz w:val="20"/>
                <w:shd w:val="clear" w:color="auto" w:fill="FFFFFF"/>
              </w:rPr>
              <w:t>In line with the periodic review of the WCO Harmonized System, the Philippines i</w:t>
            </w:r>
            <w:r w:rsidR="00F61896" w:rsidRPr="00FC4FEB">
              <w:rPr>
                <w:sz w:val="20"/>
                <w:shd w:val="clear" w:color="auto" w:fill="FFFFFF"/>
              </w:rPr>
              <w:t xml:space="preserve">mplemented the HS/AHTN 2017 nomenclature on 28 July 2017. This increased the number of tariff lines from 9,551 </w:t>
            </w:r>
            <w:r>
              <w:rPr>
                <w:sz w:val="20"/>
                <w:shd w:val="clear" w:color="auto" w:fill="FFFFFF"/>
              </w:rPr>
              <w:t xml:space="preserve">AHTN 2012 tariff lines </w:t>
            </w:r>
            <w:r w:rsidR="00F61896" w:rsidRPr="00FC4FEB">
              <w:rPr>
                <w:sz w:val="20"/>
                <w:shd w:val="clear" w:color="auto" w:fill="FFFFFF"/>
              </w:rPr>
              <w:t xml:space="preserve">to 10,796 </w:t>
            </w:r>
            <w:r>
              <w:rPr>
                <w:sz w:val="20"/>
                <w:shd w:val="clear" w:color="auto" w:fill="FFFFFF"/>
              </w:rPr>
              <w:t xml:space="preserve">AHTN 2017 tariff lines </w:t>
            </w:r>
            <w:r w:rsidR="00F61896" w:rsidRPr="00FC4FEB">
              <w:rPr>
                <w:sz w:val="20"/>
                <w:shd w:val="clear" w:color="auto" w:fill="FFFFFF"/>
              </w:rPr>
              <w:t xml:space="preserve">which affected the averages in </w:t>
            </w:r>
            <w:r w:rsidR="00F61896" w:rsidRPr="00FC4FEB">
              <w:rPr>
                <w:sz w:val="20"/>
              </w:rPr>
              <w:t>2017</w:t>
            </w:r>
            <w:r w:rsidR="00505176" w:rsidRPr="00FC4FEB">
              <w:rPr>
                <w:sz w:val="20"/>
              </w:rPr>
              <w:t xml:space="preserve">. </w:t>
            </w:r>
            <w:r w:rsidR="00505176" w:rsidRPr="00B146C8">
              <w:rPr>
                <w:sz w:val="20"/>
              </w:rPr>
              <w:t xml:space="preserve">This resulted </w:t>
            </w:r>
            <w:r w:rsidRPr="00B146C8">
              <w:rPr>
                <w:sz w:val="20"/>
              </w:rPr>
              <w:t xml:space="preserve">in </w:t>
            </w:r>
            <w:r w:rsidR="00505176" w:rsidRPr="00B146C8">
              <w:rPr>
                <w:sz w:val="20"/>
              </w:rPr>
              <w:t xml:space="preserve">the increase in </w:t>
            </w:r>
            <w:r w:rsidRPr="00B146C8">
              <w:rPr>
                <w:sz w:val="20"/>
              </w:rPr>
              <w:t xml:space="preserve">the </w:t>
            </w:r>
            <w:r w:rsidR="00505176" w:rsidRPr="00B146C8">
              <w:rPr>
                <w:sz w:val="20"/>
              </w:rPr>
              <w:t xml:space="preserve">MFN </w:t>
            </w:r>
            <w:r w:rsidRPr="00B146C8">
              <w:rPr>
                <w:sz w:val="20"/>
              </w:rPr>
              <w:t xml:space="preserve">nominal </w:t>
            </w:r>
            <w:r w:rsidR="00505176" w:rsidRPr="00B146C8">
              <w:rPr>
                <w:sz w:val="20"/>
              </w:rPr>
              <w:t>average</w:t>
            </w:r>
            <w:r w:rsidR="00505176" w:rsidRPr="00B146C8">
              <w:rPr>
                <w:sz w:val="20"/>
                <w:shd w:val="clear" w:color="auto" w:fill="FFFFFF"/>
              </w:rPr>
              <w:t xml:space="preserve"> from </w:t>
            </w:r>
            <w:r w:rsidRPr="00B146C8">
              <w:rPr>
                <w:sz w:val="20"/>
                <w:shd w:val="clear" w:color="auto" w:fill="FFFFFF"/>
              </w:rPr>
              <w:t>6.36</w:t>
            </w:r>
            <w:r w:rsidR="00505176" w:rsidRPr="00B146C8">
              <w:rPr>
                <w:sz w:val="20"/>
                <w:shd w:val="clear" w:color="auto" w:fill="FFFFFF"/>
              </w:rPr>
              <w:t>% in 20</w:t>
            </w:r>
            <w:r w:rsidRPr="00B146C8">
              <w:rPr>
                <w:sz w:val="20"/>
                <w:shd w:val="clear" w:color="auto" w:fill="FFFFFF"/>
              </w:rPr>
              <w:t>16</w:t>
            </w:r>
            <w:r w:rsidR="00505176" w:rsidRPr="00B146C8">
              <w:rPr>
                <w:sz w:val="20"/>
                <w:shd w:val="clear" w:color="auto" w:fill="FFFFFF"/>
              </w:rPr>
              <w:t xml:space="preserve"> to </w:t>
            </w:r>
            <w:r w:rsidRPr="00B146C8">
              <w:rPr>
                <w:sz w:val="20"/>
                <w:shd w:val="clear" w:color="auto" w:fill="FFFFFF"/>
              </w:rPr>
              <w:t>7.19</w:t>
            </w:r>
            <w:r w:rsidR="00505176" w:rsidRPr="00B146C8">
              <w:rPr>
                <w:sz w:val="20"/>
                <w:shd w:val="clear" w:color="auto" w:fill="FFFFFF"/>
              </w:rPr>
              <w:t>% in 2017.</w:t>
            </w:r>
          </w:p>
          <w:p w14:paraId="6AF71B83" w14:textId="77777777" w:rsidR="00F61896" w:rsidRPr="00FC4FEB" w:rsidRDefault="00F61896">
            <w:pPr>
              <w:jc w:val="both"/>
              <w:rPr>
                <w:sz w:val="20"/>
                <w:shd w:val="clear" w:color="auto" w:fill="FFFFFF"/>
              </w:rPr>
            </w:pPr>
          </w:p>
          <w:p w14:paraId="24E7681A" w14:textId="77777777" w:rsidR="00F61896" w:rsidRPr="00FC4FEB" w:rsidRDefault="008853CF">
            <w:pPr>
              <w:jc w:val="both"/>
              <w:rPr>
                <w:sz w:val="20"/>
                <w:shd w:val="clear" w:color="auto" w:fill="FFFFFF"/>
              </w:rPr>
            </w:pPr>
            <w:r w:rsidRPr="00FC4FEB">
              <w:rPr>
                <w:sz w:val="20"/>
                <w:shd w:val="clear" w:color="auto" w:fill="FFFFFF"/>
              </w:rPr>
              <w:t xml:space="preserve">Issued </w:t>
            </w:r>
            <w:r w:rsidR="00F61896" w:rsidRPr="00FC4FEB">
              <w:rPr>
                <w:sz w:val="20"/>
                <w:shd w:val="clear" w:color="auto" w:fill="FFFFFF"/>
              </w:rPr>
              <w:t>E</w:t>
            </w:r>
            <w:r w:rsidR="00BB230B" w:rsidRPr="00FC4FEB">
              <w:rPr>
                <w:sz w:val="20"/>
                <w:shd w:val="clear" w:color="auto" w:fill="FFFFFF"/>
              </w:rPr>
              <w:t xml:space="preserve">xecutive </w:t>
            </w:r>
            <w:r w:rsidR="00F61896" w:rsidRPr="00FC4FEB">
              <w:rPr>
                <w:sz w:val="20"/>
                <w:shd w:val="clear" w:color="auto" w:fill="FFFFFF"/>
              </w:rPr>
              <w:t>O</w:t>
            </w:r>
            <w:r w:rsidR="00BB230B" w:rsidRPr="00FC4FEB">
              <w:rPr>
                <w:sz w:val="20"/>
                <w:shd w:val="clear" w:color="auto" w:fill="FFFFFF"/>
              </w:rPr>
              <w:t>rder</w:t>
            </w:r>
            <w:r w:rsidR="00F61896" w:rsidRPr="00FC4FEB">
              <w:rPr>
                <w:sz w:val="20"/>
                <w:shd w:val="clear" w:color="auto" w:fill="FFFFFF"/>
              </w:rPr>
              <w:t xml:space="preserve"> No. 21 </w:t>
            </w:r>
            <w:r w:rsidRPr="00FC4FEB">
              <w:rPr>
                <w:sz w:val="20"/>
                <w:shd w:val="clear" w:color="auto" w:fill="FFFFFF"/>
              </w:rPr>
              <w:t xml:space="preserve">on 18 May 2017 </w:t>
            </w:r>
            <w:r w:rsidR="00F61896" w:rsidRPr="00FC4FEB">
              <w:rPr>
                <w:sz w:val="20"/>
                <w:shd w:val="clear" w:color="auto" w:fill="FFFFFF"/>
              </w:rPr>
              <w:t>to implement the Philippines’ tariff commitments under the WTO</w:t>
            </w:r>
            <w:r w:rsidR="000A5925" w:rsidRPr="00FC4FEB">
              <w:rPr>
                <w:sz w:val="20"/>
                <w:shd w:val="clear" w:color="auto" w:fill="FFFFFF"/>
              </w:rPr>
              <w:t xml:space="preserve"> </w:t>
            </w:r>
            <w:r w:rsidR="00F61896" w:rsidRPr="00FC4FEB">
              <w:rPr>
                <w:sz w:val="20"/>
                <w:shd w:val="clear" w:color="auto" w:fill="FFFFFF"/>
              </w:rPr>
              <w:t>Information Technology Agreem</w:t>
            </w:r>
            <w:bookmarkStart w:id="3" w:name="_GoBack"/>
            <w:bookmarkEnd w:id="3"/>
            <w:r w:rsidR="00F61896" w:rsidRPr="00FC4FEB">
              <w:rPr>
                <w:sz w:val="20"/>
                <w:shd w:val="clear" w:color="auto" w:fill="FFFFFF"/>
              </w:rPr>
              <w:t>ent (ITA-II).</w:t>
            </w:r>
          </w:p>
          <w:p w14:paraId="5C917C7E" w14:textId="77777777" w:rsidR="00F61896" w:rsidRPr="00FC4FEB" w:rsidRDefault="00F61896">
            <w:pPr>
              <w:jc w:val="both"/>
              <w:rPr>
                <w:sz w:val="20"/>
                <w:shd w:val="clear" w:color="auto" w:fill="FFFFFF"/>
              </w:rPr>
            </w:pPr>
          </w:p>
          <w:p w14:paraId="5461DFD0" w14:textId="77777777" w:rsidR="00F61896" w:rsidRPr="00FC4FEB" w:rsidRDefault="00F61896">
            <w:pPr>
              <w:jc w:val="both"/>
              <w:rPr>
                <w:sz w:val="20"/>
                <w:shd w:val="clear" w:color="auto" w:fill="FFFFFF"/>
              </w:rPr>
            </w:pPr>
            <w:r w:rsidRPr="00FC4FEB">
              <w:rPr>
                <w:sz w:val="20"/>
                <w:shd w:val="clear" w:color="auto" w:fill="FFFFFF"/>
              </w:rPr>
              <w:t>The Philippines offers duty free access to more than 90% of the tariff lines in two out of seven FTAs in force.</w:t>
            </w:r>
          </w:p>
          <w:p w14:paraId="49D419EF" w14:textId="77777777" w:rsidR="00F61896" w:rsidRPr="00FC4FEB" w:rsidRDefault="00F61896">
            <w:pPr>
              <w:jc w:val="both"/>
              <w:rPr>
                <w:sz w:val="20"/>
                <w:shd w:val="clear" w:color="auto" w:fill="FFFFFF"/>
              </w:rPr>
            </w:pPr>
          </w:p>
          <w:p w14:paraId="68F3CAD3" w14:textId="77777777" w:rsidR="00F61896" w:rsidRPr="00FC4FEB" w:rsidRDefault="00F61896">
            <w:pPr>
              <w:jc w:val="both"/>
              <w:rPr>
                <w:sz w:val="20"/>
                <w:shd w:val="clear" w:color="auto" w:fill="FFFFFF"/>
              </w:rPr>
            </w:pPr>
            <w:r w:rsidRPr="00FC4FEB">
              <w:rPr>
                <w:sz w:val="20"/>
                <w:shd w:val="clear" w:color="auto" w:fill="FFFFFF"/>
              </w:rPr>
              <w:t>Philippine Tariff Profile Under Various FTAs</w:t>
            </w:r>
          </w:p>
          <w:p w14:paraId="6BB8FB28" w14:textId="77777777" w:rsidR="00F61896" w:rsidRPr="00FC4FEB" w:rsidRDefault="00F61896">
            <w:pPr>
              <w:jc w:val="both"/>
              <w:rPr>
                <w:sz w:val="20"/>
                <w:shd w:val="clear" w:color="auto" w:fill="FFFFFF"/>
              </w:rPr>
            </w:pPr>
          </w:p>
          <w:tbl>
            <w:tblPr>
              <w:tblStyle w:val="TableGrid"/>
              <w:tblW w:w="0" w:type="auto"/>
              <w:tblLayout w:type="fixed"/>
              <w:tblLook w:val="04A0" w:firstRow="1" w:lastRow="0" w:firstColumn="1" w:lastColumn="0" w:noHBand="0" w:noVBand="1"/>
            </w:tblPr>
            <w:tblGrid>
              <w:gridCol w:w="2830"/>
              <w:gridCol w:w="851"/>
              <w:gridCol w:w="850"/>
              <w:gridCol w:w="823"/>
            </w:tblGrid>
            <w:tr w:rsidR="00FC4FEB" w:rsidRPr="00FC4FEB" w14:paraId="2C595758" w14:textId="77777777" w:rsidTr="0072305D">
              <w:tc>
                <w:tcPr>
                  <w:tcW w:w="2830" w:type="dxa"/>
                  <w:shd w:val="clear" w:color="auto" w:fill="BFBFBF" w:themeFill="background1" w:themeFillShade="BF"/>
                </w:tcPr>
                <w:p w14:paraId="32882D0F" w14:textId="77777777" w:rsidR="00CF73E1" w:rsidRPr="00B146C8" w:rsidRDefault="00CF73E1" w:rsidP="00B146C8">
                  <w:pPr>
                    <w:rPr>
                      <w:sz w:val="20"/>
                    </w:rPr>
                  </w:pPr>
                  <w:r w:rsidRPr="00B146C8">
                    <w:rPr>
                      <w:sz w:val="20"/>
                    </w:rPr>
                    <w:t>FTA</w:t>
                  </w:r>
                </w:p>
              </w:tc>
              <w:tc>
                <w:tcPr>
                  <w:tcW w:w="851" w:type="dxa"/>
                  <w:shd w:val="clear" w:color="auto" w:fill="BFBFBF" w:themeFill="background1" w:themeFillShade="BF"/>
                </w:tcPr>
                <w:p w14:paraId="2D357849" w14:textId="77777777" w:rsidR="00505176" w:rsidRPr="00B146C8" w:rsidRDefault="00CF73E1" w:rsidP="00B146C8">
                  <w:pPr>
                    <w:rPr>
                      <w:sz w:val="20"/>
                    </w:rPr>
                  </w:pPr>
                  <w:r w:rsidRPr="00B146C8">
                    <w:rPr>
                      <w:sz w:val="20"/>
                    </w:rPr>
                    <w:t>2015</w:t>
                  </w:r>
                </w:p>
              </w:tc>
              <w:tc>
                <w:tcPr>
                  <w:tcW w:w="850" w:type="dxa"/>
                  <w:shd w:val="clear" w:color="auto" w:fill="BFBFBF" w:themeFill="background1" w:themeFillShade="BF"/>
                </w:tcPr>
                <w:p w14:paraId="77544835" w14:textId="77777777" w:rsidR="00505176" w:rsidRPr="00B146C8" w:rsidRDefault="00CF73E1" w:rsidP="00B146C8">
                  <w:pPr>
                    <w:rPr>
                      <w:sz w:val="20"/>
                    </w:rPr>
                  </w:pPr>
                  <w:r w:rsidRPr="00B146C8">
                    <w:rPr>
                      <w:sz w:val="20"/>
                    </w:rPr>
                    <w:t>2016</w:t>
                  </w:r>
                </w:p>
              </w:tc>
              <w:tc>
                <w:tcPr>
                  <w:tcW w:w="823" w:type="dxa"/>
                  <w:shd w:val="clear" w:color="auto" w:fill="BFBFBF" w:themeFill="background1" w:themeFillShade="BF"/>
                </w:tcPr>
                <w:p w14:paraId="7763023A" w14:textId="77777777" w:rsidR="00505176" w:rsidRPr="00B146C8" w:rsidRDefault="00CF73E1" w:rsidP="00B146C8">
                  <w:pPr>
                    <w:rPr>
                      <w:sz w:val="20"/>
                    </w:rPr>
                  </w:pPr>
                  <w:r w:rsidRPr="00B146C8">
                    <w:rPr>
                      <w:sz w:val="20"/>
                    </w:rPr>
                    <w:t>2017</w:t>
                  </w:r>
                </w:p>
              </w:tc>
            </w:tr>
            <w:tr w:rsidR="00FC4FEB" w:rsidRPr="00FC4FEB" w14:paraId="7E4F4DC9" w14:textId="77777777" w:rsidTr="0072305D">
              <w:tc>
                <w:tcPr>
                  <w:tcW w:w="5354" w:type="dxa"/>
                  <w:gridSpan w:val="4"/>
                  <w:shd w:val="clear" w:color="auto" w:fill="BFBFBF" w:themeFill="background1" w:themeFillShade="BF"/>
                </w:tcPr>
                <w:p w14:paraId="7A789093" w14:textId="77777777" w:rsidR="00CF73E1" w:rsidRPr="00B146C8" w:rsidRDefault="00CF73E1" w:rsidP="00B146C8">
                  <w:pPr>
                    <w:rPr>
                      <w:sz w:val="20"/>
                    </w:rPr>
                  </w:pPr>
                  <w:r w:rsidRPr="00B146C8">
                    <w:rPr>
                      <w:sz w:val="20"/>
                    </w:rPr>
                    <w:t>Simple Average Tariff</w:t>
                  </w:r>
                </w:p>
              </w:tc>
            </w:tr>
            <w:tr w:rsidR="00FC4FEB" w:rsidRPr="00FC4FEB" w14:paraId="6E77F6F5" w14:textId="77777777" w:rsidTr="00CF73E1">
              <w:tc>
                <w:tcPr>
                  <w:tcW w:w="2830" w:type="dxa"/>
                </w:tcPr>
                <w:p w14:paraId="436817EC" w14:textId="77777777" w:rsidR="00CF73E1" w:rsidRPr="00FC4FEB" w:rsidRDefault="00CF73E1" w:rsidP="000A5925">
                  <w:pPr>
                    <w:jc w:val="both"/>
                    <w:rPr>
                      <w:sz w:val="20"/>
                      <w:shd w:val="clear" w:color="auto" w:fill="FFFFFF"/>
                    </w:rPr>
                  </w:pPr>
                  <w:r w:rsidRPr="00FC4FEB">
                    <w:rPr>
                      <w:sz w:val="20"/>
                      <w:shd w:val="clear" w:color="auto" w:fill="FFFFFF"/>
                    </w:rPr>
                    <w:t>ASEAN</w:t>
                  </w:r>
                </w:p>
              </w:tc>
              <w:tc>
                <w:tcPr>
                  <w:tcW w:w="851" w:type="dxa"/>
                </w:tcPr>
                <w:p w14:paraId="0B6A94FA" w14:textId="77777777" w:rsidR="00505176" w:rsidRPr="00FC4FEB" w:rsidRDefault="00CF73E1" w:rsidP="009F4B29">
                  <w:pPr>
                    <w:jc w:val="both"/>
                    <w:rPr>
                      <w:sz w:val="20"/>
                      <w:shd w:val="clear" w:color="auto" w:fill="FFFFFF"/>
                    </w:rPr>
                  </w:pPr>
                  <w:r w:rsidRPr="00FC4FEB">
                    <w:rPr>
                      <w:sz w:val="20"/>
                      <w:shd w:val="clear" w:color="auto" w:fill="FFFFFF"/>
                    </w:rPr>
                    <w:t>0</w:t>
                  </w:r>
                </w:p>
              </w:tc>
              <w:tc>
                <w:tcPr>
                  <w:tcW w:w="850" w:type="dxa"/>
                </w:tcPr>
                <w:p w14:paraId="12E1DEF0" w14:textId="77777777" w:rsidR="00505176" w:rsidRPr="00FC4FEB" w:rsidRDefault="00CF73E1" w:rsidP="009F4B29">
                  <w:pPr>
                    <w:jc w:val="both"/>
                    <w:rPr>
                      <w:sz w:val="20"/>
                      <w:shd w:val="clear" w:color="auto" w:fill="FFFFFF"/>
                    </w:rPr>
                  </w:pPr>
                  <w:r w:rsidRPr="00FC4FEB">
                    <w:rPr>
                      <w:sz w:val="20"/>
                      <w:shd w:val="clear" w:color="auto" w:fill="FFFFFF"/>
                    </w:rPr>
                    <w:t>0</w:t>
                  </w:r>
                </w:p>
              </w:tc>
              <w:tc>
                <w:tcPr>
                  <w:tcW w:w="823" w:type="dxa"/>
                </w:tcPr>
                <w:p w14:paraId="7E3265CA" w14:textId="77777777" w:rsidR="00505176" w:rsidRPr="00FC4FEB" w:rsidRDefault="00CF73E1" w:rsidP="009F4B29">
                  <w:pPr>
                    <w:jc w:val="both"/>
                    <w:rPr>
                      <w:sz w:val="20"/>
                      <w:shd w:val="clear" w:color="auto" w:fill="FFFFFF"/>
                    </w:rPr>
                  </w:pPr>
                  <w:r w:rsidRPr="00FC4FEB">
                    <w:rPr>
                      <w:sz w:val="20"/>
                      <w:shd w:val="clear" w:color="auto" w:fill="FFFFFF"/>
                    </w:rPr>
                    <w:t>0</w:t>
                  </w:r>
                </w:p>
              </w:tc>
            </w:tr>
            <w:tr w:rsidR="00FC4FEB" w:rsidRPr="00FC4FEB" w14:paraId="58C1049B" w14:textId="77777777" w:rsidTr="00CF73E1">
              <w:tc>
                <w:tcPr>
                  <w:tcW w:w="2830" w:type="dxa"/>
                </w:tcPr>
                <w:p w14:paraId="0B4A0985" w14:textId="77777777" w:rsidR="00CF73E1" w:rsidRPr="00FC4FEB" w:rsidRDefault="00CF73E1" w:rsidP="000A5925">
                  <w:pPr>
                    <w:jc w:val="both"/>
                    <w:rPr>
                      <w:sz w:val="20"/>
                      <w:shd w:val="clear" w:color="auto" w:fill="FFFFFF"/>
                    </w:rPr>
                  </w:pPr>
                  <w:r w:rsidRPr="00FC4FEB">
                    <w:rPr>
                      <w:sz w:val="20"/>
                      <w:shd w:val="clear" w:color="auto" w:fill="FFFFFF"/>
                    </w:rPr>
                    <w:t>ASEAN-China</w:t>
                  </w:r>
                </w:p>
              </w:tc>
              <w:tc>
                <w:tcPr>
                  <w:tcW w:w="851" w:type="dxa"/>
                </w:tcPr>
                <w:p w14:paraId="325BF82D" w14:textId="77777777" w:rsidR="00505176" w:rsidRPr="00FC4FEB" w:rsidRDefault="00CF73E1" w:rsidP="009F4B29">
                  <w:pPr>
                    <w:jc w:val="both"/>
                    <w:rPr>
                      <w:sz w:val="20"/>
                      <w:shd w:val="clear" w:color="auto" w:fill="FFFFFF"/>
                    </w:rPr>
                  </w:pPr>
                  <w:r w:rsidRPr="00FC4FEB">
                    <w:rPr>
                      <w:sz w:val="20"/>
                      <w:shd w:val="clear" w:color="auto" w:fill="FFFFFF"/>
                    </w:rPr>
                    <w:t>1.48</w:t>
                  </w:r>
                </w:p>
              </w:tc>
              <w:tc>
                <w:tcPr>
                  <w:tcW w:w="850" w:type="dxa"/>
                </w:tcPr>
                <w:p w14:paraId="0D4CAD6B" w14:textId="77777777" w:rsidR="00505176" w:rsidRPr="00FC4FEB" w:rsidRDefault="00CF73E1" w:rsidP="009F4B29">
                  <w:pPr>
                    <w:jc w:val="both"/>
                    <w:rPr>
                      <w:sz w:val="20"/>
                      <w:shd w:val="clear" w:color="auto" w:fill="FFFFFF"/>
                    </w:rPr>
                  </w:pPr>
                  <w:r w:rsidRPr="00FC4FEB">
                    <w:rPr>
                      <w:sz w:val="20"/>
                      <w:shd w:val="clear" w:color="auto" w:fill="FFFFFF"/>
                    </w:rPr>
                    <w:t>1.48</w:t>
                  </w:r>
                </w:p>
              </w:tc>
              <w:tc>
                <w:tcPr>
                  <w:tcW w:w="823" w:type="dxa"/>
                </w:tcPr>
                <w:p w14:paraId="51A597E5" w14:textId="77777777" w:rsidR="00505176" w:rsidRPr="00FC4FEB" w:rsidRDefault="00CF73E1" w:rsidP="009F4B29">
                  <w:pPr>
                    <w:jc w:val="both"/>
                    <w:rPr>
                      <w:sz w:val="20"/>
                      <w:shd w:val="clear" w:color="auto" w:fill="FFFFFF"/>
                    </w:rPr>
                  </w:pPr>
                  <w:r w:rsidRPr="00FC4FEB">
                    <w:rPr>
                      <w:sz w:val="20"/>
                      <w:shd w:val="clear" w:color="auto" w:fill="FFFFFF"/>
                    </w:rPr>
                    <w:t>2.82</w:t>
                  </w:r>
                </w:p>
              </w:tc>
            </w:tr>
            <w:tr w:rsidR="00FC4FEB" w:rsidRPr="00FC4FEB" w14:paraId="66E526EA" w14:textId="77777777" w:rsidTr="00CF73E1">
              <w:tc>
                <w:tcPr>
                  <w:tcW w:w="2830" w:type="dxa"/>
                </w:tcPr>
                <w:p w14:paraId="7FDA9508" w14:textId="77777777" w:rsidR="00CF73E1" w:rsidRPr="00FC4FEB" w:rsidRDefault="00CF73E1" w:rsidP="000A5925">
                  <w:pPr>
                    <w:jc w:val="both"/>
                    <w:rPr>
                      <w:sz w:val="20"/>
                      <w:shd w:val="clear" w:color="auto" w:fill="FFFFFF"/>
                    </w:rPr>
                  </w:pPr>
                  <w:r w:rsidRPr="00FC4FEB">
                    <w:rPr>
                      <w:sz w:val="20"/>
                      <w:shd w:val="clear" w:color="auto" w:fill="FFFFFF"/>
                    </w:rPr>
                    <w:t>ASEAN-Korea</w:t>
                  </w:r>
                </w:p>
              </w:tc>
              <w:tc>
                <w:tcPr>
                  <w:tcW w:w="851" w:type="dxa"/>
                </w:tcPr>
                <w:p w14:paraId="7F94553B" w14:textId="77777777" w:rsidR="00505176" w:rsidRPr="00FC4FEB" w:rsidRDefault="00CF73E1" w:rsidP="009F4B29">
                  <w:pPr>
                    <w:jc w:val="both"/>
                    <w:rPr>
                      <w:sz w:val="20"/>
                      <w:shd w:val="clear" w:color="auto" w:fill="FFFFFF"/>
                    </w:rPr>
                  </w:pPr>
                  <w:r w:rsidRPr="00FC4FEB">
                    <w:rPr>
                      <w:sz w:val="20"/>
                      <w:shd w:val="clear" w:color="auto" w:fill="FFFFFF"/>
                    </w:rPr>
                    <w:t>1.12</w:t>
                  </w:r>
                </w:p>
              </w:tc>
              <w:tc>
                <w:tcPr>
                  <w:tcW w:w="850" w:type="dxa"/>
                </w:tcPr>
                <w:p w14:paraId="7896A60D" w14:textId="77777777" w:rsidR="00505176" w:rsidRPr="00FC4FEB" w:rsidRDefault="00CF73E1" w:rsidP="009F4B29">
                  <w:pPr>
                    <w:jc w:val="both"/>
                    <w:rPr>
                      <w:sz w:val="20"/>
                      <w:shd w:val="clear" w:color="auto" w:fill="FFFFFF"/>
                    </w:rPr>
                  </w:pPr>
                  <w:r w:rsidRPr="00FC4FEB">
                    <w:rPr>
                      <w:sz w:val="20"/>
                      <w:shd w:val="clear" w:color="auto" w:fill="FFFFFF"/>
                    </w:rPr>
                    <w:t>0.48</w:t>
                  </w:r>
                </w:p>
              </w:tc>
              <w:tc>
                <w:tcPr>
                  <w:tcW w:w="823" w:type="dxa"/>
                </w:tcPr>
                <w:p w14:paraId="466D3709" w14:textId="77777777" w:rsidR="00505176" w:rsidRPr="00FC4FEB" w:rsidRDefault="00CF73E1" w:rsidP="009F4B29">
                  <w:pPr>
                    <w:jc w:val="both"/>
                    <w:rPr>
                      <w:sz w:val="20"/>
                      <w:shd w:val="clear" w:color="auto" w:fill="FFFFFF"/>
                    </w:rPr>
                  </w:pPr>
                  <w:r w:rsidRPr="00FC4FEB">
                    <w:rPr>
                      <w:sz w:val="20"/>
                      <w:shd w:val="clear" w:color="auto" w:fill="FFFFFF"/>
                    </w:rPr>
                    <w:t>0.66</w:t>
                  </w:r>
                </w:p>
              </w:tc>
            </w:tr>
            <w:tr w:rsidR="00FC4FEB" w:rsidRPr="00FC4FEB" w14:paraId="3C240630" w14:textId="77777777" w:rsidTr="00CF73E1">
              <w:tc>
                <w:tcPr>
                  <w:tcW w:w="2830" w:type="dxa"/>
                </w:tcPr>
                <w:p w14:paraId="0012C643" w14:textId="77777777" w:rsidR="00CF73E1" w:rsidRPr="00FC4FEB" w:rsidRDefault="00CF73E1" w:rsidP="000A5925">
                  <w:pPr>
                    <w:jc w:val="both"/>
                    <w:rPr>
                      <w:sz w:val="20"/>
                      <w:shd w:val="clear" w:color="auto" w:fill="FFFFFF"/>
                    </w:rPr>
                  </w:pPr>
                  <w:r w:rsidRPr="00FC4FEB">
                    <w:rPr>
                      <w:sz w:val="20"/>
                      <w:shd w:val="clear" w:color="auto" w:fill="FFFFFF"/>
                    </w:rPr>
                    <w:t>ASEAN-Australia/New Zealand</w:t>
                  </w:r>
                </w:p>
              </w:tc>
              <w:tc>
                <w:tcPr>
                  <w:tcW w:w="851" w:type="dxa"/>
                </w:tcPr>
                <w:p w14:paraId="6B4CB75A" w14:textId="77777777" w:rsidR="00505176" w:rsidRPr="00FC4FEB" w:rsidRDefault="00CF73E1" w:rsidP="009F4B29">
                  <w:pPr>
                    <w:jc w:val="both"/>
                    <w:rPr>
                      <w:sz w:val="20"/>
                      <w:shd w:val="clear" w:color="auto" w:fill="FFFFFF"/>
                    </w:rPr>
                  </w:pPr>
                  <w:r w:rsidRPr="00FC4FEB">
                    <w:rPr>
                      <w:sz w:val="20"/>
                      <w:shd w:val="clear" w:color="auto" w:fill="FFFFFF"/>
                    </w:rPr>
                    <w:t>0.43</w:t>
                  </w:r>
                </w:p>
              </w:tc>
              <w:tc>
                <w:tcPr>
                  <w:tcW w:w="850" w:type="dxa"/>
                </w:tcPr>
                <w:p w14:paraId="7922EEAE" w14:textId="77777777" w:rsidR="00505176" w:rsidRPr="00FC4FEB" w:rsidRDefault="00CF73E1" w:rsidP="009F4B29">
                  <w:pPr>
                    <w:jc w:val="both"/>
                    <w:rPr>
                      <w:sz w:val="20"/>
                      <w:shd w:val="clear" w:color="auto" w:fill="FFFFFF"/>
                    </w:rPr>
                  </w:pPr>
                  <w:r w:rsidRPr="00FC4FEB">
                    <w:rPr>
                      <w:sz w:val="20"/>
                      <w:shd w:val="clear" w:color="auto" w:fill="FFFFFF"/>
                    </w:rPr>
                    <w:t>0.40</w:t>
                  </w:r>
                </w:p>
              </w:tc>
              <w:tc>
                <w:tcPr>
                  <w:tcW w:w="823" w:type="dxa"/>
                </w:tcPr>
                <w:p w14:paraId="4C2B81EC" w14:textId="77777777" w:rsidR="00505176" w:rsidRPr="00FC4FEB" w:rsidRDefault="00CF73E1" w:rsidP="009F4B29">
                  <w:pPr>
                    <w:jc w:val="both"/>
                    <w:rPr>
                      <w:sz w:val="20"/>
                      <w:shd w:val="clear" w:color="auto" w:fill="FFFFFF"/>
                    </w:rPr>
                  </w:pPr>
                  <w:r w:rsidRPr="00FC4FEB">
                    <w:rPr>
                      <w:sz w:val="20"/>
                      <w:shd w:val="clear" w:color="auto" w:fill="FFFFFF"/>
                    </w:rPr>
                    <w:t>0.48</w:t>
                  </w:r>
                </w:p>
              </w:tc>
            </w:tr>
            <w:tr w:rsidR="00FC4FEB" w:rsidRPr="00FC4FEB" w14:paraId="0C16C710" w14:textId="77777777" w:rsidTr="00CF73E1">
              <w:tc>
                <w:tcPr>
                  <w:tcW w:w="2830" w:type="dxa"/>
                </w:tcPr>
                <w:p w14:paraId="4D0E35E7" w14:textId="77777777" w:rsidR="00CF73E1" w:rsidRPr="00FC4FEB" w:rsidRDefault="00CF73E1" w:rsidP="000A5925">
                  <w:pPr>
                    <w:jc w:val="both"/>
                    <w:rPr>
                      <w:sz w:val="20"/>
                      <w:shd w:val="clear" w:color="auto" w:fill="FFFFFF"/>
                    </w:rPr>
                  </w:pPr>
                  <w:r w:rsidRPr="00FC4FEB">
                    <w:rPr>
                      <w:sz w:val="20"/>
                      <w:shd w:val="clear" w:color="auto" w:fill="FFFFFF"/>
                    </w:rPr>
                    <w:t>ASEAN-Japan</w:t>
                  </w:r>
                </w:p>
              </w:tc>
              <w:tc>
                <w:tcPr>
                  <w:tcW w:w="851" w:type="dxa"/>
                </w:tcPr>
                <w:p w14:paraId="3536D049" w14:textId="77777777" w:rsidR="00505176" w:rsidRPr="00FC4FEB" w:rsidRDefault="00CF73E1" w:rsidP="009F4B29">
                  <w:pPr>
                    <w:jc w:val="both"/>
                    <w:rPr>
                      <w:sz w:val="20"/>
                      <w:shd w:val="clear" w:color="auto" w:fill="FFFFFF"/>
                    </w:rPr>
                  </w:pPr>
                  <w:r w:rsidRPr="00FC4FEB">
                    <w:rPr>
                      <w:sz w:val="20"/>
                      <w:shd w:val="clear" w:color="auto" w:fill="FFFFFF"/>
                    </w:rPr>
                    <w:t>1.52</w:t>
                  </w:r>
                </w:p>
              </w:tc>
              <w:tc>
                <w:tcPr>
                  <w:tcW w:w="850" w:type="dxa"/>
                </w:tcPr>
                <w:p w14:paraId="12E1538B" w14:textId="77777777" w:rsidR="00505176" w:rsidRPr="00FC4FEB" w:rsidRDefault="00CF73E1" w:rsidP="009F4B29">
                  <w:pPr>
                    <w:jc w:val="both"/>
                    <w:rPr>
                      <w:sz w:val="20"/>
                      <w:shd w:val="clear" w:color="auto" w:fill="FFFFFF"/>
                    </w:rPr>
                  </w:pPr>
                  <w:r w:rsidRPr="00FC4FEB">
                    <w:rPr>
                      <w:sz w:val="20"/>
                      <w:shd w:val="clear" w:color="auto" w:fill="FFFFFF"/>
                    </w:rPr>
                    <w:t>1.24</w:t>
                  </w:r>
                </w:p>
              </w:tc>
              <w:tc>
                <w:tcPr>
                  <w:tcW w:w="823" w:type="dxa"/>
                </w:tcPr>
                <w:p w14:paraId="694EB8DC" w14:textId="77777777" w:rsidR="00505176" w:rsidRPr="00FC4FEB" w:rsidRDefault="00CF73E1" w:rsidP="009F4B29">
                  <w:pPr>
                    <w:jc w:val="both"/>
                    <w:rPr>
                      <w:sz w:val="20"/>
                      <w:shd w:val="clear" w:color="auto" w:fill="FFFFFF"/>
                    </w:rPr>
                  </w:pPr>
                  <w:r w:rsidRPr="00FC4FEB">
                    <w:rPr>
                      <w:sz w:val="20"/>
                      <w:shd w:val="clear" w:color="auto" w:fill="FFFFFF"/>
                    </w:rPr>
                    <w:t>1.47</w:t>
                  </w:r>
                </w:p>
              </w:tc>
            </w:tr>
            <w:tr w:rsidR="00FC4FEB" w:rsidRPr="00FC4FEB" w14:paraId="2CBF62D3" w14:textId="77777777" w:rsidTr="00CF73E1">
              <w:tc>
                <w:tcPr>
                  <w:tcW w:w="2830" w:type="dxa"/>
                </w:tcPr>
                <w:p w14:paraId="60DF5CF2" w14:textId="77777777" w:rsidR="00CF73E1" w:rsidRPr="00FC4FEB" w:rsidRDefault="00CF73E1" w:rsidP="000A5925">
                  <w:pPr>
                    <w:jc w:val="both"/>
                    <w:rPr>
                      <w:sz w:val="20"/>
                      <w:shd w:val="clear" w:color="auto" w:fill="FFFFFF"/>
                    </w:rPr>
                  </w:pPr>
                  <w:r w:rsidRPr="00FC4FEB">
                    <w:rPr>
                      <w:sz w:val="20"/>
                      <w:shd w:val="clear" w:color="auto" w:fill="FFFFFF"/>
                    </w:rPr>
                    <w:t>Philippines-Japan</w:t>
                  </w:r>
                </w:p>
              </w:tc>
              <w:tc>
                <w:tcPr>
                  <w:tcW w:w="851" w:type="dxa"/>
                </w:tcPr>
                <w:p w14:paraId="73FD893A" w14:textId="77777777" w:rsidR="00505176" w:rsidRPr="00FC4FEB" w:rsidRDefault="00CF73E1" w:rsidP="009F4B29">
                  <w:pPr>
                    <w:jc w:val="both"/>
                    <w:rPr>
                      <w:sz w:val="20"/>
                      <w:shd w:val="clear" w:color="auto" w:fill="FFFFFF"/>
                    </w:rPr>
                  </w:pPr>
                  <w:r w:rsidRPr="00FC4FEB">
                    <w:rPr>
                      <w:sz w:val="20"/>
                      <w:shd w:val="clear" w:color="auto" w:fill="FFFFFF"/>
                    </w:rPr>
                    <w:t>1.13</w:t>
                  </w:r>
                </w:p>
              </w:tc>
              <w:tc>
                <w:tcPr>
                  <w:tcW w:w="850" w:type="dxa"/>
                </w:tcPr>
                <w:p w14:paraId="608663B0" w14:textId="77777777" w:rsidR="00505176" w:rsidRPr="00FC4FEB" w:rsidRDefault="00CF73E1" w:rsidP="009F4B29">
                  <w:pPr>
                    <w:jc w:val="both"/>
                    <w:rPr>
                      <w:sz w:val="20"/>
                      <w:shd w:val="clear" w:color="auto" w:fill="FFFFFF"/>
                    </w:rPr>
                  </w:pPr>
                  <w:r w:rsidRPr="00FC4FEB">
                    <w:rPr>
                      <w:sz w:val="20"/>
                      <w:shd w:val="clear" w:color="auto" w:fill="FFFFFF"/>
                    </w:rPr>
                    <w:t>0.88</w:t>
                  </w:r>
                </w:p>
              </w:tc>
              <w:tc>
                <w:tcPr>
                  <w:tcW w:w="823" w:type="dxa"/>
                </w:tcPr>
                <w:p w14:paraId="1EAB4D40" w14:textId="77777777" w:rsidR="00505176" w:rsidRPr="00FC4FEB" w:rsidRDefault="00CF73E1" w:rsidP="009F4B29">
                  <w:pPr>
                    <w:jc w:val="both"/>
                    <w:rPr>
                      <w:sz w:val="20"/>
                      <w:shd w:val="clear" w:color="auto" w:fill="FFFFFF"/>
                    </w:rPr>
                  </w:pPr>
                  <w:r w:rsidRPr="00FC4FEB">
                    <w:rPr>
                      <w:sz w:val="20"/>
                      <w:shd w:val="clear" w:color="auto" w:fill="FFFFFF"/>
                    </w:rPr>
                    <w:t>0.27</w:t>
                  </w:r>
                </w:p>
              </w:tc>
            </w:tr>
            <w:tr w:rsidR="00FC4FEB" w:rsidRPr="00FC4FEB" w14:paraId="605CB65F" w14:textId="77777777" w:rsidTr="00CF73E1">
              <w:tc>
                <w:tcPr>
                  <w:tcW w:w="2830" w:type="dxa"/>
                </w:tcPr>
                <w:p w14:paraId="453EF292" w14:textId="77777777" w:rsidR="00CF73E1" w:rsidRPr="00FC4FEB" w:rsidRDefault="00CF73E1" w:rsidP="000A5925">
                  <w:pPr>
                    <w:jc w:val="both"/>
                    <w:rPr>
                      <w:sz w:val="20"/>
                      <w:shd w:val="clear" w:color="auto" w:fill="FFFFFF"/>
                    </w:rPr>
                  </w:pPr>
                  <w:r w:rsidRPr="00FC4FEB">
                    <w:rPr>
                      <w:sz w:val="20"/>
                      <w:shd w:val="clear" w:color="auto" w:fill="FFFFFF"/>
                    </w:rPr>
                    <w:t>ASEAN-India</w:t>
                  </w:r>
                </w:p>
              </w:tc>
              <w:tc>
                <w:tcPr>
                  <w:tcW w:w="851" w:type="dxa"/>
                </w:tcPr>
                <w:p w14:paraId="1AECB48A" w14:textId="77777777" w:rsidR="00505176" w:rsidRPr="00FC4FEB" w:rsidRDefault="00CF73E1" w:rsidP="009F4B29">
                  <w:pPr>
                    <w:jc w:val="both"/>
                    <w:rPr>
                      <w:sz w:val="20"/>
                      <w:shd w:val="clear" w:color="auto" w:fill="FFFFFF"/>
                    </w:rPr>
                  </w:pPr>
                  <w:r w:rsidRPr="00FC4FEB">
                    <w:rPr>
                      <w:sz w:val="20"/>
                      <w:shd w:val="clear" w:color="auto" w:fill="FFFFFF"/>
                    </w:rPr>
                    <w:t>3.76</w:t>
                  </w:r>
                </w:p>
              </w:tc>
              <w:tc>
                <w:tcPr>
                  <w:tcW w:w="850" w:type="dxa"/>
                </w:tcPr>
                <w:p w14:paraId="05D6E263" w14:textId="77777777" w:rsidR="00505176" w:rsidRPr="00FC4FEB" w:rsidRDefault="00CF73E1" w:rsidP="009F4B29">
                  <w:pPr>
                    <w:jc w:val="both"/>
                    <w:rPr>
                      <w:sz w:val="20"/>
                      <w:shd w:val="clear" w:color="auto" w:fill="FFFFFF"/>
                    </w:rPr>
                  </w:pPr>
                  <w:r w:rsidRPr="00FC4FEB">
                    <w:rPr>
                      <w:sz w:val="20"/>
                      <w:shd w:val="clear" w:color="auto" w:fill="FFFFFF"/>
                    </w:rPr>
                    <w:t>3.14</w:t>
                  </w:r>
                </w:p>
              </w:tc>
              <w:tc>
                <w:tcPr>
                  <w:tcW w:w="823" w:type="dxa"/>
                </w:tcPr>
                <w:p w14:paraId="1FB791AF" w14:textId="77777777" w:rsidR="00505176" w:rsidRPr="00FC4FEB" w:rsidRDefault="00CF73E1" w:rsidP="009F4B29">
                  <w:pPr>
                    <w:jc w:val="both"/>
                    <w:rPr>
                      <w:sz w:val="20"/>
                      <w:shd w:val="clear" w:color="auto" w:fill="FFFFFF"/>
                    </w:rPr>
                  </w:pPr>
                  <w:r w:rsidRPr="00FC4FEB">
                    <w:rPr>
                      <w:sz w:val="20"/>
                      <w:shd w:val="clear" w:color="auto" w:fill="FFFFFF"/>
                    </w:rPr>
                    <w:t>3.04</w:t>
                  </w:r>
                </w:p>
              </w:tc>
            </w:tr>
            <w:tr w:rsidR="00FC4FEB" w:rsidRPr="00FC4FEB" w14:paraId="60F074C0" w14:textId="77777777" w:rsidTr="0072305D">
              <w:tc>
                <w:tcPr>
                  <w:tcW w:w="5354" w:type="dxa"/>
                  <w:gridSpan w:val="4"/>
                  <w:shd w:val="clear" w:color="auto" w:fill="BFBFBF" w:themeFill="background1" w:themeFillShade="BF"/>
                </w:tcPr>
                <w:p w14:paraId="5FCD4582" w14:textId="77777777" w:rsidR="00CF73E1" w:rsidRPr="00B146C8" w:rsidRDefault="00CF73E1" w:rsidP="00B146C8">
                  <w:pPr>
                    <w:rPr>
                      <w:sz w:val="20"/>
                    </w:rPr>
                  </w:pPr>
                  <w:r w:rsidRPr="00B146C8">
                    <w:rPr>
                      <w:sz w:val="20"/>
                    </w:rPr>
                    <w:t>% Duty Free Tariff Lines to All Goods</w:t>
                  </w:r>
                </w:p>
              </w:tc>
            </w:tr>
            <w:tr w:rsidR="00FC4FEB" w:rsidRPr="00FC4FEB" w14:paraId="45B8287B" w14:textId="77777777" w:rsidTr="00CF73E1">
              <w:tc>
                <w:tcPr>
                  <w:tcW w:w="2830" w:type="dxa"/>
                </w:tcPr>
                <w:p w14:paraId="03BBD281" w14:textId="77777777" w:rsidR="00CF73E1" w:rsidRPr="00FC4FEB" w:rsidRDefault="00CF73E1" w:rsidP="000A5925">
                  <w:pPr>
                    <w:jc w:val="both"/>
                    <w:rPr>
                      <w:sz w:val="20"/>
                      <w:shd w:val="clear" w:color="auto" w:fill="FFFFFF"/>
                    </w:rPr>
                  </w:pPr>
                  <w:r w:rsidRPr="00FC4FEB">
                    <w:rPr>
                      <w:sz w:val="20"/>
                      <w:shd w:val="clear" w:color="auto" w:fill="FFFFFF"/>
                    </w:rPr>
                    <w:t>ASEAN</w:t>
                  </w:r>
                </w:p>
              </w:tc>
              <w:tc>
                <w:tcPr>
                  <w:tcW w:w="851" w:type="dxa"/>
                </w:tcPr>
                <w:p w14:paraId="57874FCA" w14:textId="77777777" w:rsidR="00505176" w:rsidRPr="00FC4FEB" w:rsidRDefault="00CF73E1" w:rsidP="009F4B29">
                  <w:pPr>
                    <w:jc w:val="both"/>
                    <w:rPr>
                      <w:sz w:val="20"/>
                      <w:shd w:val="clear" w:color="auto" w:fill="FFFFFF"/>
                    </w:rPr>
                  </w:pPr>
                  <w:r w:rsidRPr="00FC4FEB">
                    <w:rPr>
                      <w:sz w:val="20"/>
                      <w:shd w:val="clear" w:color="auto" w:fill="FFFFFF"/>
                    </w:rPr>
                    <w:t>98.89</w:t>
                  </w:r>
                </w:p>
              </w:tc>
              <w:tc>
                <w:tcPr>
                  <w:tcW w:w="850" w:type="dxa"/>
                </w:tcPr>
                <w:p w14:paraId="7D0CE9AC" w14:textId="77777777" w:rsidR="00505176" w:rsidRPr="00FC4FEB" w:rsidRDefault="00CF73E1" w:rsidP="009F4B29">
                  <w:pPr>
                    <w:jc w:val="both"/>
                    <w:rPr>
                      <w:sz w:val="20"/>
                      <w:shd w:val="clear" w:color="auto" w:fill="FFFFFF"/>
                    </w:rPr>
                  </w:pPr>
                  <w:r w:rsidRPr="00FC4FEB">
                    <w:rPr>
                      <w:sz w:val="20"/>
                      <w:shd w:val="clear" w:color="auto" w:fill="FFFFFF"/>
                    </w:rPr>
                    <w:t>98.89</w:t>
                  </w:r>
                </w:p>
              </w:tc>
              <w:tc>
                <w:tcPr>
                  <w:tcW w:w="823" w:type="dxa"/>
                </w:tcPr>
                <w:p w14:paraId="736D5DE6" w14:textId="77777777" w:rsidR="00505176" w:rsidRPr="00FC4FEB" w:rsidRDefault="00CF73E1" w:rsidP="009F4B29">
                  <w:pPr>
                    <w:jc w:val="both"/>
                    <w:rPr>
                      <w:sz w:val="20"/>
                      <w:shd w:val="clear" w:color="auto" w:fill="FFFFFF"/>
                    </w:rPr>
                  </w:pPr>
                  <w:r w:rsidRPr="00FC4FEB">
                    <w:rPr>
                      <w:sz w:val="20"/>
                      <w:shd w:val="clear" w:color="auto" w:fill="FFFFFF"/>
                    </w:rPr>
                    <w:t>100.00</w:t>
                  </w:r>
                </w:p>
              </w:tc>
            </w:tr>
            <w:tr w:rsidR="00FC4FEB" w:rsidRPr="00FC4FEB" w14:paraId="638E8A49" w14:textId="77777777" w:rsidTr="00CF73E1">
              <w:tc>
                <w:tcPr>
                  <w:tcW w:w="2830" w:type="dxa"/>
                </w:tcPr>
                <w:p w14:paraId="44F5CE20" w14:textId="77777777" w:rsidR="00CF73E1" w:rsidRPr="00FC4FEB" w:rsidRDefault="00CF73E1" w:rsidP="000A5925">
                  <w:pPr>
                    <w:jc w:val="both"/>
                    <w:rPr>
                      <w:sz w:val="20"/>
                      <w:shd w:val="clear" w:color="auto" w:fill="FFFFFF"/>
                    </w:rPr>
                  </w:pPr>
                  <w:r w:rsidRPr="00FC4FEB">
                    <w:rPr>
                      <w:sz w:val="20"/>
                      <w:shd w:val="clear" w:color="auto" w:fill="FFFFFF"/>
                    </w:rPr>
                    <w:t>ASEAN-China</w:t>
                  </w:r>
                </w:p>
              </w:tc>
              <w:tc>
                <w:tcPr>
                  <w:tcW w:w="851" w:type="dxa"/>
                </w:tcPr>
                <w:p w14:paraId="24F17A7E" w14:textId="77777777" w:rsidR="00505176" w:rsidRPr="00FC4FEB" w:rsidRDefault="00CF73E1" w:rsidP="009F4B29">
                  <w:pPr>
                    <w:jc w:val="both"/>
                    <w:rPr>
                      <w:sz w:val="20"/>
                      <w:shd w:val="clear" w:color="auto" w:fill="FFFFFF"/>
                    </w:rPr>
                  </w:pPr>
                  <w:r w:rsidRPr="00FC4FEB">
                    <w:rPr>
                      <w:sz w:val="20"/>
                      <w:shd w:val="clear" w:color="auto" w:fill="FFFFFF"/>
                    </w:rPr>
                    <w:t>89.96</w:t>
                  </w:r>
                </w:p>
              </w:tc>
              <w:tc>
                <w:tcPr>
                  <w:tcW w:w="850" w:type="dxa"/>
                </w:tcPr>
                <w:p w14:paraId="5EF4F795" w14:textId="77777777" w:rsidR="00505176" w:rsidRPr="00FC4FEB" w:rsidRDefault="00CF73E1" w:rsidP="009F4B29">
                  <w:pPr>
                    <w:jc w:val="both"/>
                    <w:rPr>
                      <w:sz w:val="20"/>
                      <w:shd w:val="clear" w:color="auto" w:fill="FFFFFF"/>
                    </w:rPr>
                  </w:pPr>
                  <w:r w:rsidRPr="00FC4FEB">
                    <w:rPr>
                      <w:sz w:val="20"/>
                      <w:shd w:val="clear" w:color="auto" w:fill="FFFFFF"/>
                    </w:rPr>
                    <w:t>88.36</w:t>
                  </w:r>
                </w:p>
              </w:tc>
              <w:tc>
                <w:tcPr>
                  <w:tcW w:w="823" w:type="dxa"/>
                </w:tcPr>
                <w:p w14:paraId="76CAF7BA" w14:textId="77777777" w:rsidR="00505176" w:rsidRPr="00FC4FEB" w:rsidRDefault="00CF73E1" w:rsidP="009F4B29">
                  <w:pPr>
                    <w:jc w:val="both"/>
                    <w:rPr>
                      <w:sz w:val="20"/>
                      <w:shd w:val="clear" w:color="auto" w:fill="FFFFFF"/>
                    </w:rPr>
                  </w:pPr>
                  <w:r w:rsidRPr="00FC4FEB">
                    <w:rPr>
                      <w:sz w:val="20"/>
                      <w:shd w:val="clear" w:color="auto" w:fill="FFFFFF"/>
                    </w:rPr>
                    <w:t>83.41</w:t>
                  </w:r>
                </w:p>
              </w:tc>
            </w:tr>
            <w:tr w:rsidR="00FC4FEB" w:rsidRPr="00FC4FEB" w14:paraId="65EAD20A" w14:textId="77777777" w:rsidTr="00CF73E1">
              <w:tc>
                <w:tcPr>
                  <w:tcW w:w="2830" w:type="dxa"/>
                </w:tcPr>
                <w:p w14:paraId="6E5C0C20" w14:textId="77777777" w:rsidR="00CF73E1" w:rsidRPr="00FC4FEB" w:rsidRDefault="00CF73E1" w:rsidP="000A5925">
                  <w:pPr>
                    <w:jc w:val="both"/>
                    <w:rPr>
                      <w:sz w:val="20"/>
                      <w:shd w:val="clear" w:color="auto" w:fill="FFFFFF"/>
                    </w:rPr>
                  </w:pPr>
                  <w:r w:rsidRPr="00FC4FEB">
                    <w:rPr>
                      <w:sz w:val="20"/>
                      <w:shd w:val="clear" w:color="auto" w:fill="FFFFFF"/>
                    </w:rPr>
                    <w:t>ASEAN-Korea</w:t>
                  </w:r>
                </w:p>
              </w:tc>
              <w:tc>
                <w:tcPr>
                  <w:tcW w:w="851" w:type="dxa"/>
                </w:tcPr>
                <w:p w14:paraId="5C4A2042" w14:textId="77777777" w:rsidR="00505176" w:rsidRPr="00FC4FEB" w:rsidRDefault="00CF73E1" w:rsidP="009F4B29">
                  <w:pPr>
                    <w:jc w:val="both"/>
                    <w:rPr>
                      <w:sz w:val="20"/>
                      <w:shd w:val="clear" w:color="auto" w:fill="FFFFFF"/>
                    </w:rPr>
                  </w:pPr>
                  <w:r w:rsidRPr="00FC4FEB">
                    <w:rPr>
                      <w:sz w:val="20"/>
                      <w:shd w:val="clear" w:color="auto" w:fill="FFFFFF"/>
                    </w:rPr>
                    <w:t>91.52</w:t>
                  </w:r>
                </w:p>
              </w:tc>
              <w:tc>
                <w:tcPr>
                  <w:tcW w:w="850" w:type="dxa"/>
                </w:tcPr>
                <w:p w14:paraId="22C46EE7" w14:textId="77777777" w:rsidR="00505176" w:rsidRPr="00FC4FEB" w:rsidRDefault="00CF73E1" w:rsidP="009F4B29">
                  <w:pPr>
                    <w:jc w:val="both"/>
                    <w:rPr>
                      <w:sz w:val="20"/>
                      <w:shd w:val="clear" w:color="auto" w:fill="FFFFFF"/>
                    </w:rPr>
                  </w:pPr>
                  <w:r w:rsidRPr="00FC4FEB">
                    <w:rPr>
                      <w:sz w:val="20"/>
                      <w:shd w:val="clear" w:color="auto" w:fill="FFFFFF"/>
                    </w:rPr>
                    <w:t>86.44</w:t>
                  </w:r>
                </w:p>
              </w:tc>
              <w:tc>
                <w:tcPr>
                  <w:tcW w:w="823" w:type="dxa"/>
                </w:tcPr>
                <w:p w14:paraId="64DF4F1C" w14:textId="77777777" w:rsidR="00505176" w:rsidRPr="00FC4FEB" w:rsidRDefault="00CF73E1" w:rsidP="009F4B29">
                  <w:pPr>
                    <w:jc w:val="both"/>
                    <w:rPr>
                      <w:sz w:val="20"/>
                      <w:shd w:val="clear" w:color="auto" w:fill="FFFFFF"/>
                    </w:rPr>
                  </w:pPr>
                  <w:r w:rsidRPr="00FC4FEB">
                    <w:rPr>
                      <w:sz w:val="20"/>
                      <w:shd w:val="clear" w:color="auto" w:fill="FFFFFF"/>
                    </w:rPr>
                    <w:t>86.79</w:t>
                  </w:r>
                </w:p>
              </w:tc>
            </w:tr>
            <w:tr w:rsidR="00FC4FEB" w:rsidRPr="00FC4FEB" w14:paraId="76BBCAE8" w14:textId="77777777" w:rsidTr="00CF73E1">
              <w:tc>
                <w:tcPr>
                  <w:tcW w:w="2830" w:type="dxa"/>
                </w:tcPr>
                <w:p w14:paraId="7C88C6E9" w14:textId="77777777" w:rsidR="00CF73E1" w:rsidRPr="00FC4FEB" w:rsidRDefault="00CF73E1" w:rsidP="000A5925">
                  <w:pPr>
                    <w:jc w:val="both"/>
                    <w:rPr>
                      <w:sz w:val="20"/>
                      <w:shd w:val="clear" w:color="auto" w:fill="FFFFFF"/>
                    </w:rPr>
                  </w:pPr>
                  <w:r w:rsidRPr="00FC4FEB">
                    <w:rPr>
                      <w:sz w:val="20"/>
                      <w:shd w:val="clear" w:color="auto" w:fill="FFFFFF"/>
                    </w:rPr>
                    <w:t>ASEAN-Australia/New Zealand</w:t>
                  </w:r>
                </w:p>
              </w:tc>
              <w:tc>
                <w:tcPr>
                  <w:tcW w:w="851" w:type="dxa"/>
                </w:tcPr>
                <w:p w14:paraId="2643CD76" w14:textId="77777777" w:rsidR="00505176" w:rsidRPr="00FC4FEB" w:rsidRDefault="00CF73E1" w:rsidP="009F4B29">
                  <w:pPr>
                    <w:jc w:val="both"/>
                    <w:rPr>
                      <w:sz w:val="20"/>
                      <w:shd w:val="clear" w:color="auto" w:fill="FFFFFF"/>
                    </w:rPr>
                  </w:pPr>
                  <w:r w:rsidRPr="00FC4FEB">
                    <w:rPr>
                      <w:sz w:val="20"/>
                      <w:shd w:val="clear" w:color="auto" w:fill="FFFFFF"/>
                    </w:rPr>
                    <w:t>93.85</w:t>
                  </w:r>
                </w:p>
              </w:tc>
              <w:tc>
                <w:tcPr>
                  <w:tcW w:w="850" w:type="dxa"/>
                </w:tcPr>
                <w:p w14:paraId="122DE23D" w14:textId="77777777" w:rsidR="00505176" w:rsidRPr="00FC4FEB" w:rsidRDefault="00CF73E1" w:rsidP="009F4B29">
                  <w:pPr>
                    <w:jc w:val="both"/>
                    <w:rPr>
                      <w:sz w:val="20"/>
                      <w:shd w:val="clear" w:color="auto" w:fill="FFFFFF"/>
                    </w:rPr>
                  </w:pPr>
                  <w:r w:rsidRPr="00FC4FEB">
                    <w:rPr>
                      <w:sz w:val="20"/>
                      <w:shd w:val="clear" w:color="auto" w:fill="FFFFFF"/>
                    </w:rPr>
                    <w:t>95.04</w:t>
                  </w:r>
                </w:p>
              </w:tc>
              <w:tc>
                <w:tcPr>
                  <w:tcW w:w="823" w:type="dxa"/>
                </w:tcPr>
                <w:p w14:paraId="054D04BF" w14:textId="77777777" w:rsidR="00505176" w:rsidRPr="00FC4FEB" w:rsidRDefault="00CF73E1" w:rsidP="009F4B29">
                  <w:pPr>
                    <w:jc w:val="both"/>
                    <w:rPr>
                      <w:sz w:val="20"/>
                      <w:shd w:val="clear" w:color="auto" w:fill="FFFFFF"/>
                    </w:rPr>
                  </w:pPr>
                  <w:r w:rsidRPr="00FC4FEB">
                    <w:rPr>
                      <w:sz w:val="20"/>
                      <w:shd w:val="clear" w:color="auto" w:fill="FFFFFF"/>
                    </w:rPr>
                    <w:t>94.37</w:t>
                  </w:r>
                </w:p>
              </w:tc>
            </w:tr>
            <w:tr w:rsidR="00FC4FEB" w:rsidRPr="00FC4FEB" w14:paraId="3C05788D" w14:textId="77777777" w:rsidTr="00CF73E1">
              <w:tc>
                <w:tcPr>
                  <w:tcW w:w="2830" w:type="dxa"/>
                </w:tcPr>
                <w:p w14:paraId="1D6416FA" w14:textId="77777777" w:rsidR="00CF73E1" w:rsidRPr="00FC4FEB" w:rsidRDefault="00CF73E1" w:rsidP="000A5925">
                  <w:pPr>
                    <w:jc w:val="both"/>
                    <w:rPr>
                      <w:sz w:val="20"/>
                      <w:shd w:val="clear" w:color="auto" w:fill="FFFFFF"/>
                    </w:rPr>
                  </w:pPr>
                  <w:r w:rsidRPr="00FC4FEB">
                    <w:rPr>
                      <w:sz w:val="20"/>
                      <w:shd w:val="clear" w:color="auto" w:fill="FFFFFF"/>
                    </w:rPr>
                    <w:t>ASEAN-Japan</w:t>
                  </w:r>
                </w:p>
              </w:tc>
              <w:tc>
                <w:tcPr>
                  <w:tcW w:w="851" w:type="dxa"/>
                </w:tcPr>
                <w:p w14:paraId="23D22F7E" w14:textId="77777777" w:rsidR="00505176" w:rsidRPr="00FC4FEB" w:rsidRDefault="00CF73E1" w:rsidP="009F4B29">
                  <w:pPr>
                    <w:jc w:val="both"/>
                    <w:rPr>
                      <w:sz w:val="20"/>
                      <w:shd w:val="clear" w:color="auto" w:fill="FFFFFF"/>
                    </w:rPr>
                  </w:pPr>
                  <w:r w:rsidRPr="00FC4FEB">
                    <w:rPr>
                      <w:sz w:val="20"/>
                      <w:shd w:val="clear" w:color="auto" w:fill="FFFFFF"/>
                    </w:rPr>
                    <w:t>70.47</w:t>
                  </w:r>
                </w:p>
              </w:tc>
              <w:tc>
                <w:tcPr>
                  <w:tcW w:w="850" w:type="dxa"/>
                </w:tcPr>
                <w:p w14:paraId="5174B0DD" w14:textId="77777777" w:rsidR="00505176" w:rsidRPr="00FC4FEB" w:rsidRDefault="00CF73E1" w:rsidP="009F4B29">
                  <w:pPr>
                    <w:jc w:val="both"/>
                    <w:rPr>
                      <w:sz w:val="20"/>
                      <w:shd w:val="clear" w:color="auto" w:fill="FFFFFF"/>
                    </w:rPr>
                  </w:pPr>
                  <w:r w:rsidRPr="00FC4FEB">
                    <w:rPr>
                      <w:sz w:val="20"/>
                      <w:shd w:val="clear" w:color="auto" w:fill="FFFFFF"/>
                    </w:rPr>
                    <w:t>70.46</w:t>
                  </w:r>
                </w:p>
              </w:tc>
              <w:tc>
                <w:tcPr>
                  <w:tcW w:w="823" w:type="dxa"/>
                </w:tcPr>
                <w:p w14:paraId="04B2020E" w14:textId="77777777" w:rsidR="00505176" w:rsidRPr="00FC4FEB" w:rsidRDefault="00CF73E1" w:rsidP="009F4B29">
                  <w:pPr>
                    <w:jc w:val="both"/>
                    <w:rPr>
                      <w:sz w:val="20"/>
                      <w:shd w:val="clear" w:color="auto" w:fill="FFFFFF"/>
                    </w:rPr>
                  </w:pPr>
                  <w:r w:rsidRPr="00FC4FEB">
                    <w:rPr>
                      <w:sz w:val="20"/>
                      <w:shd w:val="clear" w:color="auto" w:fill="FFFFFF"/>
                    </w:rPr>
                    <w:t>68.56</w:t>
                  </w:r>
                </w:p>
              </w:tc>
            </w:tr>
            <w:tr w:rsidR="00FC4FEB" w:rsidRPr="00FC4FEB" w14:paraId="207868D1" w14:textId="77777777" w:rsidTr="00CF73E1">
              <w:tc>
                <w:tcPr>
                  <w:tcW w:w="2830" w:type="dxa"/>
                </w:tcPr>
                <w:p w14:paraId="38EE8C2B" w14:textId="77777777" w:rsidR="00CF73E1" w:rsidRPr="00FC4FEB" w:rsidRDefault="00CF73E1" w:rsidP="000A5925">
                  <w:pPr>
                    <w:jc w:val="both"/>
                    <w:rPr>
                      <w:sz w:val="20"/>
                      <w:shd w:val="clear" w:color="auto" w:fill="FFFFFF"/>
                    </w:rPr>
                  </w:pPr>
                  <w:r w:rsidRPr="00FC4FEB">
                    <w:rPr>
                      <w:sz w:val="20"/>
                      <w:shd w:val="clear" w:color="auto" w:fill="FFFFFF"/>
                    </w:rPr>
                    <w:t>Philippines-Japan</w:t>
                  </w:r>
                </w:p>
              </w:tc>
              <w:tc>
                <w:tcPr>
                  <w:tcW w:w="851" w:type="dxa"/>
                </w:tcPr>
                <w:p w14:paraId="32842A62" w14:textId="77777777" w:rsidR="00505176" w:rsidRPr="00FC4FEB" w:rsidRDefault="00CF73E1" w:rsidP="009F4B29">
                  <w:pPr>
                    <w:jc w:val="both"/>
                    <w:rPr>
                      <w:sz w:val="20"/>
                      <w:shd w:val="clear" w:color="auto" w:fill="FFFFFF"/>
                    </w:rPr>
                  </w:pPr>
                  <w:r w:rsidRPr="00FC4FEB">
                    <w:rPr>
                      <w:sz w:val="20"/>
                      <w:shd w:val="clear" w:color="auto" w:fill="FFFFFF"/>
                    </w:rPr>
                    <w:t>71.08</w:t>
                  </w:r>
                </w:p>
              </w:tc>
              <w:tc>
                <w:tcPr>
                  <w:tcW w:w="850" w:type="dxa"/>
                </w:tcPr>
                <w:p w14:paraId="135AC680" w14:textId="77777777" w:rsidR="00505176" w:rsidRPr="00FC4FEB" w:rsidRDefault="00CF73E1" w:rsidP="009F4B29">
                  <w:pPr>
                    <w:jc w:val="both"/>
                    <w:rPr>
                      <w:sz w:val="20"/>
                      <w:shd w:val="clear" w:color="auto" w:fill="FFFFFF"/>
                    </w:rPr>
                  </w:pPr>
                  <w:r w:rsidRPr="00FC4FEB">
                    <w:rPr>
                      <w:sz w:val="20"/>
                      <w:shd w:val="clear" w:color="auto" w:fill="FFFFFF"/>
                    </w:rPr>
                    <w:t>72.67</w:t>
                  </w:r>
                </w:p>
              </w:tc>
              <w:tc>
                <w:tcPr>
                  <w:tcW w:w="823" w:type="dxa"/>
                </w:tcPr>
                <w:p w14:paraId="1C7DC843" w14:textId="77777777" w:rsidR="00505176" w:rsidRPr="00FC4FEB" w:rsidRDefault="00CF73E1" w:rsidP="009F4B29">
                  <w:pPr>
                    <w:jc w:val="both"/>
                    <w:rPr>
                      <w:sz w:val="20"/>
                      <w:shd w:val="clear" w:color="auto" w:fill="FFFFFF"/>
                    </w:rPr>
                  </w:pPr>
                  <w:r w:rsidRPr="00FC4FEB">
                    <w:rPr>
                      <w:sz w:val="20"/>
                      <w:shd w:val="clear" w:color="auto" w:fill="FFFFFF"/>
                    </w:rPr>
                    <w:t>71.92</w:t>
                  </w:r>
                </w:p>
              </w:tc>
            </w:tr>
            <w:tr w:rsidR="00FC4FEB" w:rsidRPr="00FC4FEB" w14:paraId="6CA027C0" w14:textId="77777777" w:rsidTr="00CF73E1">
              <w:tc>
                <w:tcPr>
                  <w:tcW w:w="2830" w:type="dxa"/>
                </w:tcPr>
                <w:p w14:paraId="4659CF6D" w14:textId="77777777" w:rsidR="00CF73E1" w:rsidRPr="00FC4FEB" w:rsidRDefault="00CF73E1" w:rsidP="000A5925">
                  <w:pPr>
                    <w:jc w:val="both"/>
                    <w:rPr>
                      <w:sz w:val="20"/>
                      <w:shd w:val="clear" w:color="auto" w:fill="FFFFFF"/>
                    </w:rPr>
                  </w:pPr>
                  <w:r w:rsidRPr="00FC4FEB">
                    <w:rPr>
                      <w:sz w:val="20"/>
                      <w:shd w:val="clear" w:color="auto" w:fill="FFFFFF"/>
                    </w:rPr>
                    <w:t>ASEAN-India</w:t>
                  </w:r>
                </w:p>
              </w:tc>
              <w:tc>
                <w:tcPr>
                  <w:tcW w:w="851" w:type="dxa"/>
                </w:tcPr>
                <w:p w14:paraId="7E775698" w14:textId="77777777" w:rsidR="00505176" w:rsidRPr="00FC4FEB" w:rsidRDefault="00CF73E1" w:rsidP="009F4B29">
                  <w:pPr>
                    <w:jc w:val="both"/>
                    <w:rPr>
                      <w:sz w:val="20"/>
                      <w:shd w:val="clear" w:color="auto" w:fill="FFFFFF"/>
                    </w:rPr>
                  </w:pPr>
                  <w:r w:rsidRPr="00FC4FEB">
                    <w:rPr>
                      <w:sz w:val="20"/>
                      <w:shd w:val="clear" w:color="auto" w:fill="FFFFFF"/>
                    </w:rPr>
                    <w:t>4.10</w:t>
                  </w:r>
                </w:p>
              </w:tc>
              <w:tc>
                <w:tcPr>
                  <w:tcW w:w="850" w:type="dxa"/>
                </w:tcPr>
                <w:p w14:paraId="434208CB" w14:textId="77777777" w:rsidR="00505176" w:rsidRPr="00FC4FEB" w:rsidRDefault="00CF73E1" w:rsidP="009F4B29">
                  <w:pPr>
                    <w:jc w:val="both"/>
                    <w:rPr>
                      <w:sz w:val="20"/>
                      <w:shd w:val="clear" w:color="auto" w:fill="FFFFFF"/>
                    </w:rPr>
                  </w:pPr>
                  <w:r w:rsidRPr="00FC4FEB">
                    <w:rPr>
                      <w:sz w:val="20"/>
                      <w:shd w:val="clear" w:color="auto" w:fill="FFFFFF"/>
                    </w:rPr>
                    <w:t>4.10</w:t>
                  </w:r>
                </w:p>
              </w:tc>
              <w:tc>
                <w:tcPr>
                  <w:tcW w:w="823" w:type="dxa"/>
                </w:tcPr>
                <w:p w14:paraId="57582C16" w14:textId="77777777" w:rsidR="00505176" w:rsidRPr="00FC4FEB" w:rsidRDefault="00CF73E1" w:rsidP="009F4B29">
                  <w:pPr>
                    <w:jc w:val="both"/>
                    <w:rPr>
                      <w:sz w:val="20"/>
                      <w:shd w:val="clear" w:color="auto" w:fill="FFFFFF"/>
                    </w:rPr>
                  </w:pPr>
                  <w:r w:rsidRPr="00FC4FEB">
                    <w:rPr>
                      <w:sz w:val="20"/>
                      <w:shd w:val="clear" w:color="auto" w:fill="FFFFFF"/>
                    </w:rPr>
                    <w:t>4.02</w:t>
                  </w:r>
                </w:p>
              </w:tc>
            </w:tr>
          </w:tbl>
          <w:p w14:paraId="5721CFD5" w14:textId="77777777" w:rsidR="00CF73E1" w:rsidRPr="00FC4FEB" w:rsidRDefault="00CF73E1" w:rsidP="000A5925">
            <w:pPr>
              <w:jc w:val="both"/>
              <w:rPr>
                <w:sz w:val="20"/>
                <w:shd w:val="clear" w:color="auto" w:fill="FFFFFF"/>
              </w:rPr>
            </w:pPr>
          </w:p>
        </w:tc>
        <w:tc>
          <w:tcPr>
            <w:tcW w:w="5471" w:type="dxa"/>
          </w:tcPr>
          <w:p w14:paraId="472F0B8D" w14:textId="77777777" w:rsidR="00EA71FB" w:rsidRPr="00FC4FEB" w:rsidRDefault="00CF73E1" w:rsidP="00993030">
            <w:pPr>
              <w:spacing w:line="0" w:lineRule="atLeast"/>
              <w:ind w:right="191"/>
              <w:jc w:val="both"/>
              <w:rPr>
                <w:sz w:val="20"/>
              </w:rPr>
            </w:pPr>
            <w:bookmarkStart w:id="4" w:name="Cell02"/>
            <w:bookmarkEnd w:id="4"/>
            <w:r w:rsidRPr="00FC4FEB">
              <w:rPr>
                <w:sz w:val="20"/>
              </w:rPr>
              <w:t>Under the various FTAs, preferential tariffs are to be progressively reduced and/or eliminated with the end goal of zero tariffs levied on substantially all goods by the agreed end dates</w:t>
            </w:r>
          </w:p>
          <w:p w14:paraId="72DAECA6" w14:textId="77777777" w:rsidR="00CF73E1" w:rsidRPr="00FC4FEB" w:rsidRDefault="00CF73E1" w:rsidP="00993030">
            <w:pPr>
              <w:spacing w:line="0" w:lineRule="atLeast"/>
              <w:ind w:right="191"/>
              <w:jc w:val="both"/>
              <w:rPr>
                <w:sz w:val="20"/>
              </w:rPr>
            </w:pPr>
          </w:p>
          <w:p w14:paraId="53B580A2" w14:textId="77777777" w:rsidR="00CF73E1" w:rsidRPr="00FC4FEB" w:rsidRDefault="00CF73E1">
            <w:pPr>
              <w:spacing w:line="0" w:lineRule="atLeast"/>
              <w:ind w:right="191"/>
              <w:jc w:val="both"/>
              <w:rPr>
                <w:sz w:val="20"/>
              </w:rPr>
            </w:pPr>
            <w:r w:rsidRPr="00FC4FEB">
              <w:rPr>
                <w:sz w:val="20"/>
              </w:rPr>
              <w:t>End Dates of Various FTAs</w:t>
            </w:r>
          </w:p>
          <w:p w14:paraId="7514A914" w14:textId="77777777" w:rsidR="005069D8" w:rsidRPr="00FC4FEB" w:rsidRDefault="005069D8">
            <w:pPr>
              <w:spacing w:line="0" w:lineRule="atLeast"/>
              <w:ind w:right="191"/>
              <w:jc w:val="both"/>
              <w:rPr>
                <w:sz w:val="20"/>
              </w:rPr>
            </w:pPr>
          </w:p>
          <w:tbl>
            <w:tblPr>
              <w:tblStyle w:val="TableGrid"/>
              <w:tblW w:w="0" w:type="auto"/>
              <w:tblLayout w:type="fixed"/>
              <w:tblLook w:val="04A0" w:firstRow="1" w:lastRow="0" w:firstColumn="1" w:lastColumn="0" w:noHBand="0" w:noVBand="1"/>
            </w:tblPr>
            <w:tblGrid>
              <w:gridCol w:w="3421"/>
              <w:gridCol w:w="1830"/>
            </w:tblGrid>
            <w:tr w:rsidR="00FC4FEB" w:rsidRPr="00FC4FEB" w14:paraId="6C6A7D82" w14:textId="77777777" w:rsidTr="0072305D">
              <w:tc>
                <w:tcPr>
                  <w:tcW w:w="3421" w:type="dxa"/>
                  <w:shd w:val="clear" w:color="auto" w:fill="BFBFBF" w:themeFill="background1" w:themeFillShade="BF"/>
                </w:tcPr>
                <w:p w14:paraId="34A7697D" w14:textId="77777777" w:rsidR="00505176" w:rsidRPr="00FC4FEB" w:rsidRDefault="0072305D" w:rsidP="009F4B29">
                  <w:pPr>
                    <w:spacing w:line="0" w:lineRule="atLeast"/>
                    <w:ind w:right="191"/>
                    <w:jc w:val="both"/>
                    <w:rPr>
                      <w:sz w:val="20"/>
                    </w:rPr>
                  </w:pPr>
                  <w:r w:rsidRPr="00FC4FEB">
                    <w:rPr>
                      <w:sz w:val="20"/>
                    </w:rPr>
                    <w:t>FTA</w:t>
                  </w:r>
                </w:p>
              </w:tc>
              <w:tc>
                <w:tcPr>
                  <w:tcW w:w="1830" w:type="dxa"/>
                  <w:shd w:val="clear" w:color="auto" w:fill="BFBFBF" w:themeFill="background1" w:themeFillShade="BF"/>
                </w:tcPr>
                <w:p w14:paraId="1586B8C1" w14:textId="77777777" w:rsidR="00505176" w:rsidRPr="00FC4FEB" w:rsidRDefault="0072305D" w:rsidP="009F4B29">
                  <w:pPr>
                    <w:spacing w:line="0" w:lineRule="atLeast"/>
                    <w:ind w:right="191"/>
                    <w:jc w:val="both"/>
                    <w:rPr>
                      <w:sz w:val="20"/>
                    </w:rPr>
                  </w:pPr>
                  <w:r w:rsidRPr="00FC4FEB">
                    <w:rPr>
                      <w:sz w:val="20"/>
                    </w:rPr>
                    <w:t>End Dates</w:t>
                  </w:r>
                </w:p>
              </w:tc>
            </w:tr>
            <w:tr w:rsidR="00FC4FEB" w:rsidRPr="00FC4FEB" w14:paraId="4BB42970" w14:textId="77777777" w:rsidTr="0072305D">
              <w:tc>
                <w:tcPr>
                  <w:tcW w:w="3421" w:type="dxa"/>
                </w:tcPr>
                <w:p w14:paraId="4C5DC34F" w14:textId="77777777" w:rsidR="0072305D" w:rsidRPr="00FC4FEB" w:rsidRDefault="0072305D" w:rsidP="000A5925">
                  <w:pPr>
                    <w:spacing w:line="0" w:lineRule="atLeast"/>
                    <w:ind w:right="191"/>
                    <w:jc w:val="both"/>
                    <w:rPr>
                      <w:sz w:val="20"/>
                    </w:rPr>
                  </w:pPr>
                  <w:r w:rsidRPr="00FC4FEB">
                    <w:rPr>
                      <w:sz w:val="20"/>
                      <w:shd w:val="clear" w:color="auto" w:fill="FFFFFF"/>
                    </w:rPr>
                    <w:t>ASEAN</w:t>
                  </w:r>
                </w:p>
              </w:tc>
              <w:tc>
                <w:tcPr>
                  <w:tcW w:w="1830" w:type="dxa"/>
                </w:tcPr>
                <w:p w14:paraId="441A9ADF" w14:textId="77777777" w:rsidR="00505176" w:rsidRPr="00FC4FEB" w:rsidRDefault="0072305D" w:rsidP="009F4B29">
                  <w:pPr>
                    <w:spacing w:line="0" w:lineRule="atLeast"/>
                    <w:ind w:right="191"/>
                    <w:jc w:val="both"/>
                    <w:rPr>
                      <w:sz w:val="20"/>
                    </w:rPr>
                  </w:pPr>
                  <w:r w:rsidRPr="00FC4FEB">
                    <w:rPr>
                      <w:sz w:val="20"/>
                    </w:rPr>
                    <w:t>2015</w:t>
                  </w:r>
                </w:p>
              </w:tc>
            </w:tr>
            <w:tr w:rsidR="00FC4FEB" w:rsidRPr="00FC4FEB" w14:paraId="3ADE8990" w14:textId="77777777" w:rsidTr="0072305D">
              <w:tc>
                <w:tcPr>
                  <w:tcW w:w="3421" w:type="dxa"/>
                </w:tcPr>
                <w:p w14:paraId="59A69204" w14:textId="77777777" w:rsidR="0072305D" w:rsidRPr="00FC4FEB" w:rsidRDefault="0072305D" w:rsidP="000A5925">
                  <w:pPr>
                    <w:spacing w:line="0" w:lineRule="atLeast"/>
                    <w:ind w:right="191"/>
                    <w:jc w:val="both"/>
                    <w:rPr>
                      <w:sz w:val="20"/>
                    </w:rPr>
                  </w:pPr>
                  <w:r w:rsidRPr="00FC4FEB">
                    <w:rPr>
                      <w:sz w:val="20"/>
                      <w:shd w:val="clear" w:color="auto" w:fill="FFFFFF"/>
                    </w:rPr>
                    <w:t>ASEAN-China</w:t>
                  </w:r>
                </w:p>
              </w:tc>
              <w:tc>
                <w:tcPr>
                  <w:tcW w:w="1830" w:type="dxa"/>
                </w:tcPr>
                <w:p w14:paraId="663C859B" w14:textId="77777777" w:rsidR="00505176" w:rsidRPr="00FC4FEB" w:rsidRDefault="0072305D" w:rsidP="009F4B29">
                  <w:pPr>
                    <w:spacing w:line="0" w:lineRule="atLeast"/>
                    <w:ind w:right="191"/>
                    <w:jc w:val="both"/>
                    <w:rPr>
                      <w:sz w:val="20"/>
                    </w:rPr>
                  </w:pPr>
                  <w:r w:rsidRPr="00FC4FEB">
                    <w:rPr>
                      <w:sz w:val="20"/>
                    </w:rPr>
                    <w:t>2018</w:t>
                  </w:r>
                </w:p>
              </w:tc>
            </w:tr>
            <w:tr w:rsidR="00FC4FEB" w:rsidRPr="00FC4FEB" w14:paraId="24BD27E4" w14:textId="77777777" w:rsidTr="0072305D">
              <w:tc>
                <w:tcPr>
                  <w:tcW w:w="3421" w:type="dxa"/>
                </w:tcPr>
                <w:p w14:paraId="065035A1" w14:textId="77777777" w:rsidR="0072305D" w:rsidRPr="00FC4FEB" w:rsidRDefault="0072305D" w:rsidP="000A5925">
                  <w:pPr>
                    <w:spacing w:line="0" w:lineRule="atLeast"/>
                    <w:ind w:right="191"/>
                    <w:jc w:val="both"/>
                    <w:rPr>
                      <w:sz w:val="20"/>
                    </w:rPr>
                  </w:pPr>
                  <w:r w:rsidRPr="00FC4FEB">
                    <w:rPr>
                      <w:sz w:val="20"/>
                      <w:shd w:val="clear" w:color="auto" w:fill="FFFFFF"/>
                    </w:rPr>
                    <w:t>ASEAN-Korea</w:t>
                  </w:r>
                </w:p>
              </w:tc>
              <w:tc>
                <w:tcPr>
                  <w:tcW w:w="1830" w:type="dxa"/>
                </w:tcPr>
                <w:p w14:paraId="4E260C92" w14:textId="77777777" w:rsidR="00505176" w:rsidRPr="00FC4FEB" w:rsidRDefault="0072305D" w:rsidP="009F4B29">
                  <w:pPr>
                    <w:spacing w:line="0" w:lineRule="atLeast"/>
                    <w:ind w:right="191"/>
                    <w:jc w:val="both"/>
                    <w:rPr>
                      <w:sz w:val="20"/>
                    </w:rPr>
                  </w:pPr>
                  <w:r w:rsidRPr="00FC4FEB">
                    <w:rPr>
                      <w:sz w:val="20"/>
                    </w:rPr>
                    <w:t>2016</w:t>
                  </w:r>
                </w:p>
              </w:tc>
            </w:tr>
            <w:tr w:rsidR="00FC4FEB" w:rsidRPr="00FC4FEB" w14:paraId="1BDC9406" w14:textId="77777777" w:rsidTr="0072305D">
              <w:tc>
                <w:tcPr>
                  <w:tcW w:w="3421" w:type="dxa"/>
                </w:tcPr>
                <w:p w14:paraId="07B00A0F" w14:textId="77777777" w:rsidR="0072305D" w:rsidRPr="00FC4FEB" w:rsidRDefault="0072305D" w:rsidP="000A5925">
                  <w:pPr>
                    <w:spacing w:line="0" w:lineRule="atLeast"/>
                    <w:ind w:right="191"/>
                    <w:jc w:val="both"/>
                    <w:rPr>
                      <w:sz w:val="20"/>
                    </w:rPr>
                  </w:pPr>
                  <w:r w:rsidRPr="00FC4FEB">
                    <w:rPr>
                      <w:sz w:val="20"/>
                      <w:shd w:val="clear" w:color="auto" w:fill="FFFFFF"/>
                    </w:rPr>
                    <w:t>ASEAN-Australia/New Zealand</w:t>
                  </w:r>
                </w:p>
              </w:tc>
              <w:tc>
                <w:tcPr>
                  <w:tcW w:w="1830" w:type="dxa"/>
                </w:tcPr>
                <w:p w14:paraId="077E85B8" w14:textId="77777777" w:rsidR="00505176" w:rsidRPr="00FC4FEB" w:rsidRDefault="0072305D" w:rsidP="009F4B29">
                  <w:pPr>
                    <w:spacing w:line="0" w:lineRule="atLeast"/>
                    <w:ind w:right="191"/>
                    <w:jc w:val="both"/>
                    <w:rPr>
                      <w:sz w:val="20"/>
                    </w:rPr>
                  </w:pPr>
                  <w:r w:rsidRPr="00FC4FEB">
                    <w:rPr>
                      <w:sz w:val="20"/>
                    </w:rPr>
                    <w:t>2020</w:t>
                  </w:r>
                </w:p>
              </w:tc>
            </w:tr>
            <w:tr w:rsidR="00FC4FEB" w:rsidRPr="00FC4FEB" w14:paraId="372C775B" w14:textId="77777777" w:rsidTr="0072305D">
              <w:tc>
                <w:tcPr>
                  <w:tcW w:w="3421" w:type="dxa"/>
                </w:tcPr>
                <w:p w14:paraId="78277C26" w14:textId="77777777" w:rsidR="0072305D" w:rsidRPr="00FC4FEB" w:rsidRDefault="0072305D" w:rsidP="000A5925">
                  <w:pPr>
                    <w:spacing w:line="0" w:lineRule="atLeast"/>
                    <w:ind w:right="191"/>
                    <w:jc w:val="both"/>
                    <w:rPr>
                      <w:sz w:val="20"/>
                    </w:rPr>
                  </w:pPr>
                  <w:r w:rsidRPr="00FC4FEB">
                    <w:rPr>
                      <w:sz w:val="20"/>
                      <w:shd w:val="clear" w:color="auto" w:fill="FFFFFF"/>
                    </w:rPr>
                    <w:t>ASEAN-Japan</w:t>
                  </w:r>
                </w:p>
              </w:tc>
              <w:tc>
                <w:tcPr>
                  <w:tcW w:w="1830" w:type="dxa"/>
                </w:tcPr>
                <w:p w14:paraId="1DD2B312" w14:textId="77777777" w:rsidR="00505176" w:rsidRPr="00FC4FEB" w:rsidRDefault="0072305D" w:rsidP="009F4B29">
                  <w:pPr>
                    <w:spacing w:line="0" w:lineRule="atLeast"/>
                    <w:ind w:right="191"/>
                    <w:jc w:val="both"/>
                    <w:rPr>
                      <w:sz w:val="20"/>
                    </w:rPr>
                  </w:pPr>
                  <w:r w:rsidRPr="00FC4FEB">
                    <w:rPr>
                      <w:sz w:val="20"/>
                    </w:rPr>
                    <w:t>2018</w:t>
                  </w:r>
                </w:p>
              </w:tc>
            </w:tr>
            <w:tr w:rsidR="00FC4FEB" w:rsidRPr="00FC4FEB" w14:paraId="70A5B8A8" w14:textId="77777777" w:rsidTr="0072305D">
              <w:tc>
                <w:tcPr>
                  <w:tcW w:w="3421" w:type="dxa"/>
                </w:tcPr>
                <w:p w14:paraId="3FEBB247" w14:textId="77777777" w:rsidR="0072305D" w:rsidRPr="00FC4FEB" w:rsidRDefault="0072305D" w:rsidP="000A5925">
                  <w:pPr>
                    <w:spacing w:line="0" w:lineRule="atLeast"/>
                    <w:ind w:right="191"/>
                    <w:jc w:val="both"/>
                    <w:rPr>
                      <w:sz w:val="20"/>
                    </w:rPr>
                  </w:pPr>
                  <w:r w:rsidRPr="00FC4FEB">
                    <w:rPr>
                      <w:sz w:val="20"/>
                      <w:shd w:val="clear" w:color="auto" w:fill="FFFFFF"/>
                    </w:rPr>
                    <w:t>Philippines-Japan</w:t>
                  </w:r>
                </w:p>
              </w:tc>
              <w:tc>
                <w:tcPr>
                  <w:tcW w:w="1830" w:type="dxa"/>
                </w:tcPr>
                <w:p w14:paraId="50232DED" w14:textId="77777777" w:rsidR="00505176" w:rsidRPr="00FC4FEB" w:rsidRDefault="0072305D" w:rsidP="009F4B29">
                  <w:pPr>
                    <w:spacing w:line="0" w:lineRule="atLeast"/>
                    <w:ind w:right="191"/>
                    <w:jc w:val="both"/>
                    <w:rPr>
                      <w:sz w:val="20"/>
                    </w:rPr>
                  </w:pPr>
                  <w:r w:rsidRPr="00FC4FEB">
                    <w:rPr>
                      <w:sz w:val="20"/>
                    </w:rPr>
                    <w:t>2018</w:t>
                  </w:r>
                </w:p>
              </w:tc>
            </w:tr>
            <w:tr w:rsidR="00FC4FEB" w:rsidRPr="00FC4FEB" w14:paraId="540362D2" w14:textId="77777777" w:rsidTr="0072305D">
              <w:tc>
                <w:tcPr>
                  <w:tcW w:w="3421" w:type="dxa"/>
                </w:tcPr>
                <w:p w14:paraId="20AA03E3" w14:textId="77777777" w:rsidR="0072305D" w:rsidRPr="00FC4FEB" w:rsidRDefault="0072305D" w:rsidP="000A5925">
                  <w:pPr>
                    <w:spacing w:line="0" w:lineRule="atLeast"/>
                    <w:ind w:right="191"/>
                    <w:jc w:val="both"/>
                    <w:rPr>
                      <w:sz w:val="20"/>
                    </w:rPr>
                  </w:pPr>
                  <w:r w:rsidRPr="00FC4FEB">
                    <w:rPr>
                      <w:sz w:val="20"/>
                      <w:shd w:val="clear" w:color="auto" w:fill="FFFFFF"/>
                    </w:rPr>
                    <w:t>ASEAN-India</w:t>
                  </w:r>
                </w:p>
              </w:tc>
              <w:tc>
                <w:tcPr>
                  <w:tcW w:w="1830" w:type="dxa"/>
                </w:tcPr>
                <w:p w14:paraId="3563E2DF" w14:textId="77777777" w:rsidR="00505176" w:rsidRPr="00FC4FEB" w:rsidRDefault="0072305D" w:rsidP="009F4B29">
                  <w:pPr>
                    <w:spacing w:line="0" w:lineRule="atLeast"/>
                    <w:ind w:right="191"/>
                    <w:jc w:val="both"/>
                    <w:rPr>
                      <w:sz w:val="20"/>
                    </w:rPr>
                  </w:pPr>
                  <w:r w:rsidRPr="00FC4FEB">
                    <w:rPr>
                      <w:sz w:val="20"/>
                    </w:rPr>
                    <w:t>2022</w:t>
                  </w:r>
                </w:p>
              </w:tc>
            </w:tr>
          </w:tbl>
          <w:p w14:paraId="20F2FC04" w14:textId="77777777" w:rsidR="0072305D" w:rsidRPr="00FC4FEB" w:rsidRDefault="0072305D" w:rsidP="000A5925">
            <w:pPr>
              <w:spacing w:line="0" w:lineRule="atLeast"/>
              <w:ind w:right="191"/>
              <w:jc w:val="both"/>
              <w:rPr>
                <w:sz w:val="20"/>
              </w:rPr>
            </w:pPr>
          </w:p>
        </w:tc>
      </w:tr>
      <w:tr w:rsidR="00FC4FEB" w:rsidRPr="00FC4FEB" w14:paraId="29BB085D" w14:textId="77777777" w:rsidTr="00810BCF">
        <w:trPr>
          <w:trHeight w:val="212"/>
        </w:trPr>
        <w:tc>
          <w:tcPr>
            <w:tcW w:w="3520" w:type="dxa"/>
          </w:tcPr>
          <w:p w14:paraId="30D3009B" w14:textId="77777777" w:rsidR="00505176" w:rsidRPr="00FC4FEB" w:rsidRDefault="001F1D74" w:rsidP="009F4B29">
            <w:pPr>
              <w:pStyle w:val="Heading9"/>
              <w:jc w:val="both"/>
              <w:rPr>
                <w:rFonts w:ascii="Times New Roman" w:hAnsi="Times New Roman"/>
              </w:rPr>
            </w:pPr>
            <w:r w:rsidRPr="00FC4FEB">
              <w:rPr>
                <w:rFonts w:ascii="Times New Roman" w:hAnsi="Times New Roman"/>
                <w:b w:val="0"/>
              </w:rPr>
              <w:t xml:space="preserve">Website for further information:  </w:t>
            </w:r>
          </w:p>
        </w:tc>
        <w:tc>
          <w:tcPr>
            <w:tcW w:w="5573" w:type="dxa"/>
            <w:vAlign w:val="bottom"/>
          </w:tcPr>
          <w:p w14:paraId="29CB0B3C" w14:textId="77777777" w:rsidR="00505176" w:rsidRPr="00FC4FEB" w:rsidRDefault="00B146C8" w:rsidP="009F4B29">
            <w:pPr>
              <w:spacing w:line="0" w:lineRule="atLeast"/>
              <w:jc w:val="both"/>
              <w:rPr>
                <w:rFonts w:eastAsia="Times New Roman"/>
                <w:sz w:val="20"/>
              </w:rPr>
            </w:pPr>
            <w:hyperlink r:id="rId12" w:history="1">
              <w:r w:rsidR="0072305D" w:rsidRPr="00FC4FEB">
                <w:rPr>
                  <w:rStyle w:val="Hyperlink"/>
                  <w:rFonts w:eastAsia="Times New Roman"/>
                  <w:color w:val="auto"/>
                  <w:sz w:val="20"/>
                </w:rPr>
                <w:t>http://tariffcommission.gov.ph/</w:t>
              </w:r>
            </w:hyperlink>
          </w:p>
          <w:p w14:paraId="6D7AB6DD" w14:textId="77777777" w:rsidR="00505176" w:rsidRPr="00FC4FEB" w:rsidRDefault="00B146C8" w:rsidP="009F4B29">
            <w:pPr>
              <w:spacing w:line="0" w:lineRule="atLeast"/>
              <w:jc w:val="both"/>
              <w:rPr>
                <w:rFonts w:eastAsia="Times New Roman"/>
                <w:sz w:val="20"/>
              </w:rPr>
            </w:pPr>
            <w:hyperlink r:id="rId13" w:history="1">
              <w:r w:rsidR="002376CB" w:rsidRPr="00FC4FEB">
                <w:rPr>
                  <w:rStyle w:val="Hyperlink"/>
                  <w:rFonts w:eastAsia="Times New Roman"/>
                  <w:color w:val="auto"/>
                  <w:sz w:val="20"/>
                </w:rPr>
                <w:t>http://tariffcommission.gov.ph/finder/</w:t>
              </w:r>
            </w:hyperlink>
          </w:p>
        </w:tc>
        <w:tc>
          <w:tcPr>
            <w:tcW w:w="5471" w:type="dxa"/>
          </w:tcPr>
          <w:p w14:paraId="17C633B9" w14:textId="77777777" w:rsidR="00505176" w:rsidRPr="00FC4FEB" w:rsidRDefault="00505176" w:rsidP="009F4B29">
            <w:pPr>
              <w:jc w:val="both"/>
              <w:rPr>
                <w:i/>
                <w:sz w:val="20"/>
              </w:rPr>
            </w:pPr>
          </w:p>
        </w:tc>
      </w:tr>
      <w:tr w:rsidR="00FC4FEB" w:rsidRPr="00FC4FEB" w14:paraId="42DF9A8A" w14:textId="77777777" w:rsidTr="00810BCF">
        <w:trPr>
          <w:trHeight w:val="230"/>
        </w:trPr>
        <w:tc>
          <w:tcPr>
            <w:tcW w:w="3520" w:type="dxa"/>
          </w:tcPr>
          <w:p w14:paraId="073CAE8E" w14:textId="77777777" w:rsidR="00505176" w:rsidRPr="00FC4FEB" w:rsidRDefault="001F1D74" w:rsidP="009F4B29">
            <w:pPr>
              <w:pStyle w:val="Heading9"/>
              <w:jc w:val="both"/>
              <w:rPr>
                <w:rFonts w:ascii="Times New Roman" w:hAnsi="Times New Roman"/>
              </w:rPr>
            </w:pPr>
            <w:r w:rsidRPr="00FC4FEB">
              <w:rPr>
                <w:rFonts w:ascii="Times New Roman" w:hAnsi="Times New Roman"/>
                <w:b w:val="0"/>
              </w:rPr>
              <w:lastRenderedPageBreak/>
              <w:t>Contact point for further details:</w:t>
            </w:r>
          </w:p>
        </w:tc>
        <w:tc>
          <w:tcPr>
            <w:tcW w:w="5573" w:type="dxa"/>
            <w:vAlign w:val="bottom"/>
          </w:tcPr>
          <w:p w14:paraId="3E013E1A" w14:textId="77777777" w:rsidR="00505176" w:rsidRPr="00FC4FEB" w:rsidRDefault="0072305D" w:rsidP="009F4B29">
            <w:pPr>
              <w:spacing w:line="0" w:lineRule="atLeast"/>
              <w:jc w:val="both"/>
              <w:rPr>
                <w:sz w:val="20"/>
              </w:rPr>
            </w:pPr>
            <w:r w:rsidRPr="00FC4FEB">
              <w:rPr>
                <w:sz w:val="20"/>
              </w:rPr>
              <w:t xml:space="preserve">Chairperson </w:t>
            </w:r>
            <w:proofErr w:type="spellStart"/>
            <w:r w:rsidRPr="00FC4FEB">
              <w:rPr>
                <w:sz w:val="20"/>
              </w:rPr>
              <w:t>Marilou</w:t>
            </w:r>
            <w:proofErr w:type="spellEnd"/>
            <w:r w:rsidRPr="00FC4FEB">
              <w:rPr>
                <w:sz w:val="20"/>
              </w:rPr>
              <w:t xml:space="preserve"> P. Mendoza</w:t>
            </w:r>
          </w:p>
          <w:p w14:paraId="50B82DFB" w14:textId="77777777" w:rsidR="00505176" w:rsidRPr="00FC4FEB" w:rsidRDefault="0072305D" w:rsidP="009F4B29">
            <w:pPr>
              <w:spacing w:line="0" w:lineRule="atLeast"/>
              <w:jc w:val="both"/>
              <w:rPr>
                <w:sz w:val="20"/>
              </w:rPr>
            </w:pPr>
            <w:r w:rsidRPr="00FC4FEB">
              <w:rPr>
                <w:sz w:val="20"/>
              </w:rPr>
              <w:t>Tariff Commission</w:t>
            </w:r>
          </w:p>
          <w:p w14:paraId="44C8DB69" w14:textId="77777777" w:rsidR="00505176" w:rsidRPr="00FC4FEB" w:rsidRDefault="0072305D" w:rsidP="009F4B29">
            <w:pPr>
              <w:spacing w:line="0" w:lineRule="atLeast"/>
              <w:jc w:val="both"/>
              <w:rPr>
                <w:sz w:val="20"/>
              </w:rPr>
            </w:pPr>
            <w:r w:rsidRPr="00FC4FEB">
              <w:rPr>
                <w:sz w:val="20"/>
              </w:rPr>
              <w:t xml:space="preserve">5th Floor Philippine Heart </w:t>
            </w:r>
            <w:proofErr w:type="spellStart"/>
            <w:r w:rsidRPr="00FC4FEB">
              <w:rPr>
                <w:sz w:val="20"/>
              </w:rPr>
              <w:t>Center</w:t>
            </w:r>
            <w:proofErr w:type="spellEnd"/>
            <w:r w:rsidRPr="00FC4FEB">
              <w:rPr>
                <w:sz w:val="20"/>
              </w:rPr>
              <w:t xml:space="preserve">, Medical Arts Building, East Avenue, </w:t>
            </w:r>
            <w:proofErr w:type="spellStart"/>
            <w:r w:rsidRPr="00FC4FEB">
              <w:rPr>
                <w:sz w:val="20"/>
              </w:rPr>
              <w:t>Diliman</w:t>
            </w:r>
            <w:proofErr w:type="spellEnd"/>
            <w:r w:rsidRPr="00FC4FEB">
              <w:rPr>
                <w:sz w:val="20"/>
              </w:rPr>
              <w:t>, Quezon City</w:t>
            </w:r>
          </w:p>
          <w:p w14:paraId="68963431" w14:textId="77777777" w:rsidR="00505176" w:rsidRPr="00FC4FEB" w:rsidRDefault="0072305D" w:rsidP="009F4B29">
            <w:pPr>
              <w:spacing w:line="0" w:lineRule="atLeast"/>
              <w:jc w:val="both"/>
              <w:rPr>
                <w:sz w:val="20"/>
              </w:rPr>
            </w:pPr>
            <w:r w:rsidRPr="00FC4FEB">
              <w:rPr>
                <w:sz w:val="20"/>
              </w:rPr>
              <w:t>info@tariffcommissio</w:t>
            </w:r>
            <w:r w:rsidR="00564E7B" w:rsidRPr="00FC4FEB">
              <w:rPr>
                <w:sz w:val="20"/>
              </w:rPr>
              <w:t>n</w:t>
            </w:r>
            <w:r w:rsidRPr="00FC4FEB">
              <w:rPr>
                <w:sz w:val="20"/>
              </w:rPr>
              <w:t>.gov.ph</w:t>
            </w:r>
          </w:p>
        </w:tc>
        <w:tc>
          <w:tcPr>
            <w:tcW w:w="5471" w:type="dxa"/>
          </w:tcPr>
          <w:p w14:paraId="655D2EF7" w14:textId="77777777" w:rsidR="00505176" w:rsidRPr="00FC4FEB" w:rsidRDefault="00505176" w:rsidP="009F4B29">
            <w:pPr>
              <w:jc w:val="both"/>
              <w:rPr>
                <w:i/>
                <w:sz w:val="20"/>
              </w:rPr>
            </w:pPr>
          </w:p>
        </w:tc>
      </w:tr>
      <w:tr w:rsidR="00FC4FEB" w:rsidRPr="00FC4FEB" w14:paraId="033C29A2" w14:textId="77777777" w:rsidTr="00810BCF">
        <w:trPr>
          <w:trHeight w:val="627"/>
        </w:trPr>
        <w:tc>
          <w:tcPr>
            <w:tcW w:w="3520" w:type="dxa"/>
            <w:shd w:val="clear" w:color="auto" w:fill="auto"/>
          </w:tcPr>
          <w:p w14:paraId="17386DB0" w14:textId="77777777" w:rsidR="00505176" w:rsidRPr="00FC4FEB" w:rsidRDefault="001F1D74" w:rsidP="009F4B29">
            <w:pPr>
              <w:jc w:val="both"/>
              <w:rPr>
                <w:b/>
                <w:i/>
                <w:sz w:val="20"/>
              </w:rPr>
            </w:pPr>
            <w:bookmarkStart w:id="5" w:name="Row2"/>
            <w:r w:rsidRPr="00FC4FEB">
              <w:rPr>
                <w:b/>
                <w:i/>
                <w:sz w:val="20"/>
              </w:rPr>
              <w:t>Non-Tariff Measures</w:t>
            </w:r>
            <w:bookmarkEnd w:id="5"/>
          </w:p>
          <w:p w14:paraId="6AD4AC56" w14:textId="77777777" w:rsidR="00505176" w:rsidRPr="00FC4FEB" w:rsidRDefault="00505176" w:rsidP="009F4B29">
            <w:pPr>
              <w:jc w:val="both"/>
              <w:rPr>
                <w:b/>
                <w:i/>
                <w:sz w:val="20"/>
              </w:rPr>
            </w:pPr>
          </w:p>
          <w:p w14:paraId="7BE4504E" w14:textId="77777777" w:rsidR="001F1D74" w:rsidRPr="00FC4FEB" w:rsidRDefault="001F1D74" w:rsidP="000A5925">
            <w:pPr>
              <w:pStyle w:val="ListParagraph"/>
              <w:tabs>
                <w:tab w:val="left" w:pos="567"/>
              </w:tabs>
              <w:ind w:left="0"/>
              <w:contextualSpacing/>
              <w:jc w:val="both"/>
              <w:rPr>
                <w:rFonts w:ascii="Times New Roman" w:hAnsi="Times New Roman"/>
                <w:b/>
                <w:i/>
                <w:sz w:val="20"/>
                <w:szCs w:val="20"/>
              </w:rPr>
            </w:pPr>
            <w:r w:rsidRPr="00FC4FEB">
              <w:rPr>
                <w:rFonts w:ascii="Times New Roman" w:hAnsi="Times New Roman"/>
                <w:i/>
                <w:sz w:val="20"/>
                <w:szCs w:val="20"/>
                <w:lang w:val="en-NZ"/>
              </w:rPr>
              <w:t>Non-tariff measures include but are not restricted to quantitative import/export restrictions/prohibitions, import/export levies, minimum import prices, discretionary import/export licensing, voluntary export restraints and export subsidies</w:t>
            </w:r>
          </w:p>
        </w:tc>
        <w:tc>
          <w:tcPr>
            <w:tcW w:w="5573" w:type="dxa"/>
            <w:shd w:val="clear" w:color="auto" w:fill="auto"/>
          </w:tcPr>
          <w:p w14:paraId="00E9C44A" w14:textId="77777777" w:rsidR="00465765" w:rsidRPr="00FC4FEB" w:rsidRDefault="00465765" w:rsidP="00993030">
            <w:pPr>
              <w:jc w:val="both"/>
              <w:rPr>
                <w:sz w:val="20"/>
              </w:rPr>
            </w:pPr>
            <w:bookmarkStart w:id="6" w:name="Cell03"/>
            <w:bookmarkEnd w:id="6"/>
            <w:r w:rsidRPr="00FC4FEB">
              <w:rPr>
                <w:sz w:val="20"/>
              </w:rPr>
              <w:t xml:space="preserve">The </w:t>
            </w:r>
            <w:proofErr w:type="spellStart"/>
            <w:r w:rsidRPr="00FC4FEB">
              <w:rPr>
                <w:sz w:val="20"/>
              </w:rPr>
              <w:t>tariffication</w:t>
            </w:r>
            <w:proofErr w:type="spellEnd"/>
            <w:r w:rsidRPr="00FC4FEB">
              <w:rPr>
                <w:sz w:val="20"/>
              </w:rPr>
              <w:t xml:space="preserve"> of the rice quantitative restriction is currently undergoing the legislative process at the Philippine Congress. </w:t>
            </w:r>
          </w:p>
        </w:tc>
        <w:tc>
          <w:tcPr>
            <w:tcW w:w="5471" w:type="dxa"/>
            <w:shd w:val="clear" w:color="auto" w:fill="auto"/>
          </w:tcPr>
          <w:p w14:paraId="231BF96A" w14:textId="77777777" w:rsidR="00505176" w:rsidRPr="00FC4FEB" w:rsidRDefault="00505176" w:rsidP="009F4B29">
            <w:pPr>
              <w:jc w:val="both"/>
              <w:rPr>
                <w:sz w:val="20"/>
              </w:rPr>
            </w:pPr>
            <w:bookmarkStart w:id="7" w:name="Cell04"/>
            <w:bookmarkEnd w:id="7"/>
          </w:p>
        </w:tc>
      </w:tr>
      <w:tr w:rsidR="00FC4FEB" w:rsidRPr="00FC4FEB" w14:paraId="3EEFDFD7" w14:textId="77777777" w:rsidTr="00810BCF">
        <w:trPr>
          <w:trHeight w:val="200"/>
        </w:trPr>
        <w:tc>
          <w:tcPr>
            <w:tcW w:w="3520" w:type="dxa"/>
            <w:shd w:val="clear" w:color="auto" w:fill="auto"/>
          </w:tcPr>
          <w:p w14:paraId="3615EDD4" w14:textId="77777777" w:rsidR="005F2AC8" w:rsidRPr="00FC4FEB" w:rsidRDefault="005F2AC8" w:rsidP="005F2AC8">
            <w:pPr>
              <w:pStyle w:val="Heading9"/>
              <w:jc w:val="both"/>
              <w:rPr>
                <w:rFonts w:ascii="Times New Roman" w:hAnsi="Times New Roman"/>
                <w:b w:val="0"/>
              </w:rPr>
            </w:pPr>
            <w:r w:rsidRPr="00FC4FEB">
              <w:rPr>
                <w:rFonts w:ascii="Times New Roman" w:hAnsi="Times New Roman"/>
                <w:b w:val="0"/>
              </w:rPr>
              <w:t xml:space="preserve">Website for further information:  </w:t>
            </w:r>
          </w:p>
        </w:tc>
        <w:tc>
          <w:tcPr>
            <w:tcW w:w="5573" w:type="dxa"/>
            <w:shd w:val="clear" w:color="auto" w:fill="auto"/>
          </w:tcPr>
          <w:p w14:paraId="0251A22B" w14:textId="77777777" w:rsidR="005F2AC8" w:rsidRPr="00FC4FEB" w:rsidRDefault="005F2AC8" w:rsidP="005F2AC8">
            <w:pPr>
              <w:pStyle w:val="Heading9"/>
              <w:jc w:val="both"/>
              <w:rPr>
                <w:rFonts w:ascii="Times New Roman" w:hAnsi="Times New Roman"/>
                <w:b w:val="0"/>
                <w:i w:val="0"/>
              </w:rPr>
            </w:pPr>
            <w:r w:rsidRPr="00FC4FEB">
              <w:rPr>
                <w:rFonts w:ascii="Times New Roman" w:hAnsi="Times New Roman"/>
                <w:b w:val="0"/>
                <w:i w:val="0"/>
              </w:rPr>
              <w:t>http://www.da.gov.ph/</w:t>
            </w:r>
          </w:p>
        </w:tc>
        <w:tc>
          <w:tcPr>
            <w:tcW w:w="5471" w:type="dxa"/>
            <w:shd w:val="clear" w:color="auto" w:fill="auto"/>
          </w:tcPr>
          <w:p w14:paraId="10C70AA4" w14:textId="77777777" w:rsidR="005F2AC8" w:rsidRPr="00FC4FEB" w:rsidRDefault="005F2AC8" w:rsidP="005F2AC8">
            <w:pPr>
              <w:pStyle w:val="Heading9"/>
              <w:jc w:val="both"/>
              <w:rPr>
                <w:rFonts w:ascii="Times New Roman" w:hAnsi="Times New Roman"/>
                <w:b w:val="0"/>
              </w:rPr>
            </w:pPr>
          </w:p>
        </w:tc>
      </w:tr>
      <w:tr w:rsidR="00FC4FEB" w:rsidRPr="00FC4FEB" w14:paraId="3455F4D8" w14:textId="77777777" w:rsidTr="00810BCF">
        <w:trPr>
          <w:trHeight w:val="245"/>
        </w:trPr>
        <w:tc>
          <w:tcPr>
            <w:tcW w:w="3520" w:type="dxa"/>
            <w:shd w:val="clear" w:color="auto" w:fill="auto"/>
          </w:tcPr>
          <w:p w14:paraId="136B16AC" w14:textId="77777777" w:rsidR="005F2AC8" w:rsidRPr="00FC4FEB" w:rsidRDefault="005F2AC8" w:rsidP="005F2AC8">
            <w:pPr>
              <w:pStyle w:val="Heading9"/>
              <w:jc w:val="both"/>
              <w:rPr>
                <w:rFonts w:ascii="Times New Roman" w:hAnsi="Times New Roman"/>
                <w:b w:val="0"/>
              </w:rPr>
            </w:pPr>
            <w:r w:rsidRPr="00FC4FEB">
              <w:rPr>
                <w:rFonts w:ascii="Times New Roman" w:hAnsi="Times New Roman"/>
                <w:b w:val="0"/>
              </w:rPr>
              <w:t xml:space="preserve">Contact point for further details: </w:t>
            </w:r>
          </w:p>
        </w:tc>
        <w:tc>
          <w:tcPr>
            <w:tcW w:w="5573" w:type="dxa"/>
            <w:shd w:val="clear" w:color="auto" w:fill="auto"/>
          </w:tcPr>
          <w:p w14:paraId="0E51769D"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 xml:space="preserve">Atty. Vero </w:t>
            </w:r>
            <w:proofErr w:type="spellStart"/>
            <w:r w:rsidRPr="00FC4FEB">
              <w:rPr>
                <w:sz w:val="20"/>
                <w:szCs w:val="20"/>
              </w:rPr>
              <w:t>Librojo</w:t>
            </w:r>
            <w:proofErr w:type="spellEnd"/>
          </w:p>
          <w:p w14:paraId="66402C5D"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MAV Secretariat</w:t>
            </w:r>
          </w:p>
          <w:p w14:paraId="46F2E8FD"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Email: vero.librojo@yahoo.com</w:t>
            </w:r>
          </w:p>
          <w:p w14:paraId="6FE11FC1" w14:textId="77777777" w:rsidR="005F2AC8" w:rsidRPr="00FC4FEB" w:rsidRDefault="005F2AC8" w:rsidP="005F2AC8">
            <w:pPr>
              <w:pStyle w:val="NormalWeb"/>
              <w:spacing w:before="0" w:beforeAutospacing="0" w:after="0" w:afterAutospacing="0"/>
              <w:jc w:val="both"/>
              <w:rPr>
                <w:sz w:val="20"/>
                <w:szCs w:val="20"/>
              </w:rPr>
            </w:pPr>
          </w:p>
          <w:p w14:paraId="2A8C13E5"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Director Noel A. Padre</w:t>
            </w:r>
          </w:p>
          <w:p w14:paraId="5AE3F781"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Philippine National SPS Enquiry Point, Policy Research Service</w:t>
            </w:r>
          </w:p>
          <w:p w14:paraId="769AFC5B"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Email: prs@da.gov.ph</w:t>
            </w:r>
          </w:p>
          <w:p w14:paraId="32D02FDD" w14:textId="77777777" w:rsidR="005F2AC8" w:rsidRPr="00FC4FEB" w:rsidRDefault="005F2AC8" w:rsidP="005F2AC8">
            <w:pPr>
              <w:pStyle w:val="NormalWeb"/>
              <w:spacing w:before="0" w:beforeAutospacing="0" w:after="0" w:afterAutospacing="0"/>
              <w:jc w:val="both"/>
              <w:rPr>
                <w:sz w:val="20"/>
                <w:szCs w:val="20"/>
              </w:rPr>
            </w:pPr>
          </w:p>
          <w:p w14:paraId="77C8EE0D"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Department of Agriculture</w:t>
            </w:r>
          </w:p>
          <w:p w14:paraId="72614E79"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 xml:space="preserve">Quezon Memorial Cir Elliptical Rd Underpass, </w:t>
            </w:r>
            <w:proofErr w:type="spellStart"/>
            <w:r w:rsidRPr="00FC4FEB">
              <w:rPr>
                <w:sz w:val="20"/>
                <w:szCs w:val="20"/>
              </w:rPr>
              <w:t>Diliman</w:t>
            </w:r>
            <w:proofErr w:type="spellEnd"/>
            <w:r w:rsidRPr="00FC4FEB">
              <w:rPr>
                <w:sz w:val="20"/>
                <w:szCs w:val="20"/>
              </w:rPr>
              <w:t>, Quezon City, Metro Manila</w:t>
            </w:r>
          </w:p>
          <w:p w14:paraId="1A0C6B93"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Tel No.: (632) 273.2474, (632) 928.8756 to 65</w:t>
            </w:r>
          </w:p>
          <w:p w14:paraId="6987A45E" w14:textId="77777777" w:rsidR="005F2AC8" w:rsidRPr="00FC4FEB" w:rsidRDefault="005F2AC8" w:rsidP="005F2AC8">
            <w:pPr>
              <w:pStyle w:val="NormalWeb"/>
              <w:spacing w:before="0" w:beforeAutospacing="0" w:after="0" w:afterAutospacing="0"/>
              <w:jc w:val="both"/>
              <w:rPr>
                <w:sz w:val="20"/>
                <w:szCs w:val="20"/>
              </w:rPr>
            </w:pPr>
          </w:p>
          <w:p w14:paraId="13B98C4F"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 xml:space="preserve">Administrator </w:t>
            </w:r>
            <w:proofErr w:type="spellStart"/>
            <w:r w:rsidRPr="00FC4FEB">
              <w:rPr>
                <w:sz w:val="20"/>
                <w:szCs w:val="20"/>
              </w:rPr>
              <w:t>Hermenegildo</w:t>
            </w:r>
            <w:proofErr w:type="spellEnd"/>
            <w:r w:rsidRPr="00FC4FEB">
              <w:rPr>
                <w:sz w:val="20"/>
                <w:szCs w:val="20"/>
              </w:rPr>
              <w:t xml:space="preserve"> R. </w:t>
            </w:r>
            <w:proofErr w:type="spellStart"/>
            <w:r w:rsidRPr="00FC4FEB">
              <w:rPr>
                <w:sz w:val="20"/>
                <w:szCs w:val="20"/>
              </w:rPr>
              <w:t>Serafica</w:t>
            </w:r>
            <w:proofErr w:type="spellEnd"/>
          </w:p>
          <w:p w14:paraId="5048643A"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Sugar Regulatory Administration</w:t>
            </w:r>
          </w:p>
          <w:p w14:paraId="0439E163"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 xml:space="preserve">Philippine Sugar Center Building, North Ave, </w:t>
            </w:r>
            <w:proofErr w:type="spellStart"/>
            <w:r w:rsidRPr="00FC4FEB">
              <w:rPr>
                <w:sz w:val="20"/>
                <w:szCs w:val="20"/>
              </w:rPr>
              <w:t>Diliman</w:t>
            </w:r>
            <w:proofErr w:type="spellEnd"/>
            <w:r w:rsidRPr="00FC4FEB">
              <w:rPr>
                <w:sz w:val="20"/>
                <w:szCs w:val="20"/>
              </w:rPr>
              <w:t>, Quezon City, 1100 Metro Manila</w:t>
            </w:r>
          </w:p>
          <w:p w14:paraId="3B883E0D" w14:textId="77777777" w:rsidR="005F2AC8" w:rsidRPr="00FC4FEB" w:rsidRDefault="005F2AC8" w:rsidP="005F2AC8">
            <w:pPr>
              <w:pStyle w:val="NormalWeb"/>
              <w:spacing w:before="0" w:beforeAutospacing="0" w:after="0" w:afterAutospacing="0"/>
              <w:jc w:val="both"/>
              <w:rPr>
                <w:sz w:val="20"/>
                <w:szCs w:val="20"/>
              </w:rPr>
            </w:pPr>
            <w:r w:rsidRPr="00FC4FEB">
              <w:rPr>
                <w:sz w:val="20"/>
                <w:szCs w:val="20"/>
              </w:rPr>
              <w:t>E-mail:  srahead@sra.gov.ph</w:t>
            </w:r>
          </w:p>
        </w:tc>
        <w:tc>
          <w:tcPr>
            <w:tcW w:w="5471" w:type="dxa"/>
            <w:shd w:val="clear" w:color="auto" w:fill="auto"/>
          </w:tcPr>
          <w:p w14:paraId="74C13D34" w14:textId="77777777" w:rsidR="005F2AC8" w:rsidRPr="00FC4FEB" w:rsidRDefault="005F2AC8" w:rsidP="005F2AC8">
            <w:pPr>
              <w:pStyle w:val="Heading9"/>
              <w:jc w:val="both"/>
              <w:rPr>
                <w:rFonts w:ascii="Times New Roman" w:hAnsi="Times New Roman"/>
                <w:b w:val="0"/>
              </w:rPr>
            </w:pPr>
          </w:p>
        </w:tc>
      </w:tr>
      <w:tr w:rsidR="00FC4FEB" w:rsidRPr="00FC4FEB" w14:paraId="1F5494ED" w14:textId="77777777" w:rsidTr="00810BCF">
        <w:tc>
          <w:tcPr>
            <w:tcW w:w="3520" w:type="dxa"/>
          </w:tcPr>
          <w:p w14:paraId="609ECD2C" w14:textId="77777777" w:rsidR="00505176" w:rsidRPr="00FC4FEB" w:rsidRDefault="001F1D74" w:rsidP="009F4B29">
            <w:pPr>
              <w:jc w:val="both"/>
              <w:rPr>
                <w:b/>
                <w:i/>
                <w:sz w:val="20"/>
              </w:rPr>
            </w:pPr>
            <w:bookmarkStart w:id="8" w:name="Row3"/>
            <w:r w:rsidRPr="00FC4FEB">
              <w:rPr>
                <w:b/>
                <w:i/>
                <w:sz w:val="20"/>
              </w:rPr>
              <w:t>Services</w:t>
            </w:r>
            <w:bookmarkEnd w:id="8"/>
          </w:p>
          <w:p w14:paraId="4731EE7F" w14:textId="77777777" w:rsidR="00505176" w:rsidRPr="00FC4FEB" w:rsidRDefault="00505176" w:rsidP="009F4B29">
            <w:pPr>
              <w:jc w:val="both"/>
              <w:rPr>
                <w:b/>
                <w:i/>
                <w:sz w:val="20"/>
              </w:rPr>
            </w:pPr>
          </w:p>
          <w:p w14:paraId="61974BFC" w14:textId="77777777" w:rsidR="00505176" w:rsidRPr="00FC4FEB" w:rsidRDefault="001F1D74" w:rsidP="009F4B29">
            <w:pPr>
              <w:jc w:val="both"/>
              <w:rPr>
                <w:b/>
                <w:i/>
                <w:sz w:val="20"/>
              </w:rPr>
            </w:pPr>
            <w:r w:rsidRPr="00FC4FEB">
              <w:rPr>
                <w:b/>
                <w:i/>
                <w:sz w:val="20"/>
              </w:rPr>
              <w:t>Financial</w:t>
            </w:r>
          </w:p>
        </w:tc>
        <w:tc>
          <w:tcPr>
            <w:tcW w:w="5573" w:type="dxa"/>
          </w:tcPr>
          <w:p w14:paraId="044AF830" w14:textId="77777777" w:rsidR="008A67EC" w:rsidRPr="00FC4FEB" w:rsidRDefault="008243C0">
            <w:pPr>
              <w:spacing w:line="224" w:lineRule="atLeast"/>
              <w:jc w:val="both"/>
              <w:rPr>
                <w:sz w:val="20"/>
              </w:rPr>
            </w:pPr>
            <w:bookmarkStart w:id="9" w:name="Cell05"/>
            <w:bookmarkEnd w:id="9"/>
            <w:r w:rsidRPr="00FC4FEB">
              <w:rPr>
                <w:sz w:val="20"/>
              </w:rPr>
              <w:t xml:space="preserve">Issued </w:t>
            </w:r>
            <w:r w:rsidR="008A67EC" w:rsidRPr="00FC4FEB">
              <w:rPr>
                <w:sz w:val="20"/>
              </w:rPr>
              <w:t xml:space="preserve">R.A. No. 10641 or “An Act Allowing the Full Entry of Foreign Banks in the Philippines” </w:t>
            </w:r>
            <w:r w:rsidR="00BB230B" w:rsidRPr="00FC4FEB">
              <w:rPr>
                <w:sz w:val="20"/>
              </w:rPr>
              <w:t xml:space="preserve">in 2014 </w:t>
            </w:r>
            <w:r w:rsidRPr="00FC4FEB">
              <w:rPr>
                <w:sz w:val="20"/>
              </w:rPr>
              <w:t xml:space="preserve">to </w:t>
            </w:r>
            <w:r w:rsidR="008A67EC" w:rsidRPr="00FC4FEB">
              <w:rPr>
                <w:sz w:val="20"/>
              </w:rPr>
              <w:t xml:space="preserve">fully liberalize the entry of foreign banks in the Philippine banking system. The Law increased to 100 percent (from 60 percent) the foreign bank ownership in the voting stock of an existing domestic bank or a new banking subsidiary. </w:t>
            </w:r>
            <w:r w:rsidR="006748F9" w:rsidRPr="00FC4FEB">
              <w:rPr>
                <w:sz w:val="20"/>
              </w:rPr>
              <w:t xml:space="preserve">Through the issuance of </w:t>
            </w:r>
            <w:r w:rsidR="008A67EC" w:rsidRPr="00FC4FEB">
              <w:rPr>
                <w:sz w:val="20"/>
              </w:rPr>
              <w:t>Circular No. 858</w:t>
            </w:r>
            <w:r w:rsidR="006748F9" w:rsidRPr="00FC4FEB">
              <w:rPr>
                <w:sz w:val="20"/>
              </w:rPr>
              <w:t xml:space="preserve">, the law is </w:t>
            </w:r>
            <w:proofErr w:type="gramStart"/>
            <w:r w:rsidR="006748F9" w:rsidRPr="00FC4FEB">
              <w:rPr>
                <w:sz w:val="20"/>
              </w:rPr>
              <w:t>implemented  which</w:t>
            </w:r>
            <w:proofErr w:type="gramEnd"/>
            <w:r w:rsidR="006748F9" w:rsidRPr="00FC4FEB">
              <w:rPr>
                <w:sz w:val="20"/>
              </w:rPr>
              <w:t xml:space="preserve"> </w:t>
            </w:r>
            <w:r w:rsidR="008A67EC" w:rsidRPr="00FC4FEB">
              <w:rPr>
                <w:sz w:val="20"/>
              </w:rPr>
              <w:t>streamline</w:t>
            </w:r>
            <w:r w:rsidR="006748F9" w:rsidRPr="00FC4FEB">
              <w:rPr>
                <w:sz w:val="20"/>
              </w:rPr>
              <w:t>s</w:t>
            </w:r>
            <w:r w:rsidR="008A67EC" w:rsidRPr="00FC4FEB">
              <w:rPr>
                <w:sz w:val="20"/>
              </w:rPr>
              <w:t xml:space="preserve"> the chartering process for the entry of foreign banks </w:t>
            </w:r>
            <w:r w:rsidR="000C2465" w:rsidRPr="00FC4FEB">
              <w:rPr>
                <w:sz w:val="20"/>
              </w:rPr>
              <w:t xml:space="preserve">into the Philippines </w:t>
            </w:r>
            <w:r w:rsidR="008A67EC" w:rsidRPr="00FC4FEB">
              <w:rPr>
                <w:sz w:val="20"/>
              </w:rPr>
              <w:t xml:space="preserve">and the </w:t>
            </w:r>
            <w:r w:rsidR="000C2465" w:rsidRPr="00FC4FEB">
              <w:rPr>
                <w:sz w:val="20"/>
              </w:rPr>
              <w:t xml:space="preserve">processing of </w:t>
            </w:r>
            <w:r w:rsidR="008A67EC" w:rsidRPr="00FC4FEB">
              <w:rPr>
                <w:sz w:val="20"/>
              </w:rPr>
              <w:t>related documentary requirements.</w:t>
            </w:r>
            <w:r w:rsidR="000C2465" w:rsidRPr="00FC4FEB">
              <w:rPr>
                <w:sz w:val="20"/>
              </w:rPr>
              <w:t xml:space="preserve"> As of 10 November 2017, the </w:t>
            </w:r>
            <w:r w:rsidR="000C2465" w:rsidRPr="00FC4FEB">
              <w:rPr>
                <w:sz w:val="20"/>
              </w:rPr>
              <w:lastRenderedPageBreak/>
              <w:t>BSP Monetary Board a</w:t>
            </w:r>
            <w:r w:rsidR="008853CF" w:rsidRPr="00FC4FEB">
              <w:rPr>
                <w:sz w:val="20"/>
              </w:rPr>
              <w:t>pproved 11 foreign bank applications pursuant to R.A. No. 10641</w:t>
            </w:r>
            <w:r w:rsidR="000C2465" w:rsidRPr="00FC4FEB">
              <w:rPr>
                <w:sz w:val="20"/>
              </w:rPr>
              <w:t>.</w:t>
            </w:r>
            <w:r w:rsidR="008853CF" w:rsidRPr="00FC4FEB">
              <w:rPr>
                <w:sz w:val="20"/>
              </w:rPr>
              <w:t xml:space="preserve"> </w:t>
            </w:r>
          </w:p>
          <w:p w14:paraId="4B2003A8" w14:textId="77777777" w:rsidR="008A67EC" w:rsidRPr="00FC4FEB" w:rsidRDefault="008A67EC">
            <w:pPr>
              <w:spacing w:line="224" w:lineRule="atLeast"/>
              <w:jc w:val="both"/>
              <w:rPr>
                <w:sz w:val="20"/>
              </w:rPr>
            </w:pPr>
          </w:p>
          <w:p w14:paraId="2639230B" w14:textId="77777777" w:rsidR="008A67EC" w:rsidRPr="00FC4FEB" w:rsidRDefault="008A67EC">
            <w:pPr>
              <w:spacing w:line="224" w:lineRule="atLeast"/>
              <w:jc w:val="both"/>
              <w:rPr>
                <w:sz w:val="20"/>
              </w:rPr>
            </w:pPr>
            <w:r w:rsidRPr="00FC4FEB">
              <w:rPr>
                <w:sz w:val="20"/>
              </w:rPr>
              <w:t>On foreign exchange (FX) policy, BSP issued the following circulars to further amend the Manual of Regulations on Foreign Exchange</w:t>
            </w:r>
            <w:r w:rsidR="000C2465" w:rsidRPr="00FC4FEB">
              <w:rPr>
                <w:sz w:val="20"/>
              </w:rPr>
              <w:t xml:space="preserve"> to further facilitate access by the general public to the banking system to cover legitimate transactions</w:t>
            </w:r>
            <w:r w:rsidRPr="00FC4FEB">
              <w:rPr>
                <w:sz w:val="20"/>
              </w:rPr>
              <w:t>:</w:t>
            </w:r>
          </w:p>
          <w:p w14:paraId="79021CC2" w14:textId="77777777" w:rsidR="008A67EC" w:rsidRPr="00FC4FEB" w:rsidRDefault="008A67EC">
            <w:pPr>
              <w:pStyle w:val="ListParagraph"/>
              <w:numPr>
                <w:ilvl w:val="0"/>
                <w:numId w:val="49"/>
              </w:numPr>
              <w:spacing w:line="224" w:lineRule="atLeast"/>
              <w:jc w:val="both"/>
              <w:rPr>
                <w:rFonts w:ascii="Times New Roman" w:hAnsi="Times New Roman"/>
                <w:sz w:val="20"/>
                <w:szCs w:val="20"/>
              </w:rPr>
            </w:pPr>
            <w:r w:rsidRPr="00FC4FEB">
              <w:rPr>
                <w:rFonts w:ascii="Times New Roman" w:hAnsi="Times New Roman"/>
                <w:sz w:val="20"/>
                <w:szCs w:val="20"/>
              </w:rPr>
              <w:t>Circular No. 918 dated 2 August 2016</w:t>
            </w:r>
          </w:p>
          <w:p w14:paraId="61162E6B" w14:textId="77777777" w:rsidR="008A67EC" w:rsidRPr="00FC4FEB" w:rsidRDefault="008A67EC">
            <w:pPr>
              <w:pStyle w:val="ListParagraph"/>
              <w:numPr>
                <w:ilvl w:val="0"/>
                <w:numId w:val="49"/>
              </w:numPr>
              <w:spacing w:line="224" w:lineRule="atLeast"/>
              <w:jc w:val="both"/>
              <w:rPr>
                <w:rFonts w:ascii="Times New Roman" w:hAnsi="Times New Roman"/>
                <w:sz w:val="20"/>
                <w:szCs w:val="20"/>
              </w:rPr>
            </w:pPr>
            <w:r w:rsidRPr="00FC4FEB">
              <w:rPr>
                <w:rFonts w:ascii="Times New Roman" w:hAnsi="Times New Roman"/>
                <w:sz w:val="20"/>
                <w:szCs w:val="20"/>
              </w:rPr>
              <w:t>Circular No. 922 dated 23 August 2016</w:t>
            </w:r>
          </w:p>
          <w:p w14:paraId="2AFFA719" w14:textId="77777777" w:rsidR="008A67EC" w:rsidRPr="00FC4FEB" w:rsidRDefault="008A67EC">
            <w:pPr>
              <w:pStyle w:val="ListParagraph"/>
              <w:numPr>
                <w:ilvl w:val="0"/>
                <w:numId w:val="49"/>
              </w:numPr>
              <w:spacing w:line="224" w:lineRule="atLeast"/>
              <w:jc w:val="both"/>
              <w:rPr>
                <w:rFonts w:ascii="Times New Roman" w:hAnsi="Times New Roman"/>
                <w:sz w:val="20"/>
                <w:szCs w:val="20"/>
              </w:rPr>
            </w:pPr>
            <w:r w:rsidRPr="00FC4FEB">
              <w:rPr>
                <w:rFonts w:ascii="Times New Roman" w:hAnsi="Times New Roman"/>
                <w:sz w:val="20"/>
                <w:szCs w:val="20"/>
              </w:rPr>
              <w:t>Circular No. 925 dated 13 September 2016</w:t>
            </w:r>
          </w:p>
          <w:p w14:paraId="2CBA36F6" w14:textId="77777777" w:rsidR="008A67EC" w:rsidRPr="00FC4FEB" w:rsidRDefault="008A67EC">
            <w:pPr>
              <w:pStyle w:val="ListParagraph"/>
              <w:numPr>
                <w:ilvl w:val="0"/>
                <w:numId w:val="49"/>
              </w:numPr>
              <w:spacing w:line="224" w:lineRule="atLeast"/>
              <w:jc w:val="both"/>
              <w:rPr>
                <w:rFonts w:ascii="Times New Roman" w:hAnsi="Times New Roman"/>
                <w:sz w:val="20"/>
                <w:szCs w:val="20"/>
              </w:rPr>
            </w:pPr>
            <w:r w:rsidRPr="00FC4FEB">
              <w:rPr>
                <w:rFonts w:ascii="Times New Roman" w:hAnsi="Times New Roman"/>
                <w:sz w:val="20"/>
                <w:szCs w:val="20"/>
              </w:rPr>
              <w:t>Circular No. 937 dated 27 December 2016</w:t>
            </w:r>
          </w:p>
          <w:p w14:paraId="7EDB3CC7" w14:textId="77777777" w:rsidR="008A67EC" w:rsidRPr="00FC4FEB" w:rsidRDefault="008A67EC">
            <w:pPr>
              <w:spacing w:line="224" w:lineRule="exact"/>
              <w:jc w:val="both"/>
              <w:rPr>
                <w:sz w:val="20"/>
              </w:rPr>
            </w:pPr>
          </w:p>
          <w:p w14:paraId="3BB78E16" w14:textId="77777777" w:rsidR="008A67EC" w:rsidRPr="00FC4FEB" w:rsidRDefault="000C2465">
            <w:pPr>
              <w:spacing w:line="224" w:lineRule="exact"/>
              <w:jc w:val="both"/>
              <w:rPr>
                <w:sz w:val="20"/>
              </w:rPr>
            </w:pPr>
            <w:r w:rsidRPr="00FC4FEB">
              <w:rPr>
                <w:sz w:val="20"/>
              </w:rPr>
              <w:t>Relaxation of t</w:t>
            </w:r>
            <w:r w:rsidR="008A67EC" w:rsidRPr="00FC4FEB">
              <w:rPr>
                <w:sz w:val="20"/>
              </w:rPr>
              <w:t>he following liquidity metrics</w:t>
            </w:r>
            <w:r w:rsidR="005E711B" w:rsidRPr="00FC4FEB">
              <w:rPr>
                <w:sz w:val="20"/>
              </w:rPr>
              <w:t>,</w:t>
            </w:r>
            <w:r w:rsidR="008A67EC" w:rsidRPr="00FC4FEB">
              <w:rPr>
                <w:sz w:val="20"/>
              </w:rPr>
              <w:t xml:space="preserve"> applicable to Expanded/Foreign Currency Deposit Unit (E/FCDU) operations of universal and commercial banks (U/KBs)</w:t>
            </w:r>
            <w:r w:rsidR="005E711B" w:rsidRPr="00FC4FEB">
              <w:rPr>
                <w:sz w:val="20"/>
              </w:rPr>
              <w:t>,</w:t>
            </w:r>
            <w:r w:rsidR="008A67EC" w:rsidRPr="00FC4FEB">
              <w:rPr>
                <w:sz w:val="20"/>
              </w:rPr>
              <w:t xml:space="preserve"> effective 1 January 2018:</w:t>
            </w:r>
          </w:p>
          <w:p w14:paraId="0BD2BC22" w14:textId="77777777" w:rsidR="008A67EC" w:rsidRPr="00FC4FEB" w:rsidRDefault="008A67EC">
            <w:pPr>
              <w:pStyle w:val="ListParagraph"/>
              <w:numPr>
                <w:ilvl w:val="0"/>
                <w:numId w:val="50"/>
              </w:numPr>
              <w:spacing w:line="224" w:lineRule="exact"/>
              <w:ind w:left="360" w:hanging="219"/>
              <w:jc w:val="both"/>
              <w:rPr>
                <w:rFonts w:ascii="Times New Roman" w:hAnsi="Times New Roman"/>
                <w:sz w:val="20"/>
                <w:szCs w:val="20"/>
              </w:rPr>
            </w:pPr>
            <w:r w:rsidRPr="00FC4FEB">
              <w:rPr>
                <w:rFonts w:ascii="Times New Roman" w:hAnsi="Times New Roman"/>
                <w:sz w:val="20"/>
                <w:szCs w:val="20"/>
              </w:rPr>
              <w:t>Removal of the 30 percent liquid asset cover for E/FCDU liabilities; and</w:t>
            </w:r>
          </w:p>
          <w:p w14:paraId="2E882B89" w14:textId="77777777" w:rsidR="008A67EC" w:rsidRPr="00FC4FEB" w:rsidRDefault="008A67EC">
            <w:pPr>
              <w:pStyle w:val="ListParagraph"/>
              <w:numPr>
                <w:ilvl w:val="0"/>
                <w:numId w:val="50"/>
              </w:numPr>
              <w:spacing w:line="224" w:lineRule="exact"/>
              <w:ind w:left="360" w:hanging="219"/>
              <w:jc w:val="both"/>
              <w:rPr>
                <w:rFonts w:ascii="Times New Roman" w:hAnsi="Times New Roman"/>
                <w:sz w:val="20"/>
                <w:szCs w:val="20"/>
              </w:rPr>
            </w:pPr>
            <w:r w:rsidRPr="00FC4FEB">
              <w:rPr>
                <w:rFonts w:ascii="Times New Roman" w:hAnsi="Times New Roman"/>
                <w:sz w:val="20"/>
                <w:szCs w:val="20"/>
              </w:rPr>
              <w:t>Removal of the 70 percent same currency cover for E/FCDU liabilities.</w:t>
            </w:r>
          </w:p>
          <w:p w14:paraId="38FAEFAD" w14:textId="77777777" w:rsidR="005E711B" w:rsidRPr="00FC4FEB" w:rsidRDefault="005E711B">
            <w:pPr>
              <w:spacing w:line="224" w:lineRule="exact"/>
              <w:jc w:val="both"/>
              <w:rPr>
                <w:sz w:val="20"/>
              </w:rPr>
            </w:pPr>
          </w:p>
          <w:p w14:paraId="0DC98F93" w14:textId="77777777" w:rsidR="008A67EC" w:rsidRPr="00FC4FEB" w:rsidRDefault="00887FD4">
            <w:pPr>
              <w:spacing w:line="224" w:lineRule="exact"/>
              <w:jc w:val="both"/>
              <w:rPr>
                <w:sz w:val="20"/>
              </w:rPr>
            </w:pPr>
            <w:r w:rsidRPr="00FC4FEB">
              <w:rPr>
                <w:sz w:val="20"/>
              </w:rPr>
              <w:t>I</w:t>
            </w:r>
            <w:r w:rsidR="008A67EC" w:rsidRPr="00FC4FEB">
              <w:rPr>
                <w:sz w:val="20"/>
              </w:rPr>
              <w:t>ssued regulations for non-bank financial institutions (NBFIs)</w:t>
            </w:r>
            <w:r w:rsidR="007D2E6C" w:rsidRPr="00FC4FEB">
              <w:rPr>
                <w:sz w:val="20"/>
              </w:rPr>
              <w:t>, through</w:t>
            </w:r>
            <w:r w:rsidRPr="00FC4FEB">
              <w:rPr>
                <w:sz w:val="20"/>
              </w:rPr>
              <w:t xml:space="preserve"> Circular No. 942 dated 20 January 2017,</w:t>
            </w:r>
            <w:r w:rsidR="008A67EC" w:rsidRPr="00FC4FEB">
              <w:rPr>
                <w:sz w:val="20"/>
              </w:rPr>
              <w:t xml:space="preserve"> </w:t>
            </w:r>
            <w:r w:rsidR="005E711B" w:rsidRPr="00FC4FEB">
              <w:rPr>
                <w:sz w:val="20"/>
              </w:rPr>
              <w:t xml:space="preserve">to </w:t>
            </w:r>
            <w:r w:rsidR="008A67EC" w:rsidRPr="00FC4FEB">
              <w:rPr>
                <w:sz w:val="20"/>
              </w:rPr>
              <w:t>adopt a more comprehensive framework for money service businesses (MSBs) [i.e. Remittance and Transfer Companies (RTCs), Money Changers (MCs)/Foreign Exchange Dealers (FXDs)]</w:t>
            </w:r>
            <w:r w:rsidR="005E711B" w:rsidRPr="00FC4FEB">
              <w:rPr>
                <w:sz w:val="20"/>
              </w:rPr>
              <w:t xml:space="preserve"> as part of its efforts to strengthen its oversight of the parallel FX market</w:t>
            </w:r>
            <w:r w:rsidR="008A67EC" w:rsidRPr="00FC4FEB">
              <w:rPr>
                <w:sz w:val="20"/>
              </w:rPr>
              <w:t>. The framework also promotes effective compliance of MSBs with the regulations on anti-money laundering (AML), adoption of consumer protection standards, and internal central measures.</w:t>
            </w:r>
          </w:p>
          <w:p w14:paraId="0895B812" w14:textId="77777777" w:rsidR="008A67EC" w:rsidRPr="00FC4FEB" w:rsidRDefault="008A67EC">
            <w:pPr>
              <w:spacing w:line="224" w:lineRule="exact"/>
              <w:jc w:val="both"/>
              <w:rPr>
                <w:sz w:val="20"/>
              </w:rPr>
            </w:pPr>
          </w:p>
          <w:p w14:paraId="72C350D2" w14:textId="77777777" w:rsidR="008A67EC" w:rsidRPr="00FC4FEB" w:rsidRDefault="00A91598">
            <w:pPr>
              <w:spacing w:line="224" w:lineRule="exact"/>
              <w:jc w:val="both"/>
              <w:rPr>
                <w:sz w:val="20"/>
              </w:rPr>
            </w:pPr>
            <w:r w:rsidRPr="00FC4FEB">
              <w:rPr>
                <w:sz w:val="20"/>
              </w:rPr>
              <w:t>A</w:t>
            </w:r>
            <w:r w:rsidR="008A67EC" w:rsidRPr="00FC4FEB">
              <w:rPr>
                <w:sz w:val="20"/>
              </w:rPr>
              <w:t>dopting reforms to ensure that domestic regulations are aligned with the Basel III requirements such as those pertaining to minimum risk-based capital adequacy ratios, the leverage ratio framework, the Domestic Systemically Important Banks Framework, and the LCR which are intended to further strengthen the industry. The BSP also continue</w:t>
            </w:r>
            <w:r w:rsidR="00612940" w:rsidRPr="00FC4FEB">
              <w:rPr>
                <w:sz w:val="20"/>
              </w:rPr>
              <w:t>s</w:t>
            </w:r>
            <w:r w:rsidR="008A67EC" w:rsidRPr="00FC4FEB">
              <w:rPr>
                <w:sz w:val="20"/>
              </w:rPr>
              <w:t xml:space="preserve"> to align prudential regulations with international best practice taking into account domestic creditors. Areas that were enhanced include corporate governance standards, risk management guidelines on liquidity, IT, cyber security, related party transactions, operational risk, compliance and internal control as well as measures to combat anti-money laundering.</w:t>
            </w:r>
          </w:p>
        </w:tc>
        <w:tc>
          <w:tcPr>
            <w:tcW w:w="5471" w:type="dxa"/>
          </w:tcPr>
          <w:p w14:paraId="4A0070AA" w14:textId="77777777" w:rsidR="005B4A60" w:rsidRPr="00FC4FEB" w:rsidRDefault="00505176">
            <w:pPr>
              <w:jc w:val="both"/>
              <w:rPr>
                <w:sz w:val="20"/>
              </w:rPr>
            </w:pPr>
            <w:bookmarkStart w:id="10" w:name="Cell06"/>
            <w:bookmarkEnd w:id="10"/>
            <w:r w:rsidRPr="00FC4FEB">
              <w:rPr>
                <w:sz w:val="20"/>
              </w:rPr>
              <w:lastRenderedPageBreak/>
              <w:t xml:space="preserve">Continue to review the FX regulatory framework to keep this attuned with domestic and global conditions and responsive to the needs of the country’s expanding and dynamic economy. The current policy thrust remains geared towards liberalization of FX regulations, facilitation of access to the banking system’s FX resources for legitimate transactions, and further streamlining of procedures and documentary requirements. The thrust to liberalize is calibrated and adopted in phases considering prevailing conditions and ensuring that measures are in place to allow the </w:t>
            </w:r>
            <w:r w:rsidRPr="00FC4FEB">
              <w:rPr>
                <w:sz w:val="20"/>
              </w:rPr>
              <w:lastRenderedPageBreak/>
              <w:t>BSP to strengthen its ability to capture relevant data for policy study and report generation.</w:t>
            </w:r>
          </w:p>
          <w:p w14:paraId="0DEF04A6" w14:textId="77777777" w:rsidR="008A67EC" w:rsidRPr="00FC4FEB" w:rsidRDefault="008A67EC" w:rsidP="000A5925">
            <w:pPr>
              <w:jc w:val="both"/>
              <w:rPr>
                <w:sz w:val="20"/>
              </w:rPr>
            </w:pPr>
          </w:p>
          <w:p w14:paraId="25921472" w14:textId="77777777" w:rsidR="008A67EC" w:rsidRPr="00FC4FEB" w:rsidRDefault="00505176" w:rsidP="00993030">
            <w:pPr>
              <w:jc w:val="both"/>
              <w:rPr>
                <w:sz w:val="20"/>
              </w:rPr>
            </w:pPr>
            <w:r w:rsidRPr="00FC4FEB">
              <w:rPr>
                <w:sz w:val="20"/>
              </w:rPr>
              <w:t>Pursue reforms to deepen the FX market, increase its efficiency and reduce the cost of doing business. Capital reforms shall also be actively pursued in collaboration with relevant stakeholders to provide the investing public with a wider array of financial products/services as well as increased transparency and governance of financial markets.</w:t>
            </w:r>
          </w:p>
          <w:p w14:paraId="70271F78" w14:textId="77777777" w:rsidR="008A67EC" w:rsidRPr="00FC4FEB" w:rsidRDefault="008A67EC" w:rsidP="000A5925">
            <w:pPr>
              <w:jc w:val="both"/>
              <w:rPr>
                <w:sz w:val="20"/>
              </w:rPr>
            </w:pPr>
          </w:p>
          <w:p w14:paraId="27EF386E" w14:textId="77777777" w:rsidR="008A67EC" w:rsidRPr="00FC4FEB" w:rsidRDefault="00F10986" w:rsidP="00993030">
            <w:pPr>
              <w:jc w:val="both"/>
              <w:rPr>
                <w:sz w:val="20"/>
              </w:rPr>
            </w:pPr>
            <w:r w:rsidRPr="00FC4FEB">
              <w:rPr>
                <w:sz w:val="20"/>
              </w:rPr>
              <w:t>E</w:t>
            </w:r>
            <w:r w:rsidR="00505176" w:rsidRPr="00FC4FEB">
              <w:rPr>
                <w:sz w:val="20"/>
              </w:rPr>
              <w:t xml:space="preserve">xpand </w:t>
            </w:r>
            <w:r w:rsidRPr="00FC4FEB">
              <w:rPr>
                <w:sz w:val="20"/>
              </w:rPr>
              <w:t xml:space="preserve">the Basel III Liquidity Coverage Ratio (LCR) framework </w:t>
            </w:r>
            <w:r w:rsidR="00505176" w:rsidRPr="00FC4FEB">
              <w:rPr>
                <w:sz w:val="20"/>
              </w:rPr>
              <w:t>to include not only U/KBs but also their subsidiary banks/quasi-banks (QBs) in line with consolidated supervision of the BSP. The complementary Net Stable Funding Ratio (NSFR) standard will be adopted by the BSP. All these are intended to strengthen banks’ capability to manage liquidity risk.</w:t>
            </w:r>
          </w:p>
        </w:tc>
      </w:tr>
      <w:tr w:rsidR="00FC4FEB" w:rsidRPr="00FC4FEB" w14:paraId="581AA2DA" w14:textId="77777777" w:rsidTr="00810BCF">
        <w:tc>
          <w:tcPr>
            <w:tcW w:w="3520" w:type="dxa"/>
          </w:tcPr>
          <w:p w14:paraId="0AE20E16" w14:textId="77777777" w:rsidR="00505176" w:rsidRPr="00FC4FEB" w:rsidRDefault="001F1D74" w:rsidP="00CD4015">
            <w:pPr>
              <w:jc w:val="both"/>
              <w:rPr>
                <w:i/>
                <w:sz w:val="20"/>
              </w:rPr>
            </w:pPr>
            <w:r w:rsidRPr="00FC4FEB">
              <w:rPr>
                <w:i/>
                <w:sz w:val="20"/>
              </w:rPr>
              <w:lastRenderedPageBreak/>
              <w:t xml:space="preserve">Website for further information:  </w:t>
            </w:r>
          </w:p>
        </w:tc>
        <w:tc>
          <w:tcPr>
            <w:tcW w:w="5573" w:type="dxa"/>
            <w:vAlign w:val="bottom"/>
          </w:tcPr>
          <w:p w14:paraId="1D430822" w14:textId="77777777" w:rsidR="00505176" w:rsidRPr="00FC4FEB" w:rsidRDefault="00C64FEE" w:rsidP="00CD4015">
            <w:pPr>
              <w:spacing w:line="224" w:lineRule="exact"/>
              <w:ind w:left="80"/>
              <w:jc w:val="both"/>
              <w:rPr>
                <w:sz w:val="20"/>
              </w:rPr>
            </w:pPr>
            <w:r w:rsidRPr="00FC4FEB">
              <w:rPr>
                <w:sz w:val="20"/>
              </w:rPr>
              <w:t>www.bsp.gov.ph</w:t>
            </w:r>
          </w:p>
          <w:p w14:paraId="2F9BC549" w14:textId="77777777" w:rsidR="00505176" w:rsidRPr="00FC4FEB" w:rsidRDefault="00505176" w:rsidP="00CD4015">
            <w:pPr>
              <w:spacing w:line="224" w:lineRule="exact"/>
              <w:ind w:left="80"/>
              <w:jc w:val="both"/>
              <w:rPr>
                <w:i/>
                <w:sz w:val="20"/>
              </w:rPr>
            </w:pPr>
            <w:r w:rsidRPr="00FC4FEB">
              <w:rPr>
                <w:i/>
                <w:sz w:val="20"/>
              </w:rPr>
              <w:lastRenderedPageBreak/>
              <w:t>(Refer to BSP Circular Nos 858, 918, 922, 925, 937, 942, 742, 794, 815, 818, 781, 856, 881, 943, 905, 786, 826, 904, 981 and BSP Memorandum No M 2017-023)</w:t>
            </w:r>
          </w:p>
        </w:tc>
        <w:tc>
          <w:tcPr>
            <w:tcW w:w="5471" w:type="dxa"/>
          </w:tcPr>
          <w:p w14:paraId="05EC5F8F" w14:textId="77777777" w:rsidR="00505176" w:rsidRPr="00FC4FEB" w:rsidRDefault="00505176" w:rsidP="00CD4015">
            <w:pPr>
              <w:jc w:val="both"/>
              <w:rPr>
                <w:i/>
                <w:sz w:val="20"/>
              </w:rPr>
            </w:pPr>
          </w:p>
        </w:tc>
      </w:tr>
      <w:tr w:rsidR="00FC4FEB" w:rsidRPr="00FC4FEB" w14:paraId="1AD0A0A8" w14:textId="77777777" w:rsidTr="00810BCF">
        <w:tc>
          <w:tcPr>
            <w:tcW w:w="3520" w:type="dxa"/>
          </w:tcPr>
          <w:p w14:paraId="10E65DFD" w14:textId="77777777" w:rsidR="00505176" w:rsidRPr="00FC4FEB" w:rsidRDefault="001F1D74" w:rsidP="00CD4015">
            <w:pPr>
              <w:jc w:val="both"/>
              <w:rPr>
                <w:i/>
                <w:sz w:val="20"/>
              </w:rPr>
            </w:pPr>
            <w:r w:rsidRPr="00FC4FEB">
              <w:rPr>
                <w:i/>
                <w:sz w:val="20"/>
              </w:rPr>
              <w:lastRenderedPageBreak/>
              <w:t>Contact point for further details:</w:t>
            </w:r>
          </w:p>
        </w:tc>
        <w:tc>
          <w:tcPr>
            <w:tcW w:w="5573" w:type="dxa"/>
            <w:vAlign w:val="bottom"/>
          </w:tcPr>
          <w:p w14:paraId="70B06FC0" w14:textId="77777777" w:rsidR="00505176" w:rsidRPr="00FC4FEB" w:rsidRDefault="00C64FEE" w:rsidP="00CD4015">
            <w:pPr>
              <w:spacing w:line="0" w:lineRule="atLeast"/>
              <w:jc w:val="both"/>
              <w:rPr>
                <w:sz w:val="20"/>
              </w:rPr>
            </w:pPr>
            <w:r w:rsidRPr="00FC4FEB">
              <w:rPr>
                <w:sz w:val="20"/>
              </w:rPr>
              <w:t>The Director</w:t>
            </w:r>
          </w:p>
          <w:p w14:paraId="3BBC0579" w14:textId="77777777" w:rsidR="00505176" w:rsidRPr="00FC4FEB" w:rsidRDefault="00C64FEE" w:rsidP="00CD4015">
            <w:pPr>
              <w:spacing w:line="0" w:lineRule="atLeast"/>
              <w:jc w:val="both"/>
              <w:rPr>
                <w:sz w:val="20"/>
              </w:rPr>
            </w:pPr>
            <w:r w:rsidRPr="00FC4FEB">
              <w:rPr>
                <w:sz w:val="20"/>
              </w:rPr>
              <w:t>International Operations Department</w:t>
            </w:r>
          </w:p>
          <w:p w14:paraId="372ABC03" w14:textId="77777777" w:rsidR="00505176" w:rsidRPr="00FC4FEB" w:rsidRDefault="00C64FEE" w:rsidP="00CD4015">
            <w:pPr>
              <w:spacing w:line="0" w:lineRule="atLeast"/>
              <w:jc w:val="both"/>
              <w:rPr>
                <w:sz w:val="20"/>
              </w:rPr>
            </w:pPr>
            <w:proofErr w:type="spellStart"/>
            <w:r w:rsidRPr="00FC4FEB">
              <w:rPr>
                <w:sz w:val="20"/>
              </w:rPr>
              <w:t>Bangko</w:t>
            </w:r>
            <w:proofErr w:type="spellEnd"/>
            <w:r w:rsidRPr="00FC4FEB">
              <w:rPr>
                <w:sz w:val="20"/>
              </w:rPr>
              <w:t xml:space="preserve"> </w:t>
            </w:r>
            <w:proofErr w:type="spellStart"/>
            <w:r w:rsidRPr="00FC4FEB">
              <w:rPr>
                <w:sz w:val="20"/>
              </w:rPr>
              <w:t>Sentral</w:t>
            </w:r>
            <w:proofErr w:type="spellEnd"/>
            <w:r w:rsidRPr="00FC4FEB">
              <w:rPr>
                <w:sz w:val="20"/>
              </w:rPr>
              <w:t xml:space="preserve"> ng </w:t>
            </w:r>
            <w:proofErr w:type="spellStart"/>
            <w:r w:rsidRPr="00FC4FEB">
              <w:rPr>
                <w:sz w:val="20"/>
              </w:rPr>
              <w:t>Pilipinas</w:t>
            </w:r>
            <w:proofErr w:type="spellEnd"/>
          </w:p>
          <w:p w14:paraId="7D7B9CBF" w14:textId="77777777" w:rsidR="00505176" w:rsidRPr="00FC4FEB" w:rsidRDefault="00C64FEE" w:rsidP="00CD4015">
            <w:pPr>
              <w:spacing w:line="0" w:lineRule="atLeast"/>
              <w:jc w:val="both"/>
              <w:rPr>
                <w:sz w:val="20"/>
              </w:rPr>
            </w:pPr>
            <w:r w:rsidRPr="00FC4FEB">
              <w:rPr>
                <w:sz w:val="20"/>
              </w:rPr>
              <w:t>pangeles@bsp.gov.ph</w:t>
            </w:r>
          </w:p>
          <w:p w14:paraId="0A394D8A" w14:textId="77777777" w:rsidR="00505176" w:rsidRPr="00FC4FEB" w:rsidRDefault="00505176" w:rsidP="00CD4015">
            <w:pPr>
              <w:spacing w:line="0" w:lineRule="atLeast"/>
              <w:jc w:val="both"/>
              <w:rPr>
                <w:sz w:val="20"/>
              </w:rPr>
            </w:pPr>
          </w:p>
          <w:p w14:paraId="53606E3D" w14:textId="77777777" w:rsidR="00505176" w:rsidRPr="00FC4FEB" w:rsidRDefault="00C64FEE" w:rsidP="00CD4015">
            <w:pPr>
              <w:spacing w:line="0" w:lineRule="atLeast"/>
              <w:jc w:val="both"/>
              <w:rPr>
                <w:sz w:val="20"/>
              </w:rPr>
            </w:pPr>
            <w:r w:rsidRPr="00FC4FEB">
              <w:rPr>
                <w:sz w:val="20"/>
              </w:rPr>
              <w:t>The Managing Director</w:t>
            </w:r>
          </w:p>
          <w:p w14:paraId="35720276" w14:textId="77777777" w:rsidR="00505176" w:rsidRPr="00FC4FEB" w:rsidRDefault="00C64FEE" w:rsidP="00CD4015">
            <w:pPr>
              <w:spacing w:line="0" w:lineRule="atLeast"/>
              <w:jc w:val="both"/>
              <w:rPr>
                <w:sz w:val="20"/>
              </w:rPr>
            </w:pPr>
            <w:r w:rsidRPr="00FC4FEB">
              <w:rPr>
                <w:sz w:val="20"/>
              </w:rPr>
              <w:t>Financial Supervision and Consumer Protection Sub-Sector</w:t>
            </w:r>
          </w:p>
          <w:p w14:paraId="71D53CB6" w14:textId="77777777" w:rsidR="00505176" w:rsidRPr="00FC4FEB" w:rsidRDefault="00C64FEE" w:rsidP="00CD4015">
            <w:pPr>
              <w:spacing w:line="0" w:lineRule="atLeast"/>
              <w:jc w:val="both"/>
              <w:rPr>
                <w:sz w:val="20"/>
              </w:rPr>
            </w:pPr>
            <w:proofErr w:type="spellStart"/>
            <w:r w:rsidRPr="00FC4FEB">
              <w:rPr>
                <w:sz w:val="20"/>
              </w:rPr>
              <w:t>Bangko</w:t>
            </w:r>
            <w:proofErr w:type="spellEnd"/>
            <w:r w:rsidRPr="00FC4FEB">
              <w:rPr>
                <w:sz w:val="20"/>
              </w:rPr>
              <w:t xml:space="preserve"> </w:t>
            </w:r>
            <w:proofErr w:type="spellStart"/>
            <w:r w:rsidRPr="00FC4FEB">
              <w:rPr>
                <w:sz w:val="20"/>
              </w:rPr>
              <w:t>Sentral</w:t>
            </w:r>
            <w:proofErr w:type="spellEnd"/>
            <w:r w:rsidRPr="00FC4FEB">
              <w:rPr>
                <w:sz w:val="20"/>
              </w:rPr>
              <w:t xml:space="preserve"> ng </w:t>
            </w:r>
            <w:proofErr w:type="spellStart"/>
            <w:r w:rsidRPr="00FC4FEB">
              <w:rPr>
                <w:sz w:val="20"/>
              </w:rPr>
              <w:t>Pilipinas</w:t>
            </w:r>
            <w:proofErr w:type="spellEnd"/>
          </w:p>
          <w:p w14:paraId="1C86F5C6" w14:textId="77777777" w:rsidR="00505176" w:rsidRPr="00FC4FEB" w:rsidRDefault="00C64FEE" w:rsidP="00CD4015">
            <w:pPr>
              <w:spacing w:line="0" w:lineRule="atLeast"/>
              <w:jc w:val="both"/>
              <w:rPr>
                <w:sz w:val="20"/>
              </w:rPr>
            </w:pPr>
            <w:r w:rsidRPr="00FC4FEB">
              <w:rPr>
                <w:sz w:val="20"/>
              </w:rPr>
              <w:t>ljavier@bsp.gov.ph</w:t>
            </w:r>
          </w:p>
        </w:tc>
        <w:tc>
          <w:tcPr>
            <w:tcW w:w="5471" w:type="dxa"/>
          </w:tcPr>
          <w:p w14:paraId="008F76E3" w14:textId="77777777" w:rsidR="00505176" w:rsidRPr="00FC4FEB" w:rsidRDefault="00505176" w:rsidP="00CD4015">
            <w:pPr>
              <w:jc w:val="both"/>
              <w:rPr>
                <w:i/>
                <w:sz w:val="20"/>
              </w:rPr>
            </w:pPr>
          </w:p>
        </w:tc>
      </w:tr>
      <w:tr w:rsidR="00FC4FEB" w:rsidRPr="00FC4FEB" w14:paraId="509423B5" w14:textId="77777777" w:rsidTr="00810BCF">
        <w:tc>
          <w:tcPr>
            <w:tcW w:w="3520" w:type="dxa"/>
          </w:tcPr>
          <w:p w14:paraId="50B01DBB" w14:textId="77777777" w:rsidR="00505176" w:rsidRPr="00FC4FEB" w:rsidRDefault="001F1D74" w:rsidP="00CD4015">
            <w:pPr>
              <w:spacing w:line="224" w:lineRule="exact"/>
              <w:ind w:left="100"/>
              <w:jc w:val="both"/>
              <w:rPr>
                <w:b/>
                <w:i/>
                <w:sz w:val="20"/>
              </w:rPr>
            </w:pPr>
            <w:r w:rsidRPr="00FC4FEB">
              <w:rPr>
                <w:b/>
                <w:i/>
                <w:sz w:val="20"/>
              </w:rPr>
              <w:t>Services</w:t>
            </w:r>
          </w:p>
          <w:p w14:paraId="0F7165F7" w14:textId="77777777" w:rsidR="00505176" w:rsidRPr="00FC4FEB" w:rsidRDefault="00505176" w:rsidP="00CD4015">
            <w:pPr>
              <w:spacing w:line="224" w:lineRule="exact"/>
              <w:ind w:left="100"/>
              <w:jc w:val="both"/>
              <w:rPr>
                <w:b/>
                <w:i/>
                <w:sz w:val="20"/>
              </w:rPr>
            </w:pPr>
          </w:p>
          <w:p w14:paraId="0C617A6B" w14:textId="77777777" w:rsidR="00505176" w:rsidRPr="00FC4FEB" w:rsidRDefault="001F1D74" w:rsidP="00CD4015">
            <w:pPr>
              <w:spacing w:line="224" w:lineRule="exact"/>
              <w:ind w:left="100"/>
              <w:jc w:val="both"/>
              <w:rPr>
                <w:i/>
                <w:sz w:val="20"/>
              </w:rPr>
            </w:pPr>
            <w:r w:rsidRPr="00FC4FEB">
              <w:rPr>
                <w:b/>
                <w:i/>
                <w:sz w:val="20"/>
              </w:rPr>
              <w:t xml:space="preserve">Energy </w:t>
            </w:r>
          </w:p>
        </w:tc>
        <w:tc>
          <w:tcPr>
            <w:tcW w:w="5573" w:type="dxa"/>
          </w:tcPr>
          <w:p w14:paraId="12A20B81" w14:textId="77777777" w:rsidR="00505176" w:rsidRPr="00FC4FEB" w:rsidRDefault="00505176" w:rsidP="00CD4015">
            <w:pPr>
              <w:jc w:val="both"/>
              <w:rPr>
                <w:sz w:val="20"/>
                <w:u w:val="single"/>
              </w:rPr>
            </w:pPr>
            <w:r w:rsidRPr="00FC4FEB">
              <w:rPr>
                <w:sz w:val="20"/>
                <w:u w:val="single"/>
              </w:rPr>
              <w:t>Renewable Energy</w:t>
            </w:r>
          </w:p>
          <w:p w14:paraId="6DA002EA" w14:textId="77777777" w:rsidR="00505176" w:rsidRPr="00FC4FEB" w:rsidRDefault="008853CF" w:rsidP="00CD4015">
            <w:pPr>
              <w:jc w:val="both"/>
              <w:rPr>
                <w:sz w:val="20"/>
              </w:rPr>
            </w:pPr>
            <w:r w:rsidRPr="00FC4FEB">
              <w:rPr>
                <w:sz w:val="20"/>
              </w:rPr>
              <w:t>C</w:t>
            </w:r>
            <w:r w:rsidR="00882469" w:rsidRPr="00FC4FEB">
              <w:rPr>
                <w:sz w:val="20"/>
              </w:rPr>
              <w:t>ommenced the crafting of the draft Internal Guidelines for the operationalization of the Renewable Energy Tru</w:t>
            </w:r>
            <w:r w:rsidRPr="00FC4FEB">
              <w:rPr>
                <w:sz w:val="20"/>
              </w:rPr>
              <w:t>s</w:t>
            </w:r>
            <w:r w:rsidR="00882469" w:rsidRPr="00FC4FEB">
              <w:rPr>
                <w:sz w:val="20"/>
              </w:rPr>
              <w:t>t Fund (RETF) through the conduct of an initial meeting with partner agencies, e.g. Philippine Charity Sweepstakes Office (PCSO), Philippine National Oil Company (PNOC), etc.</w:t>
            </w:r>
          </w:p>
        </w:tc>
        <w:tc>
          <w:tcPr>
            <w:tcW w:w="5471" w:type="dxa"/>
          </w:tcPr>
          <w:p w14:paraId="2E9CCDE9" w14:textId="77777777" w:rsidR="001F1D74" w:rsidRPr="00FC4FEB" w:rsidRDefault="001F1D74" w:rsidP="000A5925">
            <w:pPr>
              <w:jc w:val="both"/>
              <w:rPr>
                <w:i/>
                <w:sz w:val="20"/>
              </w:rPr>
            </w:pPr>
          </w:p>
        </w:tc>
      </w:tr>
      <w:tr w:rsidR="00FC4FEB" w:rsidRPr="00FC4FEB" w14:paraId="21247A75" w14:textId="77777777" w:rsidTr="00810BCF">
        <w:tc>
          <w:tcPr>
            <w:tcW w:w="3520" w:type="dxa"/>
          </w:tcPr>
          <w:p w14:paraId="5E2ABC35" w14:textId="77777777" w:rsidR="00505176" w:rsidRPr="00FC4FEB" w:rsidRDefault="00505176" w:rsidP="00CD4015">
            <w:pPr>
              <w:spacing w:line="224" w:lineRule="exact"/>
              <w:ind w:left="100"/>
              <w:jc w:val="both"/>
              <w:rPr>
                <w:b/>
                <w:i/>
                <w:sz w:val="20"/>
              </w:rPr>
            </w:pPr>
          </w:p>
        </w:tc>
        <w:tc>
          <w:tcPr>
            <w:tcW w:w="5573" w:type="dxa"/>
          </w:tcPr>
          <w:p w14:paraId="288314D9" w14:textId="77777777" w:rsidR="00505176" w:rsidRPr="00FC4FEB" w:rsidRDefault="00505176" w:rsidP="00CD4015">
            <w:pPr>
              <w:jc w:val="both"/>
              <w:rPr>
                <w:sz w:val="20"/>
                <w:u w:val="single"/>
              </w:rPr>
            </w:pPr>
            <w:r w:rsidRPr="00FC4FEB">
              <w:rPr>
                <w:sz w:val="20"/>
                <w:u w:val="single"/>
              </w:rPr>
              <w:t>Power and Electrification</w:t>
            </w:r>
          </w:p>
          <w:p w14:paraId="47C38945" w14:textId="77777777" w:rsidR="00505176" w:rsidRPr="00FC4FEB" w:rsidRDefault="00882469" w:rsidP="00CD4015">
            <w:pPr>
              <w:jc w:val="both"/>
              <w:rPr>
                <w:sz w:val="20"/>
              </w:rPr>
            </w:pPr>
            <w:r w:rsidRPr="00FC4FEB">
              <w:rPr>
                <w:sz w:val="20"/>
              </w:rPr>
              <w:t>Wholesale Electricity Spot Market in Mindanao</w:t>
            </w:r>
          </w:p>
          <w:p w14:paraId="3375FE00" w14:textId="77777777" w:rsidR="00505176" w:rsidRPr="00FC4FEB" w:rsidRDefault="008853CF" w:rsidP="00CD4015">
            <w:pPr>
              <w:jc w:val="both"/>
              <w:rPr>
                <w:sz w:val="20"/>
              </w:rPr>
            </w:pPr>
            <w:r w:rsidRPr="00FC4FEB">
              <w:rPr>
                <w:sz w:val="20"/>
              </w:rPr>
              <w:t>I</w:t>
            </w:r>
            <w:r w:rsidR="00505176" w:rsidRPr="00FC4FEB">
              <w:rPr>
                <w:sz w:val="20"/>
              </w:rPr>
              <w:t>ssued Department Circular No. DC2017-05-0009 “Declaring the Launch of the Wholesale Electricity Spot Market (WESM) in Mindanao and Providing for Transition Guidelines”</w:t>
            </w:r>
            <w:r w:rsidR="00A435AB" w:rsidRPr="00FC4FEB">
              <w:rPr>
                <w:sz w:val="20"/>
              </w:rPr>
              <w:t>.</w:t>
            </w:r>
            <w:r w:rsidR="007122D7" w:rsidRPr="00FC4FEB">
              <w:rPr>
                <w:sz w:val="20"/>
              </w:rPr>
              <w:t xml:space="preserve"> The WESM in Mindanao was launched 26 June 2017. Among others, it aims to enable the registration of WESM </w:t>
            </w:r>
            <w:proofErr w:type="spellStart"/>
            <w:r w:rsidR="007122D7" w:rsidRPr="00FC4FEB">
              <w:rPr>
                <w:sz w:val="20"/>
              </w:rPr>
              <w:t>participantsand</w:t>
            </w:r>
            <w:proofErr w:type="spellEnd"/>
            <w:r w:rsidR="007122D7" w:rsidRPr="00FC4FEB">
              <w:rPr>
                <w:sz w:val="20"/>
              </w:rPr>
              <w:t xml:space="preserve"> will terminate the Interim Mindanao Electricity Market (IMEM). </w:t>
            </w:r>
          </w:p>
          <w:p w14:paraId="509E08FC" w14:textId="77777777" w:rsidR="00505176" w:rsidRPr="00FC4FEB" w:rsidRDefault="00505176" w:rsidP="00CD4015">
            <w:pPr>
              <w:jc w:val="both"/>
              <w:rPr>
                <w:sz w:val="20"/>
              </w:rPr>
            </w:pPr>
          </w:p>
          <w:p w14:paraId="59CB9438" w14:textId="77777777" w:rsidR="00505176" w:rsidRPr="00FC4FEB" w:rsidRDefault="00C94831" w:rsidP="00CD4015">
            <w:pPr>
              <w:jc w:val="both"/>
              <w:rPr>
                <w:sz w:val="20"/>
                <w:u w:val="single"/>
              </w:rPr>
            </w:pPr>
            <w:r w:rsidRPr="00FC4FEB">
              <w:rPr>
                <w:sz w:val="20"/>
                <w:u w:val="single"/>
              </w:rPr>
              <w:t>Philippine WESM</w:t>
            </w:r>
          </w:p>
          <w:p w14:paraId="72021F07" w14:textId="77777777" w:rsidR="00505176" w:rsidRPr="00FC4FEB" w:rsidRDefault="00982CA1" w:rsidP="00CD4015">
            <w:pPr>
              <w:jc w:val="both"/>
              <w:rPr>
                <w:sz w:val="20"/>
              </w:rPr>
            </w:pPr>
            <w:r w:rsidRPr="00FC4FEB">
              <w:rPr>
                <w:sz w:val="20"/>
              </w:rPr>
              <w:t>C</w:t>
            </w:r>
            <w:r w:rsidR="00505176" w:rsidRPr="00FC4FEB">
              <w:rPr>
                <w:sz w:val="20"/>
              </w:rPr>
              <w:t xml:space="preserve">onducted a study entitled as “Power Wrangler Study” to focus on the development of the Philippine WESM Mitigating </w:t>
            </w:r>
            <w:proofErr w:type="spellStart"/>
            <w:r w:rsidR="00505176" w:rsidRPr="00FC4FEB">
              <w:rPr>
                <w:sz w:val="20"/>
              </w:rPr>
              <w:t>Measures</w:t>
            </w:r>
            <w:r w:rsidRPr="00FC4FEB">
              <w:rPr>
                <w:sz w:val="20"/>
              </w:rPr>
              <w:t>.</w:t>
            </w:r>
            <w:r w:rsidR="00505176" w:rsidRPr="00FC4FEB">
              <w:rPr>
                <w:sz w:val="20"/>
              </w:rPr>
              <w:t>WESM</w:t>
            </w:r>
            <w:proofErr w:type="spellEnd"/>
            <w:r w:rsidR="00505176" w:rsidRPr="00FC4FEB">
              <w:rPr>
                <w:sz w:val="20"/>
              </w:rPr>
              <w:t xml:space="preserve"> Mitigating Measures likewise follows Joint Resolution No. 3 s. 2016 where</w:t>
            </w:r>
            <w:r w:rsidR="000A59D3" w:rsidRPr="00FC4FEB">
              <w:rPr>
                <w:sz w:val="20"/>
              </w:rPr>
              <w:t xml:space="preserve"> the</w:t>
            </w:r>
            <w:r w:rsidR="00505176" w:rsidRPr="00FC4FEB">
              <w:rPr>
                <w:sz w:val="20"/>
              </w:rPr>
              <w:t xml:space="preserve"> Offer Price Cap level is set to remain at </w:t>
            </w:r>
            <w:proofErr w:type="spellStart"/>
            <w:r w:rsidR="00505176" w:rsidRPr="00FC4FEB">
              <w:rPr>
                <w:sz w:val="20"/>
              </w:rPr>
              <w:t>Php</w:t>
            </w:r>
            <w:proofErr w:type="spellEnd"/>
            <w:r w:rsidR="00505176" w:rsidRPr="00FC4FEB">
              <w:rPr>
                <w:sz w:val="20"/>
              </w:rPr>
              <w:t xml:space="preserve"> 32,000/MWh</w:t>
            </w:r>
            <w:r w:rsidR="000A59D3" w:rsidRPr="00FC4FEB">
              <w:rPr>
                <w:sz w:val="20"/>
              </w:rPr>
              <w:t>,</w:t>
            </w:r>
            <w:r w:rsidR="00505176" w:rsidRPr="00FC4FEB">
              <w:rPr>
                <w:sz w:val="20"/>
              </w:rPr>
              <w:t xml:space="preserve"> using the supply-side approach as basis in setting the cap and an Offer Price Floor to be set at negative </w:t>
            </w:r>
            <w:proofErr w:type="spellStart"/>
            <w:r w:rsidR="00505176" w:rsidRPr="00FC4FEB">
              <w:rPr>
                <w:sz w:val="20"/>
              </w:rPr>
              <w:t>Php</w:t>
            </w:r>
            <w:proofErr w:type="spellEnd"/>
            <w:r w:rsidR="00505176" w:rsidRPr="00FC4FEB">
              <w:rPr>
                <w:sz w:val="20"/>
              </w:rPr>
              <w:t xml:space="preserve"> 10,000/MWh. The review of the cost assumptions is to be undertaken yearly while review of overall methodology is to be carried out every five (5) years.</w:t>
            </w:r>
          </w:p>
          <w:p w14:paraId="566D44F4" w14:textId="77777777" w:rsidR="00505176" w:rsidRPr="00FC4FEB" w:rsidRDefault="00505176" w:rsidP="00CD4015">
            <w:pPr>
              <w:jc w:val="both"/>
              <w:rPr>
                <w:sz w:val="20"/>
              </w:rPr>
            </w:pPr>
          </w:p>
          <w:p w14:paraId="38FB36C2" w14:textId="77777777" w:rsidR="00505176" w:rsidRPr="00FC4FEB" w:rsidRDefault="003A39C9" w:rsidP="00CD4015">
            <w:pPr>
              <w:jc w:val="both"/>
              <w:rPr>
                <w:sz w:val="20"/>
                <w:u w:val="single"/>
              </w:rPr>
            </w:pPr>
            <w:r w:rsidRPr="00FC4FEB">
              <w:rPr>
                <w:sz w:val="20"/>
                <w:u w:val="single"/>
              </w:rPr>
              <w:t>Retail Competition and Open Access (RCOA)</w:t>
            </w:r>
          </w:p>
          <w:p w14:paraId="18707C75" w14:textId="77777777" w:rsidR="00505176" w:rsidRPr="00FC4FEB" w:rsidRDefault="00982CA1" w:rsidP="00CD4015">
            <w:pPr>
              <w:jc w:val="both"/>
              <w:rPr>
                <w:sz w:val="20"/>
              </w:rPr>
            </w:pPr>
            <w:r w:rsidRPr="00FC4FEB">
              <w:rPr>
                <w:sz w:val="20"/>
              </w:rPr>
              <w:t>Implementing v</w:t>
            </w:r>
            <w:r w:rsidR="00505176" w:rsidRPr="00FC4FEB">
              <w:rPr>
                <w:sz w:val="20"/>
              </w:rPr>
              <w:t>oluntary participation of contestable customers with demand of at least 1MW with corresponding Certificate of Contestability already being issue</w:t>
            </w:r>
            <w:r w:rsidRPr="00FC4FEB">
              <w:rPr>
                <w:sz w:val="20"/>
              </w:rPr>
              <w:t>d</w:t>
            </w:r>
            <w:r w:rsidR="00505176" w:rsidRPr="00FC4FEB">
              <w:rPr>
                <w:sz w:val="20"/>
              </w:rPr>
              <w:t xml:space="preserve"> by ERC.</w:t>
            </w:r>
          </w:p>
        </w:tc>
        <w:tc>
          <w:tcPr>
            <w:tcW w:w="5471" w:type="dxa"/>
          </w:tcPr>
          <w:p w14:paraId="2E634F06" w14:textId="77777777" w:rsidR="00982CA1" w:rsidRPr="00FC4FEB" w:rsidRDefault="00982CA1" w:rsidP="00E93E25">
            <w:pPr>
              <w:jc w:val="both"/>
              <w:rPr>
                <w:sz w:val="20"/>
                <w:u w:val="single"/>
              </w:rPr>
            </w:pPr>
            <w:r w:rsidRPr="00FC4FEB">
              <w:rPr>
                <w:sz w:val="20"/>
                <w:u w:val="single"/>
              </w:rPr>
              <w:t>Wholesale Electricity Spot Market in Mindanao</w:t>
            </w:r>
          </w:p>
          <w:p w14:paraId="32DB6DB3" w14:textId="77777777" w:rsidR="00E93E25" w:rsidRPr="00FC4FEB" w:rsidRDefault="00E93E25" w:rsidP="00E93E25">
            <w:pPr>
              <w:jc w:val="both"/>
              <w:rPr>
                <w:sz w:val="20"/>
              </w:rPr>
            </w:pPr>
            <w:r w:rsidRPr="00FC4FEB">
              <w:rPr>
                <w:sz w:val="20"/>
              </w:rPr>
              <w:t>The target commercial operation date of WESM in Mindanao is in June 2018.</w:t>
            </w:r>
          </w:p>
          <w:p w14:paraId="270C41AC" w14:textId="77777777" w:rsidR="00882469" w:rsidRPr="00FC4FEB" w:rsidRDefault="00882469" w:rsidP="000A5925">
            <w:pPr>
              <w:jc w:val="both"/>
              <w:rPr>
                <w:sz w:val="20"/>
              </w:rPr>
            </w:pPr>
          </w:p>
          <w:p w14:paraId="1C402E91" w14:textId="77777777" w:rsidR="00982CA1" w:rsidRPr="00FC4FEB" w:rsidRDefault="00982CA1" w:rsidP="00982CA1">
            <w:pPr>
              <w:jc w:val="both"/>
              <w:rPr>
                <w:sz w:val="20"/>
                <w:u w:val="single"/>
              </w:rPr>
            </w:pPr>
            <w:r w:rsidRPr="00FC4FEB">
              <w:rPr>
                <w:sz w:val="20"/>
                <w:u w:val="single"/>
              </w:rPr>
              <w:t>Renewable Energy Market (REM)</w:t>
            </w:r>
          </w:p>
          <w:p w14:paraId="6547244D" w14:textId="77777777" w:rsidR="00982CA1" w:rsidRPr="00FC4FEB" w:rsidRDefault="00982CA1" w:rsidP="00982CA1">
            <w:pPr>
              <w:jc w:val="both"/>
              <w:rPr>
                <w:sz w:val="20"/>
              </w:rPr>
            </w:pPr>
            <w:r w:rsidRPr="00FC4FEB">
              <w:rPr>
                <w:sz w:val="20"/>
              </w:rPr>
              <w:t>Promulgate a Department Circular to (a) provide framework for the establishment of REM and Renewable Energy Registrar (RER); and (b) Define the attributes of Renewable Energy certificate as complementary mechanism to the Renewable Portfolio Standard (RPS).</w:t>
            </w:r>
          </w:p>
          <w:p w14:paraId="75487D94" w14:textId="77777777" w:rsidR="00982CA1" w:rsidRPr="00FC4FEB" w:rsidRDefault="00982CA1" w:rsidP="00982CA1">
            <w:pPr>
              <w:jc w:val="both"/>
              <w:rPr>
                <w:sz w:val="20"/>
              </w:rPr>
            </w:pPr>
          </w:p>
          <w:p w14:paraId="79068E46" w14:textId="77777777" w:rsidR="00982CA1" w:rsidRPr="00FC4FEB" w:rsidRDefault="00982CA1" w:rsidP="00982CA1">
            <w:pPr>
              <w:jc w:val="both"/>
              <w:rPr>
                <w:sz w:val="20"/>
              </w:rPr>
            </w:pPr>
            <w:r w:rsidRPr="00FC4FEB">
              <w:rPr>
                <w:sz w:val="20"/>
              </w:rPr>
              <w:t xml:space="preserve">The </w:t>
            </w:r>
            <w:proofErr w:type="spellStart"/>
            <w:r w:rsidRPr="00FC4FEB">
              <w:rPr>
                <w:sz w:val="20"/>
              </w:rPr>
              <w:t>draftrules</w:t>
            </w:r>
            <w:proofErr w:type="spellEnd"/>
            <w:r w:rsidRPr="00FC4FEB">
              <w:rPr>
                <w:sz w:val="20"/>
              </w:rPr>
              <w:t xml:space="preserve"> and framework for the implementation of the REM is scheduled for Public Consultation in November 2017.</w:t>
            </w:r>
          </w:p>
          <w:p w14:paraId="0B8D08D9" w14:textId="77777777" w:rsidR="00982CA1" w:rsidRPr="00FC4FEB" w:rsidRDefault="00982CA1" w:rsidP="00982CA1">
            <w:pPr>
              <w:jc w:val="both"/>
              <w:rPr>
                <w:sz w:val="20"/>
              </w:rPr>
            </w:pPr>
          </w:p>
          <w:p w14:paraId="3C991239" w14:textId="77777777" w:rsidR="00982CA1" w:rsidRPr="00FC4FEB" w:rsidRDefault="00982CA1" w:rsidP="00982CA1">
            <w:pPr>
              <w:jc w:val="both"/>
              <w:rPr>
                <w:sz w:val="20"/>
              </w:rPr>
            </w:pPr>
            <w:r w:rsidRPr="00FC4FEB">
              <w:rPr>
                <w:sz w:val="20"/>
              </w:rPr>
              <w:t>The attributes of the Renewable Energy Certificate will serve as a complementary mechanism to the RER, DOE targets the first quarter of 2018 for its development.</w:t>
            </w:r>
          </w:p>
          <w:p w14:paraId="575CE0AF" w14:textId="77777777" w:rsidR="00982CA1" w:rsidRPr="00FC4FEB" w:rsidRDefault="00982CA1" w:rsidP="000A5925">
            <w:pPr>
              <w:jc w:val="both"/>
              <w:rPr>
                <w:sz w:val="20"/>
              </w:rPr>
            </w:pPr>
          </w:p>
        </w:tc>
      </w:tr>
      <w:tr w:rsidR="00FC4FEB" w:rsidRPr="00FC4FEB" w14:paraId="368547BE" w14:textId="77777777" w:rsidTr="00810BCF">
        <w:tc>
          <w:tcPr>
            <w:tcW w:w="3520" w:type="dxa"/>
          </w:tcPr>
          <w:p w14:paraId="0F7AAF07" w14:textId="77777777" w:rsidR="00505176" w:rsidRPr="00FC4FEB" w:rsidRDefault="00505176" w:rsidP="00CD4015">
            <w:pPr>
              <w:spacing w:line="224" w:lineRule="exact"/>
              <w:ind w:left="100"/>
              <w:jc w:val="both"/>
              <w:rPr>
                <w:b/>
                <w:i/>
                <w:sz w:val="20"/>
              </w:rPr>
            </w:pPr>
          </w:p>
        </w:tc>
        <w:tc>
          <w:tcPr>
            <w:tcW w:w="5573" w:type="dxa"/>
          </w:tcPr>
          <w:p w14:paraId="70994ED2" w14:textId="77777777" w:rsidR="00505176" w:rsidRPr="00FC4FEB" w:rsidRDefault="00505176" w:rsidP="00CD4015">
            <w:pPr>
              <w:jc w:val="both"/>
              <w:rPr>
                <w:sz w:val="20"/>
                <w:u w:val="single"/>
              </w:rPr>
            </w:pPr>
            <w:r w:rsidRPr="00FC4FEB">
              <w:rPr>
                <w:sz w:val="20"/>
                <w:u w:val="single"/>
              </w:rPr>
              <w:t>Energy Efficiency and Conservation</w:t>
            </w:r>
          </w:p>
          <w:p w14:paraId="4471BFBB" w14:textId="77777777" w:rsidR="00505176" w:rsidRPr="00FC4FEB" w:rsidRDefault="008853CF" w:rsidP="00CD4015">
            <w:pPr>
              <w:jc w:val="both"/>
              <w:rPr>
                <w:sz w:val="20"/>
              </w:rPr>
            </w:pPr>
            <w:r w:rsidRPr="00FC4FEB">
              <w:rPr>
                <w:sz w:val="20"/>
              </w:rPr>
              <w:t xml:space="preserve">Approved </w:t>
            </w:r>
            <w:r w:rsidR="009E31DD" w:rsidRPr="00FC4FEB">
              <w:rPr>
                <w:sz w:val="20"/>
              </w:rPr>
              <w:t>a substitute House Bill</w:t>
            </w:r>
            <w:r w:rsidR="00982CA1" w:rsidRPr="00FC4FEB">
              <w:rPr>
                <w:sz w:val="20"/>
              </w:rPr>
              <w:t>,</w:t>
            </w:r>
            <w:r w:rsidR="009E31DD" w:rsidRPr="00FC4FEB">
              <w:rPr>
                <w:sz w:val="20"/>
              </w:rPr>
              <w:t xml:space="preserve"> </w:t>
            </w:r>
            <w:r w:rsidR="00982CA1" w:rsidRPr="00FC4FEB">
              <w:rPr>
                <w:sz w:val="20"/>
              </w:rPr>
              <w:t xml:space="preserve">on 14 August 2017, </w:t>
            </w:r>
            <w:r w:rsidR="009E31DD" w:rsidRPr="00FC4FEB">
              <w:rPr>
                <w:sz w:val="20"/>
              </w:rPr>
              <w:t>seeking to institutionalize energy efficiency and conservation, enhance the efficient use of energy, and grant incentives to energy efficiency and conservation (EEC) projects, as well as address cost competitiveness and energy security.</w:t>
            </w:r>
          </w:p>
          <w:p w14:paraId="5AD54312" w14:textId="77777777" w:rsidR="00505176" w:rsidRPr="00FC4FEB" w:rsidRDefault="00505176" w:rsidP="00CD4015">
            <w:pPr>
              <w:jc w:val="both"/>
              <w:rPr>
                <w:sz w:val="20"/>
              </w:rPr>
            </w:pPr>
          </w:p>
          <w:p w14:paraId="427AF716" w14:textId="77777777" w:rsidR="00505176" w:rsidRPr="00FC4FEB" w:rsidRDefault="009E31DD" w:rsidP="00CD4015">
            <w:pPr>
              <w:jc w:val="both"/>
              <w:rPr>
                <w:sz w:val="20"/>
              </w:rPr>
            </w:pPr>
            <w:r w:rsidRPr="00FC4FEB">
              <w:rPr>
                <w:sz w:val="20"/>
              </w:rPr>
              <w:t>Senate Bill No. 1531 entitled “Energy Efficiency and Conservation Act of 2017” is pending for Second Reading following a Special Order issued on 01 August 2017.</w:t>
            </w:r>
          </w:p>
          <w:p w14:paraId="0265CFE7" w14:textId="77777777" w:rsidR="00505176" w:rsidRPr="00FC4FEB" w:rsidRDefault="00505176" w:rsidP="00CD4015">
            <w:pPr>
              <w:jc w:val="both"/>
              <w:rPr>
                <w:sz w:val="20"/>
              </w:rPr>
            </w:pPr>
          </w:p>
          <w:p w14:paraId="16E57A48" w14:textId="77777777" w:rsidR="00505176" w:rsidRPr="00FC4FEB" w:rsidRDefault="00982CA1" w:rsidP="00CD4015">
            <w:pPr>
              <w:jc w:val="both"/>
              <w:rPr>
                <w:sz w:val="20"/>
              </w:rPr>
            </w:pPr>
            <w:r w:rsidRPr="00FC4FEB">
              <w:rPr>
                <w:sz w:val="20"/>
              </w:rPr>
              <w:t>R</w:t>
            </w:r>
            <w:r w:rsidR="00C8501B" w:rsidRPr="00FC4FEB">
              <w:rPr>
                <w:sz w:val="20"/>
              </w:rPr>
              <w:t>equires</w:t>
            </w:r>
            <w:r w:rsidR="009E31DD" w:rsidRPr="00FC4FEB">
              <w:rPr>
                <w:sz w:val="20"/>
              </w:rPr>
              <w:t xml:space="preserve"> an ESCO company to apply for a Certificate of Accreditation wh</w:t>
            </w:r>
            <w:r w:rsidR="00C8501B" w:rsidRPr="00FC4FEB">
              <w:rPr>
                <w:sz w:val="20"/>
              </w:rPr>
              <w:t>en</w:t>
            </w:r>
            <w:r w:rsidR="009E31DD" w:rsidRPr="00FC4FEB">
              <w:rPr>
                <w:sz w:val="20"/>
              </w:rPr>
              <w:t xml:space="preserve"> engaging in any energy efficiency related performance contracting projects</w:t>
            </w:r>
            <w:r w:rsidRPr="00FC4FEB">
              <w:rPr>
                <w:sz w:val="20"/>
              </w:rPr>
              <w:t>, in line with the Department Circular No. DC2008-09-0004.</w:t>
            </w:r>
          </w:p>
        </w:tc>
        <w:tc>
          <w:tcPr>
            <w:tcW w:w="5471" w:type="dxa"/>
          </w:tcPr>
          <w:p w14:paraId="7C90D9D2" w14:textId="77777777" w:rsidR="009E31DD" w:rsidRPr="00FC4FEB" w:rsidRDefault="00505176" w:rsidP="00993030">
            <w:pPr>
              <w:jc w:val="both"/>
              <w:rPr>
                <w:sz w:val="20"/>
              </w:rPr>
            </w:pPr>
            <w:r w:rsidRPr="00FC4FEB">
              <w:rPr>
                <w:sz w:val="20"/>
              </w:rPr>
              <w:t>Pass and implement law to institutionalize energy efficiency and conservation</w:t>
            </w:r>
          </w:p>
          <w:p w14:paraId="5C0150F0" w14:textId="77777777" w:rsidR="00993030" w:rsidRPr="00FC4FEB" w:rsidRDefault="00993030" w:rsidP="00993030">
            <w:pPr>
              <w:jc w:val="both"/>
              <w:rPr>
                <w:sz w:val="20"/>
              </w:rPr>
            </w:pPr>
          </w:p>
          <w:p w14:paraId="398AE692" w14:textId="77777777" w:rsidR="00993030" w:rsidRPr="00FC4FEB" w:rsidRDefault="00505176" w:rsidP="00993030">
            <w:pPr>
              <w:jc w:val="both"/>
              <w:rPr>
                <w:sz w:val="20"/>
              </w:rPr>
            </w:pPr>
            <w:r w:rsidRPr="00FC4FEB">
              <w:rPr>
                <w:sz w:val="20"/>
              </w:rPr>
              <w:t>Implement energy standards and labelling program</w:t>
            </w:r>
          </w:p>
          <w:p w14:paraId="20BC51A6" w14:textId="77777777" w:rsidR="00993030" w:rsidRPr="00FC4FEB" w:rsidRDefault="00993030" w:rsidP="00993030">
            <w:pPr>
              <w:jc w:val="both"/>
              <w:rPr>
                <w:sz w:val="20"/>
              </w:rPr>
            </w:pPr>
          </w:p>
          <w:p w14:paraId="73950247" w14:textId="77777777" w:rsidR="00993030" w:rsidRPr="00FC4FEB" w:rsidRDefault="00043D17" w:rsidP="00043D17">
            <w:pPr>
              <w:jc w:val="both"/>
              <w:rPr>
                <w:sz w:val="20"/>
              </w:rPr>
            </w:pPr>
            <w:r w:rsidRPr="00FC4FEB">
              <w:rPr>
                <w:sz w:val="20"/>
              </w:rPr>
              <w:t>Finalize the DOE Department Circular for the institutionalization of the Philippine Energy Standards and Labelling Program (PELSP) which is currently undergoing Public Consultation. The DOE targets the issuance of the Department Circular within 2017.</w:t>
            </w:r>
          </w:p>
        </w:tc>
      </w:tr>
      <w:tr w:rsidR="00FC4FEB" w:rsidRPr="00FC4FEB" w14:paraId="496668B2" w14:textId="77777777" w:rsidTr="00810BCF">
        <w:tc>
          <w:tcPr>
            <w:tcW w:w="3520" w:type="dxa"/>
            <w:vAlign w:val="bottom"/>
          </w:tcPr>
          <w:p w14:paraId="321E17DF" w14:textId="77777777" w:rsidR="00505176" w:rsidRPr="00FC4FEB" w:rsidRDefault="001F1D74" w:rsidP="00CD4015">
            <w:pPr>
              <w:spacing w:line="224" w:lineRule="exact"/>
              <w:ind w:left="100"/>
              <w:jc w:val="both"/>
              <w:rPr>
                <w:i/>
                <w:sz w:val="20"/>
              </w:rPr>
            </w:pPr>
            <w:r w:rsidRPr="00FC4FEB">
              <w:rPr>
                <w:i/>
                <w:sz w:val="20"/>
              </w:rPr>
              <w:t>Website for further information:</w:t>
            </w:r>
          </w:p>
        </w:tc>
        <w:tc>
          <w:tcPr>
            <w:tcW w:w="5573" w:type="dxa"/>
            <w:vAlign w:val="bottom"/>
          </w:tcPr>
          <w:p w14:paraId="4786834E" w14:textId="77777777" w:rsidR="001F1D74" w:rsidRPr="00FC4FEB" w:rsidRDefault="00C663A3" w:rsidP="000A5925">
            <w:pPr>
              <w:jc w:val="both"/>
              <w:rPr>
                <w:sz w:val="20"/>
              </w:rPr>
            </w:pPr>
            <w:r w:rsidRPr="00FC4FEB">
              <w:rPr>
                <w:sz w:val="20"/>
              </w:rPr>
              <w:t>https://www.doe.gov.ph/</w:t>
            </w:r>
          </w:p>
        </w:tc>
        <w:tc>
          <w:tcPr>
            <w:tcW w:w="5471" w:type="dxa"/>
          </w:tcPr>
          <w:p w14:paraId="0E681125" w14:textId="77777777" w:rsidR="00505176" w:rsidRPr="00FC4FEB" w:rsidRDefault="00505176" w:rsidP="00CD4015">
            <w:pPr>
              <w:jc w:val="both"/>
              <w:rPr>
                <w:i/>
                <w:sz w:val="20"/>
              </w:rPr>
            </w:pPr>
          </w:p>
        </w:tc>
      </w:tr>
      <w:tr w:rsidR="00FC4FEB" w:rsidRPr="00FC4FEB" w14:paraId="303C32C8" w14:textId="77777777" w:rsidTr="00810BCF">
        <w:tc>
          <w:tcPr>
            <w:tcW w:w="3520" w:type="dxa"/>
          </w:tcPr>
          <w:p w14:paraId="78CB4D9A" w14:textId="77777777" w:rsidR="00505176" w:rsidRPr="00FC4FEB" w:rsidRDefault="001F1D74" w:rsidP="00CD4015">
            <w:pPr>
              <w:spacing w:line="224" w:lineRule="exact"/>
              <w:ind w:left="100"/>
              <w:jc w:val="both"/>
              <w:rPr>
                <w:b/>
                <w:i/>
                <w:sz w:val="20"/>
              </w:rPr>
            </w:pPr>
            <w:r w:rsidRPr="00FC4FEB">
              <w:rPr>
                <w:i/>
                <w:sz w:val="20"/>
              </w:rPr>
              <w:t>Contact point for further details:</w:t>
            </w:r>
          </w:p>
        </w:tc>
        <w:tc>
          <w:tcPr>
            <w:tcW w:w="5573" w:type="dxa"/>
            <w:vAlign w:val="bottom"/>
          </w:tcPr>
          <w:p w14:paraId="2A6CFE17" w14:textId="77777777" w:rsidR="00505176" w:rsidRPr="00FC4FEB" w:rsidRDefault="0002370B" w:rsidP="00CD4015">
            <w:pPr>
              <w:spacing w:line="224" w:lineRule="exact"/>
              <w:ind w:left="80"/>
              <w:jc w:val="both"/>
              <w:rPr>
                <w:sz w:val="20"/>
              </w:rPr>
            </w:pPr>
            <w:r w:rsidRPr="00FC4FEB">
              <w:rPr>
                <w:sz w:val="20"/>
              </w:rPr>
              <w:t xml:space="preserve">Undersecretary Jesus </w:t>
            </w:r>
            <w:proofErr w:type="spellStart"/>
            <w:r w:rsidRPr="00FC4FEB">
              <w:rPr>
                <w:sz w:val="20"/>
              </w:rPr>
              <w:t>Cristino</w:t>
            </w:r>
            <w:proofErr w:type="spellEnd"/>
            <w:r w:rsidRPr="00FC4FEB">
              <w:rPr>
                <w:sz w:val="20"/>
              </w:rPr>
              <w:t xml:space="preserve"> P. Posadas</w:t>
            </w:r>
          </w:p>
          <w:p w14:paraId="325C769F" w14:textId="77777777" w:rsidR="00505176" w:rsidRPr="00FC4FEB" w:rsidRDefault="0002370B" w:rsidP="00CD4015">
            <w:pPr>
              <w:spacing w:line="224" w:lineRule="exact"/>
              <w:ind w:left="80"/>
              <w:jc w:val="both"/>
              <w:rPr>
                <w:sz w:val="20"/>
              </w:rPr>
            </w:pPr>
            <w:r w:rsidRPr="00FC4FEB">
              <w:rPr>
                <w:sz w:val="20"/>
              </w:rPr>
              <w:t xml:space="preserve">jesus.posadas@doe.gov.ph </w:t>
            </w:r>
          </w:p>
          <w:p w14:paraId="203F896E" w14:textId="77777777" w:rsidR="00505176" w:rsidRPr="00FC4FEB" w:rsidRDefault="00505176" w:rsidP="00CD4015">
            <w:pPr>
              <w:spacing w:line="224" w:lineRule="exact"/>
              <w:ind w:left="80"/>
              <w:jc w:val="both"/>
              <w:rPr>
                <w:sz w:val="20"/>
              </w:rPr>
            </w:pPr>
          </w:p>
          <w:p w14:paraId="4088085E" w14:textId="77777777" w:rsidR="00505176" w:rsidRPr="00FC4FEB" w:rsidRDefault="0002370B" w:rsidP="00CD4015">
            <w:pPr>
              <w:spacing w:line="224" w:lineRule="exact"/>
              <w:ind w:left="80"/>
              <w:jc w:val="both"/>
              <w:rPr>
                <w:sz w:val="20"/>
              </w:rPr>
            </w:pPr>
            <w:r w:rsidRPr="00FC4FEB">
              <w:rPr>
                <w:sz w:val="20"/>
              </w:rPr>
              <w:t>Director Patrick T. Aquino</w:t>
            </w:r>
          </w:p>
          <w:p w14:paraId="3DB5DBF6" w14:textId="77777777" w:rsidR="00505176" w:rsidRPr="00FC4FEB" w:rsidRDefault="0002370B" w:rsidP="00CD4015">
            <w:pPr>
              <w:spacing w:line="224" w:lineRule="exact"/>
              <w:ind w:left="80"/>
              <w:jc w:val="both"/>
              <w:rPr>
                <w:sz w:val="20"/>
              </w:rPr>
            </w:pPr>
            <w:r w:rsidRPr="00FC4FEB">
              <w:rPr>
                <w:sz w:val="20"/>
              </w:rPr>
              <w:t>Energy Policy and Planning Bureau</w:t>
            </w:r>
          </w:p>
          <w:p w14:paraId="04C42FBB" w14:textId="77777777" w:rsidR="00505176" w:rsidRPr="00FC4FEB" w:rsidRDefault="0002370B" w:rsidP="00CD4015">
            <w:pPr>
              <w:spacing w:line="224" w:lineRule="exact"/>
              <w:ind w:left="80"/>
              <w:jc w:val="both"/>
              <w:rPr>
                <w:sz w:val="20"/>
              </w:rPr>
            </w:pPr>
            <w:r w:rsidRPr="00FC4FEB">
              <w:rPr>
                <w:sz w:val="20"/>
              </w:rPr>
              <w:t>patrick.aquino@doe.gov.ph</w:t>
            </w:r>
          </w:p>
          <w:p w14:paraId="7567D7B8" w14:textId="77777777" w:rsidR="00505176" w:rsidRPr="00FC4FEB" w:rsidRDefault="00505176" w:rsidP="00CD4015">
            <w:pPr>
              <w:spacing w:line="224" w:lineRule="exact"/>
              <w:ind w:left="80"/>
              <w:jc w:val="both"/>
              <w:rPr>
                <w:sz w:val="20"/>
              </w:rPr>
            </w:pPr>
          </w:p>
          <w:p w14:paraId="2BCBB64A" w14:textId="77777777" w:rsidR="00505176" w:rsidRPr="00FC4FEB" w:rsidRDefault="0002370B" w:rsidP="00CD4015">
            <w:pPr>
              <w:spacing w:line="224" w:lineRule="exact"/>
              <w:ind w:left="80"/>
              <w:jc w:val="both"/>
              <w:rPr>
                <w:sz w:val="20"/>
              </w:rPr>
            </w:pPr>
            <w:r w:rsidRPr="00FC4FEB">
              <w:rPr>
                <w:sz w:val="20"/>
              </w:rPr>
              <w:t>Director Mario C. Marasigan</w:t>
            </w:r>
          </w:p>
          <w:p w14:paraId="411D05E1" w14:textId="77777777" w:rsidR="00505176" w:rsidRPr="00FC4FEB" w:rsidRDefault="0002370B" w:rsidP="00CD4015">
            <w:pPr>
              <w:spacing w:line="224" w:lineRule="exact"/>
              <w:ind w:left="80"/>
              <w:jc w:val="both"/>
              <w:rPr>
                <w:sz w:val="20"/>
              </w:rPr>
            </w:pPr>
            <w:r w:rsidRPr="00FC4FEB">
              <w:rPr>
                <w:sz w:val="20"/>
              </w:rPr>
              <w:t>Renewable Energy Management Bureau</w:t>
            </w:r>
          </w:p>
          <w:p w14:paraId="11777024" w14:textId="77777777" w:rsidR="00505176" w:rsidRPr="00FC4FEB" w:rsidRDefault="00B146C8" w:rsidP="00CD4015">
            <w:pPr>
              <w:spacing w:line="224" w:lineRule="exact"/>
              <w:ind w:left="80"/>
              <w:jc w:val="both"/>
              <w:rPr>
                <w:sz w:val="20"/>
              </w:rPr>
            </w:pPr>
            <w:hyperlink r:id="rId14" w:history="1">
              <w:r w:rsidR="0002370B" w:rsidRPr="00FC4FEB">
                <w:rPr>
                  <w:rStyle w:val="Hyperlink"/>
                  <w:color w:val="auto"/>
                  <w:sz w:val="20"/>
                </w:rPr>
                <w:t>mcmarasigan@doe.gov.ph</w:t>
              </w:r>
            </w:hyperlink>
          </w:p>
          <w:p w14:paraId="2E15E208" w14:textId="77777777" w:rsidR="00505176" w:rsidRPr="00FC4FEB" w:rsidRDefault="00505176" w:rsidP="00CD4015">
            <w:pPr>
              <w:spacing w:line="224" w:lineRule="exact"/>
              <w:ind w:left="80"/>
              <w:jc w:val="both"/>
              <w:rPr>
                <w:sz w:val="20"/>
              </w:rPr>
            </w:pPr>
          </w:p>
          <w:p w14:paraId="188D154A" w14:textId="77777777" w:rsidR="00505176" w:rsidRPr="00FC4FEB" w:rsidRDefault="0002370B" w:rsidP="00CD4015">
            <w:pPr>
              <w:spacing w:line="224" w:lineRule="exact"/>
              <w:ind w:left="80"/>
              <w:jc w:val="both"/>
              <w:rPr>
                <w:sz w:val="20"/>
              </w:rPr>
            </w:pPr>
            <w:r w:rsidRPr="00FC4FEB">
              <w:rPr>
                <w:sz w:val="20"/>
              </w:rPr>
              <w:t>Department of Energy</w:t>
            </w:r>
          </w:p>
          <w:p w14:paraId="77767D30" w14:textId="77777777" w:rsidR="00505176" w:rsidRPr="00FC4FEB" w:rsidRDefault="0002370B" w:rsidP="00CD4015">
            <w:pPr>
              <w:spacing w:line="224" w:lineRule="exact"/>
              <w:ind w:left="80"/>
              <w:jc w:val="both"/>
              <w:rPr>
                <w:sz w:val="20"/>
              </w:rPr>
            </w:pPr>
            <w:r w:rsidRPr="00FC4FEB">
              <w:rPr>
                <w:sz w:val="20"/>
              </w:rPr>
              <w:t xml:space="preserve">Energy </w:t>
            </w:r>
            <w:proofErr w:type="spellStart"/>
            <w:r w:rsidRPr="00FC4FEB">
              <w:rPr>
                <w:sz w:val="20"/>
              </w:rPr>
              <w:t>Center</w:t>
            </w:r>
            <w:proofErr w:type="spellEnd"/>
            <w:r w:rsidRPr="00FC4FEB">
              <w:rPr>
                <w:sz w:val="20"/>
              </w:rPr>
              <w:t>, Rizal Drive,</w:t>
            </w:r>
          </w:p>
          <w:p w14:paraId="17AD9B51" w14:textId="77777777" w:rsidR="00505176" w:rsidRPr="00FC4FEB" w:rsidRDefault="0002370B" w:rsidP="00CD4015">
            <w:pPr>
              <w:spacing w:line="224" w:lineRule="exact"/>
              <w:ind w:left="80"/>
              <w:jc w:val="both"/>
              <w:rPr>
                <w:sz w:val="20"/>
              </w:rPr>
            </w:pPr>
            <w:proofErr w:type="spellStart"/>
            <w:r w:rsidRPr="00FC4FEB">
              <w:rPr>
                <w:sz w:val="20"/>
              </w:rPr>
              <w:t>Bonifacio</w:t>
            </w:r>
            <w:proofErr w:type="spellEnd"/>
            <w:r w:rsidRPr="00FC4FEB">
              <w:rPr>
                <w:sz w:val="20"/>
              </w:rPr>
              <w:t xml:space="preserve"> Global City, </w:t>
            </w:r>
            <w:proofErr w:type="spellStart"/>
            <w:r w:rsidRPr="00FC4FEB">
              <w:rPr>
                <w:sz w:val="20"/>
              </w:rPr>
              <w:t>Taguig</w:t>
            </w:r>
            <w:proofErr w:type="spellEnd"/>
            <w:r w:rsidRPr="00FC4FEB">
              <w:rPr>
                <w:sz w:val="20"/>
              </w:rPr>
              <w:t xml:space="preserve"> City</w:t>
            </w:r>
          </w:p>
          <w:p w14:paraId="7A2C3615" w14:textId="77777777" w:rsidR="00505176" w:rsidRPr="00FC4FEB" w:rsidRDefault="0002370B" w:rsidP="00CD4015">
            <w:pPr>
              <w:spacing w:line="224" w:lineRule="exact"/>
              <w:ind w:left="80"/>
              <w:jc w:val="both"/>
              <w:rPr>
                <w:sz w:val="20"/>
              </w:rPr>
            </w:pPr>
            <w:r w:rsidRPr="00FC4FEB">
              <w:rPr>
                <w:sz w:val="20"/>
              </w:rPr>
              <w:t>Tel No.: (632) 479-2900</w:t>
            </w:r>
          </w:p>
        </w:tc>
        <w:tc>
          <w:tcPr>
            <w:tcW w:w="5471" w:type="dxa"/>
          </w:tcPr>
          <w:p w14:paraId="0D23C4A9" w14:textId="77777777" w:rsidR="00505176" w:rsidRPr="00FC4FEB" w:rsidRDefault="00505176" w:rsidP="00CD4015">
            <w:pPr>
              <w:jc w:val="both"/>
              <w:rPr>
                <w:i/>
                <w:sz w:val="20"/>
              </w:rPr>
            </w:pPr>
          </w:p>
        </w:tc>
      </w:tr>
      <w:tr w:rsidR="00FC4FEB" w:rsidRPr="00FC4FEB" w14:paraId="1D65792F" w14:textId="77777777" w:rsidTr="00810BCF">
        <w:tc>
          <w:tcPr>
            <w:tcW w:w="3520" w:type="dxa"/>
          </w:tcPr>
          <w:p w14:paraId="1074DCA7" w14:textId="77777777" w:rsidR="00505176" w:rsidRPr="00FC4FEB" w:rsidRDefault="002812C9" w:rsidP="00CD4015">
            <w:pPr>
              <w:jc w:val="both"/>
              <w:rPr>
                <w:b/>
                <w:i/>
                <w:sz w:val="20"/>
              </w:rPr>
            </w:pPr>
            <w:r w:rsidRPr="00FC4FEB">
              <w:rPr>
                <w:b/>
                <w:i/>
                <w:sz w:val="20"/>
              </w:rPr>
              <w:t>Services</w:t>
            </w:r>
          </w:p>
          <w:p w14:paraId="6E41BCC5" w14:textId="77777777" w:rsidR="00505176" w:rsidRPr="00FC4FEB" w:rsidRDefault="00505176" w:rsidP="00CD4015">
            <w:pPr>
              <w:jc w:val="both"/>
              <w:rPr>
                <w:b/>
                <w:i/>
                <w:sz w:val="20"/>
              </w:rPr>
            </w:pPr>
          </w:p>
          <w:p w14:paraId="6AF3C40E" w14:textId="77777777" w:rsidR="00505176" w:rsidRPr="00FC4FEB" w:rsidRDefault="002812C9" w:rsidP="00CD4015">
            <w:pPr>
              <w:spacing w:line="224" w:lineRule="exact"/>
              <w:jc w:val="both"/>
              <w:rPr>
                <w:i/>
                <w:sz w:val="20"/>
              </w:rPr>
            </w:pPr>
            <w:r w:rsidRPr="00FC4FEB">
              <w:rPr>
                <w:b/>
                <w:i/>
                <w:sz w:val="20"/>
              </w:rPr>
              <w:t xml:space="preserve">Air Transportation </w:t>
            </w:r>
          </w:p>
        </w:tc>
        <w:tc>
          <w:tcPr>
            <w:tcW w:w="5573" w:type="dxa"/>
          </w:tcPr>
          <w:p w14:paraId="24B53BE8" w14:textId="77777777" w:rsidR="00A35AAF" w:rsidRPr="00FC4FEB" w:rsidRDefault="00161671" w:rsidP="000A5925">
            <w:pPr>
              <w:jc w:val="both"/>
              <w:rPr>
                <w:sz w:val="20"/>
              </w:rPr>
            </w:pPr>
            <w:r w:rsidRPr="00FC4FEB">
              <w:rPr>
                <w:sz w:val="20"/>
              </w:rPr>
              <w:t>N</w:t>
            </w:r>
            <w:r w:rsidR="002812C9" w:rsidRPr="00FC4FEB">
              <w:rPr>
                <w:sz w:val="20"/>
              </w:rPr>
              <w:t>egotiate</w:t>
            </w:r>
            <w:r w:rsidRPr="00FC4FEB">
              <w:rPr>
                <w:sz w:val="20"/>
              </w:rPr>
              <w:t>d</w:t>
            </w:r>
            <w:r w:rsidR="002812C9" w:rsidRPr="00FC4FEB">
              <w:rPr>
                <w:sz w:val="20"/>
              </w:rPr>
              <w:t xml:space="preserve"> more liberal air services agreements and increased capacity entitlements to the following economies/countries: Republic of Korea, United Arab Emirates, Russia, Turkey, Qatar, Mexico, Australia, Oman, Singapore and Taiwan.</w:t>
            </w:r>
          </w:p>
          <w:p w14:paraId="57C7FFA2" w14:textId="77777777" w:rsidR="008E0D59" w:rsidRPr="00FC4FEB" w:rsidRDefault="008E0D59" w:rsidP="000A5925">
            <w:pPr>
              <w:jc w:val="both"/>
              <w:rPr>
                <w:sz w:val="20"/>
              </w:rPr>
            </w:pPr>
          </w:p>
          <w:p w14:paraId="2EA6C737" w14:textId="77777777" w:rsidR="008E0D59" w:rsidRPr="00FC4FEB" w:rsidRDefault="008E0D59" w:rsidP="000A5925">
            <w:pPr>
              <w:jc w:val="both"/>
              <w:rPr>
                <w:sz w:val="20"/>
              </w:rPr>
            </w:pPr>
            <w:r w:rsidRPr="00FC4FEB">
              <w:rPr>
                <w:sz w:val="20"/>
              </w:rPr>
              <w:t>Reviewed, updated and rationalized the rules, procedures and requirements for petitions and/or applications to operate air transportation services.</w:t>
            </w:r>
          </w:p>
          <w:p w14:paraId="4F3548E5" w14:textId="77777777" w:rsidR="00505176" w:rsidRPr="00FC4FEB" w:rsidRDefault="00505176" w:rsidP="00CD4015">
            <w:pPr>
              <w:pStyle w:val="ListParagraph"/>
              <w:numPr>
                <w:ilvl w:val="0"/>
                <w:numId w:val="40"/>
              </w:numPr>
              <w:ind w:left="504"/>
              <w:jc w:val="both"/>
              <w:rPr>
                <w:rFonts w:ascii="Times New Roman" w:hAnsi="Times New Roman"/>
                <w:sz w:val="20"/>
                <w:szCs w:val="20"/>
              </w:rPr>
            </w:pPr>
            <w:r w:rsidRPr="00FC4FEB">
              <w:rPr>
                <w:rFonts w:ascii="Times New Roman" w:hAnsi="Times New Roman"/>
                <w:sz w:val="20"/>
                <w:szCs w:val="20"/>
              </w:rPr>
              <w:t>Rationalization/Reduction of Requirements for Petitions</w:t>
            </w:r>
            <w:r w:rsidR="00BB17DC" w:rsidRPr="00FC4FEB">
              <w:rPr>
                <w:rFonts w:ascii="Times New Roman" w:hAnsi="Times New Roman"/>
                <w:sz w:val="20"/>
                <w:szCs w:val="20"/>
              </w:rPr>
              <w:t>/ Application for Certificate of Public Convenience and Foreign Carrier’s Permit (CAB Resolution No. 59)</w:t>
            </w:r>
          </w:p>
          <w:p w14:paraId="4A3A50B5" w14:textId="77777777" w:rsidR="00505176" w:rsidRPr="00FC4FEB" w:rsidRDefault="00BB17DC" w:rsidP="00CD4015">
            <w:pPr>
              <w:pStyle w:val="ListParagraph"/>
              <w:numPr>
                <w:ilvl w:val="0"/>
                <w:numId w:val="40"/>
              </w:numPr>
              <w:ind w:left="504"/>
              <w:jc w:val="both"/>
              <w:rPr>
                <w:rFonts w:ascii="Times New Roman" w:hAnsi="Times New Roman"/>
                <w:sz w:val="20"/>
                <w:szCs w:val="20"/>
              </w:rPr>
            </w:pPr>
            <w:r w:rsidRPr="00FC4FEB">
              <w:rPr>
                <w:rFonts w:ascii="Times New Roman" w:hAnsi="Times New Roman"/>
                <w:sz w:val="20"/>
                <w:szCs w:val="20"/>
              </w:rPr>
              <w:lastRenderedPageBreak/>
              <w:t xml:space="preserve">Rationalization/Reduction of Requirements for Unopposed Applications of Airfreight </w:t>
            </w:r>
            <w:proofErr w:type="spellStart"/>
            <w:r w:rsidRPr="00FC4FEB">
              <w:rPr>
                <w:rFonts w:ascii="Times New Roman" w:hAnsi="Times New Roman"/>
                <w:sz w:val="20"/>
                <w:szCs w:val="20"/>
              </w:rPr>
              <w:t>Forwardders</w:t>
            </w:r>
            <w:proofErr w:type="spellEnd"/>
            <w:r w:rsidRPr="00FC4FEB">
              <w:rPr>
                <w:rFonts w:ascii="Times New Roman" w:hAnsi="Times New Roman"/>
                <w:sz w:val="20"/>
                <w:szCs w:val="20"/>
              </w:rPr>
              <w:t xml:space="preserve">, General Sales Agent (CAB Memorandum </w:t>
            </w:r>
            <w:proofErr w:type="spellStart"/>
            <w:r w:rsidRPr="00FC4FEB">
              <w:rPr>
                <w:rFonts w:ascii="Times New Roman" w:hAnsi="Times New Roman"/>
                <w:sz w:val="20"/>
                <w:szCs w:val="20"/>
              </w:rPr>
              <w:t>Ciircular</w:t>
            </w:r>
            <w:proofErr w:type="spellEnd"/>
            <w:r w:rsidRPr="00FC4FEB">
              <w:rPr>
                <w:rFonts w:ascii="Times New Roman" w:hAnsi="Times New Roman"/>
                <w:sz w:val="20"/>
                <w:szCs w:val="20"/>
              </w:rPr>
              <w:t xml:space="preserve"> No. 5)</w:t>
            </w:r>
          </w:p>
          <w:p w14:paraId="3A370F96" w14:textId="77777777" w:rsidR="008E0D59" w:rsidRPr="00FC4FEB" w:rsidRDefault="00BB17DC" w:rsidP="000A5925">
            <w:pPr>
              <w:pStyle w:val="ListParagraph"/>
              <w:numPr>
                <w:ilvl w:val="0"/>
                <w:numId w:val="40"/>
              </w:numPr>
              <w:ind w:left="504"/>
              <w:jc w:val="both"/>
              <w:rPr>
                <w:rFonts w:ascii="Times New Roman" w:hAnsi="Times New Roman"/>
                <w:sz w:val="20"/>
                <w:szCs w:val="20"/>
              </w:rPr>
            </w:pPr>
            <w:r w:rsidRPr="00FC4FEB">
              <w:rPr>
                <w:rFonts w:ascii="Times New Roman" w:hAnsi="Times New Roman"/>
                <w:sz w:val="20"/>
                <w:szCs w:val="20"/>
              </w:rPr>
              <w:t>Less paper transaction program governing hearings and investigations</w:t>
            </w:r>
            <w:r w:rsidR="00505176" w:rsidRPr="00FC4FEB">
              <w:rPr>
                <w:rFonts w:ascii="Times New Roman" w:hAnsi="Times New Roman"/>
                <w:sz w:val="20"/>
                <w:szCs w:val="20"/>
              </w:rPr>
              <w:t xml:space="preserve"> </w:t>
            </w:r>
          </w:p>
        </w:tc>
        <w:tc>
          <w:tcPr>
            <w:tcW w:w="5471" w:type="dxa"/>
          </w:tcPr>
          <w:p w14:paraId="6D5DD38B" w14:textId="77777777" w:rsidR="00A35AAF" w:rsidRPr="00FC4FEB" w:rsidRDefault="00BB17DC" w:rsidP="000A5925">
            <w:pPr>
              <w:jc w:val="both"/>
              <w:rPr>
                <w:sz w:val="20"/>
              </w:rPr>
            </w:pPr>
            <w:r w:rsidRPr="00FC4FEB">
              <w:rPr>
                <w:sz w:val="20"/>
              </w:rPr>
              <w:lastRenderedPageBreak/>
              <w:t>E</w:t>
            </w:r>
            <w:r w:rsidR="002812C9" w:rsidRPr="00FC4FEB">
              <w:rPr>
                <w:sz w:val="20"/>
              </w:rPr>
              <w:t>nhance air services agreements to provide more and better connectivity</w:t>
            </w:r>
            <w:r w:rsidRPr="00FC4FEB">
              <w:rPr>
                <w:sz w:val="20"/>
              </w:rPr>
              <w:t xml:space="preserve"> through </w:t>
            </w:r>
            <w:r w:rsidR="00805BEA" w:rsidRPr="00FC4FEB">
              <w:rPr>
                <w:sz w:val="20"/>
              </w:rPr>
              <w:t>continued air consultation</w:t>
            </w:r>
            <w:r w:rsidRPr="00FC4FEB">
              <w:rPr>
                <w:sz w:val="20"/>
              </w:rPr>
              <w:t xml:space="preserve"> talks with other countries. For 2017, CAB will be conducting consultation talks with Papua New Guinea and India.</w:t>
            </w:r>
          </w:p>
          <w:p w14:paraId="43896479" w14:textId="77777777" w:rsidR="002812C9" w:rsidRPr="00FC4FEB" w:rsidRDefault="002812C9" w:rsidP="00993030">
            <w:pPr>
              <w:jc w:val="both"/>
              <w:rPr>
                <w:sz w:val="20"/>
              </w:rPr>
            </w:pPr>
          </w:p>
          <w:p w14:paraId="08E03BDE" w14:textId="77777777" w:rsidR="002812C9" w:rsidRPr="00FC4FEB" w:rsidRDefault="002812C9">
            <w:pPr>
              <w:jc w:val="both"/>
              <w:rPr>
                <w:sz w:val="20"/>
              </w:rPr>
            </w:pPr>
            <w:r w:rsidRPr="00FC4FEB">
              <w:rPr>
                <w:sz w:val="20"/>
              </w:rPr>
              <w:t xml:space="preserve">Continue </w:t>
            </w:r>
            <w:r w:rsidR="00BB17DC" w:rsidRPr="00FC4FEB">
              <w:rPr>
                <w:sz w:val="20"/>
              </w:rPr>
              <w:t xml:space="preserve">the </w:t>
            </w:r>
            <w:r w:rsidRPr="00FC4FEB">
              <w:rPr>
                <w:sz w:val="20"/>
              </w:rPr>
              <w:t>review</w:t>
            </w:r>
            <w:r w:rsidR="00BB17DC" w:rsidRPr="00FC4FEB">
              <w:rPr>
                <w:sz w:val="20"/>
              </w:rPr>
              <w:t xml:space="preserve">/amendment of </w:t>
            </w:r>
            <w:r w:rsidRPr="00FC4FEB">
              <w:rPr>
                <w:sz w:val="20"/>
              </w:rPr>
              <w:t xml:space="preserve">the </w:t>
            </w:r>
            <w:r w:rsidR="008E0D59" w:rsidRPr="00FC4FEB">
              <w:rPr>
                <w:sz w:val="20"/>
              </w:rPr>
              <w:t>Air Passenger Bill of Rights (APBR).</w:t>
            </w:r>
          </w:p>
        </w:tc>
      </w:tr>
      <w:tr w:rsidR="00FC4FEB" w:rsidRPr="00FC4FEB" w14:paraId="1E061FC1" w14:textId="77777777" w:rsidTr="00810BCF">
        <w:tc>
          <w:tcPr>
            <w:tcW w:w="3520" w:type="dxa"/>
          </w:tcPr>
          <w:p w14:paraId="58E6C921" w14:textId="77777777" w:rsidR="00505176" w:rsidRPr="00FC4FEB" w:rsidRDefault="00A35AAF" w:rsidP="00CD4015">
            <w:pPr>
              <w:spacing w:line="224" w:lineRule="exact"/>
              <w:ind w:left="100"/>
              <w:jc w:val="both"/>
              <w:rPr>
                <w:i/>
                <w:sz w:val="20"/>
              </w:rPr>
            </w:pPr>
            <w:r w:rsidRPr="00FC4FEB">
              <w:rPr>
                <w:i/>
                <w:sz w:val="20"/>
              </w:rPr>
              <w:lastRenderedPageBreak/>
              <w:t>Website for further information:</w:t>
            </w:r>
          </w:p>
        </w:tc>
        <w:tc>
          <w:tcPr>
            <w:tcW w:w="5573" w:type="dxa"/>
          </w:tcPr>
          <w:p w14:paraId="28BED4A7" w14:textId="77777777" w:rsidR="00BB17DC" w:rsidRPr="00FC4FEB" w:rsidRDefault="00B146C8" w:rsidP="000A5925">
            <w:pPr>
              <w:jc w:val="both"/>
              <w:rPr>
                <w:sz w:val="20"/>
              </w:rPr>
            </w:pPr>
            <w:hyperlink r:id="rId15" w:history="1">
              <w:r w:rsidR="00BB17DC" w:rsidRPr="00FC4FEB">
                <w:rPr>
                  <w:rStyle w:val="Hyperlink"/>
                  <w:color w:val="auto"/>
                  <w:sz w:val="20"/>
                </w:rPr>
                <w:t>http://www.cab.gov.ph/</w:t>
              </w:r>
            </w:hyperlink>
          </w:p>
        </w:tc>
        <w:tc>
          <w:tcPr>
            <w:tcW w:w="5471" w:type="dxa"/>
          </w:tcPr>
          <w:p w14:paraId="3BF0C018" w14:textId="77777777" w:rsidR="00A35AAF" w:rsidRPr="00FC4FEB" w:rsidRDefault="00A35AAF" w:rsidP="000A5925">
            <w:pPr>
              <w:jc w:val="both"/>
              <w:rPr>
                <w:sz w:val="20"/>
              </w:rPr>
            </w:pPr>
          </w:p>
        </w:tc>
      </w:tr>
      <w:tr w:rsidR="00FC4FEB" w:rsidRPr="00FC4FEB" w14:paraId="4136F17B" w14:textId="77777777" w:rsidTr="00810BCF">
        <w:tc>
          <w:tcPr>
            <w:tcW w:w="3520" w:type="dxa"/>
          </w:tcPr>
          <w:p w14:paraId="6BFCEA14" w14:textId="77777777" w:rsidR="00505176" w:rsidRPr="00FC4FEB" w:rsidRDefault="00BB17DC" w:rsidP="00CD4015">
            <w:pPr>
              <w:spacing w:line="224" w:lineRule="exact"/>
              <w:ind w:left="100"/>
              <w:jc w:val="both"/>
              <w:rPr>
                <w:i/>
                <w:sz w:val="20"/>
              </w:rPr>
            </w:pPr>
            <w:r w:rsidRPr="00FC4FEB">
              <w:rPr>
                <w:i/>
                <w:sz w:val="20"/>
              </w:rPr>
              <w:t>Contact point for further details:</w:t>
            </w:r>
          </w:p>
        </w:tc>
        <w:tc>
          <w:tcPr>
            <w:tcW w:w="5573" w:type="dxa"/>
          </w:tcPr>
          <w:p w14:paraId="60ACFF98" w14:textId="77777777" w:rsidR="00505176" w:rsidRPr="00FC4FEB" w:rsidRDefault="00BB17DC" w:rsidP="00CD4015">
            <w:pPr>
              <w:jc w:val="both"/>
              <w:rPr>
                <w:noProof/>
                <w:sz w:val="20"/>
              </w:rPr>
            </w:pPr>
            <w:r w:rsidRPr="00FC4FEB">
              <w:rPr>
                <w:noProof/>
                <w:sz w:val="20"/>
              </w:rPr>
              <w:t>The Executive Director</w:t>
            </w:r>
          </w:p>
          <w:p w14:paraId="67D64DA6" w14:textId="77777777" w:rsidR="00505176" w:rsidRPr="00FC4FEB" w:rsidRDefault="00BB17DC" w:rsidP="00CD4015">
            <w:pPr>
              <w:jc w:val="both"/>
              <w:rPr>
                <w:noProof/>
                <w:sz w:val="20"/>
              </w:rPr>
            </w:pPr>
            <w:r w:rsidRPr="00FC4FEB">
              <w:rPr>
                <w:noProof/>
                <w:sz w:val="20"/>
              </w:rPr>
              <w:t>Civil Aeronautics Board</w:t>
            </w:r>
          </w:p>
          <w:p w14:paraId="236DB492" w14:textId="77777777" w:rsidR="00505176" w:rsidRPr="00FC4FEB" w:rsidRDefault="00BB17DC" w:rsidP="00CD4015">
            <w:pPr>
              <w:jc w:val="both"/>
              <w:rPr>
                <w:noProof/>
                <w:sz w:val="20"/>
              </w:rPr>
            </w:pPr>
            <w:r w:rsidRPr="00FC4FEB">
              <w:rPr>
                <w:noProof/>
                <w:sz w:val="20"/>
              </w:rPr>
              <w:t>CAB Building, Old MIA Road, Pasay City</w:t>
            </w:r>
          </w:p>
          <w:p w14:paraId="42B501A8" w14:textId="77777777" w:rsidR="00505176" w:rsidRPr="00FC4FEB" w:rsidRDefault="00BB17DC" w:rsidP="00CD4015">
            <w:pPr>
              <w:jc w:val="both"/>
              <w:rPr>
                <w:noProof/>
                <w:sz w:val="20"/>
                <w:lang w:val="pt-BR"/>
              </w:rPr>
            </w:pPr>
            <w:r w:rsidRPr="00FC4FEB">
              <w:rPr>
                <w:noProof/>
                <w:sz w:val="20"/>
                <w:lang w:val="pt-BR"/>
              </w:rPr>
              <w:t xml:space="preserve">Tel:  (632) 853-6761  </w:t>
            </w:r>
          </w:p>
          <w:p w14:paraId="350D61D9" w14:textId="77777777" w:rsidR="00505176" w:rsidRPr="00FC4FEB" w:rsidRDefault="00BB17DC" w:rsidP="00CD4015">
            <w:pPr>
              <w:jc w:val="both"/>
              <w:rPr>
                <w:noProof/>
                <w:sz w:val="20"/>
                <w:lang w:val="pt-BR"/>
              </w:rPr>
            </w:pPr>
            <w:r w:rsidRPr="00FC4FEB">
              <w:rPr>
                <w:noProof/>
                <w:sz w:val="20"/>
                <w:lang w:val="pt-BR"/>
              </w:rPr>
              <w:t>Fax: (632) 833-6911</w:t>
            </w:r>
          </w:p>
          <w:p w14:paraId="5D6F972D" w14:textId="77777777" w:rsidR="00BB17DC" w:rsidRPr="00FC4FEB" w:rsidRDefault="00BB17DC" w:rsidP="000A5925">
            <w:pPr>
              <w:jc w:val="both"/>
              <w:rPr>
                <w:sz w:val="20"/>
              </w:rPr>
            </w:pPr>
            <w:r w:rsidRPr="00FC4FEB">
              <w:rPr>
                <w:noProof/>
                <w:sz w:val="20"/>
                <w:lang w:val="pt-BR"/>
              </w:rPr>
              <w:t xml:space="preserve">E-mail:  </w:t>
            </w:r>
            <w:r w:rsidRPr="00FC4FEB">
              <w:rPr>
                <w:sz w:val="20"/>
              </w:rPr>
              <w:t>cab_eprd@yahoo.com</w:t>
            </w:r>
            <w:r w:rsidRPr="00FC4FEB">
              <w:rPr>
                <w:sz w:val="20"/>
                <w:lang w:val="pt-BR"/>
              </w:rPr>
              <w:t>; info@cab.gov.ph</w:t>
            </w:r>
          </w:p>
        </w:tc>
        <w:tc>
          <w:tcPr>
            <w:tcW w:w="5471" w:type="dxa"/>
          </w:tcPr>
          <w:p w14:paraId="1D076EEB" w14:textId="77777777" w:rsidR="00BB17DC" w:rsidRPr="00FC4FEB" w:rsidRDefault="00BB17DC" w:rsidP="000A5925">
            <w:pPr>
              <w:jc w:val="both"/>
              <w:rPr>
                <w:sz w:val="20"/>
              </w:rPr>
            </w:pPr>
          </w:p>
        </w:tc>
      </w:tr>
      <w:tr w:rsidR="00FC4FEB" w:rsidRPr="00FC4FEB" w14:paraId="24AD33AA" w14:textId="77777777" w:rsidTr="00810BCF">
        <w:tc>
          <w:tcPr>
            <w:tcW w:w="3520" w:type="dxa"/>
          </w:tcPr>
          <w:p w14:paraId="73DAD9CA" w14:textId="77777777" w:rsidR="00505176" w:rsidRPr="00FC4FEB" w:rsidRDefault="00BB17DC" w:rsidP="00CD4015">
            <w:pPr>
              <w:jc w:val="both"/>
              <w:rPr>
                <w:b/>
                <w:i/>
                <w:sz w:val="20"/>
              </w:rPr>
            </w:pPr>
            <w:r w:rsidRPr="00FC4FEB">
              <w:rPr>
                <w:b/>
                <w:i/>
                <w:sz w:val="20"/>
              </w:rPr>
              <w:t>Services</w:t>
            </w:r>
          </w:p>
          <w:p w14:paraId="2DE21FFB" w14:textId="77777777" w:rsidR="00505176" w:rsidRPr="00FC4FEB" w:rsidRDefault="00505176" w:rsidP="00CD4015">
            <w:pPr>
              <w:jc w:val="both"/>
              <w:rPr>
                <w:b/>
                <w:i/>
                <w:sz w:val="20"/>
              </w:rPr>
            </w:pPr>
          </w:p>
          <w:p w14:paraId="56F1B4ED" w14:textId="77777777" w:rsidR="00505176" w:rsidRPr="00FC4FEB" w:rsidRDefault="00BB17DC" w:rsidP="00CD4015">
            <w:pPr>
              <w:spacing w:line="224" w:lineRule="exact"/>
              <w:jc w:val="both"/>
              <w:rPr>
                <w:i/>
                <w:sz w:val="20"/>
              </w:rPr>
            </w:pPr>
            <w:r w:rsidRPr="00FC4FEB">
              <w:rPr>
                <w:b/>
                <w:i/>
                <w:sz w:val="20"/>
              </w:rPr>
              <w:t>Maritime Transportation</w:t>
            </w:r>
          </w:p>
        </w:tc>
        <w:tc>
          <w:tcPr>
            <w:tcW w:w="5573" w:type="dxa"/>
          </w:tcPr>
          <w:p w14:paraId="11B6D2A6" w14:textId="77777777" w:rsidR="00C663A3" w:rsidRPr="00FC4FEB" w:rsidRDefault="008853CF" w:rsidP="000A5925">
            <w:pPr>
              <w:jc w:val="both"/>
              <w:rPr>
                <w:sz w:val="20"/>
              </w:rPr>
            </w:pPr>
            <w:r w:rsidRPr="00FC4FEB">
              <w:rPr>
                <w:sz w:val="20"/>
              </w:rPr>
              <w:t>Approved t</w:t>
            </w:r>
            <w:r w:rsidR="00C663A3" w:rsidRPr="00FC4FEB">
              <w:rPr>
                <w:sz w:val="20"/>
              </w:rPr>
              <w:t xml:space="preserve">he Implementing Rules and Regulations (IRR) of Republic Act 10668 or the Foreign Ships Co-Loading Act through the Joint </w:t>
            </w:r>
            <w:proofErr w:type="spellStart"/>
            <w:r w:rsidR="00C663A3" w:rsidRPr="00FC4FEB">
              <w:rPr>
                <w:sz w:val="20"/>
              </w:rPr>
              <w:t>Administartive</w:t>
            </w:r>
            <w:proofErr w:type="spellEnd"/>
            <w:r w:rsidR="00C663A3" w:rsidRPr="00FC4FEB">
              <w:rPr>
                <w:sz w:val="20"/>
              </w:rPr>
              <w:t xml:space="preserve"> Order No. 001-006. On 24 May 2016</w:t>
            </w:r>
            <w:r w:rsidR="00C30236" w:rsidRPr="00FC4FEB">
              <w:rPr>
                <w:sz w:val="20"/>
              </w:rPr>
              <w:t>.</w:t>
            </w:r>
            <w:r w:rsidR="00C663A3" w:rsidRPr="00FC4FEB">
              <w:rPr>
                <w:sz w:val="20"/>
              </w:rPr>
              <w:t xml:space="preserve"> </w:t>
            </w:r>
            <w:r w:rsidR="00C30236" w:rsidRPr="00FC4FEB">
              <w:rPr>
                <w:sz w:val="20"/>
              </w:rPr>
              <w:t>T</w:t>
            </w:r>
            <w:r w:rsidR="00C663A3" w:rsidRPr="00FC4FEB">
              <w:rPr>
                <w:sz w:val="20"/>
              </w:rPr>
              <w:t>he Bureau of Customs disseminated the said IRR to all concerned government offices through Customs Memorandum Circular No. 77-2016.</w:t>
            </w:r>
          </w:p>
          <w:p w14:paraId="2DBBE905" w14:textId="77777777" w:rsidR="00C663A3" w:rsidRPr="00FC4FEB" w:rsidRDefault="00C663A3" w:rsidP="000A5925">
            <w:pPr>
              <w:jc w:val="both"/>
              <w:rPr>
                <w:sz w:val="20"/>
              </w:rPr>
            </w:pPr>
          </w:p>
          <w:p w14:paraId="1CE73FEF" w14:textId="77777777" w:rsidR="00C663A3" w:rsidRPr="00FC4FEB" w:rsidRDefault="00DD2371" w:rsidP="000A5925">
            <w:pPr>
              <w:jc w:val="both"/>
              <w:rPr>
                <w:sz w:val="20"/>
              </w:rPr>
            </w:pPr>
            <w:r w:rsidRPr="00FC4FEB">
              <w:rPr>
                <w:sz w:val="20"/>
              </w:rPr>
              <w:t>P</w:t>
            </w:r>
            <w:r w:rsidR="00C663A3" w:rsidRPr="00FC4FEB">
              <w:rPr>
                <w:sz w:val="20"/>
              </w:rPr>
              <w:t xml:space="preserve">articipating in the Train for Trade Port Management programme which links performance indicators to strategic objectives of port communities. Port surveys are conducted </w:t>
            </w:r>
            <w:r w:rsidR="00652550" w:rsidRPr="00FC4FEB">
              <w:rPr>
                <w:sz w:val="20"/>
              </w:rPr>
              <w:t xml:space="preserve">to provide valuable information about port types, historical context, legislative background, </w:t>
            </w:r>
            <w:proofErr w:type="spellStart"/>
            <w:r w:rsidR="00652550" w:rsidRPr="00FC4FEB">
              <w:rPr>
                <w:sz w:val="20"/>
              </w:rPr>
              <w:t>functionl</w:t>
            </w:r>
            <w:proofErr w:type="spellEnd"/>
            <w:r w:rsidR="00652550" w:rsidRPr="00FC4FEB">
              <w:rPr>
                <w:sz w:val="20"/>
              </w:rPr>
              <w:t xml:space="preserve"> model and insights in port service management.</w:t>
            </w:r>
          </w:p>
          <w:p w14:paraId="6E8C6281" w14:textId="77777777" w:rsidR="00C663A3" w:rsidRPr="00FC4FEB" w:rsidRDefault="00C663A3" w:rsidP="00993030">
            <w:pPr>
              <w:jc w:val="both"/>
              <w:rPr>
                <w:sz w:val="20"/>
              </w:rPr>
            </w:pPr>
          </w:p>
          <w:p w14:paraId="1AABCEED" w14:textId="77777777" w:rsidR="00BB17DC" w:rsidRPr="00FC4FEB" w:rsidRDefault="00EA2EDD" w:rsidP="00993030">
            <w:pPr>
              <w:jc w:val="both"/>
              <w:rPr>
                <w:sz w:val="20"/>
              </w:rPr>
            </w:pPr>
            <w:r w:rsidRPr="00FC4FEB">
              <w:rPr>
                <w:sz w:val="20"/>
              </w:rPr>
              <w:t>Launched t</w:t>
            </w:r>
            <w:r w:rsidR="00AC30F7" w:rsidRPr="00FC4FEB">
              <w:rPr>
                <w:sz w:val="20"/>
              </w:rPr>
              <w:t xml:space="preserve">he 10-year Maritime Industry Development Program (MIDP) </w:t>
            </w:r>
            <w:r w:rsidRPr="00FC4FEB">
              <w:rPr>
                <w:sz w:val="20"/>
              </w:rPr>
              <w:t>o</w:t>
            </w:r>
            <w:r w:rsidR="00AC30F7" w:rsidRPr="00FC4FEB">
              <w:rPr>
                <w:sz w:val="20"/>
              </w:rPr>
              <w:t>n 01 June 2017 to further strengthen the country’s position as a major maritime nation and to develop our maritime industry.</w:t>
            </w:r>
          </w:p>
          <w:p w14:paraId="4C2E087A" w14:textId="77777777" w:rsidR="00AC30F7" w:rsidRPr="00FC4FEB" w:rsidRDefault="00AC30F7">
            <w:pPr>
              <w:jc w:val="both"/>
              <w:rPr>
                <w:sz w:val="20"/>
              </w:rPr>
            </w:pPr>
          </w:p>
          <w:p w14:paraId="1D081ADF" w14:textId="77777777" w:rsidR="00AC30F7" w:rsidRPr="00FC4FEB" w:rsidRDefault="00EA2EDD">
            <w:pPr>
              <w:jc w:val="both"/>
              <w:rPr>
                <w:sz w:val="20"/>
              </w:rPr>
            </w:pPr>
            <w:r w:rsidRPr="00FC4FEB">
              <w:rPr>
                <w:sz w:val="20"/>
              </w:rPr>
              <w:t xml:space="preserve">Issued Administrative Order No. 17-16 which mandates </w:t>
            </w:r>
            <w:r w:rsidR="00AC30F7" w:rsidRPr="00FC4FEB">
              <w:rPr>
                <w:sz w:val="20"/>
              </w:rPr>
              <w:t xml:space="preserve">all service units of the MARINA in the Central and Regional Offices to implement the three (3) day policy as the maximum standard processing time. Documentary requirements were also streamlined to barest minimum and redundancy in processing and documentation were removed. </w:t>
            </w:r>
          </w:p>
          <w:p w14:paraId="5AFB9BBA" w14:textId="77777777" w:rsidR="00AC30F7" w:rsidRPr="00FC4FEB" w:rsidRDefault="00AC30F7">
            <w:pPr>
              <w:jc w:val="both"/>
              <w:rPr>
                <w:sz w:val="20"/>
              </w:rPr>
            </w:pPr>
          </w:p>
          <w:p w14:paraId="019209B0" w14:textId="77777777" w:rsidR="00AC30F7" w:rsidRPr="00FC4FEB" w:rsidRDefault="00C30236">
            <w:pPr>
              <w:jc w:val="both"/>
              <w:rPr>
                <w:sz w:val="20"/>
              </w:rPr>
            </w:pPr>
            <w:r w:rsidRPr="00FC4FEB">
              <w:rPr>
                <w:sz w:val="20"/>
              </w:rPr>
              <w:t>Issued</w:t>
            </w:r>
            <w:r w:rsidR="00096151" w:rsidRPr="00FC4FEB">
              <w:rPr>
                <w:sz w:val="20"/>
              </w:rPr>
              <w:t xml:space="preserve"> MARINA Circular No. 2016-05 and MARINA Advisory No. 2016-18 which extends t</w:t>
            </w:r>
            <w:r w:rsidR="00AC30F7" w:rsidRPr="00FC4FEB">
              <w:rPr>
                <w:sz w:val="20"/>
              </w:rPr>
              <w:t xml:space="preserve">he validity of the Seafarer’s Identification and Record Book from five (5) to ten (10) </w:t>
            </w:r>
            <w:proofErr w:type="gramStart"/>
            <w:r w:rsidR="00AC30F7" w:rsidRPr="00FC4FEB">
              <w:rPr>
                <w:sz w:val="20"/>
              </w:rPr>
              <w:t>years</w:t>
            </w:r>
            <w:r w:rsidR="00096151" w:rsidRPr="00FC4FEB">
              <w:rPr>
                <w:sz w:val="20"/>
              </w:rPr>
              <w:t>.</w:t>
            </w:r>
            <w:r w:rsidR="00AC30F7" w:rsidRPr="00FC4FEB">
              <w:rPr>
                <w:sz w:val="20"/>
              </w:rPr>
              <w:t>.</w:t>
            </w:r>
            <w:proofErr w:type="gramEnd"/>
            <w:r w:rsidR="00AC30F7" w:rsidRPr="00FC4FEB">
              <w:rPr>
                <w:sz w:val="20"/>
              </w:rPr>
              <w:t xml:space="preserve"> </w:t>
            </w:r>
          </w:p>
          <w:p w14:paraId="5A8A539E" w14:textId="77777777" w:rsidR="000A5197" w:rsidRPr="00FC4FEB" w:rsidRDefault="000A5197">
            <w:pPr>
              <w:jc w:val="both"/>
              <w:rPr>
                <w:sz w:val="20"/>
              </w:rPr>
            </w:pPr>
          </w:p>
          <w:p w14:paraId="07B6B476" w14:textId="77777777" w:rsidR="000A5197" w:rsidRPr="00FC4FEB" w:rsidRDefault="000A5197">
            <w:pPr>
              <w:jc w:val="both"/>
              <w:rPr>
                <w:sz w:val="20"/>
              </w:rPr>
            </w:pPr>
            <w:r w:rsidRPr="00FC4FEB">
              <w:rPr>
                <w:sz w:val="20"/>
              </w:rPr>
              <w:t>Issu</w:t>
            </w:r>
            <w:r w:rsidR="00C30236" w:rsidRPr="00FC4FEB">
              <w:rPr>
                <w:sz w:val="20"/>
              </w:rPr>
              <w:t>ed</w:t>
            </w:r>
            <w:r w:rsidRPr="00FC4FEB">
              <w:rPr>
                <w:sz w:val="20"/>
              </w:rPr>
              <w:t xml:space="preserve"> MARINA Circular No. 2016-02, the Revised Rules on the Phase out of Wooden-hulled Ships Carrying Passengers in </w:t>
            </w:r>
            <w:r w:rsidRPr="00FC4FEB">
              <w:rPr>
                <w:sz w:val="20"/>
              </w:rPr>
              <w:lastRenderedPageBreak/>
              <w:t>Domestic Shipping, and MARINA Advisory No. 2016-10, Registration of Wooden-hulled Passenger Ships/</w:t>
            </w:r>
            <w:proofErr w:type="spellStart"/>
            <w:r w:rsidRPr="00FC4FEB">
              <w:rPr>
                <w:sz w:val="20"/>
              </w:rPr>
              <w:t>Motorbancas</w:t>
            </w:r>
            <w:proofErr w:type="spellEnd"/>
            <w:r w:rsidRPr="00FC4FEB">
              <w:rPr>
                <w:sz w:val="20"/>
              </w:rPr>
              <w:t xml:space="preserve"> in the Domestic Shipping.</w:t>
            </w:r>
          </w:p>
        </w:tc>
        <w:tc>
          <w:tcPr>
            <w:tcW w:w="5471" w:type="dxa"/>
          </w:tcPr>
          <w:p w14:paraId="0735CC91" w14:textId="77777777" w:rsidR="00EA2EDD" w:rsidRPr="00FC4FEB" w:rsidRDefault="00EA2EDD">
            <w:pPr>
              <w:jc w:val="both"/>
              <w:rPr>
                <w:sz w:val="20"/>
              </w:rPr>
            </w:pPr>
            <w:r w:rsidRPr="00FC4FEB">
              <w:rPr>
                <w:sz w:val="20"/>
              </w:rPr>
              <w:lastRenderedPageBreak/>
              <w:t>Continu</w:t>
            </w:r>
            <w:r w:rsidR="00932776" w:rsidRPr="00FC4FEB">
              <w:rPr>
                <w:sz w:val="20"/>
              </w:rPr>
              <w:t>e to</w:t>
            </w:r>
            <w:r w:rsidRPr="00FC4FEB">
              <w:rPr>
                <w:sz w:val="20"/>
              </w:rPr>
              <w:t xml:space="preserve"> draft and implement policies related to the mandate of the MARINA as the single maritime administration for the enforcement of the </w:t>
            </w:r>
            <w:proofErr w:type="spellStart"/>
            <w:r w:rsidRPr="00FC4FEB">
              <w:rPr>
                <w:sz w:val="20"/>
              </w:rPr>
              <w:t>Interntional</w:t>
            </w:r>
            <w:proofErr w:type="spellEnd"/>
            <w:r w:rsidRPr="00FC4FEB">
              <w:rPr>
                <w:sz w:val="20"/>
              </w:rPr>
              <w:t xml:space="preserve"> Convention on Standards of Training, Certification and </w:t>
            </w:r>
            <w:proofErr w:type="spellStart"/>
            <w:r w:rsidRPr="00FC4FEB">
              <w:rPr>
                <w:sz w:val="20"/>
              </w:rPr>
              <w:t>Watchkeeping</w:t>
            </w:r>
            <w:proofErr w:type="spellEnd"/>
            <w:r w:rsidRPr="00FC4FEB">
              <w:rPr>
                <w:sz w:val="20"/>
              </w:rPr>
              <w:t xml:space="preserve"> (STCW) through Republic Act No. 10635.</w:t>
            </w:r>
          </w:p>
          <w:p w14:paraId="35F584E8" w14:textId="77777777" w:rsidR="00096151" w:rsidRPr="00FC4FEB" w:rsidRDefault="00096151">
            <w:pPr>
              <w:jc w:val="both"/>
              <w:rPr>
                <w:sz w:val="20"/>
              </w:rPr>
            </w:pPr>
          </w:p>
          <w:p w14:paraId="26F894E5" w14:textId="77777777" w:rsidR="00096151" w:rsidRPr="00FC4FEB" w:rsidRDefault="00096151">
            <w:pPr>
              <w:jc w:val="both"/>
              <w:rPr>
                <w:sz w:val="20"/>
              </w:rPr>
            </w:pPr>
            <w:r w:rsidRPr="00FC4FEB">
              <w:rPr>
                <w:sz w:val="20"/>
              </w:rPr>
              <w:t>Further enhance policies, plans and programs for the modernization of the Philippine merchant fleet through research, conduct of studies, trainings, seminars as spearheaded by the Shipyards Regulation Service in coordination with concerned MARINA service units, by virtue of Republic Act No. 9295.</w:t>
            </w:r>
          </w:p>
          <w:p w14:paraId="2974DC26" w14:textId="77777777" w:rsidR="00096151" w:rsidRPr="00FC4FEB" w:rsidRDefault="00096151">
            <w:pPr>
              <w:jc w:val="both"/>
              <w:rPr>
                <w:sz w:val="20"/>
              </w:rPr>
            </w:pPr>
          </w:p>
          <w:p w14:paraId="032E782C" w14:textId="77777777" w:rsidR="00F22EE7" w:rsidRPr="00FC4FEB" w:rsidRDefault="00C30236" w:rsidP="00F22EE7">
            <w:pPr>
              <w:jc w:val="both"/>
              <w:rPr>
                <w:sz w:val="20"/>
              </w:rPr>
            </w:pPr>
            <w:r w:rsidRPr="00FC4FEB">
              <w:rPr>
                <w:sz w:val="20"/>
              </w:rPr>
              <w:t>O</w:t>
            </w:r>
            <w:r w:rsidR="00F22EE7" w:rsidRPr="00FC4FEB">
              <w:rPr>
                <w:sz w:val="20"/>
              </w:rPr>
              <w:t>ptimize the utilization of existing ports</w:t>
            </w:r>
            <w:r w:rsidRPr="00FC4FEB">
              <w:rPr>
                <w:sz w:val="20"/>
              </w:rPr>
              <w:t xml:space="preserve"> in the country</w:t>
            </w:r>
            <w:r w:rsidR="00F22EE7" w:rsidRPr="00FC4FEB">
              <w:rPr>
                <w:sz w:val="20"/>
              </w:rPr>
              <w:t xml:space="preserve">. A more direct connection between Manila and </w:t>
            </w:r>
            <w:proofErr w:type="spellStart"/>
            <w:r w:rsidR="00F22EE7" w:rsidRPr="00FC4FEB">
              <w:rPr>
                <w:sz w:val="20"/>
              </w:rPr>
              <w:t>Batangas</w:t>
            </w:r>
            <w:proofErr w:type="spellEnd"/>
            <w:r w:rsidR="00F22EE7" w:rsidRPr="00FC4FEB">
              <w:rPr>
                <w:sz w:val="20"/>
              </w:rPr>
              <w:t xml:space="preserve"> Ports will be explored and co-loading will be implemented to encourage shipment between domestic ports. </w:t>
            </w:r>
          </w:p>
          <w:p w14:paraId="28C4E5B6" w14:textId="77777777" w:rsidR="00BB17DC" w:rsidRPr="00FC4FEB" w:rsidRDefault="00BB17DC">
            <w:pPr>
              <w:jc w:val="both"/>
              <w:rPr>
                <w:sz w:val="20"/>
              </w:rPr>
            </w:pPr>
          </w:p>
        </w:tc>
      </w:tr>
      <w:tr w:rsidR="00FC4FEB" w:rsidRPr="00FC4FEB" w14:paraId="336136B1" w14:textId="77777777" w:rsidTr="00810BCF">
        <w:tc>
          <w:tcPr>
            <w:tcW w:w="3520" w:type="dxa"/>
          </w:tcPr>
          <w:p w14:paraId="23A3C23F" w14:textId="77777777" w:rsidR="00505176" w:rsidRPr="00FC4FEB" w:rsidRDefault="00BB17DC" w:rsidP="00CD4015">
            <w:pPr>
              <w:spacing w:line="224" w:lineRule="exact"/>
              <w:ind w:left="100"/>
              <w:jc w:val="both"/>
              <w:rPr>
                <w:i/>
                <w:sz w:val="20"/>
              </w:rPr>
            </w:pPr>
            <w:r w:rsidRPr="00FC4FEB">
              <w:rPr>
                <w:i/>
                <w:sz w:val="20"/>
              </w:rPr>
              <w:lastRenderedPageBreak/>
              <w:t>Website for further information:</w:t>
            </w:r>
          </w:p>
        </w:tc>
        <w:tc>
          <w:tcPr>
            <w:tcW w:w="5573" w:type="dxa"/>
          </w:tcPr>
          <w:p w14:paraId="5C5FBB49" w14:textId="77777777" w:rsidR="00505176" w:rsidRPr="00FC4FEB" w:rsidRDefault="00B146C8" w:rsidP="00CD4015">
            <w:pPr>
              <w:jc w:val="both"/>
              <w:rPr>
                <w:sz w:val="20"/>
              </w:rPr>
            </w:pPr>
            <w:hyperlink r:id="rId16" w:history="1">
              <w:r w:rsidR="000A5197" w:rsidRPr="00FC4FEB">
                <w:rPr>
                  <w:rStyle w:val="Hyperlink"/>
                  <w:color w:val="auto"/>
                  <w:sz w:val="20"/>
                </w:rPr>
                <w:t>http://www.marina.gov.ph/</w:t>
              </w:r>
            </w:hyperlink>
          </w:p>
        </w:tc>
        <w:tc>
          <w:tcPr>
            <w:tcW w:w="5471" w:type="dxa"/>
          </w:tcPr>
          <w:p w14:paraId="5FA0B589" w14:textId="77777777" w:rsidR="00BB17DC" w:rsidRPr="00FC4FEB" w:rsidRDefault="00BB17DC" w:rsidP="000A5925">
            <w:pPr>
              <w:jc w:val="both"/>
              <w:rPr>
                <w:sz w:val="20"/>
              </w:rPr>
            </w:pPr>
          </w:p>
        </w:tc>
      </w:tr>
      <w:tr w:rsidR="00FC4FEB" w:rsidRPr="00FC4FEB" w14:paraId="20D1BA5B" w14:textId="77777777" w:rsidTr="00810BCF">
        <w:tc>
          <w:tcPr>
            <w:tcW w:w="3520" w:type="dxa"/>
          </w:tcPr>
          <w:p w14:paraId="337BE9AF" w14:textId="77777777" w:rsidR="00505176" w:rsidRPr="00FC4FEB" w:rsidRDefault="00BB17DC" w:rsidP="00CD4015">
            <w:pPr>
              <w:spacing w:line="224" w:lineRule="exact"/>
              <w:ind w:left="100"/>
              <w:jc w:val="both"/>
              <w:rPr>
                <w:i/>
                <w:sz w:val="20"/>
              </w:rPr>
            </w:pPr>
            <w:r w:rsidRPr="00FC4FEB">
              <w:rPr>
                <w:i/>
                <w:sz w:val="20"/>
              </w:rPr>
              <w:t>Contact point for further details:</w:t>
            </w:r>
          </w:p>
        </w:tc>
        <w:tc>
          <w:tcPr>
            <w:tcW w:w="5573" w:type="dxa"/>
          </w:tcPr>
          <w:p w14:paraId="33C0C00F" w14:textId="77777777" w:rsidR="00505176" w:rsidRPr="00FC4FEB" w:rsidRDefault="000A5197" w:rsidP="00CD4015">
            <w:pPr>
              <w:jc w:val="both"/>
              <w:rPr>
                <w:sz w:val="20"/>
              </w:rPr>
            </w:pPr>
            <w:r w:rsidRPr="00FC4FEB">
              <w:rPr>
                <w:sz w:val="20"/>
              </w:rPr>
              <w:t xml:space="preserve">Administrator </w:t>
            </w:r>
            <w:proofErr w:type="spellStart"/>
            <w:r w:rsidRPr="00FC4FEB">
              <w:rPr>
                <w:sz w:val="20"/>
              </w:rPr>
              <w:t>Marcial</w:t>
            </w:r>
            <w:proofErr w:type="spellEnd"/>
            <w:r w:rsidRPr="00FC4FEB">
              <w:rPr>
                <w:sz w:val="20"/>
              </w:rPr>
              <w:t xml:space="preserve"> </w:t>
            </w:r>
            <w:proofErr w:type="spellStart"/>
            <w:r w:rsidRPr="00FC4FEB">
              <w:rPr>
                <w:sz w:val="20"/>
              </w:rPr>
              <w:t>Quirico</w:t>
            </w:r>
            <w:proofErr w:type="spellEnd"/>
            <w:r w:rsidRPr="00FC4FEB">
              <w:rPr>
                <w:sz w:val="20"/>
              </w:rPr>
              <w:t xml:space="preserve"> C. </w:t>
            </w:r>
            <w:proofErr w:type="spellStart"/>
            <w:r w:rsidRPr="00FC4FEB">
              <w:rPr>
                <w:sz w:val="20"/>
              </w:rPr>
              <w:t>Amaro</w:t>
            </w:r>
            <w:proofErr w:type="spellEnd"/>
            <w:r w:rsidRPr="00FC4FEB">
              <w:rPr>
                <w:sz w:val="20"/>
              </w:rPr>
              <w:t xml:space="preserve"> III, PhD</w:t>
            </w:r>
          </w:p>
          <w:p w14:paraId="0494BEFE" w14:textId="77777777" w:rsidR="00505176" w:rsidRPr="00FC4FEB" w:rsidRDefault="000A5197" w:rsidP="00CD4015">
            <w:pPr>
              <w:jc w:val="both"/>
              <w:rPr>
                <w:sz w:val="20"/>
              </w:rPr>
            </w:pPr>
            <w:r w:rsidRPr="00FC4FEB">
              <w:rPr>
                <w:sz w:val="20"/>
              </w:rPr>
              <w:t>Maritime Industry Authority</w:t>
            </w:r>
          </w:p>
          <w:p w14:paraId="596FCAF2" w14:textId="77777777" w:rsidR="00505176" w:rsidRPr="00FC4FEB" w:rsidRDefault="000A5197" w:rsidP="00CD4015">
            <w:pPr>
              <w:jc w:val="both"/>
              <w:rPr>
                <w:sz w:val="20"/>
              </w:rPr>
            </w:pPr>
            <w:r w:rsidRPr="00FC4FEB">
              <w:rPr>
                <w:sz w:val="20"/>
              </w:rPr>
              <w:t xml:space="preserve">984 Parkview Plaza, Taft Avenue cor. </w:t>
            </w:r>
            <w:proofErr w:type="spellStart"/>
            <w:r w:rsidRPr="00FC4FEB">
              <w:rPr>
                <w:sz w:val="20"/>
              </w:rPr>
              <w:t>Kalaw</w:t>
            </w:r>
            <w:proofErr w:type="spellEnd"/>
            <w:r w:rsidRPr="00FC4FEB">
              <w:rPr>
                <w:sz w:val="20"/>
              </w:rPr>
              <w:t xml:space="preserve"> St.,</w:t>
            </w:r>
          </w:p>
          <w:p w14:paraId="30C99A5B" w14:textId="77777777" w:rsidR="00505176" w:rsidRPr="00FC4FEB" w:rsidRDefault="000A5197" w:rsidP="00CD4015">
            <w:pPr>
              <w:jc w:val="both"/>
              <w:rPr>
                <w:sz w:val="20"/>
              </w:rPr>
            </w:pPr>
            <w:r w:rsidRPr="00FC4FEB">
              <w:rPr>
                <w:sz w:val="20"/>
              </w:rPr>
              <w:t>Manila</w:t>
            </w:r>
          </w:p>
          <w:p w14:paraId="413352E0" w14:textId="77777777" w:rsidR="00505176" w:rsidRPr="00FC4FEB" w:rsidRDefault="000A5197" w:rsidP="00CD4015">
            <w:pPr>
              <w:jc w:val="both"/>
              <w:rPr>
                <w:sz w:val="20"/>
              </w:rPr>
            </w:pPr>
            <w:r w:rsidRPr="00FC4FEB">
              <w:rPr>
                <w:sz w:val="20"/>
              </w:rPr>
              <w:t>oadm@marina.gov.ph</w:t>
            </w:r>
          </w:p>
        </w:tc>
        <w:tc>
          <w:tcPr>
            <w:tcW w:w="5471" w:type="dxa"/>
          </w:tcPr>
          <w:p w14:paraId="68FF2F98" w14:textId="77777777" w:rsidR="00BB17DC" w:rsidRPr="00FC4FEB" w:rsidRDefault="00BB17DC" w:rsidP="000A5925">
            <w:pPr>
              <w:jc w:val="both"/>
              <w:rPr>
                <w:sz w:val="20"/>
              </w:rPr>
            </w:pPr>
          </w:p>
        </w:tc>
      </w:tr>
      <w:tr w:rsidR="00FC4FEB" w:rsidRPr="00FC4FEB" w14:paraId="57F31D5A" w14:textId="77777777" w:rsidTr="00810BCF">
        <w:tc>
          <w:tcPr>
            <w:tcW w:w="3520" w:type="dxa"/>
          </w:tcPr>
          <w:p w14:paraId="28E6EA42" w14:textId="77777777" w:rsidR="00505176" w:rsidRPr="00FC4FEB" w:rsidRDefault="00BB17DC" w:rsidP="00CD4015">
            <w:pPr>
              <w:spacing w:line="224" w:lineRule="exact"/>
              <w:ind w:left="100"/>
              <w:jc w:val="both"/>
              <w:rPr>
                <w:b/>
                <w:i/>
                <w:sz w:val="20"/>
              </w:rPr>
            </w:pPr>
            <w:r w:rsidRPr="00FC4FEB">
              <w:rPr>
                <w:b/>
                <w:i/>
                <w:sz w:val="20"/>
              </w:rPr>
              <w:t>Services</w:t>
            </w:r>
          </w:p>
          <w:p w14:paraId="3DB5BE78" w14:textId="77777777" w:rsidR="00505176" w:rsidRPr="00FC4FEB" w:rsidRDefault="00505176" w:rsidP="00CD4015">
            <w:pPr>
              <w:spacing w:line="224" w:lineRule="exact"/>
              <w:ind w:left="100"/>
              <w:jc w:val="both"/>
              <w:rPr>
                <w:b/>
                <w:i/>
                <w:sz w:val="20"/>
              </w:rPr>
            </w:pPr>
          </w:p>
          <w:p w14:paraId="0058C8EE" w14:textId="77777777" w:rsidR="00505176" w:rsidRPr="00FC4FEB" w:rsidRDefault="00BB17DC" w:rsidP="00CD4015">
            <w:pPr>
              <w:spacing w:line="224" w:lineRule="exact"/>
              <w:ind w:left="100"/>
              <w:jc w:val="both"/>
              <w:rPr>
                <w:b/>
                <w:i/>
                <w:sz w:val="20"/>
              </w:rPr>
            </w:pPr>
            <w:r w:rsidRPr="00FC4FEB">
              <w:rPr>
                <w:b/>
                <w:i/>
                <w:sz w:val="20"/>
              </w:rPr>
              <w:t>Tourism</w:t>
            </w:r>
          </w:p>
        </w:tc>
        <w:tc>
          <w:tcPr>
            <w:tcW w:w="5573" w:type="dxa"/>
          </w:tcPr>
          <w:p w14:paraId="692102F0" w14:textId="77777777" w:rsidR="00505176" w:rsidRPr="00FC4FEB" w:rsidRDefault="006B5967" w:rsidP="00CD4015">
            <w:pPr>
              <w:jc w:val="both"/>
              <w:rPr>
                <w:sz w:val="20"/>
              </w:rPr>
            </w:pPr>
            <w:r w:rsidRPr="00FC4FEB">
              <w:rPr>
                <w:sz w:val="20"/>
              </w:rPr>
              <w:t xml:space="preserve">Developed the National Tourism Development Plan (NTDP) 2016-2022 which seeks to build and upscale the implementation of tourism programs through a focused and prioritized approach which is designed to deliver a more competitive, sustainable and inclusive tourism sector. </w:t>
            </w:r>
          </w:p>
          <w:p w14:paraId="327A9F09" w14:textId="77777777" w:rsidR="00505176" w:rsidRPr="00FC4FEB" w:rsidRDefault="00505176" w:rsidP="00CD4015">
            <w:pPr>
              <w:jc w:val="both"/>
              <w:rPr>
                <w:sz w:val="20"/>
              </w:rPr>
            </w:pPr>
          </w:p>
          <w:p w14:paraId="2533E913" w14:textId="77777777" w:rsidR="00505176" w:rsidRPr="00FC4FEB" w:rsidRDefault="000F251F" w:rsidP="00CD4015">
            <w:pPr>
              <w:jc w:val="both"/>
              <w:rPr>
                <w:sz w:val="20"/>
              </w:rPr>
            </w:pPr>
            <w:r w:rsidRPr="00FC4FEB">
              <w:rPr>
                <w:sz w:val="20"/>
              </w:rPr>
              <w:t>Launched Transforming Tourism Value Chains in Developing Countries and Small Islands and Developing States (SIDS) to accelerate more resource efficient, low carbon development project. It closes the gaps related to the tourism sector’s contribution to GHG emission reduction and compliance with the Paris Agreement and the 2030 Sustainable Development Agenda.</w:t>
            </w:r>
          </w:p>
          <w:p w14:paraId="53813858" w14:textId="77777777" w:rsidR="00505176" w:rsidRPr="00FC4FEB" w:rsidRDefault="00505176" w:rsidP="00CD4015">
            <w:pPr>
              <w:jc w:val="both"/>
              <w:rPr>
                <w:sz w:val="20"/>
              </w:rPr>
            </w:pPr>
          </w:p>
          <w:p w14:paraId="1F5B7BE3" w14:textId="77777777" w:rsidR="00505176" w:rsidRPr="00FC4FEB" w:rsidRDefault="000F251F" w:rsidP="00CD4015">
            <w:pPr>
              <w:jc w:val="both"/>
              <w:rPr>
                <w:sz w:val="20"/>
              </w:rPr>
            </w:pPr>
            <w:r w:rsidRPr="00FC4FEB">
              <w:rPr>
                <w:sz w:val="20"/>
              </w:rPr>
              <w:t>Launched the Philippine Assessment and Certification for Tourism Professionals in January 2015 and September 2017 in Metro Manila and Iloilo City, respectively.</w:t>
            </w:r>
          </w:p>
        </w:tc>
        <w:tc>
          <w:tcPr>
            <w:tcW w:w="5471" w:type="dxa"/>
          </w:tcPr>
          <w:p w14:paraId="13AC66DE" w14:textId="77777777" w:rsidR="00505176" w:rsidRPr="00FC4FEB" w:rsidRDefault="00096151" w:rsidP="00CD4015">
            <w:pPr>
              <w:jc w:val="both"/>
              <w:rPr>
                <w:sz w:val="20"/>
              </w:rPr>
            </w:pPr>
            <w:r w:rsidRPr="00FC4FEB">
              <w:rPr>
                <w:sz w:val="20"/>
              </w:rPr>
              <w:t>Continued implementation of the 10 Year Framework of Programmes on Sustainable Consumption and Production Patterns (10YFP)</w:t>
            </w:r>
            <w:r w:rsidR="000F251F" w:rsidRPr="00FC4FEB">
              <w:rPr>
                <w:sz w:val="20"/>
              </w:rPr>
              <w:t xml:space="preserve"> by integrating Sustainable Consumption and Production (SCP) principles and </w:t>
            </w:r>
            <w:proofErr w:type="spellStart"/>
            <w:r w:rsidR="000F251F" w:rsidRPr="00FC4FEB">
              <w:rPr>
                <w:sz w:val="20"/>
              </w:rPr>
              <w:t>parcatices</w:t>
            </w:r>
            <w:proofErr w:type="spellEnd"/>
            <w:r w:rsidR="000F251F" w:rsidRPr="00FC4FEB">
              <w:rPr>
                <w:sz w:val="20"/>
              </w:rPr>
              <w:t xml:space="preserve"> in the development of the Philippines’ strategies </w:t>
            </w:r>
            <w:proofErr w:type="spellStart"/>
            <w:r w:rsidR="000F251F" w:rsidRPr="00FC4FEB">
              <w:rPr>
                <w:sz w:val="20"/>
              </w:rPr>
              <w:t>anc</w:t>
            </w:r>
            <w:proofErr w:type="spellEnd"/>
            <w:r w:rsidR="000F251F" w:rsidRPr="00FC4FEB">
              <w:rPr>
                <w:sz w:val="20"/>
              </w:rPr>
              <w:t xml:space="preserve"> action plan with the help of Green Choice Philippines. The goal of the mainstreaming of the SCP is to drive the shift towards sustainable consumption and production in the Philippine tourism sector.</w:t>
            </w:r>
          </w:p>
        </w:tc>
      </w:tr>
      <w:tr w:rsidR="00FC4FEB" w:rsidRPr="00FC4FEB" w14:paraId="0FF7FB37" w14:textId="77777777" w:rsidTr="00810BCF">
        <w:tc>
          <w:tcPr>
            <w:tcW w:w="3520" w:type="dxa"/>
          </w:tcPr>
          <w:p w14:paraId="24B9E335" w14:textId="77777777" w:rsidR="00505176" w:rsidRPr="00FC4FEB" w:rsidRDefault="00BB17DC" w:rsidP="00CD4015">
            <w:pPr>
              <w:spacing w:line="224" w:lineRule="exact"/>
              <w:ind w:left="100"/>
              <w:jc w:val="both"/>
              <w:rPr>
                <w:i/>
                <w:sz w:val="20"/>
              </w:rPr>
            </w:pPr>
            <w:r w:rsidRPr="00FC4FEB">
              <w:rPr>
                <w:i/>
                <w:sz w:val="20"/>
              </w:rPr>
              <w:t>Website for further information:</w:t>
            </w:r>
          </w:p>
        </w:tc>
        <w:tc>
          <w:tcPr>
            <w:tcW w:w="5573" w:type="dxa"/>
          </w:tcPr>
          <w:p w14:paraId="0A4E361C" w14:textId="77777777" w:rsidR="00505176" w:rsidRPr="00FC4FEB" w:rsidRDefault="00BB17DC" w:rsidP="00CD4015">
            <w:pPr>
              <w:jc w:val="both"/>
              <w:rPr>
                <w:sz w:val="20"/>
              </w:rPr>
            </w:pPr>
            <w:r w:rsidRPr="00FC4FEB">
              <w:rPr>
                <w:sz w:val="20"/>
              </w:rPr>
              <w:t xml:space="preserve"> </w:t>
            </w:r>
            <w:hyperlink r:id="rId17" w:history="1">
              <w:r w:rsidR="006B5967" w:rsidRPr="00FC4FEB">
                <w:rPr>
                  <w:rStyle w:val="Hyperlink"/>
                  <w:color w:val="auto"/>
                  <w:sz w:val="20"/>
                </w:rPr>
                <w:t>http://web.tourism.gov.ph/</w:t>
              </w:r>
            </w:hyperlink>
          </w:p>
        </w:tc>
        <w:tc>
          <w:tcPr>
            <w:tcW w:w="5471" w:type="dxa"/>
          </w:tcPr>
          <w:p w14:paraId="757E7914" w14:textId="77777777" w:rsidR="00505176" w:rsidRPr="00FC4FEB" w:rsidRDefault="00505176" w:rsidP="00CD4015">
            <w:pPr>
              <w:jc w:val="both"/>
              <w:rPr>
                <w:i/>
                <w:sz w:val="20"/>
              </w:rPr>
            </w:pPr>
          </w:p>
        </w:tc>
      </w:tr>
      <w:tr w:rsidR="00FC4FEB" w:rsidRPr="00FC4FEB" w14:paraId="175211FE" w14:textId="77777777" w:rsidTr="00810BCF">
        <w:tc>
          <w:tcPr>
            <w:tcW w:w="3520" w:type="dxa"/>
          </w:tcPr>
          <w:p w14:paraId="376D25B4" w14:textId="77777777" w:rsidR="00505176" w:rsidRPr="00FC4FEB" w:rsidRDefault="00BB17DC" w:rsidP="00CD4015">
            <w:pPr>
              <w:spacing w:line="224" w:lineRule="exact"/>
              <w:ind w:left="100"/>
              <w:jc w:val="both"/>
              <w:rPr>
                <w:b/>
                <w:i/>
                <w:sz w:val="20"/>
              </w:rPr>
            </w:pPr>
            <w:r w:rsidRPr="00FC4FEB">
              <w:rPr>
                <w:i/>
                <w:sz w:val="20"/>
              </w:rPr>
              <w:t>Contact point for further details:</w:t>
            </w:r>
          </w:p>
        </w:tc>
        <w:tc>
          <w:tcPr>
            <w:tcW w:w="5573" w:type="dxa"/>
            <w:vAlign w:val="bottom"/>
          </w:tcPr>
          <w:p w14:paraId="714C311F" w14:textId="77777777" w:rsidR="00BB17DC" w:rsidRPr="00FC4FEB" w:rsidRDefault="006B5967" w:rsidP="000A5925">
            <w:pPr>
              <w:spacing w:line="0" w:lineRule="atLeast"/>
              <w:ind w:right="180"/>
              <w:jc w:val="both"/>
              <w:rPr>
                <w:sz w:val="20"/>
              </w:rPr>
            </w:pPr>
            <w:r w:rsidRPr="00FC4FEB">
              <w:rPr>
                <w:sz w:val="20"/>
              </w:rPr>
              <w:t xml:space="preserve">Undersecretary Rolando </w:t>
            </w:r>
            <w:proofErr w:type="spellStart"/>
            <w:r w:rsidRPr="00FC4FEB">
              <w:rPr>
                <w:sz w:val="20"/>
              </w:rPr>
              <w:t>Cañizal</w:t>
            </w:r>
            <w:proofErr w:type="spellEnd"/>
          </w:p>
          <w:p w14:paraId="13055E16" w14:textId="77777777" w:rsidR="006B5967" w:rsidRPr="00FC4FEB" w:rsidRDefault="006B5967" w:rsidP="000A5925">
            <w:pPr>
              <w:spacing w:line="0" w:lineRule="atLeast"/>
              <w:ind w:right="180"/>
              <w:jc w:val="both"/>
              <w:rPr>
                <w:sz w:val="20"/>
              </w:rPr>
            </w:pPr>
            <w:r w:rsidRPr="00FC4FEB">
              <w:rPr>
                <w:sz w:val="20"/>
              </w:rPr>
              <w:t>Department of Tourism</w:t>
            </w:r>
          </w:p>
          <w:p w14:paraId="4FF73427" w14:textId="77777777" w:rsidR="006B5967" w:rsidRPr="00FC4FEB" w:rsidRDefault="006B5967" w:rsidP="000A5925">
            <w:pPr>
              <w:spacing w:line="0" w:lineRule="atLeast"/>
              <w:ind w:right="180"/>
              <w:jc w:val="both"/>
              <w:rPr>
                <w:sz w:val="20"/>
              </w:rPr>
            </w:pPr>
            <w:r w:rsidRPr="00FC4FEB">
              <w:rPr>
                <w:sz w:val="20"/>
              </w:rPr>
              <w:t xml:space="preserve">DOT Bldg., 351 Sen. Gil </w:t>
            </w:r>
            <w:proofErr w:type="spellStart"/>
            <w:r w:rsidRPr="00FC4FEB">
              <w:rPr>
                <w:sz w:val="20"/>
              </w:rPr>
              <w:t>Puyat</w:t>
            </w:r>
            <w:proofErr w:type="spellEnd"/>
            <w:r w:rsidRPr="00FC4FEB">
              <w:rPr>
                <w:sz w:val="20"/>
              </w:rPr>
              <w:t xml:space="preserve"> Avenue 1200,</w:t>
            </w:r>
          </w:p>
          <w:p w14:paraId="5998A4EB" w14:textId="77777777" w:rsidR="006B5967" w:rsidRPr="00FC4FEB" w:rsidRDefault="006B5967" w:rsidP="000A5925">
            <w:pPr>
              <w:spacing w:line="0" w:lineRule="atLeast"/>
              <w:ind w:right="180"/>
              <w:jc w:val="both"/>
              <w:rPr>
                <w:sz w:val="20"/>
              </w:rPr>
            </w:pPr>
            <w:r w:rsidRPr="00FC4FEB">
              <w:rPr>
                <w:sz w:val="20"/>
              </w:rPr>
              <w:t>Makati City</w:t>
            </w:r>
          </w:p>
          <w:p w14:paraId="4FFBA2A9" w14:textId="77777777" w:rsidR="006B5967" w:rsidRPr="00FC4FEB" w:rsidRDefault="006B5967" w:rsidP="000A5925">
            <w:pPr>
              <w:spacing w:line="0" w:lineRule="atLeast"/>
              <w:ind w:right="180"/>
              <w:jc w:val="both"/>
              <w:rPr>
                <w:sz w:val="20"/>
              </w:rPr>
            </w:pPr>
            <w:proofErr w:type="spellStart"/>
            <w:r w:rsidRPr="00FC4FEB">
              <w:rPr>
                <w:sz w:val="20"/>
              </w:rPr>
              <w:t>Tel.No</w:t>
            </w:r>
            <w:proofErr w:type="spellEnd"/>
            <w:r w:rsidRPr="00FC4FEB">
              <w:rPr>
                <w:sz w:val="20"/>
              </w:rPr>
              <w:t>: (632) 459-5200 to 459-5230 loc. (212 and 232)</w:t>
            </w:r>
          </w:p>
        </w:tc>
        <w:tc>
          <w:tcPr>
            <w:tcW w:w="5471" w:type="dxa"/>
          </w:tcPr>
          <w:p w14:paraId="039C1EB1" w14:textId="77777777" w:rsidR="00505176" w:rsidRPr="00FC4FEB" w:rsidRDefault="00505176" w:rsidP="00CD4015">
            <w:pPr>
              <w:jc w:val="both"/>
              <w:rPr>
                <w:i/>
                <w:sz w:val="20"/>
              </w:rPr>
            </w:pPr>
          </w:p>
        </w:tc>
      </w:tr>
      <w:tr w:rsidR="00246288" w:rsidRPr="00FC4FEB" w14:paraId="4B66A2CE" w14:textId="77777777" w:rsidTr="00A057C8">
        <w:tc>
          <w:tcPr>
            <w:tcW w:w="3520" w:type="dxa"/>
          </w:tcPr>
          <w:p w14:paraId="48CD244D" w14:textId="77777777" w:rsidR="00246288" w:rsidRPr="00FC4FEB" w:rsidRDefault="00246288" w:rsidP="00A057C8">
            <w:pPr>
              <w:spacing w:line="224" w:lineRule="exact"/>
              <w:ind w:left="100"/>
              <w:jc w:val="both"/>
              <w:rPr>
                <w:b/>
                <w:i/>
                <w:sz w:val="20"/>
              </w:rPr>
            </w:pPr>
            <w:r w:rsidRPr="00FC4FEB">
              <w:rPr>
                <w:b/>
                <w:i/>
                <w:sz w:val="20"/>
              </w:rPr>
              <w:t>Services</w:t>
            </w:r>
          </w:p>
          <w:p w14:paraId="00F6806F" w14:textId="77777777" w:rsidR="00246288" w:rsidRPr="00FC4FEB" w:rsidRDefault="00246288" w:rsidP="00A057C8">
            <w:pPr>
              <w:spacing w:line="224" w:lineRule="exact"/>
              <w:ind w:left="100"/>
              <w:jc w:val="both"/>
              <w:rPr>
                <w:b/>
                <w:i/>
                <w:sz w:val="20"/>
              </w:rPr>
            </w:pPr>
          </w:p>
          <w:p w14:paraId="0BA9C95E" w14:textId="49C0373A" w:rsidR="00246288" w:rsidRPr="00FC4FEB" w:rsidRDefault="00A461D0" w:rsidP="00A057C8">
            <w:pPr>
              <w:spacing w:line="224" w:lineRule="exact"/>
              <w:ind w:left="100"/>
              <w:jc w:val="both"/>
              <w:rPr>
                <w:b/>
                <w:i/>
                <w:sz w:val="20"/>
              </w:rPr>
            </w:pPr>
            <w:r>
              <w:rPr>
                <w:b/>
                <w:i/>
                <w:sz w:val="20"/>
              </w:rPr>
              <w:t>ICT/</w:t>
            </w:r>
            <w:r w:rsidR="00246288">
              <w:rPr>
                <w:b/>
                <w:i/>
                <w:sz w:val="20"/>
              </w:rPr>
              <w:t>Telecommunications</w:t>
            </w:r>
          </w:p>
        </w:tc>
        <w:tc>
          <w:tcPr>
            <w:tcW w:w="5573" w:type="dxa"/>
          </w:tcPr>
          <w:p w14:paraId="6C9BB910" w14:textId="77777777" w:rsidR="000E3982" w:rsidRPr="000E3982" w:rsidRDefault="000E3982" w:rsidP="000E3982">
            <w:pPr>
              <w:jc w:val="both"/>
              <w:rPr>
                <w:sz w:val="20"/>
              </w:rPr>
            </w:pPr>
            <w:r>
              <w:rPr>
                <w:sz w:val="20"/>
              </w:rPr>
              <w:t xml:space="preserve">Developed and launched the National Broadband Plan (NBP) which </w:t>
            </w:r>
            <w:r w:rsidRPr="000E3982">
              <w:rPr>
                <w:sz w:val="20"/>
              </w:rPr>
              <w:t>aims to develop the broadband ecosystem through policies ensuring</w:t>
            </w:r>
          </w:p>
          <w:p w14:paraId="79FA870B" w14:textId="77777777" w:rsidR="00246288" w:rsidRDefault="000E3982" w:rsidP="000E3982">
            <w:pPr>
              <w:jc w:val="both"/>
              <w:rPr>
                <w:sz w:val="20"/>
              </w:rPr>
            </w:pPr>
            <w:r w:rsidRPr="000E3982">
              <w:rPr>
                <w:sz w:val="20"/>
              </w:rPr>
              <w:t>fair competition for consumer welfare, innovati</w:t>
            </w:r>
            <w:r>
              <w:rPr>
                <w:sz w:val="20"/>
              </w:rPr>
              <w:t xml:space="preserve">on and investment and efficient </w:t>
            </w:r>
            <w:r w:rsidRPr="000E3982">
              <w:rPr>
                <w:sz w:val="20"/>
              </w:rPr>
              <w:t xml:space="preserve">allocation and management of assets. It also </w:t>
            </w:r>
            <w:r>
              <w:rPr>
                <w:sz w:val="20"/>
              </w:rPr>
              <w:t xml:space="preserve">covers reform on existing laws, </w:t>
            </w:r>
            <w:r w:rsidRPr="000E3982">
              <w:rPr>
                <w:sz w:val="20"/>
              </w:rPr>
              <w:t>policies and standards to maximize the benefits</w:t>
            </w:r>
            <w:r>
              <w:rPr>
                <w:sz w:val="20"/>
              </w:rPr>
              <w:t xml:space="preserve"> of broadband in all sectors of </w:t>
            </w:r>
            <w:r w:rsidRPr="000E3982">
              <w:rPr>
                <w:sz w:val="20"/>
              </w:rPr>
              <w:t>the government.</w:t>
            </w:r>
            <w:r>
              <w:rPr>
                <w:sz w:val="20"/>
              </w:rPr>
              <w:t xml:space="preserve"> The NBP was launched </w:t>
            </w:r>
            <w:r w:rsidR="008A1102">
              <w:rPr>
                <w:sz w:val="20"/>
              </w:rPr>
              <w:t>on 23 June 2017.</w:t>
            </w:r>
          </w:p>
          <w:p w14:paraId="1204D0DC" w14:textId="77777777" w:rsidR="008A1102" w:rsidRDefault="008A1102" w:rsidP="000E3982">
            <w:pPr>
              <w:jc w:val="both"/>
              <w:rPr>
                <w:sz w:val="20"/>
              </w:rPr>
            </w:pPr>
          </w:p>
          <w:p w14:paraId="1D2773C5" w14:textId="17F96BF5" w:rsidR="008A1102" w:rsidRDefault="008A1102" w:rsidP="000E3982">
            <w:pPr>
              <w:jc w:val="both"/>
              <w:rPr>
                <w:sz w:val="20"/>
              </w:rPr>
            </w:pPr>
            <w:r>
              <w:rPr>
                <w:sz w:val="20"/>
              </w:rPr>
              <w:t xml:space="preserve">Signed Republic Act (RA) No. 10929, or the Free </w:t>
            </w:r>
            <w:proofErr w:type="spellStart"/>
            <w:r>
              <w:rPr>
                <w:sz w:val="20"/>
              </w:rPr>
              <w:t>WiFi</w:t>
            </w:r>
            <w:proofErr w:type="spellEnd"/>
            <w:r>
              <w:rPr>
                <w:sz w:val="20"/>
              </w:rPr>
              <w:t xml:space="preserve"> Law, on 03 August 2017. The law’s implementing rules and regulations (IRR) was completed and will submitted to the Office of the President by </w:t>
            </w:r>
            <w:r>
              <w:rPr>
                <w:sz w:val="20"/>
              </w:rPr>
              <w:lastRenderedPageBreak/>
              <w:t>early 2018.</w:t>
            </w:r>
            <w:r w:rsidR="00BD0C28">
              <w:rPr>
                <w:sz w:val="20"/>
              </w:rPr>
              <w:t xml:space="preserve"> At present, the Free </w:t>
            </w:r>
            <w:proofErr w:type="spellStart"/>
            <w:r w:rsidR="00BD0C28">
              <w:rPr>
                <w:sz w:val="20"/>
              </w:rPr>
              <w:t>WiFi</w:t>
            </w:r>
            <w:proofErr w:type="spellEnd"/>
            <w:r w:rsidR="00BD0C28">
              <w:rPr>
                <w:sz w:val="20"/>
              </w:rPr>
              <w:t xml:space="preserve"> is being provided in several areas of the Metro.</w:t>
            </w:r>
          </w:p>
          <w:p w14:paraId="100EA869" w14:textId="77777777" w:rsidR="008A1102" w:rsidRDefault="008A1102" w:rsidP="000E3982">
            <w:pPr>
              <w:jc w:val="both"/>
              <w:rPr>
                <w:sz w:val="20"/>
              </w:rPr>
            </w:pPr>
          </w:p>
          <w:p w14:paraId="62F6D3D4" w14:textId="77777777" w:rsidR="00267768" w:rsidRPr="00267768" w:rsidRDefault="00267768" w:rsidP="00267768">
            <w:pPr>
              <w:jc w:val="both"/>
              <w:rPr>
                <w:sz w:val="20"/>
              </w:rPr>
            </w:pPr>
            <w:r>
              <w:rPr>
                <w:sz w:val="20"/>
              </w:rPr>
              <w:t xml:space="preserve">Launched the National Government Portal on 23 June 2017. The portal serves as a single window for all public services. </w:t>
            </w:r>
            <w:r w:rsidRPr="00267768">
              <w:rPr>
                <w:sz w:val="20"/>
              </w:rPr>
              <w:t>Aside</w:t>
            </w:r>
          </w:p>
          <w:p w14:paraId="08E0B4AA" w14:textId="2CA0301A" w:rsidR="008A1102" w:rsidRPr="00FC4FEB" w:rsidRDefault="00267768" w:rsidP="00A461D0">
            <w:pPr>
              <w:jc w:val="both"/>
              <w:rPr>
                <w:sz w:val="20"/>
              </w:rPr>
            </w:pPr>
            <w:r w:rsidRPr="00267768">
              <w:rPr>
                <w:sz w:val="20"/>
              </w:rPr>
              <w:t>from providing ease of use and simplified browsing</w:t>
            </w:r>
            <w:r>
              <w:rPr>
                <w:sz w:val="20"/>
              </w:rPr>
              <w:t xml:space="preserve"> experience, the integration of </w:t>
            </w:r>
            <w:r w:rsidRPr="00267768">
              <w:rPr>
                <w:sz w:val="20"/>
              </w:rPr>
              <w:t>websites into a single portal will effectively reduce costs (financial, huma</w:t>
            </w:r>
            <w:r>
              <w:rPr>
                <w:sz w:val="20"/>
              </w:rPr>
              <w:t xml:space="preserve">n resources, </w:t>
            </w:r>
            <w:r w:rsidRPr="00267768">
              <w:rPr>
                <w:sz w:val="20"/>
              </w:rPr>
              <w:t xml:space="preserve">and spatial) for the government. </w:t>
            </w:r>
            <w:r>
              <w:rPr>
                <w:sz w:val="20"/>
              </w:rPr>
              <w:t>With the use of</w:t>
            </w:r>
            <w:r w:rsidRPr="00267768">
              <w:rPr>
                <w:sz w:val="20"/>
              </w:rPr>
              <w:t xml:space="preserve"> the </w:t>
            </w:r>
            <w:r w:rsidR="00A461D0">
              <w:rPr>
                <w:sz w:val="20"/>
              </w:rPr>
              <w:t xml:space="preserve">portal’s </w:t>
            </w:r>
            <w:r w:rsidRPr="00267768">
              <w:rPr>
                <w:sz w:val="20"/>
              </w:rPr>
              <w:t>Single Sig</w:t>
            </w:r>
            <w:r>
              <w:rPr>
                <w:sz w:val="20"/>
              </w:rPr>
              <w:t xml:space="preserve">n-On (SSO) feature, users can log in to </w:t>
            </w:r>
            <w:r w:rsidRPr="00267768">
              <w:rPr>
                <w:sz w:val="20"/>
              </w:rPr>
              <w:t xml:space="preserve">NGP using just a single </w:t>
            </w:r>
            <w:proofErr w:type="spellStart"/>
            <w:r w:rsidRPr="00267768">
              <w:rPr>
                <w:sz w:val="20"/>
              </w:rPr>
              <w:t>usernmae</w:t>
            </w:r>
            <w:proofErr w:type="spellEnd"/>
            <w:r w:rsidRPr="00267768">
              <w:rPr>
                <w:sz w:val="20"/>
              </w:rPr>
              <w:t xml:space="preserve"> and password and </w:t>
            </w:r>
            <w:r>
              <w:rPr>
                <w:sz w:val="20"/>
              </w:rPr>
              <w:t xml:space="preserve">have access to various data and </w:t>
            </w:r>
            <w:r w:rsidRPr="00267768">
              <w:rPr>
                <w:sz w:val="20"/>
              </w:rPr>
              <w:t>avail of different services without the need for repeated inputs of personal</w:t>
            </w:r>
            <w:r>
              <w:rPr>
                <w:sz w:val="20"/>
              </w:rPr>
              <w:t xml:space="preserve"> information </w:t>
            </w:r>
            <w:r w:rsidRPr="00267768">
              <w:rPr>
                <w:sz w:val="20"/>
              </w:rPr>
              <w:t>and credentials.</w:t>
            </w:r>
            <w:r>
              <w:rPr>
                <w:sz w:val="20"/>
              </w:rPr>
              <w:t xml:space="preserve"> At present, 120 online services may be accessed through the NGP.</w:t>
            </w:r>
          </w:p>
        </w:tc>
        <w:tc>
          <w:tcPr>
            <w:tcW w:w="5471" w:type="dxa"/>
          </w:tcPr>
          <w:p w14:paraId="2F7F8D90" w14:textId="32C082A1" w:rsidR="00246288" w:rsidRPr="00FC4FEB" w:rsidRDefault="00BD0C28" w:rsidP="00BD0C28">
            <w:pPr>
              <w:jc w:val="both"/>
              <w:rPr>
                <w:sz w:val="20"/>
              </w:rPr>
            </w:pPr>
            <w:r>
              <w:rPr>
                <w:sz w:val="20"/>
              </w:rPr>
              <w:lastRenderedPageBreak/>
              <w:t xml:space="preserve">Provide </w:t>
            </w:r>
            <w:r w:rsidRPr="00BD0C28">
              <w:rPr>
                <w:sz w:val="20"/>
              </w:rPr>
              <w:t xml:space="preserve">access </w:t>
            </w:r>
            <w:r>
              <w:rPr>
                <w:sz w:val="20"/>
              </w:rPr>
              <w:t xml:space="preserve">to critical information and ICT </w:t>
            </w:r>
            <w:proofErr w:type="spellStart"/>
            <w:r w:rsidRPr="00BD0C28">
              <w:rPr>
                <w:sz w:val="20"/>
              </w:rPr>
              <w:t>Infostructure</w:t>
            </w:r>
            <w:proofErr w:type="spellEnd"/>
            <w:r w:rsidRPr="00BD0C28">
              <w:rPr>
                <w:sz w:val="20"/>
              </w:rPr>
              <w:t xml:space="preserve"> which will allow the countr</w:t>
            </w:r>
            <w:r>
              <w:rPr>
                <w:sz w:val="20"/>
              </w:rPr>
              <w:t xml:space="preserve">y to achieve sustainable growth </w:t>
            </w:r>
            <w:r w:rsidRPr="00BD0C28">
              <w:rPr>
                <w:sz w:val="20"/>
              </w:rPr>
              <w:t>particularly in the ICT-enabled industries that will eventua</w:t>
            </w:r>
            <w:r>
              <w:rPr>
                <w:sz w:val="20"/>
              </w:rPr>
              <w:t xml:space="preserve">lly lead to the </w:t>
            </w:r>
            <w:r w:rsidRPr="00BD0C28">
              <w:rPr>
                <w:sz w:val="20"/>
              </w:rPr>
              <w:t xml:space="preserve">transition towards a world-class digital </w:t>
            </w:r>
            <w:r>
              <w:rPr>
                <w:sz w:val="20"/>
              </w:rPr>
              <w:t xml:space="preserve">economy and an information-rich </w:t>
            </w:r>
            <w:r w:rsidRPr="00BD0C28">
              <w:rPr>
                <w:sz w:val="20"/>
              </w:rPr>
              <w:t>Philippines</w:t>
            </w:r>
          </w:p>
        </w:tc>
      </w:tr>
      <w:tr w:rsidR="00246288" w:rsidRPr="00FC4FEB" w14:paraId="1C52AB23" w14:textId="77777777" w:rsidTr="00A057C8">
        <w:tc>
          <w:tcPr>
            <w:tcW w:w="3520" w:type="dxa"/>
          </w:tcPr>
          <w:p w14:paraId="3B809C57" w14:textId="77777777" w:rsidR="00246288" w:rsidRPr="00FC4FEB" w:rsidRDefault="00246288" w:rsidP="00A057C8">
            <w:pPr>
              <w:spacing w:line="224" w:lineRule="exact"/>
              <w:ind w:left="100"/>
              <w:jc w:val="both"/>
              <w:rPr>
                <w:i/>
                <w:sz w:val="20"/>
              </w:rPr>
            </w:pPr>
            <w:r w:rsidRPr="00FC4FEB">
              <w:rPr>
                <w:i/>
                <w:sz w:val="20"/>
              </w:rPr>
              <w:lastRenderedPageBreak/>
              <w:t>Website for further information:</w:t>
            </w:r>
          </w:p>
        </w:tc>
        <w:tc>
          <w:tcPr>
            <w:tcW w:w="5573" w:type="dxa"/>
          </w:tcPr>
          <w:p w14:paraId="4FFA97D6" w14:textId="59B22211" w:rsidR="00246288" w:rsidRPr="00FC4FEB" w:rsidRDefault="00A461D0" w:rsidP="00246288">
            <w:pPr>
              <w:jc w:val="both"/>
              <w:rPr>
                <w:sz w:val="20"/>
              </w:rPr>
            </w:pPr>
            <w:r w:rsidRPr="00A461D0">
              <w:rPr>
                <w:sz w:val="20"/>
              </w:rPr>
              <w:t>http://www.dict.gov.ph/</w:t>
            </w:r>
            <w:r w:rsidR="00246288" w:rsidRPr="00FC4FEB">
              <w:rPr>
                <w:sz w:val="20"/>
              </w:rPr>
              <w:t xml:space="preserve"> </w:t>
            </w:r>
          </w:p>
        </w:tc>
        <w:tc>
          <w:tcPr>
            <w:tcW w:w="5471" w:type="dxa"/>
          </w:tcPr>
          <w:p w14:paraId="5B9FCB9A" w14:textId="77777777" w:rsidR="00246288" w:rsidRPr="00FC4FEB" w:rsidRDefault="00246288" w:rsidP="00A057C8">
            <w:pPr>
              <w:jc w:val="both"/>
              <w:rPr>
                <w:i/>
                <w:sz w:val="20"/>
              </w:rPr>
            </w:pPr>
          </w:p>
        </w:tc>
      </w:tr>
      <w:tr w:rsidR="00246288" w:rsidRPr="00FC4FEB" w14:paraId="5DF9F605" w14:textId="77777777" w:rsidTr="00A057C8">
        <w:tc>
          <w:tcPr>
            <w:tcW w:w="3520" w:type="dxa"/>
          </w:tcPr>
          <w:p w14:paraId="2A7C2F8A" w14:textId="77777777" w:rsidR="00246288" w:rsidRPr="00FC4FEB" w:rsidRDefault="00246288" w:rsidP="00A057C8">
            <w:pPr>
              <w:spacing w:line="224" w:lineRule="exact"/>
              <w:ind w:left="100"/>
              <w:jc w:val="both"/>
              <w:rPr>
                <w:b/>
                <w:i/>
                <w:sz w:val="20"/>
              </w:rPr>
            </w:pPr>
            <w:r w:rsidRPr="00FC4FEB">
              <w:rPr>
                <w:i/>
                <w:sz w:val="20"/>
              </w:rPr>
              <w:t>Contact point for further details:</w:t>
            </w:r>
          </w:p>
        </w:tc>
        <w:tc>
          <w:tcPr>
            <w:tcW w:w="5573" w:type="dxa"/>
            <w:vAlign w:val="bottom"/>
          </w:tcPr>
          <w:p w14:paraId="368D0F36" w14:textId="0B81E8D9" w:rsidR="00246288" w:rsidRDefault="00A461D0" w:rsidP="00A057C8">
            <w:pPr>
              <w:spacing w:line="0" w:lineRule="atLeast"/>
              <w:ind w:right="180"/>
              <w:jc w:val="both"/>
              <w:rPr>
                <w:sz w:val="20"/>
              </w:rPr>
            </w:pPr>
            <w:r>
              <w:rPr>
                <w:sz w:val="20"/>
              </w:rPr>
              <w:t xml:space="preserve">Undersecretary Denis F. </w:t>
            </w:r>
            <w:proofErr w:type="spellStart"/>
            <w:r>
              <w:rPr>
                <w:sz w:val="20"/>
              </w:rPr>
              <w:t>Villorente</w:t>
            </w:r>
            <w:proofErr w:type="spellEnd"/>
          </w:p>
          <w:p w14:paraId="11CE8B53" w14:textId="08A44A86" w:rsidR="00BD0C28" w:rsidRDefault="00BD0C28" w:rsidP="00A057C8">
            <w:pPr>
              <w:spacing w:line="0" w:lineRule="atLeast"/>
              <w:ind w:right="180"/>
              <w:jc w:val="both"/>
              <w:rPr>
                <w:sz w:val="20"/>
              </w:rPr>
            </w:pPr>
            <w:r>
              <w:rPr>
                <w:sz w:val="20"/>
              </w:rPr>
              <w:t xml:space="preserve">Tel: </w:t>
            </w:r>
            <w:r w:rsidRPr="00BD0C28">
              <w:rPr>
                <w:sz w:val="20"/>
              </w:rPr>
              <w:t>(02) 920-0101 loc. 3000</w:t>
            </w:r>
          </w:p>
          <w:p w14:paraId="2FBEB0B2" w14:textId="355BF13E" w:rsidR="00BD0C28" w:rsidRDefault="00BD0C28" w:rsidP="00A057C8">
            <w:pPr>
              <w:spacing w:line="0" w:lineRule="atLeast"/>
              <w:ind w:right="180"/>
              <w:jc w:val="both"/>
              <w:rPr>
                <w:sz w:val="20"/>
              </w:rPr>
            </w:pPr>
            <w:r>
              <w:rPr>
                <w:sz w:val="20"/>
              </w:rPr>
              <w:t xml:space="preserve">Email: </w:t>
            </w:r>
            <w:r w:rsidRPr="00A057C8">
              <w:rPr>
                <w:sz w:val="20"/>
              </w:rPr>
              <w:t>denis.villorente@dict.gov.ph</w:t>
            </w:r>
          </w:p>
          <w:p w14:paraId="16832A45" w14:textId="77777777" w:rsidR="00BD0C28" w:rsidRDefault="00BD0C28" w:rsidP="00A057C8">
            <w:pPr>
              <w:spacing w:line="0" w:lineRule="atLeast"/>
              <w:ind w:right="180"/>
              <w:jc w:val="both"/>
              <w:rPr>
                <w:sz w:val="20"/>
              </w:rPr>
            </w:pPr>
          </w:p>
          <w:p w14:paraId="684FFA41" w14:textId="21CBBC71" w:rsidR="00A461D0" w:rsidRDefault="00A461D0" w:rsidP="00A057C8">
            <w:pPr>
              <w:spacing w:line="0" w:lineRule="atLeast"/>
              <w:ind w:right="180"/>
              <w:jc w:val="both"/>
              <w:rPr>
                <w:sz w:val="20"/>
              </w:rPr>
            </w:pPr>
            <w:r>
              <w:rPr>
                <w:sz w:val="20"/>
              </w:rPr>
              <w:t xml:space="preserve">Director Maria Teresa </w:t>
            </w:r>
            <w:r w:rsidR="00BD0C28">
              <w:rPr>
                <w:sz w:val="20"/>
              </w:rPr>
              <w:t>M. Garcia</w:t>
            </w:r>
          </w:p>
          <w:p w14:paraId="2008F2A6" w14:textId="2BFA24D6" w:rsidR="00BD0C28" w:rsidRDefault="00BD0C28" w:rsidP="00A057C8">
            <w:pPr>
              <w:spacing w:line="0" w:lineRule="atLeast"/>
              <w:ind w:right="180"/>
              <w:jc w:val="both"/>
              <w:rPr>
                <w:sz w:val="20"/>
              </w:rPr>
            </w:pPr>
            <w:r>
              <w:rPr>
                <w:sz w:val="20"/>
              </w:rPr>
              <w:t xml:space="preserve">Tel: </w:t>
            </w:r>
            <w:r w:rsidRPr="00BD0C28">
              <w:rPr>
                <w:sz w:val="20"/>
              </w:rPr>
              <w:t>(02) 920-0101 local 3101</w:t>
            </w:r>
          </w:p>
          <w:p w14:paraId="6E43C27C" w14:textId="19F2CACE" w:rsidR="00BD0C28" w:rsidRDefault="00BD0C28" w:rsidP="00A057C8">
            <w:pPr>
              <w:spacing w:line="0" w:lineRule="atLeast"/>
              <w:ind w:right="180"/>
              <w:jc w:val="both"/>
              <w:rPr>
                <w:sz w:val="20"/>
              </w:rPr>
            </w:pPr>
            <w:r>
              <w:rPr>
                <w:sz w:val="20"/>
              </w:rPr>
              <w:t xml:space="preserve">Email: </w:t>
            </w:r>
            <w:r w:rsidRPr="00BD0C28">
              <w:rPr>
                <w:sz w:val="20"/>
              </w:rPr>
              <w:t>international@dict.gov.ph</w:t>
            </w:r>
          </w:p>
          <w:p w14:paraId="7E7820D5" w14:textId="77777777" w:rsidR="00BD0C28" w:rsidRDefault="00BD0C28" w:rsidP="00A057C8">
            <w:pPr>
              <w:spacing w:line="0" w:lineRule="atLeast"/>
              <w:ind w:right="180"/>
              <w:jc w:val="both"/>
              <w:rPr>
                <w:sz w:val="20"/>
              </w:rPr>
            </w:pPr>
          </w:p>
          <w:p w14:paraId="535AA252" w14:textId="125AF4EA" w:rsidR="00A461D0" w:rsidRDefault="00A461D0" w:rsidP="00A057C8">
            <w:pPr>
              <w:spacing w:line="0" w:lineRule="atLeast"/>
              <w:ind w:right="180"/>
              <w:jc w:val="both"/>
              <w:rPr>
                <w:sz w:val="20"/>
              </w:rPr>
            </w:pPr>
            <w:r>
              <w:rPr>
                <w:sz w:val="20"/>
              </w:rPr>
              <w:t>Department of Information and Communications Technology</w:t>
            </w:r>
          </w:p>
          <w:p w14:paraId="557A8842" w14:textId="1DDA7D27" w:rsidR="00A461D0" w:rsidRPr="00FC4FEB" w:rsidRDefault="00BD0C28" w:rsidP="00A057C8">
            <w:pPr>
              <w:spacing w:line="0" w:lineRule="atLeast"/>
              <w:ind w:right="180"/>
              <w:jc w:val="both"/>
              <w:rPr>
                <w:sz w:val="20"/>
              </w:rPr>
            </w:pPr>
            <w:r w:rsidRPr="00BD0C28">
              <w:rPr>
                <w:sz w:val="20"/>
              </w:rPr>
              <w:t xml:space="preserve">C.P Garcia Ave., </w:t>
            </w:r>
            <w:proofErr w:type="spellStart"/>
            <w:r w:rsidRPr="00BD0C28">
              <w:rPr>
                <w:sz w:val="20"/>
              </w:rPr>
              <w:t>Diliman</w:t>
            </w:r>
            <w:proofErr w:type="spellEnd"/>
            <w:r w:rsidRPr="00BD0C28">
              <w:rPr>
                <w:sz w:val="20"/>
              </w:rPr>
              <w:t>, Quezon City</w:t>
            </w:r>
          </w:p>
        </w:tc>
        <w:tc>
          <w:tcPr>
            <w:tcW w:w="5471" w:type="dxa"/>
          </w:tcPr>
          <w:p w14:paraId="58CA24FD" w14:textId="77777777" w:rsidR="00246288" w:rsidRPr="00FC4FEB" w:rsidRDefault="00246288" w:rsidP="00A057C8">
            <w:pPr>
              <w:jc w:val="both"/>
              <w:rPr>
                <w:i/>
                <w:sz w:val="20"/>
              </w:rPr>
            </w:pPr>
          </w:p>
        </w:tc>
      </w:tr>
      <w:tr w:rsidR="00FC4FEB" w:rsidRPr="00FC4FEB" w14:paraId="78823398" w14:textId="77777777" w:rsidTr="00F74404">
        <w:trPr>
          <w:trHeight w:val="6364"/>
        </w:trPr>
        <w:tc>
          <w:tcPr>
            <w:tcW w:w="3520" w:type="dxa"/>
          </w:tcPr>
          <w:p w14:paraId="4288FEC3" w14:textId="77777777" w:rsidR="00810BCF" w:rsidRPr="00FC4FEB" w:rsidRDefault="00810BCF" w:rsidP="00CD4015">
            <w:pPr>
              <w:jc w:val="both"/>
              <w:rPr>
                <w:b/>
                <w:i/>
                <w:sz w:val="20"/>
              </w:rPr>
            </w:pPr>
            <w:bookmarkStart w:id="11" w:name="Row4"/>
            <w:r w:rsidRPr="00FC4FEB">
              <w:rPr>
                <w:b/>
                <w:i/>
                <w:sz w:val="20"/>
              </w:rPr>
              <w:lastRenderedPageBreak/>
              <w:t>Investment</w:t>
            </w:r>
            <w:bookmarkEnd w:id="11"/>
          </w:p>
          <w:p w14:paraId="1CA24F3E" w14:textId="77777777" w:rsidR="00810BCF" w:rsidRPr="00FC4FEB" w:rsidRDefault="00810BCF" w:rsidP="00CD4015">
            <w:pPr>
              <w:jc w:val="both"/>
              <w:rPr>
                <w:b/>
                <w:i/>
                <w:sz w:val="20"/>
              </w:rPr>
            </w:pPr>
          </w:p>
        </w:tc>
        <w:tc>
          <w:tcPr>
            <w:tcW w:w="5573" w:type="dxa"/>
          </w:tcPr>
          <w:p w14:paraId="19C6AD2E" w14:textId="797DF8C3" w:rsidR="00810BCF" w:rsidRPr="00FC4FEB" w:rsidRDefault="00810BCF" w:rsidP="000A5925">
            <w:pPr>
              <w:spacing w:line="0" w:lineRule="atLeast"/>
              <w:ind w:right="180"/>
              <w:jc w:val="both"/>
              <w:rPr>
                <w:sz w:val="20"/>
              </w:rPr>
            </w:pPr>
            <w:bookmarkStart w:id="12" w:name="Cell07"/>
            <w:bookmarkEnd w:id="12"/>
            <w:r w:rsidRPr="00FC4FEB">
              <w:rPr>
                <w:sz w:val="20"/>
              </w:rPr>
              <w:t>Implement</w:t>
            </w:r>
            <w:r w:rsidR="00A52F0A">
              <w:rPr>
                <w:sz w:val="20"/>
              </w:rPr>
              <w:t>ed</w:t>
            </w:r>
            <w:r w:rsidRPr="00FC4FEB">
              <w:rPr>
                <w:sz w:val="20"/>
              </w:rPr>
              <w:t xml:space="preserve"> the Investment Priorities Plan (IPP) 2017 which </w:t>
            </w:r>
            <w:r w:rsidR="00A52F0A">
              <w:rPr>
                <w:sz w:val="20"/>
              </w:rPr>
              <w:t xml:space="preserve">broadens the coverage of </w:t>
            </w:r>
            <w:r w:rsidRPr="00FC4FEB">
              <w:rPr>
                <w:sz w:val="20"/>
              </w:rPr>
              <w:t xml:space="preserve">manufacturing </w:t>
            </w:r>
            <w:r w:rsidR="00A52F0A">
              <w:rPr>
                <w:sz w:val="20"/>
              </w:rPr>
              <w:t xml:space="preserve">activities in support of the government’s Manufacturing Resurgence Program and gives further emphasis on innovation-driven activities and MSME-oriented business models such as Inclusive Business Models for agriculture and tourism </w:t>
            </w:r>
            <w:proofErr w:type="gramStart"/>
            <w:r w:rsidR="00A52F0A">
              <w:rPr>
                <w:sz w:val="20"/>
              </w:rPr>
              <w:t>sectors  that</w:t>
            </w:r>
            <w:proofErr w:type="gramEnd"/>
            <w:r w:rsidR="00A52F0A">
              <w:rPr>
                <w:sz w:val="20"/>
              </w:rPr>
              <w:t xml:space="preserve"> provide business opportunities to micro and small enterprises by integrating them to medium and large enterprises.</w:t>
            </w:r>
            <w:r w:rsidRPr="00FC4FEB">
              <w:rPr>
                <w:sz w:val="20"/>
              </w:rPr>
              <w:t xml:space="preserve"> </w:t>
            </w:r>
          </w:p>
          <w:p w14:paraId="6277518E" w14:textId="77777777" w:rsidR="00810BCF" w:rsidRPr="00FC4FEB" w:rsidRDefault="00810BCF" w:rsidP="002B0448">
            <w:pPr>
              <w:spacing w:line="0" w:lineRule="atLeast"/>
              <w:ind w:right="180"/>
              <w:jc w:val="both"/>
              <w:rPr>
                <w:sz w:val="20"/>
              </w:rPr>
            </w:pPr>
          </w:p>
          <w:p w14:paraId="1680A9C7" w14:textId="77777777" w:rsidR="00810BCF" w:rsidRPr="00FC4FEB" w:rsidRDefault="00810BCF" w:rsidP="00810BCF">
            <w:pPr>
              <w:spacing w:line="0" w:lineRule="atLeast"/>
              <w:ind w:right="180"/>
              <w:jc w:val="both"/>
              <w:rPr>
                <w:sz w:val="20"/>
              </w:rPr>
            </w:pPr>
            <w:r w:rsidRPr="00FC4FEB">
              <w:rPr>
                <w:sz w:val="20"/>
              </w:rPr>
              <w:t xml:space="preserve">Signed Memorandum Circular No. 16 on 21 November 2017, which directs concerned </w:t>
            </w:r>
            <w:proofErr w:type="gramStart"/>
            <w:r w:rsidRPr="00FC4FEB">
              <w:rPr>
                <w:sz w:val="20"/>
              </w:rPr>
              <w:t>agencies  to</w:t>
            </w:r>
            <w:proofErr w:type="gramEnd"/>
            <w:r w:rsidRPr="00FC4FEB">
              <w:rPr>
                <w:sz w:val="20"/>
              </w:rPr>
              <w:t xml:space="preserve"> take immediate steps to lift or ease existing restrictions on foreign participation in the following selected investment areas: </w:t>
            </w:r>
          </w:p>
          <w:p w14:paraId="60FDEE10"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 xml:space="preserve">private recruitment for local and overseas employment; </w:t>
            </w:r>
          </w:p>
          <w:p w14:paraId="08A2D38D"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 xml:space="preserve">practice of particular professions, where allowing foreign participation will redound to the public benefit; </w:t>
            </w:r>
          </w:p>
          <w:p w14:paraId="699A85BD"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contracts for the construction and repair of locally-funded public works;</w:t>
            </w:r>
          </w:p>
          <w:p w14:paraId="6809825E"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 xml:space="preserve">public services except activities and systems recognized as public utilities such as transmission and distribution of electricity, water, pipeline distribution system, and sewerage pipeline system; </w:t>
            </w:r>
          </w:p>
          <w:p w14:paraId="4FDB40C4"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 xml:space="preserve">culture, production, milling, processing, and trading except retailing, of rice and corn and acquiring by barter, purchase or otherwise, rice, corn and other by-products; </w:t>
            </w:r>
          </w:p>
          <w:p w14:paraId="29507945"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teaching at higher education levels;</w:t>
            </w:r>
          </w:p>
          <w:p w14:paraId="0F490C49"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retail trade enterprises; and</w:t>
            </w:r>
          </w:p>
          <w:p w14:paraId="0068F330" w14:textId="77777777" w:rsidR="00810BCF" w:rsidRPr="00FC4FEB" w:rsidRDefault="00810BCF" w:rsidP="00810BCF">
            <w:pPr>
              <w:pStyle w:val="ListParagraph"/>
              <w:numPr>
                <w:ilvl w:val="0"/>
                <w:numId w:val="61"/>
              </w:numPr>
              <w:spacing w:line="0" w:lineRule="atLeast"/>
              <w:ind w:right="180"/>
              <w:jc w:val="both"/>
              <w:rPr>
                <w:rFonts w:ascii="Times New Roman" w:hAnsi="Times New Roman"/>
                <w:sz w:val="20"/>
                <w:szCs w:val="20"/>
              </w:rPr>
            </w:pPr>
            <w:r w:rsidRPr="00FC4FEB">
              <w:rPr>
                <w:rFonts w:ascii="Times New Roman" w:hAnsi="Times New Roman"/>
                <w:sz w:val="20"/>
                <w:szCs w:val="20"/>
              </w:rPr>
              <w:t>domestic market enterprises.</w:t>
            </w:r>
          </w:p>
        </w:tc>
        <w:tc>
          <w:tcPr>
            <w:tcW w:w="5471" w:type="dxa"/>
          </w:tcPr>
          <w:p w14:paraId="3124F207" w14:textId="34CAC1E7" w:rsidR="00810BCF" w:rsidRPr="00FC4FEB" w:rsidRDefault="00810BCF" w:rsidP="005F2AC8">
            <w:pPr>
              <w:jc w:val="both"/>
              <w:rPr>
                <w:sz w:val="20"/>
              </w:rPr>
            </w:pPr>
            <w:bookmarkStart w:id="13" w:name="Cell08"/>
            <w:bookmarkEnd w:id="13"/>
            <w:r w:rsidRPr="00FC4FEB">
              <w:rPr>
                <w:sz w:val="20"/>
              </w:rPr>
              <w:t xml:space="preserve">Annual review of the three-year </w:t>
            </w:r>
            <w:r w:rsidR="00A52F0A">
              <w:rPr>
                <w:sz w:val="20"/>
              </w:rPr>
              <w:t xml:space="preserve">rolling </w:t>
            </w:r>
            <w:r w:rsidRPr="00FC4FEB">
              <w:rPr>
                <w:sz w:val="20"/>
              </w:rPr>
              <w:t>IPP.</w:t>
            </w:r>
          </w:p>
          <w:p w14:paraId="7165D1F4" w14:textId="29170FC8" w:rsidR="00810BCF" w:rsidRPr="00FC4FEB" w:rsidRDefault="00810BCF" w:rsidP="00810BCF">
            <w:pPr>
              <w:jc w:val="both"/>
              <w:rPr>
                <w:sz w:val="20"/>
              </w:rPr>
            </w:pPr>
            <w:r w:rsidRPr="00FC4FEB">
              <w:rPr>
                <w:sz w:val="20"/>
              </w:rPr>
              <w:t>Issu</w:t>
            </w:r>
            <w:r w:rsidR="00A52F0A">
              <w:rPr>
                <w:sz w:val="20"/>
              </w:rPr>
              <w:t>ance by NEDA of</w:t>
            </w:r>
            <w:r w:rsidRPr="00FC4FEB">
              <w:rPr>
                <w:sz w:val="20"/>
              </w:rPr>
              <w:t xml:space="preserve"> the 11th </w:t>
            </w:r>
            <w:r w:rsidR="00A52F0A">
              <w:rPr>
                <w:sz w:val="20"/>
              </w:rPr>
              <w:t>Foreign Investment Negative List (</w:t>
            </w:r>
            <w:r w:rsidRPr="00FC4FEB">
              <w:rPr>
                <w:sz w:val="20"/>
              </w:rPr>
              <w:t>FINL</w:t>
            </w:r>
            <w:r w:rsidR="00A52F0A">
              <w:rPr>
                <w:sz w:val="20"/>
              </w:rPr>
              <w:t>)</w:t>
            </w:r>
            <w:r w:rsidRPr="00FC4FEB">
              <w:rPr>
                <w:sz w:val="20"/>
              </w:rPr>
              <w:t xml:space="preserve"> that will liberalize some activities in the current FINL. </w:t>
            </w:r>
          </w:p>
          <w:p w14:paraId="6A346E8E" w14:textId="77777777" w:rsidR="00810BCF" w:rsidRPr="00FC4FEB" w:rsidRDefault="00810BCF" w:rsidP="005F2AC8">
            <w:pPr>
              <w:jc w:val="both"/>
              <w:rPr>
                <w:sz w:val="20"/>
              </w:rPr>
            </w:pPr>
          </w:p>
        </w:tc>
      </w:tr>
      <w:tr w:rsidR="00FC4FEB" w:rsidRPr="00FC4FEB" w14:paraId="4FAA9D8B" w14:textId="77777777" w:rsidTr="00810BCF">
        <w:tc>
          <w:tcPr>
            <w:tcW w:w="3520" w:type="dxa"/>
          </w:tcPr>
          <w:p w14:paraId="360251A5" w14:textId="77777777" w:rsidR="00505176" w:rsidRPr="00FC4FEB" w:rsidRDefault="00505176" w:rsidP="00CD4015">
            <w:pPr>
              <w:jc w:val="both"/>
              <w:rPr>
                <w:b/>
                <w:i/>
                <w:sz w:val="20"/>
              </w:rPr>
            </w:pPr>
          </w:p>
        </w:tc>
        <w:tc>
          <w:tcPr>
            <w:tcW w:w="5573" w:type="dxa"/>
          </w:tcPr>
          <w:p w14:paraId="1202F180" w14:textId="77777777" w:rsidR="00146CBD" w:rsidRPr="00FC4FEB" w:rsidRDefault="00C30236" w:rsidP="000A5925">
            <w:pPr>
              <w:spacing w:line="0" w:lineRule="atLeast"/>
              <w:ind w:right="180"/>
              <w:jc w:val="both"/>
              <w:rPr>
                <w:sz w:val="20"/>
              </w:rPr>
            </w:pPr>
            <w:r w:rsidRPr="00FC4FEB">
              <w:rPr>
                <w:sz w:val="20"/>
              </w:rPr>
              <w:t>S</w:t>
            </w:r>
            <w:r w:rsidR="00146CBD" w:rsidRPr="00FC4FEB">
              <w:rPr>
                <w:sz w:val="20"/>
              </w:rPr>
              <w:t xml:space="preserve">igned </w:t>
            </w:r>
            <w:r w:rsidR="00F4378D" w:rsidRPr="00FC4FEB">
              <w:rPr>
                <w:sz w:val="20"/>
              </w:rPr>
              <w:t xml:space="preserve">three (3) new </w:t>
            </w:r>
            <w:r w:rsidRPr="00FC4FEB">
              <w:rPr>
                <w:sz w:val="20"/>
              </w:rPr>
              <w:t>Memorandum of Agreements (</w:t>
            </w:r>
            <w:r w:rsidR="00F4378D" w:rsidRPr="00FC4FEB">
              <w:rPr>
                <w:sz w:val="20"/>
              </w:rPr>
              <w:t>MOAs</w:t>
            </w:r>
            <w:r w:rsidRPr="00FC4FEB">
              <w:rPr>
                <w:sz w:val="20"/>
              </w:rPr>
              <w:t xml:space="preserve">), in addition to four (4) previously signed MOAs, </w:t>
            </w:r>
            <w:r w:rsidR="00146CBD" w:rsidRPr="00FC4FEB">
              <w:rPr>
                <w:sz w:val="20"/>
              </w:rPr>
              <w:t xml:space="preserve">on </w:t>
            </w:r>
            <w:r w:rsidR="00F82A79" w:rsidRPr="00FC4FEB">
              <w:rPr>
                <w:sz w:val="20"/>
              </w:rPr>
              <w:t xml:space="preserve">joint facilitation of permits, licenses, endorsements and other issues &amp; concerns on </w:t>
            </w:r>
            <w:r w:rsidR="00F4378D" w:rsidRPr="00FC4FEB">
              <w:rPr>
                <w:sz w:val="20"/>
              </w:rPr>
              <w:t xml:space="preserve">the processing and issuance of </w:t>
            </w:r>
            <w:r w:rsidR="00F82A79" w:rsidRPr="00FC4FEB">
              <w:rPr>
                <w:sz w:val="20"/>
              </w:rPr>
              <w:t>registration</w:t>
            </w:r>
            <w:r w:rsidR="00F4378D" w:rsidRPr="00FC4FEB">
              <w:rPr>
                <w:sz w:val="20"/>
              </w:rPr>
              <w:t xml:space="preserve"> with the following agencies</w:t>
            </w:r>
            <w:r w:rsidR="00146CBD" w:rsidRPr="00FC4FEB">
              <w:rPr>
                <w:sz w:val="20"/>
              </w:rPr>
              <w:t>:</w:t>
            </w:r>
          </w:p>
          <w:p w14:paraId="15F764B7" w14:textId="77777777" w:rsidR="00146CBD" w:rsidRPr="00FC4FEB" w:rsidRDefault="00F82A79" w:rsidP="000A5925">
            <w:pPr>
              <w:pStyle w:val="ListParagraph"/>
              <w:numPr>
                <w:ilvl w:val="0"/>
                <w:numId w:val="41"/>
              </w:numPr>
              <w:spacing w:line="0" w:lineRule="atLeast"/>
              <w:ind w:left="504" w:right="180" w:hanging="286"/>
              <w:jc w:val="both"/>
              <w:rPr>
                <w:rFonts w:ascii="Times New Roman" w:hAnsi="Times New Roman"/>
                <w:sz w:val="20"/>
                <w:szCs w:val="20"/>
              </w:rPr>
            </w:pPr>
            <w:r w:rsidRPr="00FC4FEB">
              <w:rPr>
                <w:rFonts w:ascii="Times New Roman" w:hAnsi="Times New Roman"/>
                <w:sz w:val="20"/>
                <w:szCs w:val="20"/>
              </w:rPr>
              <w:t>Department of Health (DOH);</w:t>
            </w:r>
          </w:p>
          <w:p w14:paraId="4EDF7036" w14:textId="77777777" w:rsidR="00F82A79" w:rsidRPr="00FC4FEB" w:rsidRDefault="00F82A79" w:rsidP="000A5925">
            <w:pPr>
              <w:pStyle w:val="ListParagraph"/>
              <w:numPr>
                <w:ilvl w:val="0"/>
                <w:numId w:val="41"/>
              </w:numPr>
              <w:spacing w:line="0" w:lineRule="atLeast"/>
              <w:ind w:left="504" w:right="180" w:hanging="286"/>
              <w:jc w:val="both"/>
              <w:rPr>
                <w:rFonts w:ascii="Times New Roman" w:hAnsi="Times New Roman"/>
                <w:sz w:val="20"/>
                <w:szCs w:val="20"/>
              </w:rPr>
            </w:pPr>
            <w:r w:rsidRPr="00FC4FEB">
              <w:rPr>
                <w:rFonts w:ascii="Times New Roman" w:hAnsi="Times New Roman"/>
                <w:sz w:val="20"/>
                <w:szCs w:val="20"/>
              </w:rPr>
              <w:t>Department of Agriculture (DA); and</w:t>
            </w:r>
          </w:p>
          <w:p w14:paraId="6CE09624" w14:textId="77777777" w:rsidR="00F82A79" w:rsidRPr="00FC4FEB" w:rsidRDefault="00F82A79" w:rsidP="000A5925">
            <w:pPr>
              <w:pStyle w:val="ListParagraph"/>
              <w:numPr>
                <w:ilvl w:val="0"/>
                <w:numId w:val="41"/>
              </w:numPr>
              <w:spacing w:line="0" w:lineRule="atLeast"/>
              <w:ind w:left="504" w:right="180" w:hanging="286"/>
              <w:jc w:val="both"/>
              <w:rPr>
                <w:rFonts w:ascii="Times New Roman" w:hAnsi="Times New Roman"/>
                <w:sz w:val="20"/>
                <w:szCs w:val="20"/>
              </w:rPr>
            </w:pPr>
            <w:r w:rsidRPr="00FC4FEB">
              <w:rPr>
                <w:rFonts w:ascii="Times New Roman" w:hAnsi="Times New Roman"/>
                <w:sz w:val="20"/>
                <w:szCs w:val="20"/>
              </w:rPr>
              <w:t>Housing and Land Use Regulatory Board (HLURB)</w:t>
            </w:r>
          </w:p>
          <w:p w14:paraId="7EECCAB3" w14:textId="77777777" w:rsidR="00505176" w:rsidRPr="00FC4FEB" w:rsidRDefault="00505176" w:rsidP="00CD4015">
            <w:pPr>
              <w:spacing w:line="0" w:lineRule="atLeast"/>
              <w:ind w:right="180"/>
              <w:jc w:val="both"/>
              <w:rPr>
                <w:sz w:val="20"/>
              </w:rPr>
            </w:pPr>
          </w:p>
        </w:tc>
        <w:tc>
          <w:tcPr>
            <w:tcW w:w="5471" w:type="dxa"/>
          </w:tcPr>
          <w:p w14:paraId="5D293D52" w14:textId="77777777" w:rsidR="00505176" w:rsidRPr="00FC4FEB" w:rsidRDefault="00F82A79" w:rsidP="00CD4015">
            <w:pPr>
              <w:jc w:val="both"/>
              <w:rPr>
                <w:sz w:val="20"/>
              </w:rPr>
            </w:pPr>
            <w:r w:rsidRPr="00FC4FEB">
              <w:rPr>
                <w:sz w:val="20"/>
              </w:rPr>
              <w:t>Currently pursuing similar MOAs with the Department of Energy (DOE)</w:t>
            </w:r>
            <w:r w:rsidR="00F4378D" w:rsidRPr="00FC4FEB">
              <w:rPr>
                <w:sz w:val="20"/>
              </w:rPr>
              <w:t>,</w:t>
            </w:r>
            <w:r w:rsidRPr="00FC4FEB">
              <w:rPr>
                <w:sz w:val="20"/>
              </w:rPr>
              <w:t xml:space="preserve"> Department of Agrarian Reform (DAR), and the Department of Finance (DOF)- Bureau of Local Government Finance (BLGF).</w:t>
            </w:r>
          </w:p>
          <w:p w14:paraId="12225C37" w14:textId="77777777" w:rsidR="00505176" w:rsidRPr="00FC4FEB" w:rsidRDefault="00505176" w:rsidP="00CD4015">
            <w:pPr>
              <w:jc w:val="both"/>
              <w:rPr>
                <w:sz w:val="20"/>
              </w:rPr>
            </w:pPr>
          </w:p>
          <w:p w14:paraId="4B387343" w14:textId="77777777" w:rsidR="00505176" w:rsidRPr="00FC4FEB" w:rsidRDefault="00F82A79" w:rsidP="00CD4015">
            <w:pPr>
              <w:jc w:val="both"/>
              <w:rPr>
                <w:sz w:val="20"/>
              </w:rPr>
            </w:pPr>
            <w:r w:rsidRPr="00FC4FEB">
              <w:rPr>
                <w:sz w:val="20"/>
              </w:rPr>
              <w:t xml:space="preserve">Planning to connect all Investment Promotion Unit Network (IPUNET) members to the system of the </w:t>
            </w:r>
            <w:r w:rsidR="00C30236" w:rsidRPr="00FC4FEB">
              <w:rPr>
                <w:sz w:val="20"/>
              </w:rPr>
              <w:t>BOI- One Window Network (</w:t>
            </w:r>
            <w:r w:rsidR="0028176B" w:rsidRPr="00FC4FEB">
              <w:rPr>
                <w:sz w:val="20"/>
              </w:rPr>
              <w:t>BOI-OWN</w:t>
            </w:r>
            <w:r w:rsidR="00C30236" w:rsidRPr="00FC4FEB">
              <w:rPr>
                <w:sz w:val="20"/>
              </w:rPr>
              <w:t>)</w:t>
            </w:r>
            <w:r w:rsidR="0028176B" w:rsidRPr="00FC4FEB">
              <w:rPr>
                <w:sz w:val="20"/>
              </w:rPr>
              <w:t>. It is expected to help investors in tracking and monitoring online their business-related issues and concerns.</w:t>
            </w:r>
          </w:p>
        </w:tc>
      </w:tr>
      <w:tr w:rsidR="00FC4FEB" w:rsidRPr="00FC4FEB" w14:paraId="6BF07418" w14:textId="77777777" w:rsidTr="00810BCF">
        <w:tc>
          <w:tcPr>
            <w:tcW w:w="3520" w:type="dxa"/>
          </w:tcPr>
          <w:p w14:paraId="5F6AACEB"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vAlign w:val="bottom"/>
          </w:tcPr>
          <w:p w14:paraId="1A78A1E5" w14:textId="77777777" w:rsidR="00146CBD" w:rsidRPr="00FC4FEB" w:rsidRDefault="00B146C8" w:rsidP="000A5925">
            <w:pPr>
              <w:spacing w:line="0" w:lineRule="atLeast"/>
              <w:ind w:right="180"/>
              <w:jc w:val="both"/>
              <w:rPr>
                <w:rFonts w:eastAsia="Times New Roman"/>
                <w:sz w:val="20"/>
              </w:rPr>
            </w:pPr>
            <w:hyperlink r:id="rId18" w:history="1">
              <w:r w:rsidR="00146CBD" w:rsidRPr="00FC4FEB">
                <w:rPr>
                  <w:rStyle w:val="Hyperlink"/>
                  <w:rFonts w:eastAsia="Times New Roman"/>
                  <w:color w:val="auto"/>
                  <w:sz w:val="20"/>
                </w:rPr>
                <w:t>http://www.boi.gov.ph/</w:t>
              </w:r>
            </w:hyperlink>
          </w:p>
        </w:tc>
        <w:tc>
          <w:tcPr>
            <w:tcW w:w="5471" w:type="dxa"/>
          </w:tcPr>
          <w:p w14:paraId="20E77E99" w14:textId="77777777" w:rsidR="00505176" w:rsidRPr="00FC4FEB" w:rsidRDefault="00505176" w:rsidP="00CD4015">
            <w:pPr>
              <w:pStyle w:val="Heading9"/>
              <w:jc w:val="both"/>
              <w:rPr>
                <w:rFonts w:ascii="Times New Roman" w:hAnsi="Times New Roman"/>
                <w:b w:val="0"/>
              </w:rPr>
            </w:pPr>
          </w:p>
        </w:tc>
      </w:tr>
      <w:tr w:rsidR="00FC4FEB" w:rsidRPr="00FC4FEB" w14:paraId="572EE102" w14:textId="77777777" w:rsidTr="00810BCF">
        <w:tc>
          <w:tcPr>
            <w:tcW w:w="3520" w:type="dxa"/>
          </w:tcPr>
          <w:p w14:paraId="02A2A59F"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vAlign w:val="bottom"/>
          </w:tcPr>
          <w:p w14:paraId="34B883A1" w14:textId="77777777" w:rsidR="00146CBD" w:rsidRPr="00FC4FEB" w:rsidRDefault="00146CBD" w:rsidP="000A5925">
            <w:pPr>
              <w:spacing w:line="0" w:lineRule="atLeast"/>
              <w:ind w:right="180"/>
              <w:jc w:val="both"/>
              <w:rPr>
                <w:sz w:val="20"/>
              </w:rPr>
            </w:pPr>
            <w:r w:rsidRPr="00FC4FEB">
              <w:rPr>
                <w:sz w:val="20"/>
              </w:rPr>
              <w:t xml:space="preserve">Executive Director Ma. Corazon H. </w:t>
            </w:r>
            <w:proofErr w:type="spellStart"/>
            <w:r w:rsidRPr="00FC4FEB">
              <w:rPr>
                <w:sz w:val="20"/>
              </w:rPr>
              <w:t>Dichosa</w:t>
            </w:r>
            <w:proofErr w:type="spellEnd"/>
          </w:p>
          <w:p w14:paraId="259E7A2E" w14:textId="77777777" w:rsidR="00146CBD" w:rsidRPr="00FC4FEB" w:rsidRDefault="00146CBD" w:rsidP="000A5925">
            <w:pPr>
              <w:spacing w:line="0" w:lineRule="atLeast"/>
              <w:ind w:right="180"/>
              <w:jc w:val="both"/>
              <w:rPr>
                <w:sz w:val="20"/>
              </w:rPr>
            </w:pPr>
            <w:r w:rsidRPr="00FC4FEB">
              <w:rPr>
                <w:sz w:val="20"/>
              </w:rPr>
              <w:t xml:space="preserve">BOI - Industry Development Group </w:t>
            </w:r>
          </w:p>
          <w:p w14:paraId="4BC1F427" w14:textId="77777777" w:rsidR="00146CBD" w:rsidRPr="00FC4FEB" w:rsidRDefault="00146CBD" w:rsidP="000A5925">
            <w:pPr>
              <w:spacing w:line="0" w:lineRule="atLeast"/>
              <w:ind w:right="180"/>
              <w:jc w:val="both"/>
              <w:rPr>
                <w:sz w:val="20"/>
              </w:rPr>
            </w:pPr>
            <w:r w:rsidRPr="00FC4FEB">
              <w:rPr>
                <w:sz w:val="20"/>
              </w:rPr>
              <w:t>Email: mchdichosa@boi.gov.ph</w:t>
            </w:r>
          </w:p>
          <w:p w14:paraId="05C57948" w14:textId="77777777" w:rsidR="00A52F0A" w:rsidRDefault="00A52F0A" w:rsidP="00A52F0A">
            <w:pPr>
              <w:spacing w:line="0" w:lineRule="atLeast"/>
              <w:ind w:right="180"/>
              <w:jc w:val="both"/>
              <w:rPr>
                <w:sz w:val="20"/>
              </w:rPr>
            </w:pPr>
            <w:r>
              <w:rPr>
                <w:sz w:val="20"/>
              </w:rPr>
              <w:t>Tel: +632.897-6682 local 326/325</w:t>
            </w:r>
          </w:p>
          <w:p w14:paraId="03CA79E7" w14:textId="77777777" w:rsidR="00A52F0A" w:rsidRDefault="00A52F0A" w:rsidP="00A52F0A">
            <w:pPr>
              <w:spacing w:line="0" w:lineRule="atLeast"/>
              <w:ind w:right="180"/>
              <w:jc w:val="both"/>
              <w:rPr>
                <w:sz w:val="20"/>
              </w:rPr>
            </w:pPr>
            <w:r>
              <w:rPr>
                <w:sz w:val="20"/>
              </w:rPr>
              <w:t>Fax: +632.895-3983</w:t>
            </w:r>
          </w:p>
          <w:p w14:paraId="6AC053E8" w14:textId="77777777" w:rsidR="00146CBD" w:rsidRPr="00FC4FEB" w:rsidRDefault="00146CBD" w:rsidP="000A5925">
            <w:pPr>
              <w:spacing w:line="0" w:lineRule="atLeast"/>
              <w:ind w:right="180"/>
              <w:jc w:val="both"/>
              <w:rPr>
                <w:sz w:val="20"/>
              </w:rPr>
            </w:pPr>
          </w:p>
          <w:p w14:paraId="6F5FE004" w14:textId="77777777" w:rsidR="00146CBD" w:rsidRPr="00FC4FEB" w:rsidRDefault="00146CBD" w:rsidP="000A5925">
            <w:pPr>
              <w:spacing w:line="0" w:lineRule="atLeast"/>
              <w:ind w:right="180"/>
              <w:jc w:val="both"/>
              <w:rPr>
                <w:sz w:val="20"/>
              </w:rPr>
            </w:pPr>
            <w:r w:rsidRPr="00FC4FEB">
              <w:rPr>
                <w:sz w:val="20"/>
              </w:rPr>
              <w:t xml:space="preserve">Assistant Secretary </w:t>
            </w:r>
            <w:proofErr w:type="spellStart"/>
            <w:r w:rsidRPr="00FC4FEB">
              <w:rPr>
                <w:sz w:val="20"/>
              </w:rPr>
              <w:t>Felicitas</w:t>
            </w:r>
            <w:proofErr w:type="spellEnd"/>
            <w:r w:rsidRPr="00FC4FEB">
              <w:rPr>
                <w:sz w:val="20"/>
              </w:rPr>
              <w:t xml:space="preserve"> </w:t>
            </w:r>
            <w:proofErr w:type="spellStart"/>
            <w:r w:rsidRPr="00FC4FEB">
              <w:rPr>
                <w:sz w:val="20"/>
              </w:rPr>
              <w:t>Agoncillo</w:t>
            </w:r>
            <w:proofErr w:type="spellEnd"/>
            <w:r w:rsidRPr="00FC4FEB">
              <w:rPr>
                <w:sz w:val="20"/>
              </w:rPr>
              <w:t xml:space="preserve"> Reyes</w:t>
            </w:r>
          </w:p>
          <w:p w14:paraId="4C21F981" w14:textId="77777777" w:rsidR="00146CBD" w:rsidRPr="00FC4FEB" w:rsidRDefault="00146CBD" w:rsidP="00993030">
            <w:pPr>
              <w:spacing w:line="0" w:lineRule="atLeast"/>
              <w:ind w:right="180"/>
              <w:jc w:val="both"/>
              <w:rPr>
                <w:sz w:val="20"/>
              </w:rPr>
            </w:pPr>
            <w:r w:rsidRPr="00FC4FEB">
              <w:rPr>
                <w:sz w:val="20"/>
              </w:rPr>
              <w:t>BOI – Investment Promotion Group</w:t>
            </w:r>
          </w:p>
          <w:p w14:paraId="4E6DB409" w14:textId="77777777" w:rsidR="00146CBD" w:rsidRPr="00FC4FEB" w:rsidRDefault="00146CBD" w:rsidP="00993030">
            <w:pPr>
              <w:spacing w:line="0" w:lineRule="atLeast"/>
              <w:ind w:right="180"/>
              <w:jc w:val="both"/>
              <w:rPr>
                <w:sz w:val="20"/>
              </w:rPr>
            </w:pPr>
            <w:r w:rsidRPr="00FC4FEB">
              <w:rPr>
                <w:sz w:val="20"/>
              </w:rPr>
              <w:t>Email: FAgoncilloReyes@boi.gov.ph</w:t>
            </w:r>
          </w:p>
          <w:p w14:paraId="66206C6E" w14:textId="77777777" w:rsidR="00A52F0A" w:rsidRDefault="00A52F0A" w:rsidP="00A52F0A">
            <w:pPr>
              <w:spacing w:line="0" w:lineRule="atLeast"/>
              <w:ind w:right="180"/>
              <w:jc w:val="both"/>
              <w:rPr>
                <w:sz w:val="20"/>
              </w:rPr>
            </w:pPr>
            <w:r>
              <w:rPr>
                <w:sz w:val="20"/>
              </w:rPr>
              <w:t>Tel: +632.897-6682 local 327/328</w:t>
            </w:r>
          </w:p>
          <w:p w14:paraId="04ECADC1" w14:textId="77777777" w:rsidR="00A52F0A" w:rsidRPr="00FC4FEB" w:rsidRDefault="00A52F0A" w:rsidP="00A52F0A">
            <w:pPr>
              <w:spacing w:line="0" w:lineRule="atLeast"/>
              <w:ind w:right="180"/>
              <w:jc w:val="both"/>
              <w:rPr>
                <w:sz w:val="20"/>
              </w:rPr>
            </w:pPr>
            <w:r>
              <w:rPr>
                <w:sz w:val="20"/>
              </w:rPr>
              <w:t>Fax: +632.897-2181</w:t>
            </w:r>
          </w:p>
          <w:p w14:paraId="61A0A5DE" w14:textId="77777777" w:rsidR="00146CBD" w:rsidRPr="00FC4FEB" w:rsidRDefault="00146CBD">
            <w:pPr>
              <w:spacing w:line="0" w:lineRule="atLeast"/>
              <w:ind w:right="180"/>
              <w:jc w:val="both"/>
              <w:rPr>
                <w:sz w:val="20"/>
              </w:rPr>
            </w:pPr>
          </w:p>
          <w:p w14:paraId="6B08255D" w14:textId="5D44F54A" w:rsidR="00146CBD" w:rsidRPr="00FC4FEB" w:rsidRDefault="00A52F0A">
            <w:pPr>
              <w:spacing w:line="0" w:lineRule="atLeast"/>
              <w:ind w:right="180"/>
              <w:jc w:val="both"/>
              <w:rPr>
                <w:sz w:val="20"/>
              </w:rPr>
            </w:pPr>
            <w:r>
              <w:rPr>
                <w:sz w:val="20"/>
              </w:rPr>
              <w:t>Executive Director Raul V. Angeles</w:t>
            </w:r>
          </w:p>
          <w:p w14:paraId="328E5A52" w14:textId="77777777" w:rsidR="00146CBD" w:rsidRPr="00FC4FEB" w:rsidRDefault="00146CBD">
            <w:pPr>
              <w:spacing w:line="0" w:lineRule="atLeast"/>
              <w:ind w:right="180"/>
              <w:jc w:val="both"/>
              <w:rPr>
                <w:sz w:val="20"/>
              </w:rPr>
            </w:pPr>
            <w:r w:rsidRPr="00FC4FEB">
              <w:rPr>
                <w:sz w:val="20"/>
              </w:rPr>
              <w:t>BOI- Investments Assistance Service</w:t>
            </w:r>
          </w:p>
          <w:p w14:paraId="2A995E36" w14:textId="77777777" w:rsidR="00A52F0A" w:rsidRPr="00FC4FEB" w:rsidRDefault="00146CBD" w:rsidP="00A52F0A">
            <w:pPr>
              <w:spacing w:line="0" w:lineRule="atLeast"/>
              <w:ind w:right="180"/>
              <w:jc w:val="both"/>
              <w:rPr>
                <w:sz w:val="20"/>
              </w:rPr>
            </w:pPr>
            <w:r w:rsidRPr="00FC4FEB">
              <w:rPr>
                <w:sz w:val="20"/>
              </w:rPr>
              <w:t xml:space="preserve">Email: </w:t>
            </w:r>
            <w:r w:rsidR="00A52F0A">
              <w:rPr>
                <w:sz w:val="20"/>
              </w:rPr>
              <w:t>RVAngeles@boi.gov.ph</w:t>
            </w:r>
          </w:p>
          <w:p w14:paraId="58C00852" w14:textId="77777777" w:rsidR="00A52F0A" w:rsidRDefault="00A52F0A" w:rsidP="00A52F0A">
            <w:pPr>
              <w:spacing w:line="0" w:lineRule="atLeast"/>
              <w:ind w:right="180"/>
              <w:jc w:val="both"/>
              <w:rPr>
                <w:sz w:val="20"/>
              </w:rPr>
            </w:pPr>
            <w:r>
              <w:rPr>
                <w:sz w:val="20"/>
              </w:rPr>
              <w:t>Tel: +632.897-6682 local 323/324</w:t>
            </w:r>
          </w:p>
          <w:p w14:paraId="1C876BFE" w14:textId="70D6287D" w:rsidR="00146CBD" w:rsidRPr="00FC4FEB" w:rsidRDefault="00A52F0A">
            <w:pPr>
              <w:spacing w:line="0" w:lineRule="atLeast"/>
              <w:ind w:right="180"/>
              <w:jc w:val="both"/>
              <w:rPr>
                <w:sz w:val="20"/>
              </w:rPr>
            </w:pPr>
            <w:r>
              <w:rPr>
                <w:sz w:val="20"/>
              </w:rPr>
              <w:t>Fax: +632.897-3079</w:t>
            </w:r>
          </w:p>
          <w:p w14:paraId="1246BA48" w14:textId="77777777" w:rsidR="00146CBD" w:rsidRPr="00FC4FEB" w:rsidRDefault="00146CBD">
            <w:pPr>
              <w:spacing w:line="0" w:lineRule="atLeast"/>
              <w:ind w:right="180"/>
              <w:jc w:val="both"/>
              <w:rPr>
                <w:sz w:val="20"/>
              </w:rPr>
            </w:pPr>
            <w:r w:rsidRPr="00FC4FEB">
              <w:rPr>
                <w:sz w:val="20"/>
              </w:rPr>
              <w:t xml:space="preserve">Board of Investments </w:t>
            </w:r>
          </w:p>
          <w:p w14:paraId="3E6508D0" w14:textId="77777777" w:rsidR="00146CBD" w:rsidRPr="00FC4FEB" w:rsidRDefault="00146CBD">
            <w:pPr>
              <w:spacing w:line="0" w:lineRule="atLeast"/>
              <w:ind w:right="180"/>
              <w:jc w:val="both"/>
              <w:rPr>
                <w:sz w:val="20"/>
              </w:rPr>
            </w:pPr>
            <w:r w:rsidRPr="00FC4FEB">
              <w:rPr>
                <w:sz w:val="20"/>
              </w:rPr>
              <w:t xml:space="preserve">Industry &amp; Investments Building </w:t>
            </w:r>
          </w:p>
          <w:p w14:paraId="5433B160" w14:textId="3160B324" w:rsidR="000D5A39" w:rsidRPr="00FC4FEB" w:rsidRDefault="00146CBD" w:rsidP="00A52F0A">
            <w:pPr>
              <w:spacing w:line="0" w:lineRule="atLeast"/>
              <w:ind w:right="180"/>
              <w:jc w:val="both"/>
              <w:rPr>
                <w:sz w:val="20"/>
              </w:rPr>
            </w:pPr>
            <w:r w:rsidRPr="00FC4FEB">
              <w:rPr>
                <w:sz w:val="20"/>
              </w:rPr>
              <w:t xml:space="preserve">385 Sen. Gil J. </w:t>
            </w:r>
            <w:proofErr w:type="spellStart"/>
            <w:r w:rsidRPr="00FC4FEB">
              <w:rPr>
                <w:sz w:val="20"/>
              </w:rPr>
              <w:t>Puyat</w:t>
            </w:r>
            <w:proofErr w:type="spellEnd"/>
            <w:r w:rsidRPr="00FC4FEB">
              <w:rPr>
                <w:sz w:val="20"/>
              </w:rPr>
              <w:t xml:space="preserve"> Avenue Makati City </w:t>
            </w:r>
          </w:p>
        </w:tc>
        <w:tc>
          <w:tcPr>
            <w:tcW w:w="5471" w:type="dxa"/>
          </w:tcPr>
          <w:p w14:paraId="5E289D7E" w14:textId="77777777" w:rsidR="00505176" w:rsidRPr="00FC4FEB" w:rsidRDefault="00505176" w:rsidP="00CD4015">
            <w:pPr>
              <w:pStyle w:val="Heading9"/>
              <w:jc w:val="both"/>
              <w:rPr>
                <w:rFonts w:ascii="Times New Roman" w:hAnsi="Times New Roman"/>
                <w:b w:val="0"/>
              </w:rPr>
            </w:pPr>
          </w:p>
        </w:tc>
      </w:tr>
      <w:tr w:rsidR="00FC4FEB" w:rsidRPr="00FC4FEB" w14:paraId="3943D593" w14:textId="77777777" w:rsidTr="00810BCF">
        <w:tc>
          <w:tcPr>
            <w:tcW w:w="3520" w:type="dxa"/>
          </w:tcPr>
          <w:p w14:paraId="3C7AFBB1" w14:textId="77777777" w:rsidR="00505176" w:rsidRPr="00FC4FEB" w:rsidRDefault="000D5A39" w:rsidP="00CD4015">
            <w:pPr>
              <w:jc w:val="both"/>
              <w:rPr>
                <w:b/>
                <w:i/>
                <w:sz w:val="20"/>
              </w:rPr>
            </w:pPr>
            <w:bookmarkStart w:id="14" w:name="Row5"/>
            <w:r w:rsidRPr="00FC4FEB">
              <w:rPr>
                <w:b/>
                <w:i/>
                <w:sz w:val="20"/>
              </w:rPr>
              <w:t>Standards and Conformance</w:t>
            </w:r>
            <w:bookmarkEnd w:id="14"/>
          </w:p>
          <w:p w14:paraId="551699B4" w14:textId="77777777" w:rsidR="00505176" w:rsidRPr="00FC4FEB" w:rsidRDefault="00505176" w:rsidP="00CD4015">
            <w:pPr>
              <w:jc w:val="both"/>
              <w:rPr>
                <w:b/>
                <w:i/>
                <w:sz w:val="20"/>
              </w:rPr>
            </w:pPr>
          </w:p>
        </w:tc>
        <w:tc>
          <w:tcPr>
            <w:tcW w:w="5573" w:type="dxa"/>
          </w:tcPr>
          <w:p w14:paraId="5F137783" w14:textId="77777777" w:rsidR="000D5A39" w:rsidRPr="00FC4FEB" w:rsidRDefault="003F0B12" w:rsidP="000A5925">
            <w:pPr>
              <w:jc w:val="both"/>
              <w:rPr>
                <w:sz w:val="20"/>
                <w:lang w:val="en-US"/>
              </w:rPr>
            </w:pPr>
            <w:bookmarkStart w:id="15" w:name="Cell09"/>
            <w:bookmarkEnd w:id="15"/>
            <w:r w:rsidRPr="00FC4FEB">
              <w:rPr>
                <w:sz w:val="20"/>
                <w:lang w:val="en-US"/>
              </w:rPr>
              <w:t>D</w:t>
            </w:r>
            <w:r w:rsidR="000D5A39" w:rsidRPr="00FC4FEB">
              <w:rPr>
                <w:sz w:val="20"/>
                <w:lang w:val="en-US"/>
              </w:rPr>
              <w:t>eveloped a total of 10,092 Philippine National Standards (PNS) as of August 2017 where 79.91% or 8,065 were aligned with relevant international standards (ISO/IEC).</w:t>
            </w:r>
          </w:p>
          <w:p w14:paraId="08DCD6BA" w14:textId="77777777" w:rsidR="000D5A39" w:rsidRPr="00FC4FEB" w:rsidRDefault="000D5A39" w:rsidP="000A5925">
            <w:pPr>
              <w:jc w:val="both"/>
              <w:rPr>
                <w:sz w:val="20"/>
                <w:lang w:val="en-US"/>
              </w:rPr>
            </w:pPr>
          </w:p>
          <w:p w14:paraId="1B2653E5" w14:textId="77777777" w:rsidR="000D5A39" w:rsidRPr="00FC4FEB" w:rsidRDefault="001C6D60" w:rsidP="000A5925">
            <w:pPr>
              <w:jc w:val="both"/>
              <w:rPr>
                <w:sz w:val="20"/>
                <w:lang w:val="en-US"/>
              </w:rPr>
            </w:pPr>
            <w:r w:rsidRPr="00FC4FEB">
              <w:rPr>
                <w:sz w:val="20"/>
                <w:lang w:val="en-US"/>
              </w:rPr>
              <w:t>Developed/adopted 653 new PNS b</w:t>
            </w:r>
            <w:r w:rsidR="000D5A39" w:rsidRPr="00FC4FEB">
              <w:rPr>
                <w:sz w:val="20"/>
                <w:lang w:val="en-US"/>
              </w:rPr>
              <w:t>etween November 2015 and August 2017. Of this number, 80.55% or 526 standards were aligned to international standards (ISO/IEC).</w:t>
            </w:r>
          </w:p>
          <w:p w14:paraId="286D461E" w14:textId="77777777" w:rsidR="000D5A39" w:rsidRPr="00FC4FEB" w:rsidRDefault="000D5A39" w:rsidP="000A5925">
            <w:pPr>
              <w:jc w:val="both"/>
              <w:rPr>
                <w:sz w:val="20"/>
                <w:lang w:val="en-US"/>
              </w:rPr>
            </w:pPr>
          </w:p>
          <w:tbl>
            <w:tblPr>
              <w:tblStyle w:val="TableGrid"/>
              <w:tblW w:w="4539" w:type="dxa"/>
              <w:tblLayout w:type="fixed"/>
              <w:tblLook w:val="04A0" w:firstRow="1" w:lastRow="0" w:firstColumn="1" w:lastColumn="0" w:noHBand="0" w:noVBand="1"/>
            </w:tblPr>
            <w:tblGrid>
              <w:gridCol w:w="1633"/>
              <w:gridCol w:w="1772"/>
              <w:gridCol w:w="1134"/>
            </w:tblGrid>
            <w:tr w:rsidR="00FC4FEB" w:rsidRPr="00FC4FEB" w14:paraId="04AFD291" w14:textId="77777777" w:rsidTr="00133CFD">
              <w:tc>
                <w:tcPr>
                  <w:tcW w:w="1633" w:type="dxa"/>
                  <w:vAlign w:val="center"/>
                </w:tcPr>
                <w:p w14:paraId="0327C325" w14:textId="77777777" w:rsidR="00505176" w:rsidRPr="00FC4FEB" w:rsidRDefault="000D5A39" w:rsidP="00CD4015">
                  <w:pPr>
                    <w:jc w:val="both"/>
                    <w:rPr>
                      <w:b/>
                      <w:sz w:val="20"/>
                      <w:lang w:val="en-US"/>
                    </w:rPr>
                  </w:pPr>
                  <w:r w:rsidRPr="00FC4FEB">
                    <w:rPr>
                      <w:b/>
                      <w:sz w:val="20"/>
                      <w:lang w:val="en-US"/>
                    </w:rPr>
                    <w:t>Month/Year</w:t>
                  </w:r>
                </w:p>
              </w:tc>
              <w:tc>
                <w:tcPr>
                  <w:tcW w:w="1772" w:type="dxa"/>
                  <w:vAlign w:val="center"/>
                </w:tcPr>
                <w:p w14:paraId="2776188B" w14:textId="77777777" w:rsidR="00505176" w:rsidRPr="00FC4FEB" w:rsidRDefault="000D5A39" w:rsidP="00CD4015">
                  <w:pPr>
                    <w:jc w:val="both"/>
                    <w:rPr>
                      <w:b/>
                      <w:sz w:val="20"/>
                      <w:lang w:val="en-US"/>
                    </w:rPr>
                  </w:pPr>
                  <w:r w:rsidRPr="00FC4FEB">
                    <w:rPr>
                      <w:b/>
                      <w:sz w:val="20"/>
                      <w:lang w:val="en-US"/>
                    </w:rPr>
                    <w:t>No. of new PNS developed/ adopted</w:t>
                  </w:r>
                </w:p>
              </w:tc>
              <w:tc>
                <w:tcPr>
                  <w:tcW w:w="1134" w:type="dxa"/>
                  <w:vAlign w:val="center"/>
                </w:tcPr>
                <w:p w14:paraId="78984584" w14:textId="77777777" w:rsidR="00505176" w:rsidRPr="00FC4FEB" w:rsidRDefault="000D5A39" w:rsidP="00CD4015">
                  <w:pPr>
                    <w:jc w:val="both"/>
                    <w:rPr>
                      <w:b/>
                      <w:sz w:val="20"/>
                      <w:lang w:val="en-US"/>
                    </w:rPr>
                  </w:pPr>
                  <w:r w:rsidRPr="00FC4FEB">
                    <w:rPr>
                      <w:b/>
                      <w:sz w:val="20"/>
                      <w:lang w:val="en-US"/>
                    </w:rPr>
                    <w:t>No. of Harmonized PNS to ISO/IEC</w:t>
                  </w:r>
                </w:p>
              </w:tc>
            </w:tr>
            <w:tr w:rsidR="00FC4FEB" w:rsidRPr="00FC4FEB" w14:paraId="6945F815" w14:textId="77777777" w:rsidTr="00133CFD">
              <w:trPr>
                <w:trHeight w:val="323"/>
              </w:trPr>
              <w:tc>
                <w:tcPr>
                  <w:tcW w:w="1633" w:type="dxa"/>
                  <w:vAlign w:val="center"/>
                </w:tcPr>
                <w:p w14:paraId="682DB0A8" w14:textId="77777777" w:rsidR="00505176" w:rsidRPr="00FC4FEB" w:rsidRDefault="000D5A39" w:rsidP="00CD4015">
                  <w:pPr>
                    <w:jc w:val="both"/>
                    <w:rPr>
                      <w:sz w:val="20"/>
                      <w:lang w:val="en-US"/>
                    </w:rPr>
                  </w:pPr>
                  <w:r w:rsidRPr="00FC4FEB">
                    <w:rPr>
                      <w:sz w:val="20"/>
                      <w:lang w:val="en-US"/>
                    </w:rPr>
                    <w:t>Nov to Dec 2015</w:t>
                  </w:r>
                </w:p>
              </w:tc>
              <w:tc>
                <w:tcPr>
                  <w:tcW w:w="1772" w:type="dxa"/>
                  <w:vAlign w:val="center"/>
                </w:tcPr>
                <w:p w14:paraId="3BDF0EC6" w14:textId="77777777" w:rsidR="00505176" w:rsidRPr="00FC4FEB" w:rsidRDefault="000D5A39" w:rsidP="00CD4015">
                  <w:pPr>
                    <w:jc w:val="both"/>
                    <w:rPr>
                      <w:sz w:val="20"/>
                      <w:lang w:val="en-US"/>
                    </w:rPr>
                  </w:pPr>
                  <w:r w:rsidRPr="00FC4FEB">
                    <w:rPr>
                      <w:sz w:val="20"/>
                      <w:lang w:val="en-US"/>
                    </w:rPr>
                    <w:t>162</w:t>
                  </w:r>
                </w:p>
              </w:tc>
              <w:tc>
                <w:tcPr>
                  <w:tcW w:w="1134" w:type="dxa"/>
                  <w:vAlign w:val="center"/>
                </w:tcPr>
                <w:p w14:paraId="7746916D" w14:textId="77777777" w:rsidR="00505176" w:rsidRPr="00FC4FEB" w:rsidRDefault="000D5A39" w:rsidP="00CD4015">
                  <w:pPr>
                    <w:jc w:val="both"/>
                    <w:rPr>
                      <w:sz w:val="20"/>
                      <w:lang w:val="en-US"/>
                    </w:rPr>
                  </w:pPr>
                  <w:r w:rsidRPr="00FC4FEB">
                    <w:rPr>
                      <w:sz w:val="20"/>
                      <w:lang w:val="en-US"/>
                    </w:rPr>
                    <w:t>99</w:t>
                  </w:r>
                </w:p>
              </w:tc>
            </w:tr>
            <w:tr w:rsidR="00FC4FEB" w:rsidRPr="00FC4FEB" w14:paraId="01E4C54D" w14:textId="77777777" w:rsidTr="00133CFD">
              <w:trPr>
                <w:trHeight w:val="359"/>
              </w:trPr>
              <w:tc>
                <w:tcPr>
                  <w:tcW w:w="1633" w:type="dxa"/>
                  <w:vAlign w:val="center"/>
                </w:tcPr>
                <w:p w14:paraId="3C4B36A3" w14:textId="77777777" w:rsidR="00505176" w:rsidRPr="00FC4FEB" w:rsidRDefault="000D5A39" w:rsidP="00CD4015">
                  <w:pPr>
                    <w:jc w:val="both"/>
                    <w:rPr>
                      <w:sz w:val="20"/>
                      <w:lang w:val="en-US"/>
                    </w:rPr>
                  </w:pPr>
                  <w:r w:rsidRPr="00FC4FEB">
                    <w:rPr>
                      <w:sz w:val="20"/>
                      <w:lang w:val="en-US"/>
                    </w:rPr>
                    <w:t>Jan to Dec 2016</w:t>
                  </w:r>
                </w:p>
              </w:tc>
              <w:tc>
                <w:tcPr>
                  <w:tcW w:w="1772" w:type="dxa"/>
                  <w:vAlign w:val="center"/>
                </w:tcPr>
                <w:p w14:paraId="2C7BF278" w14:textId="77777777" w:rsidR="00505176" w:rsidRPr="00FC4FEB" w:rsidRDefault="000D5A39" w:rsidP="00CD4015">
                  <w:pPr>
                    <w:jc w:val="both"/>
                    <w:rPr>
                      <w:sz w:val="20"/>
                      <w:lang w:val="en-US"/>
                    </w:rPr>
                  </w:pPr>
                  <w:r w:rsidRPr="00FC4FEB">
                    <w:rPr>
                      <w:sz w:val="20"/>
                      <w:lang w:val="en-US"/>
                    </w:rPr>
                    <w:t>415</w:t>
                  </w:r>
                </w:p>
              </w:tc>
              <w:tc>
                <w:tcPr>
                  <w:tcW w:w="1134" w:type="dxa"/>
                  <w:vAlign w:val="center"/>
                </w:tcPr>
                <w:p w14:paraId="2A11A49C" w14:textId="77777777" w:rsidR="00505176" w:rsidRPr="00FC4FEB" w:rsidRDefault="000D5A39" w:rsidP="00CD4015">
                  <w:pPr>
                    <w:jc w:val="both"/>
                    <w:rPr>
                      <w:sz w:val="20"/>
                      <w:lang w:val="en-US"/>
                    </w:rPr>
                  </w:pPr>
                  <w:r w:rsidRPr="00FC4FEB">
                    <w:rPr>
                      <w:sz w:val="20"/>
                      <w:lang w:val="en-US"/>
                    </w:rPr>
                    <w:t>358</w:t>
                  </w:r>
                </w:p>
              </w:tc>
            </w:tr>
            <w:tr w:rsidR="00FC4FEB" w:rsidRPr="00FC4FEB" w14:paraId="69429A8E" w14:textId="77777777" w:rsidTr="00133CFD">
              <w:trPr>
                <w:trHeight w:val="350"/>
              </w:trPr>
              <w:tc>
                <w:tcPr>
                  <w:tcW w:w="1633" w:type="dxa"/>
                  <w:vAlign w:val="center"/>
                </w:tcPr>
                <w:p w14:paraId="4071B92B" w14:textId="77777777" w:rsidR="00505176" w:rsidRPr="00FC4FEB" w:rsidRDefault="000D5A39" w:rsidP="00CD4015">
                  <w:pPr>
                    <w:jc w:val="both"/>
                    <w:rPr>
                      <w:sz w:val="20"/>
                      <w:lang w:val="en-US"/>
                    </w:rPr>
                  </w:pPr>
                  <w:r w:rsidRPr="00FC4FEB">
                    <w:rPr>
                      <w:sz w:val="20"/>
                      <w:lang w:val="en-US"/>
                    </w:rPr>
                    <w:t>Jan to Aug 2017</w:t>
                  </w:r>
                </w:p>
              </w:tc>
              <w:tc>
                <w:tcPr>
                  <w:tcW w:w="1772" w:type="dxa"/>
                  <w:vAlign w:val="center"/>
                </w:tcPr>
                <w:p w14:paraId="65D9882E" w14:textId="77777777" w:rsidR="00505176" w:rsidRPr="00FC4FEB" w:rsidRDefault="000D5A39" w:rsidP="00CD4015">
                  <w:pPr>
                    <w:jc w:val="both"/>
                    <w:rPr>
                      <w:sz w:val="20"/>
                      <w:lang w:val="en-US"/>
                    </w:rPr>
                  </w:pPr>
                  <w:r w:rsidRPr="00FC4FEB">
                    <w:rPr>
                      <w:sz w:val="20"/>
                      <w:lang w:val="en-US"/>
                    </w:rPr>
                    <w:t>76</w:t>
                  </w:r>
                </w:p>
              </w:tc>
              <w:tc>
                <w:tcPr>
                  <w:tcW w:w="1134" w:type="dxa"/>
                  <w:vAlign w:val="center"/>
                </w:tcPr>
                <w:p w14:paraId="654A2A38" w14:textId="77777777" w:rsidR="00505176" w:rsidRPr="00FC4FEB" w:rsidRDefault="000D5A39" w:rsidP="00CD4015">
                  <w:pPr>
                    <w:jc w:val="both"/>
                    <w:rPr>
                      <w:sz w:val="20"/>
                      <w:lang w:val="en-US"/>
                    </w:rPr>
                  </w:pPr>
                  <w:r w:rsidRPr="00FC4FEB">
                    <w:rPr>
                      <w:sz w:val="20"/>
                      <w:lang w:val="en-US"/>
                    </w:rPr>
                    <w:t>69</w:t>
                  </w:r>
                </w:p>
              </w:tc>
            </w:tr>
            <w:tr w:rsidR="00FC4FEB" w:rsidRPr="00FC4FEB" w14:paraId="73B9FFF4" w14:textId="77777777" w:rsidTr="00133CFD">
              <w:trPr>
                <w:trHeight w:val="350"/>
              </w:trPr>
              <w:tc>
                <w:tcPr>
                  <w:tcW w:w="1633" w:type="dxa"/>
                  <w:vAlign w:val="center"/>
                </w:tcPr>
                <w:p w14:paraId="3B302F39" w14:textId="77777777" w:rsidR="00505176" w:rsidRPr="00FC4FEB" w:rsidRDefault="000D5A39" w:rsidP="00CD4015">
                  <w:pPr>
                    <w:jc w:val="both"/>
                    <w:rPr>
                      <w:b/>
                      <w:sz w:val="20"/>
                      <w:lang w:val="en-US"/>
                    </w:rPr>
                  </w:pPr>
                  <w:r w:rsidRPr="00FC4FEB">
                    <w:rPr>
                      <w:b/>
                      <w:sz w:val="20"/>
                      <w:lang w:val="en-US"/>
                    </w:rPr>
                    <w:t>Total</w:t>
                  </w:r>
                </w:p>
              </w:tc>
              <w:tc>
                <w:tcPr>
                  <w:tcW w:w="1772" w:type="dxa"/>
                  <w:vAlign w:val="center"/>
                </w:tcPr>
                <w:p w14:paraId="42907E4A" w14:textId="77777777" w:rsidR="00505176" w:rsidRPr="00FC4FEB" w:rsidRDefault="000D5A39" w:rsidP="00CD4015">
                  <w:pPr>
                    <w:jc w:val="both"/>
                    <w:rPr>
                      <w:b/>
                      <w:sz w:val="20"/>
                      <w:lang w:val="en-US"/>
                    </w:rPr>
                  </w:pPr>
                  <w:r w:rsidRPr="00FC4FEB">
                    <w:rPr>
                      <w:b/>
                      <w:sz w:val="20"/>
                      <w:lang w:val="en-US"/>
                    </w:rPr>
                    <w:t>653</w:t>
                  </w:r>
                </w:p>
              </w:tc>
              <w:tc>
                <w:tcPr>
                  <w:tcW w:w="1134" w:type="dxa"/>
                  <w:vAlign w:val="center"/>
                </w:tcPr>
                <w:p w14:paraId="3C49BBE4" w14:textId="77777777" w:rsidR="00505176" w:rsidRPr="00FC4FEB" w:rsidRDefault="000D5A39" w:rsidP="00CD4015">
                  <w:pPr>
                    <w:jc w:val="both"/>
                    <w:rPr>
                      <w:b/>
                      <w:sz w:val="20"/>
                      <w:lang w:val="en-US"/>
                    </w:rPr>
                  </w:pPr>
                  <w:r w:rsidRPr="00FC4FEB">
                    <w:rPr>
                      <w:b/>
                      <w:sz w:val="20"/>
                      <w:lang w:val="en-US"/>
                    </w:rPr>
                    <w:t>526</w:t>
                  </w:r>
                </w:p>
              </w:tc>
            </w:tr>
          </w:tbl>
          <w:p w14:paraId="419D2395" w14:textId="77777777" w:rsidR="00505176" w:rsidRPr="00FC4FEB" w:rsidRDefault="00505176" w:rsidP="00CD4015">
            <w:pPr>
              <w:jc w:val="both"/>
              <w:rPr>
                <w:sz w:val="20"/>
                <w:lang w:val="en-US"/>
              </w:rPr>
            </w:pPr>
          </w:p>
          <w:p w14:paraId="446AF35B" w14:textId="77777777" w:rsidR="00505176" w:rsidRPr="00FC4FEB" w:rsidRDefault="000D5A39" w:rsidP="00CD4015">
            <w:pPr>
              <w:jc w:val="both"/>
              <w:rPr>
                <w:sz w:val="20"/>
                <w:lang w:val="en-US"/>
              </w:rPr>
            </w:pPr>
            <w:r w:rsidRPr="00FC4FEB">
              <w:rPr>
                <w:sz w:val="20"/>
                <w:lang w:val="en-US"/>
              </w:rPr>
              <w:t>The standardization program</w:t>
            </w:r>
            <w:r w:rsidR="006744F3" w:rsidRPr="00FC4FEB">
              <w:rPr>
                <w:sz w:val="20"/>
                <w:lang w:val="en-US"/>
              </w:rPr>
              <w:t xml:space="preserve"> is consistent with the country’s industrial </w:t>
            </w:r>
            <w:r w:rsidRPr="00FC4FEB">
              <w:rPr>
                <w:sz w:val="20"/>
                <w:lang w:val="en-US"/>
              </w:rPr>
              <w:t>priority sectors</w:t>
            </w:r>
            <w:r w:rsidR="006744F3" w:rsidRPr="00FC4FEB">
              <w:rPr>
                <w:sz w:val="20"/>
                <w:lang w:val="en-US"/>
              </w:rPr>
              <w:t xml:space="preserve"> which includes, among others, </w:t>
            </w:r>
            <w:r w:rsidR="006744F3" w:rsidRPr="00FC4FEB">
              <w:rPr>
                <w:sz w:val="20"/>
                <w:lang w:val="en-US"/>
              </w:rPr>
              <w:lastRenderedPageBreak/>
              <w:t>electronics, automotive and parts, chemicals, shipbuilding, furniture and garments.</w:t>
            </w:r>
          </w:p>
          <w:p w14:paraId="5606B6EF" w14:textId="77777777" w:rsidR="000D5A39" w:rsidRPr="00FC4FEB" w:rsidRDefault="000D5A39">
            <w:pPr>
              <w:jc w:val="both"/>
              <w:rPr>
                <w:sz w:val="20"/>
                <w:lang w:val="en-US"/>
              </w:rPr>
            </w:pPr>
          </w:p>
          <w:p w14:paraId="5AA4D699" w14:textId="77777777" w:rsidR="000D5A39" w:rsidRPr="00FC4FEB" w:rsidRDefault="000D5A39">
            <w:pPr>
              <w:jc w:val="both"/>
              <w:rPr>
                <w:sz w:val="20"/>
                <w:lang w:val="en-US"/>
              </w:rPr>
            </w:pPr>
            <w:r w:rsidRPr="00FC4FEB">
              <w:rPr>
                <w:sz w:val="20"/>
                <w:lang w:val="en-US"/>
              </w:rPr>
              <w:t xml:space="preserve">The </w:t>
            </w:r>
            <w:r w:rsidR="006744F3" w:rsidRPr="00FC4FEB">
              <w:rPr>
                <w:sz w:val="20"/>
                <w:lang w:val="en-US"/>
              </w:rPr>
              <w:t>Bureau of Philippine Standards (BPS)</w:t>
            </w:r>
            <w:r w:rsidRPr="00FC4FEB">
              <w:rPr>
                <w:sz w:val="20"/>
                <w:lang w:val="en-US"/>
              </w:rPr>
              <w:t xml:space="preserve"> maintains its full membership to the International Organization for Standardization (ISO) and International </w:t>
            </w:r>
            <w:proofErr w:type="spellStart"/>
            <w:r w:rsidRPr="00FC4FEB">
              <w:rPr>
                <w:sz w:val="20"/>
                <w:lang w:val="en-US"/>
              </w:rPr>
              <w:t>Electrotechnical</w:t>
            </w:r>
            <w:proofErr w:type="spellEnd"/>
            <w:r w:rsidRPr="00FC4FEB">
              <w:rPr>
                <w:sz w:val="20"/>
                <w:lang w:val="en-US"/>
              </w:rPr>
              <w:t xml:space="preserve"> Commission (IEC).</w:t>
            </w:r>
            <w:r w:rsidR="003E396F" w:rsidRPr="00FC4FEB">
              <w:rPr>
                <w:sz w:val="20"/>
                <w:lang w:val="en-US"/>
              </w:rPr>
              <w:t xml:space="preserve"> </w:t>
            </w:r>
            <w:r w:rsidRPr="00FC4FEB">
              <w:rPr>
                <w:sz w:val="20"/>
                <w:lang w:val="en-US"/>
              </w:rPr>
              <w:t>For ISO, it is a participating member to 41 Technical Committees (TC).</w:t>
            </w:r>
            <w:r w:rsidR="00A758C1" w:rsidRPr="00FC4FEB">
              <w:rPr>
                <w:sz w:val="20"/>
                <w:lang w:val="en-US"/>
              </w:rPr>
              <w:t xml:space="preserve"> </w:t>
            </w:r>
            <w:r w:rsidRPr="00FC4FEB">
              <w:rPr>
                <w:sz w:val="20"/>
                <w:lang w:val="en-US"/>
              </w:rPr>
              <w:t>For IEC, it is a participating member to 7 TCs.</w:t>
            </w:r>
          </w:p>
          <w:p w14:paraId="00C99B61" w14:textId="77777777" w:rsidR="00505176" w:rsidRPr="00FC4FEB" w:rsidRDefault="00505176" w:rsidP="00CD4015">
            <w:pPr>
              <w:jc w:val="both"/>
              <w:rPr>
                <w:sz w:val="20"/>
                <w:lang w:val="en-US"/>
              </w:rPr>
            </w:pPr>
          </w:p>
          <w:p w14:paraId="515A8C03" w14:textId="77777777" w:rsidR="000D5A39" w:rsidRPr="00FC4FEB" w:rsidRDefault="000D5A39" w:rsidP="000A5925">
            <w:pPr>
              <w:jc w:val="both"/>
              <w:rPr>
                <w:sz w:val="20"/>
                <w:lang w:val="en-US"/>
              </w:rPr>
            </w:pPr>
            <w:r w:rsidRPr="00FC4FEB">
              <w:rPr>
                <w:sz w:val="20"/>
                <w:lang w:val="en-US"/>
              </w:rPr>
              <w:t>The Philippine Accreditation Bureau (PAB) is a signatory member to the International Accreditation Forum (IAF)/Pacific Accreditation Cooperation (PAC) Multilateral Recognition Arrangement (MLA) and International Laboratory Accreditation Cooperation (ILAC)/Asia Pacific Laboratory Accreditation Cooperation (APLAC) Mutual Recognition Agreement (MRA) on:</w:t>
            </w:r>
          </w:p>
          <w:p w14:paraId="19BA3CA4" w14:textId="77777777" w:rsidR="000D5A39" w:rsidRPr="00FC4FEB" w:rsidRDefault="000D5A39" w:rsidP="000A5925">
            <w:pPr>
              <w:jc w:val="both"/>
              <w:rPr>
                <w:sz w:val="20"/>
                <w:lang w:val="en-US"/>
              </w:rPr>
            </w:pPr>
          </w:p>
          <w:p w14:paraId="18B50D96" w14:textId="77777777" w:rsidR="000D5A39" w:rsidRPr="00FC4FEB" w:rsidRDefault="000D5A39" w:rsidP="000A5925">
            <w:pPr>
              <w:jc w:val="both"/>
              <w:rPr>
                <w:sz w:val="20"/>
                <w:lang w:val="en-US"/>
              </w:rPr>
            </w:pPr>
            <w:r w:rsidRPr="00FC4FEB">
              <w:rPr>
                <w:sz w:val="20"/>
                <w:lang w:val="en-US"/>
              </w:rPr>
              <w:t>1.   Testing and Calibration (ILAC/APLAC MRA)</w:t>
            </w:r>
          </w:p>
          <w:p w14:paraId="74D6FB32" w14:textId="77777777" w:rsidR="000D5A39" w:rsidRPr="00FC4FEB" w:rsidRDefault="000D5A39" w:rsidP="000A5925">
            <w:pPr>
              <w:jc w:val="both"/>
              <w:rPr>
                <w:sz w:val="20"/>
                <w:lang w:val="en-US"/>
              </w:rPr>
            </w:pPr>
            <w:r w:rsidRPr="00FC4FEB">
              <w:rPr>
                <w:sz w:val="20"/>
                <w:lang w:val="en-US"/>
              </w:rPr>
              <w:t xml:space="preserve">2.   </w:t>
            </w:r>
            <w:proofErr w:type="gramStart"/>
            <w:r w:rsidRPr="00FC4FEB">
              <w:rPr>
                <w:sz w:val="20"/>
                <w:lang w:val="en-US"/>
              </w:rPr>
              <w:t>QMS  Certification</w:t>
            </w:r>
            <w:proofErr w:type="gramEnd"/>
            <w:r w:rsidRPr="00FC4FEB">
              <w:rPr>
                <w:sz w:val="20"/>
                <w:lang w:val="en-US"/>
              </w:rPr>
              <w:t xml:space="preserve"> Bodies (IAF/PAC MLA)</w:t>
            </w:r>
          </w:p>
          <w:p w14:paraId="766FA6D8" w14:textId="77777777" w:rsidR="000D5A39" w:rsidRPr="00FC4FEB" w:rsidRDefault="000D5A39" w:rsidP="000A5925">
            <w:pPr>
              <w:jc w:val="both"/>
              <w:rPr>
                <w:sz w:val="20"/>
                <w:lang w:val="en-US"/>
              </w:rPr>
            </w:pPr>
            <w:r w:rsidRPr="00FC4FEB">
              <w:rPr>
                <w:sz w:val="20"/>
                <w:lang w:val="en-US"/>
              </w:rPr>
              <w:t>3.   EMS Certification Bodies (IAF/PAC MLA)</w:t>
            </w:r>
          </w:p>
          <w:p w14:paraId="3460AC13" w14:textId="77777777" w:rsidR="000D5A39" w:rsidRPr="00FC4FEB" w:rsidRDefault="000D5A39" w:rsidP="00993030">
            <w:pPr>
              <w:jc w:val="both"/>
              <w:rPr>
                <w:sz w:val="20"/>
                <w:lang w:val="en-US"/>
              </w:rPr>
            </w:pPr>
          </w:p>
          <w:p w14:paraId="7BB61543" w14:textId="77777777" w:rsidR="000D5A39" w:rsidRPr="00FC4FEB" w:rsidRDefault="006744F3">
            <w:pPr>
              <w:jc w:val="both"/>
              <w:rPr>
                <w:sz w:val="20"/>
                <w:lang w:val="en-US"/>
              </w:rPr>
            </w:pPr>
            <w:r w:rsidRPr="00FC4FEB">
              <w:rPr>
                <w:sz w:val="20"/>
                <w:lang w:val="en-US"/>
              </w:rPr>
              <w:t>It</w:t>
            </w:r>
            <w:r w:rsidR="000D5A39" w:rsidRPr="00FC4FEB">
              <w:rPr>
                <w:sz w:val="20"/>
                <w:lang w:val="en-US"/>
              </w:rPr>
              <w:t xml:space="preserve"> continues to implement 10 accreditation schemes as of November 2017.</w:t>
            </w:r>
          </w:p>
          <w:p w14:paraId="135AACAB" w14:textId="77777777" w:rsidR="000D5A39" w:rsidRPr="00FC4FEB" w:rsidRDefault="000D5A39">
            <w:pPr>
              <w:numPr>
                <w:ilvl w:val="0"/>
                <w:numId w:val="37"/>
              </w:numPr>
              <w:jc w:val="both"/>
              <w:rPr>
                <w:sz w:val="20"/>
                <w:lang w:val="en-US"/>
              </w:rPr>
            </w:pPr>
            <w:r w:rsidRPr="00FC4FEB">
              <w:rPr>
                <w:sz w:val="20"/>
                <w:lang w:val="en-US"/>
              </w:rPr>
              <w:t>Quality Management System (QMS)</w:t>
            </w:r>
          </w:p>
          <w:p w14:paraId="189EE361" w14:textId="77777777" w:rsidR="000D5A39" w:rsidRPr="00FC4FEB" w:rsidRDefault="000D5A39">
            <w:pPr>
              <w:numPr>
                <w:ilvl w:val="0"/>
                <w:numId w:val="37"/>
              </w:numPr>
              <w:jc w:val="both"/>
              <w:rPr>
                <w:sz w:val="20"/>
                <w:lang w:val="en-US"/>
              </w:rPr>
            </w:pPr>
            <w:r w:rsidRPr="00FC4FEB">
              <w:rPr>
                <w:sz w:val="20"/>
                <w:lang w:val="en-US"/>
              </w:rPr>
              <w:t>Food Safety Management System (FSMS)</w:t>
            </w:r>
          </w:p>
          <w:p w14:paraId="2285D01D" w14:textId="77777777" w:rsidR="000D5A39" w:rsidRPr="00FC4FEB" w:rsidRDefault="000D5A39">
            <w:pPr>
              <w:numPr>
                <w:ilvl w:val="0"/>
                <w:numId w:val="37"/>
              </w:numPr>
              <w:jc w:val="both"/>
              <w:rPr>
                <w:sz w:val="20"/>
                <w:lang w:val="en-US"/>
              </w:rPr>
            </w:pPr>
            <w:r w:rsidRPr="00FC4FEB">
              <w:rPr>
                <w:sz w:val="20"/>
                <w:lang w:val="en-US"/>
              </w:rPr>
              <w:t>Environmental Management System (EMS)</w:t>
            </w:r>
          </w:p>
          <w:p w14:paraId="028DB424" w14:textId="77777777" w:rsidR="000D5A39" w:rsidRPr="00FC4FEB" w:rsidRDefault="000D5A39">
            <w:pPr>
              <w:numPr>
                <w:ilvl w:val="0"/>
                <w:numId w:val="37"/>
              </w:numPr>
              <w:jc w:val="both"/>
              <w:rPr>
                <w:sz w:val="20"/>
                <w:lang w:val="en-US"/>
              </w:rPr>
            </w:pPr>
            <w:r w:rsidRPr="00FC4FEB">
              <w:rPr>
                <w:sz w:val="20"/>
                <w:lang w:val="en-US"/>
              </w:rPr>
              <w:t>Energy Management System (</w:t>
            </w:r>
            <w:proofErr w:type="spellStart"/>
            <w:r w:rsidRPr="00FC4FEB">
              <w:rPr>
                <w:sz w:val="20"/>
                <w:lang w:val="en-US"/>
              </w:rPr>
              <w:t>EnMS</w:t>
            </w:r>
            <w:proofErr w:type="spellEnd"/>
            <w:r w:rsidRPr="00FC4FEB">
              <w:rPr>
                <w:sz w:val="20"/>
                <w:lang w:val="en-US"/>
              </w:rPr>
              <w:t>)</w:t>
            </w:r>
          </w:p>
          <w:p w14:paraId="1144871F" w14:textId="77777777" w:rsidR="000D5A39" w:rsidRPr="00FC4FEB" w:rsidRDefault="000D5A39">
            <w:pPr>
              <w:numPr>
                <w:ilvl w:val="0"/>
                <w:numId w:val="37"/>
              </w:numPr>
              <w:jc w:val="both"/>
              <w:rPr>
                <w:sz w:val="20"/>
                <w:lang w:val="en-US"/>
              </w:rPr>
            </w:pPr>
            <w:r w:rsidRPr="00FC4FEB">
              <w:rPr>
                <w:sz w:val="20"/>
                <w:lang w:val="en-US"/>
              </w:rPr>
              <w:t>Information Security Management System (ISMS)</w:t>
            </w:r>
          </w:p>
          <w:p w14:paraId="0D007307" w14:textId="77777777" w:rsidR="00505176" w:rsidRPr="00FC4FEB" w:rsidRDefault="000D5A39" w:rsidP="00CD4015">
            <w:pPr>
              <w:numPr>
                <w:ilvl w:val="0"/>
                <w:numId w:val="37"/>
              </w:numPr>
              <w:jc w:val="both"/>
              <w:rPr>
                <w:sz w:val="20"/>
                <w:lang w:val="en-US"/>
              </w:rPr>
            </w:pPr>
            <w:r w:rsidRPr="00FC4FEB">
              <w:rPr>
                <w:sz w:val="20"/>
                <w:lang w:val="en-US"/>
              </w:rPr>
              <w:t>Hazard Analysis Critical Control Point (HACCP)</w:t>
            </w:r>
          </w:p>
          <w:p w14:paraId="654997F3" w14:textId="77777777" w:rsidR="00505176" w:rsidRPr="00FC4FEB" w:rsidRDefault="000D5A39" w:rsidP="00CD4015">
            <w:pPr>
              <w:numPr>
                <w:ilvl w:val="0"/>
                <w:numId w:val="37"/>
              </w:numPr>
              <w:jc w:val="both"/>
              <w:rPr>
                <w:sz w:val="20"/>
                <w:lang w:val="en-US"/>
              </w:rPr>
            </w:pPr>
            <w:r w:rsidRPr="00FC4FEB">
              <w:rPr>
                <w:sz w:val="20"/>
                <w:lang w:val="en-US"/>
              </w:rPr>
              <w:t>Product Certification Bodies</w:t>
            </w:r>
          </w:p>
          <w:p w14:paraId="53573F42" w14:textId="77777777" w:rsidR="00505176" w:rsidRPr="00FC4FEB" w:rsidRDefault="000D5A39" w:rsidP="00CD4015">
            <w:pPr>
              <w:numPr>
                <w:ilvl w:val="0"/>
                <w:numId w:val="37"/>
              </w:numPr>
              <w:jc w:val="both"/>
              <w:rPr>
                <w:sz w:val="20"/>
                <w:lang w:val="en-US"/>
              </w:rPr>
            </w:pPr>
            <w:r w:rsidRPr="00FC4FEB">
              <w:rPr>
                <w:sz w:val="20"/>
                <w:lang w:val="en-US"/>
              </w:rPr>
              <w:t>Testing and Calibration laboratories</w:t>
            </w:r>
          </w:p>
          <w:p w14:paraId="5522BC17" w14:textId="77777777" w:rsidR="00505176" w:rsidRPr="00FC4FEB" w:rsidRDefault="000D5A39" w:rsidP="00CD4015">
            <w:pPr>
              <w:numPr>
                <w:ilvl w:val="0"/>
                <w:numId w:val="37"/>
              </w:numPr>
              <w:jc w:val="both"/>
              <w:rPr>
                <w:sz w:val="20"/>
                <w:lang w:val="en-US"/>
              </w:rPr>
            </w:pPr>
            <w:r w:rsidRPr="00FC4FEB">
              <w:rPr>
                <w:sz w:val="20"/>
                <w:lang w:val="en-US"/>
              </w:rPr>
              <w:t>Medical Testing laboratories</w:t>
            </w:r>
          </w:p>
          <w:p w14:paraId="30969486" w14:textId="77777777" w:rsidR="00505176" w:rsidRPr="00FC4FEB" w:rsidRDefault="000D5A39" w:rsidP="00CD4015">
            <w:pPr>
              <w:numPr>
                <w:ilvl w:val="0"/>
                <w:numId w:val="37"/>
              </w:numPr>
              <w:jc w:val="both"/>
              <w:rPr>
                <w:sz w:val="20"/>
                <w:lang w:val="en-US"/>
              </w:rPr>
            </w:pPr>
            <w:r w:rsidRPr="00FC4FEB">
              <w:rPr>
                <w:sz w:val="20"/>
                <w:lang w:val="en-US"/>
              </w:rPr>
              <w:t>Inspection bodies</w:t>
            </w:r>
          </w:p>
          <w:p w14:paraId="1BCCAE2D" w14:textId="77777777" w:rsidR="000D5A39" w:rsidRPr="00FC4FEB" w:rsidRDefault="000D5A39" w:rsidP="000A5925">
            <w:pPr>
              <w:jc w:val="both"/>
              <w:rPr>
                <w:sz w:val="20"/>
                <w:lang w:val="en-US"/>
              </w:rPr>
            </w:pPr>
          </w:p>
          <w:p w14:paraId="1642B17E" w14:textId="77777777" w:rsidR="000D5A39" w:rsidRPr="00FC4FEB" w:rsidRDefault="000D5A39" w:rsidP="000A5925">
            <w:pPr>
              <w:jc w:val="both"/>
              <w:rPr>
                <w:sz w:val="20"/>
                <w:lang w:val="en-US"/>
              </w:rPr>
            </w:pPr>
            <w:r w:rsidRPr="00FC4FEB">
              <w:rPr>
                <w:sz w:val="20"/>
                <w:lang w:val="en-US"/>
              </w:rPr>
              <w:t>PAB has accredited nine (9) Conformity Assessment Bodies and accredited 219 test and calibration laboratories</w:t>
            </w:r>
            <w:r w:rsidR="003F0B12" w:rsidRPr="00FC4FEB">
              <w:rPr>
                <w:sz w:val="20"/>
                <w:lang w:val="en-US"/>
              </w:rPr>
              <w:t>, as of October 2017</w:t>
            </w:r>
            <w:r w:rsidRPr="00FC4FEB">
              <w:rPr>
                <w:sz w:val="20"/>
                <w:lang w:val="en-US"/>
              </w:rPr>
              <w:t>.</w:t>
            </w:r>
          </w:p>
          <w:p w14:paraId="179FEAA5" w14:textId="77777777" w:rsidR="000D5A39" w:rsidRPr="00FC4FEB" w:rsidRDefault="000D5A39" w:rsidP="000A5925">
            <w:pPr>
              <w:jc w:val="both"/>
              <w:rPr>
                <w:sz w:val="20"/>
                <w:lang w:val="en-US"/>
              </w:rPr>
            </w:pPr>
          </w:p>
          <w:p w14:paraId="6CF9746F" w14:textId="77777777" w:rsidR="000D5A39" w:rsidRPr="00FC4FEB" w:rsidRDefault="003F0B12" w:rsidP="000A5925">
            <w:pPr>
              <w:jc w:val="both"/>
              <w:rPr>
                <w:sz w:val="20"/>
                <w:lang w:val="en-US"/>
              </w:rPr>
            </w:pPr>
            <w:r w:rsidRPr="00FC4FEB">
              <w:rPr>
                <w:sz w:val="20"/>
                <w:lang w:val="en-US"/>
              </w:rPr>
              <w:t>BPS</w:t>
            </w:r>
            <w:r w:rsidR="006744F3" w:rsidRPr="00FC4FEB">
              <w:rPr>
                <w:sz w:val="20"/>
                <w:lang w:val="en-US"/>
              </w:rPr>
              <w:t xml:space="preserve"> maintains </w:t>
            </w:r>
            <w:r w:rsidR="000D5A39" w:rsidRPr="00FC4FEB">
              <w:rPr>
                <w:sz w:val="20"/>
                <w:lang w:val="en-US"/>
              </w:rPr>
              <w:t>the Standards and Conformance Portal (</w:t>
            </w:r>
            <w:hyperlink r:id="rId19" w:history="1">
              <w:r w:rsidR="000D5A39" w:rsidRPr="00FC4FEB">
                <w:rPr>
                  <w:rStyle w:val="Hyperlink"/>
                  <w:color w:val="auto"/>
                  <w:sz w:val="20"/>
                  <w:lang w:val="en-US"/>
                </w:rPr>
                <w:t>www.bps.dti.gov.ph</w:t>
              </w:r>
            </w:hyperlink>
            <w:r w:rsidR="000D5A39" w:rsidRPr="00FC4FEB">
              <w:rPr>
                <w:sz w:val="20"/>
                <w:lang w:val="en-US"/>
              </w:rPr>
              <w:t>), a weekly notice and newsletter on TBT notifications, a quarterly newsletter on the developed/adopted PNS, and the weekly airing of a consumer advocacy radio program</w:t>
            </w:r>
            <w:r w:rsidRPr="00FC4FEB">
              <w:rPr>
                <w:sz w:val="20"/>
                <w:lang w:val="en-US"/>
              </w:rPr>
              <w:t xml:space="preserve"> to promote transparency on Standards, Technical Regulation and Conformity Assessment Procedures (STRACAP),</w:t>
            </w:r>
            <w:r w:rsidR="000D5A39" w:rsidRPr="00FC4FEB">
              <w:rPr>
                <w:sz w:val="20"/>
                <w:lang w:val="en-US"/>
              </w:rPr>
              <w:t>.</w:t>
            </w:r>
          </w:p>
          <w:p w14:paraId="38F4C4E1" w14:textId="77777777" w:rsidR="000D5A39" w:rsidRPr="00FC4FEB" w:rsidRDefault="000D5A39" w:rsidP="000A5925">
            <w:pPr>
              <w:jc w:val="both"/>
              <w:rPr>
                <w:sz w:val="20"/>
                <w:lang w:val="en-US"/>
              </w:rPr>
            </w:pPr>
          </w:p>
          <w:p w14:paraId="2131BDA3" w14:textId="77777777" w:rsidR="000D5A39" w:rsidRPr="00FC4FEB" w:rsidRDefault="000D5A39" w:rsidP="00993030">
            <w:pPr>
              <w:jc w:val="both"/>
              <w:rPr>
                <w:sz w:val="20"/>
                <w:lang w:val="en-US"/>
              </w:rPr>
            </w:pPr>
            <w:r w:rsidRPr="00FC4FEB">
              <w:rPr>
                <w:sz w:val="20"/>
                <w:lang w:val="en-US"/>
              </w:rPr>
              <w:lastRenderedPageBreak/>
              <w:t xml:space="preserve">The BPS maintains its Memorandum of Understanding (MOU) with the </w:t>
            </w:r>
            <w:r w:rsidR="006744F3" w:rsidRPr="00FC4FEB">
              <w:rPr>
                <w:sz w:val="20"/>
                <w:lang w:val="en-US"/>
              </w:rPr>
              <w:t xml:space="preserve">Department of Agriculture’s </w:t>
            </w:r>
            <w:r w:rsidRPr="00FC4FEB">
              <w:rPr>
                <w:sz w:val="20"/>
                <w:lang w:val="en-US"/>
              </w:rPr>
              <w:t xml:space="preserve">Bureau of Agriculture and Fisheries Standards (BAFS) recognizing them as a standards development organization </w:t>
            </w:r>
            <w:r w:rsidR="003F0B12" w:rsidRPr="00FC4FEB">
              <w:rPr>
                <w:sz w:val="20"/>
                <w:lang w:val="en-US"/>
              </w:rPr>
              <w:t>(</w:t>
            </w:r>
            <w:r w:rsidRPr="00FC4FEB">
              <w:rPr>
                <w:sz w:val="20"/>
                <w:lang w:val="en-US"/>
              </w:rPr>
              <w:t>SDO</w:t>
            </w:r>
            <w:r w:rsidR="003F0B12" w:rsidRPr="00FC4FEB">
              <w:rPr>
                <w:sz w:val="20"/>
                <w:lang w:val="en-US"/>
              </w:rPr>
              <w:t>)</w:t>
            </w:r>
            <w:r w:rsidRPr="00FC4FEB">
              <w:rPr>
                <w:sz w:val="20"/>
                <w:lang w:val="en-US"/>
              </w:rPr>
              <w:t xml:space="preserve"> </w:t>
            </w:r>
            <w:r w:rsidR="003F0B12" w:rsidRPr="00FC4FEB">
              <w:rPr>
                <w:sz w:val="20"/>
                <w:lang w:val="en-US"/>
              </w:rPr>
              <w:t>which</w:t>
            </w:r>
            <w:r w:rsidRPr="00FC4FEB">
              <w:rPr>
                <w:sz w:val="20"/>
                <w:lang w:val="en-US"/>
              </w:rPr>
              <w:t xml:space="preserve"> formulate</w:t>
            </w:r>
            <w:r w:rsidR="003F0B12" w:rsidRPr="00FC4FEB">
              <w:rPr>
                <w:sz w:val="20"/>
                <w:lang w:val="en-US"/>
              </w:rPr>
              <w:t>s</w:t>
            </w:r>
            <w:r w:rsidRPr="00FC4FEB">
              <w:rPr>
                <w:sz w:val="20"/>
                <w:lang w:val="en-US"/>
              </w:rPr>
              <w:t>/develop</w:t>
            </w:r>
            <w:r w:rsidR="003F0B12" w:rsidRPr="00FC4FEB">
              <w:rPr>
                <w:sz w:val="20"/>
                <w:lang w:val="en-US"/>
              </w:rPr>
              <w:t>s</w:t>
            </w:r>
            <w:r w:rsidRPr="00FC4FEB">
              <w:rPr>
                <w:sz w:val="20"/>
                <w:lang w:val="en-US"/>
              </w:rPr>
              <w:t xml:space="preserve"> draft PNS.</w:t>
            </w:r>
          </w:p>
          <w:p w14:paraId="0C44DE26" w14:textId="77777777" w:rsidR="000D5A39" w:rsidRPr="00FC4FEB" w:rsidRDefault="000D5A39" w:rsidP="00993030">
            <w:pPr>
              <w:jc w:val="both"/>
              <w:rPr>
                <w:sz w:val="20"/>
                <w:lang w:val="en-US"/>
              </w:rPr>
            </w:pPr>
          </w:p>
          <w:p w14:paraId="490B19AB" w14:textId="77777777" w:rsidR="000D5A39" w:rsidRPr="00FC4FEB" w:rsidRDefault="000D5A39">
            <w:pPr>
              <w:jc w:val="both"/>
              <w:rPr>
                <w:sz w:val="20"/>
                <w:lang w:val="en-US"/>
              </w:rPr>
            </w:pPr>
            <w:r w:rsidRPr="00FC4FEB">
              <w:rPr>
                <w:sz w:val="20"/>
                <w:lang w:val="en-US"/>
              </w:rPr>
              <w:t>The BAFS actively supports three (3) BPS Tec</w:t>
            </w:r>
            <w:r w:rsidR="005702C8" w:rsidRPr="00FC4FEB">
              <w:rPr>
                <w:sz w:val="20"/>
                <w:lang w:val="en-US"/>
              </w:rPr>
              <w:t>hnical Committees that include:</w:t>
            </w:r>
          </w:p>
          <w:p w14:paraId="49E481FF" w14:textId="77777777" w:rsidR="000D5A39" w:rsidRPr="00FC4FEB" w:rsidRDefault="000D5A39">
            <w:pPr>
              <w:numPr>
                <w:ilvl w:val="0"/>
                <w:numId w:val="36"/>
              </w:numPr>
              <w:jc w:val="both"/>
              <w:rPr>
                <w:sz w:val="20"/>
                <w:lang w:val="en-US"/>
              </w:rPr>
            </w:pPr>
            <w:r w:rsidRPr="00FC4FEB">
              <w:rPr>
                <w:sz w:val="20"/>
                <w:lang w:val="en-US"/>
              </w:rPr>
              <w:t>TC/SC No. 16 – Rubber and Rubber Products</w:t>
            </w:r>
          </w:p>
          <w:p w14:paraId="5E5BFB69" w14:textId="77777777" w:rsidR="000D5A39" w:rsidRPr="00FC4FEB" w:rsidRDefault="000D5A39">
            <w:pPr>
              <w:numPr>
                <w:ilvl w:val="0"/>
                <w:numId w:val="36"/>
              </w:numPr>
              <w:jc w:val="both"/>
              <w:rPr>
                <w:sz w:val="20"/>
                <w:lang w:val="en-US"/>
              </w:rPr>
            </w:pPr>
            <w:r w:rsidRPr="00FC4FEB">
              <w:rPr>
                <w:sz w:val="20"/>
                <w:lang w:val="en-US"/>
              </w:rPr>
              <w:t>TC/SC No. 20 – Agricultural and Other Food Products</w:t>
            </w:r>
          </w:p>
          <w:p w14:paraId="09C8DAF1" w14:textId="77777777" w:rsidR="000D5A39" w:rsidRPr="00FC4FEB" w:rsidRDefault="000D5A39">
            <w:pPr>
              <w:numPr>
                <w:ilvl w:val="0"/>
                <w:numId w:val="36"/>
              </w:numPr>
              <w:jc w:val="both"/>
              <w:rPr>
                <w:sz w:val="20"/>
                <w:lang w:val="en-US"/>
              </w:rPr>
            </w:pPr>
            <w:r w:rsidRPr="00FC4FEB">
              <w:rPr>
                <w:sz w:val="20"/>
                <w:lang w:val="en-US"/>
              </w:rPr>
              <w:t>TC/SC No. 81 – Mirror to Consumer Policy Committee (COPOLCO)</w:t>
            </w:r>
          </w:p>
          <w:p w14:paraId="79840353" w14:textId="77777777" w:rsidR="000D5A39" w:rsidRPr="00FC4FEB" w:rsidRDefault="000D5A39">
            <w:pPr>
              <w:jc w:val="both"/>
              <w:rPr>
                <w:sz w:val="20"/>
                <w:lang w:val="en-US"/>
              </w:rPr>
            </w:pPr>
          </w:p>
          <w:p w14:paraId="588074B2" w14:textId="77777777" w:rsidR="000D5A39" w:rsidRPr="00FC4FEB" w:rsidRDefault="00866B89">
            <w:pPr>
              <w:jc w:val="both"/>
              <w:rPr>
                <w:sz w:val="20"/>
                <w:lang w:val="en-US"/>
              </w:rPr>
            </w:pPr>
            <w:r w:rsidRPr="00FC4FEB">
              <w:rPr>
                <w:sz w:val="20"/>
                <w:lang w:val="en-US"/>
              </w:rPr>
              <w:t xml:space="preserve">It </w:t>
            </w:r>
            <w:r w:rsidR="000D5A39" w:rsidRPr="00FC4FEB">
              <w:rPr>
                <w:sz w:val="20"/>
                <w:lang w:val="en-US"/>
              </w:rPr>
              <w:t xml:space="preserve"> update</w:t>
            </w:r>
            <w:r w:rsidRPr="00FC4FEB">
              <w:rPr>
                <w:sz w:val="20"/>
                <w:lang w:val="en-US"/>
              </w:rPr>
              <w:t>s</w:t>
            </w:r>
            <w:r w:rsidR="000D5A39" w:rsidRPr="00FC4FEB">
              <w:rPr>
                <w:sz w:val="20"/>
                <w:lang w:val="en-US"/>
              </w:rPr>
              <w:t xml:space="preserve"> information on Sanitary and </w:t>
            </w:r>
            <w:proofErr w:type="spellStart"/>
            <w:r w:rsidR="000D5A39" w:rsidRPr="00FC4FEB">
              <w:rPr>
                <w:sz w:val="20"/>
                <w:lang w:val="en-US"/>
              </w:rPr>
              <w:t>Phytosanitary</w:t>
            </w:r>
            <w:proofErr w:type="spellEnd"/>
            <w:r w:rsidR="000D5A39" w:rsidRPr="00FC4FEB">
              <w:rPr>
                <w:sz w:val="20"/>
                <w:lang w:val="en-US"/>
              </w:rPr>
              <w:t xml:space="preserve"> Measures (SPS) issuances, including the approved PNS on agriculture and fishery products through </w:t>
            </w:r>
            <w:hyperlink r:id="rId20" w:history="1">
              <w:r w:rsidR="000D5A39" w:rsidRPr="00FC4FEB">
                <w:rPr>
                  <w:rStyle w:val="Hyperlink"/>
                  <w:color w:val="auto"/>
                  <w:sz w:val="20"/>
                  <w:lang w:val="en-US"/>
                </w:rPr>
                <w:t>www.spsissuances.da.gov.ph</w:t>
              </w:r>
            </w:hyperlink>
            <w:r w:rsidR="000D5A39" w:rsidRPr="00FC4FEB">
              <w:rPr>
                <w:sz w:val="20"/>
                <w:lang w:val="en-US"/>
              </w:rPr>
              <w:t>.</w:t>
            </w:r>
          </w:p>
          <w:p w14:paraId="5309C015" w14:textId="77777777" w:rsidR="000D5A39" w:rsidRPr="00FC4FEB" w:rsidRDefault="000D5A39">
            <w:pPr>
              <w:jc w:val="both"/>
              <w:rPr>
                <w:sz w:val="20"/>
                <w:lang w:val="en-US"/>
              </w:rPr>
            </w:pPr>
          </w:p>
          <w:p w14:paraId="381AC34A" w14:textId="77777777" w:rsidR="000D5A39" w:rsidRPr="00FC4FEB" w:rsidRDefault="00866B89" w:rsidP="000A5925">
            <w:pPr>
              <w:jc w:val="both"/>
              <w:rPr>
                <w:sz w:val="20"/>
                <w:lang w:val="en-US"/>
              </w:rPr>
            </w:pPr>
            <w:r w:rsidRPr="00FC4FEB">
              <w:rPr>
                <w:sz w:val="20"/>
                <w:lang w:val="en-US"/>
              </w:rPr>
              <w:t>By 2017</w:t>
            </w:r>
            <w:r w:rsidR="000D5A39" w:rsidRPr="00FC4FEB">
              <w:rPr>
                <w:sz w:val="20"/>
                <w:lang w:val="en-US"/>
              </w:rPr>
              <w:t xml:space="preserve">, a total of 215 draft PNS on agriculture and fishery products were developed by BAFS and were approved by BPS as </w:t>
            </w:r>
            <w:proofErr w:type="spellStart"/>
            <w:r w:rsidR="000D5A39" w:rsidRPr="00FC4FEB">
              <w:rPr>
                <w:sz w:val="20"/>
                <w:lang w:val="en-US"/>
              </w:rPr>
              <w:t>PNS.From</w:t>
            </w:r>
            <w:proofErr w:type="spellEnd"/>
            <w:r w:rsidR="000D5A39" w:rsidRPr="00FC4FEB">
              <w:rPr>
                <w:sz w:val="20"/>
                <w:lang w:val="en-US"/>
              </w:rPr>
              <w:t xml:space="preserve"> Nov. 2015 to Nov. 2017, the BAFS developed 69 draft PNS </w:t>
            </w:r>
            <w:r w:rsidRPr="00FC4FEB">
              <w:rPr>
                <w:sz w:val="20"/>
                <w:lang w:val="en-US"/>
              </w:rPr>
              <w:t>which</w:t>
            </w:r>
            <w:r w:rsidR="000D5A39" w:rsidRPr="00FC4FEB">
              <w:rPr>
                <w:sz w:val="20"/>
                <w:lang w:val="en-US"/>
              </w:rPr>
              <w:t xml:space="preserve"> were approved by BPS.</w:t>
            </w:r>
          </w:p>
          <w:p w14:paraId="75C2C9AB" w14:textId="77777777" w:rsidR="000D5A39" w:rsidRPr="00FC4FEB" w:rsidRDefault="000D5A39" w:rsidP="000A5925">
            <w:pPr>
              <w:jc w:val="both"/>
              <w:rPr>
                <w:sz w:val="20"/>
                <w:lang w:val="en-US"/>
              </w:rPr>
            </w:pPr>
          </w:p>
          <w:p w14:paraId="4CBF9284" w14:textId="77777777" w:rsidR="000D5A39" w:rsidRPr="00FC4FEB" w:rsidRDefault="000D5A39" w:rsidP="000A5925">
            <w:pPr>
              <w:jc w:val="both"/>
              <w:rPr>
                <w:sz w:val="20"/>
                <w:lang w:val="en-US"/>
              </w:rPr>
            </w:pPr>
            <w:r w:rsidRPr="00FC4FEB">
              <w:rPr>
                <w:sz w:val="20"/>
                <w:lang w:val="en-US"/>
              </w:rPr>
              <w:t xml:space="preserve">The BPS is the Philippines’ World Trade Organization – Technical Barriers to Trade (WTO-TBT) National Enquiry Point (NEP) and the National Notification Authority (NNA). </w:t>
            </w:r>
            <w:r w:rsidR="00866B89" w:rsidRPr="00FC4FEB">
              <w:rPr>
                <w:sz w:val="20"/>
                <w:lang w:val="en-US"/>
              </w:rPr>
              <w:t>M</w:t>
            </w:r>
            <w:r w:rsidRPr="00FC4FEB">
              <w:rPr>
                <w:sz w:val="20"/>
                <w:lang w:val="en-US"/>
              </w:rPr>
              <w:t>irroring the ISO and IEC TCs,</w:t>
            </w:r>
            <w:r w:rsidR="00866B89" w:rsidRPr="00FC4FEB">
              <w:rPr>
                <w:sz w:val="20"/>
                <w:lang w:val="en-US"/>
              </w:rPr>
              <w:t xml:space="preserve"> it</w:t>
            </w:r>
            <w:r w:rsidRPr="00FC4FEB">
              <w:rPr>
                <w:sz w:val="20"/>
                <w:lang w:val="en-US"/>
              </w:rPr>
              <w:t xml:space="preserve"> </w:t>
            </w:r>
            <w:proofErr w:type="gramStart"/>
            <w:r w:rsidRPr="00FC4FEB">
              <w:rPr>
                <w:sz w:val="20"/>
                <w:lang w:val="en-US"/>
              </w:rPr>
              <w:t>maintains  89</w:t>
            </w:r>
            <w:proofErr w:type="gramEnd"/>
            <w:r w:rsidRPr="00FC4FEB">
              <w:rPr>
                <w:sz w:val="20"/>
                <w:lang w:val="en-US"/>
              </w:rPr>
              <w:t xml:space="preserve"> TCs and 5 Sub-Committees. </w:t>
            </w:r>
          </w:p>
          <w:p w14:paraId="6C64B348" w14:textId="77777777" w:rsidR="000D5A39" w:rsidRPr="00FC4FEB" w:rsidRDefault="000D5A39" w:rsidP="000A5925">
            <w:pPr>
              <w:jc w:val="both"/>
              <w:rPr>
                <w:sz w:val="20"/>
                <w:lang w:val="en-US"/>
              </w:rPr>
            </w:pPr>
          </w:p>
          <w:p w14:paraId="6E3ECF7C" w14:textId="77777777" w:rsidR="000D5A39" w:rsidRPr="00FC4FEB" w:rsidRDefault="000D5A39" w:rsidP="00993030">
            <w:pPr>
              <w:jc w:val="both"/>
              <w:rPr>
                <w:sz w:val="20"/>
                <w:lang w:val="en-US"/>
              </w:rPr>
            </w:pPr>
            <w:r w:rsidRPr="00FC4FEB">
              <w:rPr>
                <w:sz w:val="20"/>
                <w:lang w:val="en-US"/>
              </w:rPr>
              <w:t xml:space="preserve">As the </w:t>
            </w:r>
            <w:r w:rsidR="003F0B12" w:rsidRPr="00FC4FEB">
              <w:rPr>
                <w:sz w:val="20"/>
                <w:lang w:val="en-US"/>
              </w:rPr>
              <w:t>NNA</w:t>
            </w:r>
            <w:r w:rsidRPr="00FC4FEB">
              <w:rPr>
                <w:sz w:val="20"/>
                <w:lang w:val="en-US"/>
              </w:rPr>
              <w:t>, the BPS has submitted a total of 268 TBT notifications to WTO since 1996.From Nov. 2015 to Nov. 2017, the BPS has notified the WTO on 10 TBT issuances.</w:t>
            </w:r>
          </w:p>
          <w:p w14:paraId="7AAAAB79" w14:textId="77777777" w:rsidR="00505176" w:rsidRPr="00FC4FEB" w:rsidRDefault="00505176" w:rsidP="00CD4015">
            <w:pPr>
              <w:jc w:val="both"/>
              <w:rPr>
                <w:sz w:val="20"/>
                <w:lang w:val="en-US"/>
              </w:rPr>
            </w:pPr>
          </w:p>
          <w:tbl>
            <w:tblPr>
              <w:tblStyle w:val="TableGrid"/>
              <w:tblW w:w="0" w:type="auto"/>
              <w:jc w:val="center"/>
              <w:tblLayout w:type="fixed"/>
              <w:tblLook w:val="04A0" w:firstRow="1" w:lastRow="0" w:firstColumn="1" w:lastColumn="0" w:noHBand="0" w:noVBand="1"/>
            </w:tblPr>
            <w:tblGrid>
              <w:gridCol w:w="2515"/>
              <w:gridCol w:w="2515"/>
            </w:tblGrid>
            <w:tr w:rsidR="00FC4FEB" w:rsidRPr="00FC4FEB" w14:paraId="308620C0" w14:textId="77777777" w:rsidTr="00CF73E1">
              <w:trPr>
                <w:jc w:val="center"/>
              </w:trPr>
              <w:tc>
                <w:tcPr>
                  <w:tcW w:w="2515" w:type="dxa"/>
                  <w:vAlign w:val="center"/>
                </w:tcPr>
                <w:p w14:paraId="008142A9" w14:textId="77777777" w:rsidR="00505176" w:rsidRPr="00FC4FEB" w:rsidRDefault="000D5A39" w:rsidP="00CD4015">
                  <w:pPr>
                    <w:jc w:val="both"/>
                    <w:rPr>
                      <w:b/>
                      <w:sz w:val="20"/>
                      <w:lang w:val="en-US"/>
                    </w:rPr>
                  </w:pPr>
                  <w:r w:rsidRPr="00FC4FEB">
                    <w:rPr>
                      <w:b/>
                      <w:sz w:val="20"/>
                      <w:lang w:val="en-US"/>
                    </w:rPr>
                    <w:t>Month/Year</w:t>
                  </w:r>
                </w:p>
              </w:tc>
              <w:tc>
                <w:tcPr>
                  <w:tcW w:w="2515" w:type="dxa"/>
                  <w:vAlign w:val="center"/>
                </w:tcPr>
                <w:p w14:paraId="79E7110D" w14:textId="77777777" w:rsidR="00505176" w:rsidRPr="00FC4FEB" w:rsidRDefault="000D5A39" w:rsidP="00CD4015">
                  <w:pPr>
                    <w:jc w:val="both"/>
                    <w:rPr>
                      <w:b/>
                      <w:sz w:val="20"/>
                      <w:lang w:val="en-US"/>
                    </w:rPr>
                  </w:pPr>
                  <w:r w:rsidRPr="00FC4FEB">
                    <w:rPr>
                      <w:b/>
                      <w:sz w:val="20"/>
                      <w:lang w:val="en-US"/>
                    </w:rPr>
                    <w:t>No. of TBT submitted to WTO</w:t>
                  </w:r>
                </w:p>
              </w:tc>
            </w:tr>
            <w:tr w:rsidR="00FC4FEB" w:rsidRPr="00FC4FEB" w14:paraId="78B7289E" w14:textId="77777777" w:rsidTr="00CF73E1">
              <w:trPr>
                <w:trHeight w:val="323"/>
                <w:jc w:val="center"/>
              </w:trPr>
              <w:tc>
                <w:tcPr>
                  <w:tcW w:w="2515" w:type="dxa"/>
                  <w:vAlign w:val="center"/>
                </w:tcPr>
                <w:p w14:paraId="24A342E3" w14:textId="77777777" w:rsidR="00505176" w:rsidRPr="00FC4FEB" w:rsidRDefault="000D5A39" w:rsidP="00CD4015">
                  <w:pPr>
                    <w:jc w:val="both"/>
                    <w:rPr>
                      <w:sz w:val="20"/>
                      <w:lang w:val="en-US"/>
                    </w:rPr>
                  </w:pPr>
                  <w:r w:rsidRPr="00FC4FEB">
                    <w:rPr>
                      <w:sz w:val="20"/>
                      <w:lang w:val="en-US"/>
                    </w:rPr>
                    <w:t>Jan to Dec 2016</w:t>
                  </w:r>
                </w:p>
              </w:tc>
              <w:tc>
                <w:tcPr>
                  <w:tcW w:w="2515" w:type="dxa"/>
                  <w:vAlign w:val="center"/>
                </w:tcPr>
                <w:p w14:paraId="2649CFD7" w14:textId="77777777" w:rsidR="00505176" w:rsidRPr="00FC4FEB" w:rsidRDefault="000D5A39" w:rsidP="00CD4015">
                  <w:pPr>
                    <w:jc w:val="both"/>
                    <w:rPr>
                      <w:sz w:val="20"/>
                      <w:lang w:val="en-US"/>
                    </w:rPr>
                  </w:pPr>
                  <w:r w:rsidRPr="00FC4FEB">
                    <w:rPr>
                      <w:sz w:val="20"/>
                      <w:lang w:val="en-US"/>
                    </w:rPr>
                    <w:t>3</w:t>
                  </w:r>
                </w:p>
              </w:tc>
            </w:tr>
            <w:tr w:rsidR="00FC4FEB" w:rsidRPr="00FC4FEB" w14:paraId="2C6637AF" w14:textId="77777777" w:rsidTr="00CF73E1">
              <w:trPr>
                <w:trHeight w:val="350"/>
                <w:jc w:val="center"/>
              </w:trPr>
              <w:tc>
                <w:tcPr>
                  <w:tcW w:w="2515" w:type="dxa"/>
                  <w:vAlign w:val="center"/>
                </w:tcPr>
                <w:p w14:paraId="259E3A79" w14:textId="77777777" w:rsidR="00505176" w:rsidRPr="00FC4FEB" w:rsidRDefault="000D5A39" w:rsidP="00CD4015">
                  <w:pPr>
                    <w:jc w:val="both"/>
                    <w:rPr>
                      <w:sz w:val="20"/>
                      <w:lang w:val="en-US"/>
                    </w:rPr>
                  </w:pPr>
                  <w:r w:rsidRPr="00FC4FEB">
                    <w:rPr>
                      <w:sz w:val="20"/>
                      <w:lang w:val="en-US"/>
                    </w:rPr>
                    <w:t>Jan to Nov 2017</w:t>
                  </w:r>
                </w:p>
              </w:tc>
              <w:tc>
                <w:tcPr>
                  <w:tcW w:w="2515" w:type="dxa"/>
                  <w:vAlign w:val="center"/>
                </w:tcPr>
                <w:p w14:paraId="4235FE36" w14:textId="77777777" w:rsidR="00505176" w:rsidRPr="00FC4FEB" w:rsidRDefault="000D5A39" w:rsidP="00CD4015">
                  <w:pPr>
                    <w:jc w:val="both"/>
                    <w:rPr>
                      <w:sz w:val="20"/>
                      <w:lang w:val="en-US"/>
                    </w:rPr>
                  </w:pPr>
                  <w:r w:rsidRPr="00FC4FEB">
                    <w:rPr>
                      <w:sz w:val="20"/>
                      <w:lang w:val="en-US"/>
                    </w:rPr>
                    <w:t>7</w:t>
                  </w:r>
                </w:p>
              </w:tc>
            </w:tr>
            <w:tr w:rsidR="00FC4FEB" w:rsidRPr="00FC4FEB" w14:paraId="4AD3A97E" w14:textId="77777777" w:rsidTr="00CF73E1">
              <w:trPr>
                <w:trHeight w:val="350"/>
                <w:jc w:val="center"/>
              </w:trPr>
              <w:tc>
                <w:tcPr>
                  <w:tcW w:w="2515" w:type="dxa"/>
                  <w:vAlign w:val="center"/>
                </w:tcPr>
                <w:p w14:paraId="6872F4C9" w14:textId="77777777" w:rsidR="00505176" w:rsidRPr="00FC4FEB" w:rsidRDefault="000D5A39" w:rsidP="00CD4015">
                  <w:pPr>
                    <w:jc w:val="both"/>
                    <w:rPr>
                      <w:b/>
                      <w:sz w:val="20"/>
                      <w:lang w:val="en-US"/>
                    </w:rPr>
                  </w:pPr>
                  <w:r w:rsidRPr="00FC4FEB">
                    <w:rPr>
                      <w:b/>
                      <w:sz w:val="20"/>
                      <w:lang w:val="en-US"/>
                    </w:rPr>
                    <w:t>Total</w:t>
                  </w:r>
                </w:p>
              </w:tc>
              <w:tc>
                <w:tcPr>
                  <w:tcW w:w="2515" w:type="dxa"/>
                  <w:vAlign w:val="center"/>
                </w:tcPr>
                <w:p w14:paraId="1D25B669" w14:textId="77777777" w:rsidR="00505176" w:rsidRPr="00FC4FEB" w:rsidRDefault="000D5A39" w:rsidP="00CD4015">
                  <w:pPr>
                    <w:jc w:val="both"/>
                    <w:rPr>
                      <w:b/>
                      <w:sz w:val="20"/>
                      <w:lang w:val="en-US"/>
                    </w:rPr>
                  </w:pPr>
                  <w:r w:rsidRPr="00FC4FEB">
                    <w:rPr>
                      <w:b/>
                      <w:sz w:val="20"/>
                      <w:lang w:val="en-US"/>
                    </w:rPr>
                    <w:t>10</w:t>
                  </w:r>
                </w:p>
              </w:tc>
            </w:tr>
          </w:tbl>
          <w:p w14:paraId="351A2E53" w14:textId="77777777" w:rsidR="00505176" w:rsidRPr="00FC4FEB" w:rsidRDefault="00505176" w:rsidP="00CD4015">
            <w:pPr>
              <w:jc w:val="both"/>
              <w:rPr>
                <w:sz w:val="20"/>
                <w:lang w:val="en-US"/>
              </w:rPr>
            </w:pPr>
          </w:p>
          <w:p w14:paraId="4870010A" w14:textId="23429D22" w:rsidR="000D5A39" w:rsidRPr="00FC4FEB" w:rsidRDefault="000D5A39" w:rsidP="000A5925">
            <w:pPr>
              <w:jc w:val="both"/>
              <w:rPr>
                <w:sz w:val="20"/>
                <w:lang w:val="en-US"/>
              </w:rPr>
            </w:pPr>
            <w:r w:rsidRPr="00FC4FEB">
              <w:rPr>
                <w:sz w:val="20"/>
                <w:lang w:val="en-US"/>
              </w:rPr>
              <w:t xml:space="preserve">From Nov. 2015 to Nov. 2017, </w:t>
            </w:r>
            <w:r w:rsidR="00E30C67" w:rsidRPr="00FC4FEB">
              <w:rPr>
                <w:sz w:val="20"/>
                <w:lang w:val="en-US"/>
              </w:rPr>
              <w:t>t</w:t>
            </w:r>
            <w:r w:rsidRPr="00FC4FEB">
              <w:rPr>
                <w:sz w:val="20"/>
                <w:lang w:val="en-US"/>
              </w:rPr>
              <w:t xml:space="preserve">he DA-Policy Research Service notified the WTO on </w:t>
            </w:r>
            <w:r w:rsidR="007C21F7">
              <w:rPr>
                <w:sz w:val="20"/>
                <w:lang w:val="en-US"/>
              </w:rPr>
              <w:t>103</w:t>
            </w:r>
            <w:r w:rsidRPr="00FC4FEB">
              <w:rPr>
                <w:sz w:val="20"/>
                <w:lang w:val="en-US"/>
              </w:rPr>
              <w:t xml:space="preserve"> SPS issuances.</w:t>
            </w:r>
          </w:p>
          <w:p w14:paraId="0BE4C323" w14:textId="77777777" w:rsidR="00505176" w:rsidRPr="00FC4FEB" w:rsidRDefault="00505176" w:rsidP="00CD4015">
            <w:pPr>
              <w:jc w:val="both"/>
              <w:rPr>
                <w:sz w:val="20"/>
                <w:lang w:val="en-US"/>
              </w:rPr>
            </w:pPr>
          </w:p>
          <w:tbl>
            <w:tblPr>
              <w:tblStyle w:val="TableGrid"/>
              <w:tblW w:w="4599" w:type="dxa"/>
              <w:jc w:val="center"/>
              <w:tblLayout w:type="fixed"/>
              <w:tblLook w:val="04A0" w:firstRow="1" w:lastRow="0" w:firstColumn="1" w:lastColumn="0" w:noHBand="0" w:noVBand="1"/>
            </w:tblPr>
            <w:tblGrid>
              <w:gridCol w:w="1978"/>
              <w:gridCol w:w="1395"/>
              <w:gridCol w:w="1226"/>
            </w:tblGrid>
            <w:tr w:rsidR="00FC4FEB" w:rsidRPr="00FC4FEB" w14:paraId="1F4623D8" w14:textId="77777777" w:rsidTr="00133CFD">
              <w:trPr>
                <w:jc w:val="center"/>
              </w:trPr>
              <w:tc>
                <w:tcPr>
                  <w:tcW w:w="1978" w:type="dxa"/>
                  <w:vAlign w:val="center"/>
                </w:tcPr>
                <w:p w14:paraId="621EDBC5" w14:textId="77777777" w:rsidR="00505176" w:rsidRPr="00FC4FEB" w:rsidRDefault="000D5A39" w:rsidP="00CD4015">
                  <w:pPr>
                    <w:jc w:val="both"/>
                    <w:rPr>
                      <w:b/>
                      <w:sz w:val="20"/>
                      <w:lang w:val="en-US"/>
                    </w:rPr>
                  </w:pPr>
                  <w:r w:rsidRPr="00FC4FEB">
                    <w:rPr>
                      <w:b/>
                      <w:sz w:val="20"/>
                      <w:lang w:val="en-US"/>
                    </w:rPr>
                    <w:lastRenderedPageBreak/>
                    <w:t>Month/Year</w:t>
                  </w:r>
                </w:p>
              </w:tc>
              <w:tc>
                <w:tcPr>
                  <w:tcW w:w="1395" w:type="dxa"/>
                  <w:vAlign w:val="center"/>
                </w:tcPr>
                <w:p w14:paraId="54E20E66" w14:textId="77777777" w:rsidR="00505176" w:rsidRPr="00FC4FEB" w:rsidRDefault="000D5A39" w:rsidP="00CD4015">
                  <w:pPr>
                    <w:jc w:val="both"/>
                    <w:rPr>
                      <w:b/>
                      <w:sz w:val="20"/>
                      <w:lang w:val="en-US"/>
                    </w:rPr>
                  </w:pPr>
                  <w:r w:rsidRPr="00FC4FEB">
                    <w:rPr>
                      <w:b/>
                      <w:sz w:val="20"/>
                      <w:lang w:val="en-US"/>
                    </w:rPr>
                    <w:t>No. of SPS submitted to WTO</w:t>
                  </w:r>
                </w:p>
              </w:tc>
              <w:tc>
                <w:tcPr>
                  <w:tcW w:w="1226" w:type="dxa"/>
                  <w:vAlign w:val="center"/>
                </w:tcPr>
                <w:p w14:paraId="7F4F463A" w14:textId="77777777" w:rsidR="00505176" w:rsidRPr="00FC4FEB" w:rsidRDefault="000D5A39" w:rsidP="00CD4015">
                  <w:pPr>
                    <w:jc w:val="both"/>
                    <w:rPr>
                      <w:b/>
                      <w:sz w:val="20"/>
                      <w:lang w:val="en-US"/>
                    </w:rPr>
                  </w:pPr>
                  <w:r w:rsidRPr="00FC4FEB">
                    <w:rPr>
                      <w:b/>
                      <w:sz w:val="20"/>
                      <w:lang w:val="en-US"/>
                    </w:rPr>
                    <w:t>No. of drafts submitted to WTO</w:t>
                  </w:r>
                </w:p>
              </w:tc>
            </w:tr>
            <w:tr w:rsidR="00FC4FEB" w:rsidRPr="00FC4FEB" w14:paraId="0F3C525C" w14:textId="77777777" w:rsidTr="00133CFD">
              <w:trPr>
                <w:trHeight w:val="323"/>
                <w:jc w:val="center"/>
              </w:trPr>
              <w:tc>
                <w:tcPr>
                  <w:tcW w:w="1978" w:type="dxa"/>
                  <w:vAlign w:val="center"/>
                </w:tcPr>
                <w:p w14:paraId="60D9EA36" w14:textId="77777777" w:rsidR="00505176" w:rsidRPr="00FC4FEB" w:rsidRDefault="000D5A39" w:rsidP="00CD4015">
                  <w:pPr>
                    <w:jc w:val="both"/>
                    <w:rPr>
                      <w:sz w:val="20"/>
                      <w:lang w:val="en-US"/>
                    </w:rPr>
                  </w:pPr>
                  <w:r w:rsidRPr="00FC4FEB">
                    <w:rPr>
                      <w:sz w:val="20"/>
                      <w:lang w:val="en-US"/>
                    </w:rPr>
                    <w:t>Nov to Dec 2015</w:t>
                  </w:r>
                </w:p>
              </w:tc>
              <w:tc>
                <w:tcPr>
                  <w:tcW w:w="1395" w:type="dxa"/>
                  <w:vAlign w:val="center"/>
                </w:tcPr>
                <w:p w14:paraId="22FB042B" w14:textId="77777777" w:rsidR="00505176" w:rsidRPr="00FC4FEB" w:rsidRDefault="000D5A39" w:rsidP="00CD4015">
                  <w:pPr>
                    <w:jc w:val="both"/>
                    <w:rPr>
                      <w:sz w:val="20"/>
                      <w:lang w:val="en-US"/>
                    </w:rPr>
                  </w:pPr>
                  <w:r w:rsidRPr="00FC4FEB">
                    <w:rPr>
                      <w:sz w:val="20"/>
                      <w:lang w:val="en-US"/>
                    </w:rPr>
                    <w:t>7</w:t>
                  </w:r>
                </w:p>
              </w:tc>
              <w:tc>
                <w:tcPr>
                  <w:tcW w:w="1226" w:type="dxa"/>
                  <w:vAlign w:val="center"/>
                </w:tcPr>
                <w:p w14:paraId="12DBA457" w14:textId="77777777" w:rsidR="00505176" w:rsidRPr="00FC4FEB" w:rsidRDefault="000D5A39" w:rsidP="00CD4015">
                  <w:pPr>
                    <w:jc w:val="both"/>
                    <w:rPr>
                      <w:sz w:val="20"/>
                      <w:lang w:val="en-US"/>
                    </w:rPr>
                  </w:pPr>
                  <w:r w:rsidRPr="00FC4FEB">
                    <w:rPr>
                      <w:sz w:val="20"/>
                      <w:lang w:val="en-US"/>
                    </w:rPr>
                    <w:t>7</w:t>
                  </w:r>
                </w:p>
              </w:tc>
            </w:tr>
            <w:tr w:rsidR="00FC4FEB" w:rsidRPr="00FC4FEB" w14:paraId="6B00411D" w14:textId="77777777" w:rsidTr="00133CFD">
              <w:trPr>
                <w:trHeight w:val="350"/>
                <w:jc w:val="center"/>
              </w:trPr>
              <w:tc>
                <w:tcPr>
                  <w:tcW w:w="1978" w:type="dxa"/>
                  <w:vAlign w:val="center"/>
                </w:tcPr>
                <w:p w14:paraId="1830421B" w14:textId="77777777" w:rsidR="00505176" w:rsidRPr="00FC4FEB" w:rsidRDefault="000D5A39" w:rsidP="00CD4015">
                  <w:pPr>
                    <w:jc w:val="both"/>
                    <w:rPr>
                      <w:sz w:val="20"/>
                      <w:lang w:val="en-US"/>
                    </w:rPr>
                  </w:pPr>
                  <w:r w:rsidRPr="00FC4FEB">
                    <w:rPr>
                      <w:sz w:val="20"/>
                      <w:lang w:val="en-US"/>
                    </w:rPr>
                    <w:t>Jan to Dec 2016</w:t>
                  </w:r>
                </w:p>
              </w:tc>
              <w:tc>
                <w:tcPr>
                  <w:tcW w:w="1395" w:type="dxa"/>
                  <w:vAlign w:val="center"/>
                </w:tcPr>
                <w:p w14:paraId="0E64BF82" w14:textId="77777777" w:rsidR="00505176" w:rsidRPr="00FC4FEB" w:rsidRDefault="000D5A39" w:rsidP="00CD4015">
                  <w:pPr>
                    <w:jc w:val="both"/>
                    <w:rPr>
                      <w:sz w:val="20"/>
                      <w:lang w:val="en-US"/>
                    </w:rPr>
                  </w:pPr>
                  <w:r w:rsidRPr="00FC4FEB">
                    <w:rPr>
                      <w:sz w:val="20"/>
                      <w:lang w:val="en-US"/>
                    </w:rPr>
                    <w:t>29</w:t>
                  </w:r>
                </w:p>
              </w:tc>
              <w:tc>
                <w:tcPr>
                  <w:tcW w:w="1226" w:type="dxa"/>
                  <w:vAlign w:val="center"/>
                </w:tcPr>
                <w:p w14:paraId="4A138C75" w14:textId="77777777" w:rsidR="00505176" w:rsidRPr="00FC4FEB" w:rsidRDefault="000D5A39" w:rsidP="00CD4015">
                  <w:pPr>
                    <w:jc w:val="both"/>
                    <w:rPr>
                      <w:sz w:val="20"/>
                      <w:lang w:val="en-US"/>
                    </w:rPr>
                  </w:pPr>
                  <w:r w:rsidRPr="00FC4FEB">
                    <w:rPr>
                      <w:sz w:val="20"/>
                      <w:lang w:val="en-US"/>
                    </w:rPr>
                    <w:t>24</w:t>
                  </w:r>
                </w:p>
              </w:tc>
            </w:tr>
            <w:tr w:rsidR="00FC4FEB" w:rsidRPr="00FC4FEB" w14:paraId="2F222716" w14:textId="77777777" w:rsidTr="00133CFD">
              <w:trPr>
                <w:trHeight w:val="350"/>
                <w:jc w:val="center"/>
              </w:trPr>
              <w:tc>
                <w:tcPr>
                  <w:tcW w:w="1978" w:type="dxa"/>
                  <w:vAlign w:val="center"/>
                </w:tcPr>
                <w:p w14:paraId="03CEE2DC" w14:textId="77777777" w:rsidR="00505176" w:rsidRPr="00FC4FEB" w:rsidRDefault="000D5A39" w:rsidP="00CD4015">
                  <w:pPr>
                    <w:jc w:val="both"/>
                    <w:rPr>
                      <w:sz w:val="20"/>
                      <w:lang w:val="en-US"/>
                    </w:rPr>
                  </w:pPr>
                  <w:r w:rsidRPr="00FC4FEB">
                    <w:rPr>
                      <w:sz w:val="20"/>
                      <w:lang w:val="en-US"/>
                    </w:rPr>
                    <w:t>Jan to Nov 2017</w:t>
                  </w:r>
                </w:p>
              </w:tc>
              <w:tc>
                <w:tcPr>
                  <w:tcW w:w="1395" w:type="dxa"/>
                  <w:vAlign w:val="center"/>
                </w:tcPr>
                <w:p w14:paraId="32E1C600" w14:textId="77777777" w:rsidR="00505176" w:rsidRPr="00FC4FEB" w:rsidRDefault="000D5A39" w:rsidP="00CD4015">
                  <w:pPr>
                    <w:jc w:val="both"/>
                    <w:rPr>
                      <w:sz w:val="20"/>
                      <w:lang w:val="en-US"/>
                    </w:rPr>
                  </w:pPr>
                  <w:r w:rsidRPr="00FC4FEB">
                    <w:rPr>
                      <w:sz w:val="20"/>
                      <w:lang w:val="en-US"/>
                    </w:rPr>
                    <w:t>52</w:t>
                  </w:r>
                </w:p>
              </w:tc>
              <w:tc>
                <w:tcPr>
                  <w:tcW w:w="1226" w:type="dxa"/>
                  <w:vAlign w:val="center"/>
                </w:tcPr>
                <w:p w14:paraId="1A75AAB2" w14:textId="77777777" w:rsidR="00505176" w:rsidRPr="00FC4FEB" w:rsidRDefault="000D5A39" w:rsidP="00CD4015">
                  <w:pPr>
                    <w:jc w:val="both"/>
                    <w:rPr>
                      <w:sz w:val="20"/>
                      <w:lang w:val="en-US"/>
                    </w:rPr>
                  </w:pPr>
                  <w:r w:rsidRPr="00FC4FEB">
                    <w:rPr>
                      <w:sz w:val="20"/>
                      <w:lang w:val="en-US"/>
                    </w:rPr>
                    <w:t>7</w:t>
                  </w:r>
                </w:p>
              </w:tc>
            </w:tr>
            <w:tr w:rsidR="00FC4FEB" w:rsidRPr="00FC4FEB" w14:paraId="42E63071" w14:textId="77777777" w:rsidTr="00133CFD">
              <w:trPr>
                <w:trHeight w:val="341"/>
                <w:jc w:val="center"/>
              </w:trPr>
              <w:tc>
                <w:tcPr>
                  <w:tcW w:w="1978" w:type="dxa"/>
                  <w:vAlign w:val="center"/>
                </w:tcPr>
                <w:p w14:paraId="4C424837" w14:textId="77777777" w:rsidR="00505176" w:rsidRPr="00FC4FEB" w:rsidRDefault="000D5A39" w:rsidP="00CD4015">
                  <w:pPr>
                    <w:jc w:val="both"/>
                    <w:rPr>
                      <w:b/>
                      <w:sz w:val="20"/>
                      <w:lang w:val="en-US"/>
                    </w:rPr>
                  </w:pPr>
                  <w:r w:rsidRPr="00FC4FEB">
                    <w:rPr>
                      <w:b/>
                      <w:sz w:val="20"/>
                      <w:lang w:val="en-US"/>
                    </w:rPr>
                    <w:t>Total</w:t>
                  </w:r>
                </w:p>
              </w:tc>
              <w:tc>
                <w:tcPr>
                  <w:tcW w:w="1395" w:type="dxa"/>
                  <w:vAlign w:val="center"/>
                </w:tcPr>
                <w:p w14:paraId="25D93BED" w14:textId="77777777" w:rsidR="00505176" w:rsidRPr="00FC4FEB" w:rsidRDefault="000D5A39" w:rsidP="00CD4015">
                  <w:pPr>
                    <w:jc w:val="both"/>
                    <w:rPr>
                      <w:b/>
                      <w:sz w:val="20"/>
                      <w:lang w:val="en-US"/>
                    </w:rPr>
                  </w:pPr>
                  <w:r w:rsidRPr="00FC4FEB">
                    <w:rPr>
                      <w:b/>
                      <w:sz w:val="20"/>
                      <w:lang w:val="en-US"/>
                    </w:rPr>
                    <w:t>88</w:t>
                  </w:r>
                </w:p>
              </w:tc>
              <w:tc>
                <w:tcPr>
                  <w:tcW w:w="1226" w:type="dxa"/>
                  <w:vAlign w:val="center"/>
                </w:tcPr>
                <w:p w14:paraId="19DCB3B0" w14:textId="77777777" w:rsidR="00505176" w:rsidRPr="00FC4FEB" w:rsidRDefault="000D5A39" w:rsidP="00CD4015">
                  <w:pPr>
                    <w:jc w:val="both"/>
                    <w:rPr>
                      <w:b/>
                      <w:sz w:val="20"/>
                      <w:lang w:val="en-US"/>
                    </w:rPr>
                  </w:pPr>
                  <w:r w:rsidRPr="00FC4FEB">
                    <w:rPr>
                      <w:b/>
                      <w:sz w:val="20"/>
                      <w:lang w:val="en-US"/>
                    </w:rPr>
                    <w:t>38</w:t>
                  </w:r>
                </w:p>
              </w:tc>
            </w:tr>
          </w:tbl>
          <w:p w14:paraId="13DD4029" w14:textId="77777777" w:rsidR="00505176" w:rsidRPr="00FC4FEB" w:rsidRDefault="00505176" w:rsidP="00CD4015">
            <w:pPr>
              <w:jc w:val="both"/>
              <w:rPr>
                <w:sz w:val="20"/>
                <w:lang w:eastAsia="ko-KR"/>
              </w:rPr>
            </w:pPr>
          </w:p>
        </w:tc>
        <w:tc>
          <w:tcPr>
            <w:tcW w:w="5471" w:type="dxa"/>
          </w:tcPr>
          <w:p w14:paraId="29F327F5" w14:textId="77777777" w:rsidR="00505176" w:rsidRPr="00FC4FEB" w:rsidRDefault="000D5A39" w:rsidP="00CD4015">
            <w:pPr>
              <w:jc w:val="both"/>
              <w:rPr>
                <w:sz w:val="20"/>
                <w:lang w:val="en-US"/>
              </w:rPr>
            </w:pPr>
            <w:bookmarkStart w:id="16" w:name="Cell10"/>
            <w:bookmarkEnd w:id="16"/>
            <w:r w:rsidRPr="00FC4FEB">
              <w:rPr>
                <w:sz w:val="20"/>
                <w:lang w:val="en-US"/>
              </w:rPr>
              <w:lastRenderedPageBreak/>
              <w:t>Continue to develop and/or adopt PNS according to international best practices and standards.</w:t>
            </w:r>
          </w:p>
          <w:p w14:paraId="7050AB48" w14:textId="77777777" w:rsidR="00505176" w:rsidRPr="00FC4FEB" w:rsidRDefault="00505176" w:rsidP="00CD4015">
            <w:pPr>
              <w:jc w:val="both"/>
              <w:rPr>
                <w:sz w:val="20"/>
                <w:lang w:val="en-US"/>
              </w:rPr>
            </w:pPr>
          </w:p>
          <w:p w14:paraId="61C7DBB8" w14:textId="77777777" w:rsidR="00505176" w:rsidRPr="00FC4FEB" w:rsidRDefault="000D5A39" w:rsidP="00CD4015">
            <w:pPr>
              <w:jc w:val="both"/>
              <w:rPr>
                <w:sz w:val="20"/>
                <w:lang w:val="en-US"/>
              </w:rPr>
            </w:pPr>
            <w:r w:rsidRPr="00FC4FEB">
              <w:rPr>
                <w:sz w:val="20"/>
                <w:lang w:val="en-US"/>
              </w:rPr>
              <w:t>Continue to strictly observe transparency aligned to its WTO commitments and regional agreements.</w:t>
            </w:r>
          </w:p>
          <w:p w14:paraId="4B4517B5" w14:textId="77777777" w:rsidR="00505176" w:rsidRPr="00FC4FEB" w:rsidRDefault="00505176" w:rsidP="00CD4015">
            <w:pPr>
              <w:jc w:val="both"/>
              <w:rPr>
                <w:sz w:val="20"/>
                <w:lang w:val="en-US"/>
              </w:rPr>
            </w:pPr>
          </w:p>
          <w:p w14:paraId="34AB49E1" w14:textId="77777777" w:rsidR="00505176" w:rsidRPr="00FC4FEB" w:rsidRDefault="000D5A39" w:rsidP="00CD4015">
            <w:pPr>
              <w:jc w:val="both"/>
              <w:rPr>
                <w:sz w:val="20"/>
                <w:lang w:val="en-US"/>
              </w:rPr>
            </w:pPr>
            <w:r w:rsidRPr="00FC4FEB">
              <w:rPr>
                <w:sz w:val="20"/>
                <w:lang w:val="en-US"/>
              </w:rPr>
              <w:t>Enhance BPS’ participation in international standardization activities on high impact standards technical committees</w:t>
            </w:r>
          </w:p>
          <w:p w14:paraId="2A3E0F63" w14:textId="77777777" w:rsidR="00505176" w:rsidRPr="00FC4FEB" w:rsidRDefault="00505176" w:rsidP="00CD4015">
            <w:pPr>
              <w:jc w:val="both"/>
              <w:rPr>
                <w:sz w:val="20"/>
                <w:lang w:val="en-US"/>
              </w:rPr>
            </w:pPr>
          </w:p>
          <w:p w14:paraId="29E109DB" w14:textId="77777777" w:rsidR="00505176" w:rsidRPr="00FC4FEB" w:rsidRDefault="000D5A39" w:rsidP="00CD4015">
            <w:pPr>
              <w:jc w:val="both"/>
              <w:rPr>
                <w:sz w:val="20"/>
              </w:rPr>
            </w:pPr>
            <w:r w:rsidRPr="00FC4FEB">
              <w:rPr>
                <w:sz w:val="20"/>
                <w:lang w:val="en-US"/>
              </w:rPr>
              <w:t>Continue to maintain the signatory status to IAF/PAC MLA and ILAC/APLAC MRA</w:t>
            </w:r>
          </w:p>
        </w:tc>
      </w:tr>
      <w:tr w:rsidR="00FC4FEB" w:rsidRPr="00FC4FEB" w14:paraId="7682EB65" w14:textId="77777777" w:rsidTr="00810BCF">
        <w:tc>
          <w:tcPr>
            <w:tcW w:w="3520" w:type="dxa"/>
          </w:tcPr>
          <w:p w14:paraId="7A653906"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tcPr>
          <w:p w14:paraId="1849861B" w14:textId="77777777" w:rsidR="000D5A39" w:rsidRPr="00FC4FEB" w:rsidRDefault="000D5A39" w:rsidP="000A5925">
            <w:pPr>
              <w:spacing w:line="0" w:lineRule="atLeast"/>
              <w:ind w:right="180"/>
              <w:jc w:val="both"/>
              <w:rPr>
                <w:sz w:val="20"/>
                <w:lang w:val="en-US"/>
              </w:rPr>
            </w:pPr>
            <w:r w:rsidRPr="00FC4FEB">
              <w:rPr>
                <w:sz w:val="20"/>
                <w:lang w:val="en-US"/>
              </w:rPr>
              <w:t>http://www.bps.dti.gov.ph</w:t>
            </w:r>
          </w:p>
          <w:p w14:paraId="57AA7513" w14:textId="77777777" w:rsidR="000D5A39" w:rsidRPr="00FC4FEB" w:rsidRDefault="00B146C8" w:rsidP="000A5925">
            <w:pPr>
              <w:spacing w:line="0" w:lineRule="atLeast"/>
              <w:ind w:right="180"/>
              <w:jc w:val="both"/>
              <w:rPr>
                <w:sz w:val="20"/>
                <w:lang w:val="en-US"/>
              </w:rPr>
            </w:pPr>
            <w:hyperlink r:id="rId21" w:history="1">
              <w:r w:rsidR="000D5A39" w:rsidRPr="00FC4FEB">
                <w:rPr>
                  <w:rStyle w:val="Hyperlink"/>
                  <w:color w:val="auto"/>
                  <w:sz w:val="20"/>
                  <w:lang w:val="en-US"/>
                </w:rPr>
                <w:t>http://www.dti.gov.ph</w:t>
              </w:r>
            </w:hyperlink>
            <w:r w:rsidR="000D5A39" w:rsidRPr="00FC4FEB">
              <w:rPr>
                <w:sz w:val="20"/>
                <w:lang w:val="en-US"/>
              </w:rPr>
              <w:t xml:space="preserve"> - See Conformity Assessment Bodies under “Business”</w:t>
            </w:r>
          </w:p>
          <w:p w14:paraId="415A4DBE" w14:textId="77777777" w:rsidR="000D5A39" w:rsidRPr="00FC4FEB" w:rsidRDefault="000D5A39" w:rsidP="000A5925">
            <w:pPr>
              <w:spacing w:line="0" w:lineRule="atLeast"/>
              <w:ind w:right="180"/>
              <w:jc w:val="both"/>
              <w:rPr>
                <w:sz w:val="20"/>
                <w:lang w:val="en-US"/>
              </w:rPr>
            </w:pPr>
            <w:r w:rsidRPr="00FC4FEB">
              <w:rPr>
                <w:sz w:val="20"/>
                <w:lang w:val="en-US"/>
              </w:rPr>
              <w:t>http://pabaccreditation.dti.gov.ph/</w:t>
            </w:r>
          </w:p>
          <w:p w14:paraId="406544D2" w14:textId="77777777" w:rsidR="000D5A39" w:rsidRPr="00FC4FEB" w:rsidRDefault="000D5A39" w:rsidP="000A5925">
            <w:pPr>
              <w:spacing w:line="0" w:lineRule="atLeast"/>
              <w:ind w:right="180"/>
              <w:jc w:val="both"/>
              <w:rPr>
                <w:sz w:val="20"/>
                <w:lang w:val="en-US"/>
              </w:rPr>
            </w:pPr>
            <w:r w:rsidRPr="00FC4FEB">
              <w:rPr>
                <w:sz w:val="20"/>
                <w:lang w:val="en-US"/>
              </w:rPr>
              <w:t>http://www.fda.gov.ph</w:t>
            </w:r>
          </w:p>
          <w:p w14:paraId="080DFB1E" w14:textId="77777777" w:rsidR="000D5A39" w:rsidRPr="00FC4FEB" w:rsidRDefault="000D5A39" w:rsidP="000A5925">
            <w:pPr>
              <w:spacing w:line="0" w:lineRule="atLeast"/>
              <w:ind w:right="180"/>
              <w:jc w:val="both"/>
              <w:rPr>
                <w:sz w:val="20"/>
                <w:lang w:val="en-US"/>
              </w:rPr>
            </w:pPr>
            <w:r w:rsidRPr="00FC4FEB">
              <w:rPr>
                <w:sz w:val="20"/>
                <w:lang w:val="en-US"/>
              </w:rPr>
              <w:t>http://www.bafs.da.gov.ph</w:t>
            </w:r>
          </w:p>
          <w:p w14:paraId="1B6764AC" w14:textId="77777777" w:rsidR="000D5A39" w:rsidRPr="00FC4FEB" w:rsidRDefault="000D5A39" w:rsidP="00993030">
            <w:pPr>
              <w:spacing w:line="0" w:lineRule="atLeast"/>
              <w:ind w:right="180"/>
              <w:jc w:val="both"/>
              <w:rPr>
                <w:sz w:val="20"/>
                <w:lang w:val="en-US"/>
              </w:rPr>
            </w:pPr>
            <w:r w:rsidRPr="00FC4FEB">
              <w:rPr>
                <w:sz w:val="20"/>
                <w:lang w:val="en-US"/>
              </w:rPr>
              <w:t>http://spsissuances.da.gov.ph</w:t>
            </w:r>
          </w:p>
          <w:p w14:paraId="688DEBDB" w14:textId="77777777" w:rsidR="000D5A39" w:rsidRPr="00FC4FEB" w:rsidRDefault="000D5A39" w:rsidP="00993030">
            <w:pPr>
              <w:spacing w:line="0" w:lineRule="atLeast"/>
              <w:ind w:right="180"/>
              <w:jc w:val="both"/>
              <w:rPr>
                <w:sz w:val="20"/>
              </w:rPr>
            </w:pPr>
          </w:p>
        </w:tc>
        <w:tc>
          <w:tcPr>
            <w:tcW w:w="5471" w:type="dxa"/>
          </w:tcPr>
          <w:p w14:paraId="279E1471" w14:textId="77777777" w:rsidR="00505176" w:rsidRPr="00FC4FEB" w:rsidRDefault="00505176" w:rsidP="00CD4015">
            <w:pPr>
              <w:pStyle w:val="Heading9"/>
              <w:jc w:val="both"/>
              <w:rPr>
                <w:rFonts w:ascii="Times New Roman" w:hAnsi="Times New Roman"/>
                <w:b w:val="0"/>
              </w:rPr>
            </w:pPr>
          </w:p>
        </w:tc>
      </w:tr>
      <w:tr w:rsidR="00FC4FEB" w:rsidRPr="00FC4FEB" w14:paraId="0C3BDD58" w14:textId="77777777" w:rsidTr="00810BCF">
        <w:tc>
          <w:tcPr>
            <w:tcW w:w="3520" w:type="dxa"/>
          </w:tcPr>
          <w:p w14:paraId="178D7250"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tcPr>
          <w:p w14:paraId="28671AD7" w14:textId="77777777" w:rsidR="00505176" w:rsidRPr="00FC4FEB" w:rsidRDefault="000D5A39" w:rsidP="00CD4015">
            <w:pPr>
              <w:jc w:val="both"/>
              <w:rPr>
                <w:sz w:val="20"/>
                <w:lang w:val="en-US"/>
              </w:rPr>
            </w:pPr>
            <w:r w:rsidRPr="00FC4FEB">
              <w:rPr>
                <w:sz w:val="20"/>
                <w:lang w:val="en-US"/>
              </w:rPr>
              <w:t>The Director</w:t>
            </w:r>
          </w:p>
          <w:p w14:paraId="167D714A" w14:textId="77777777" w:rsidR="00505176" w:rsidRPr="00FC4FEB" w:rsidRDefault="000D5A39" w:rsidP="00CD4015">
            <w:pPr>
              <w:jc w:val="both"/>
              <w:rPr>
                <w:sz w:val="20"/>
                <w:lang w:val="en-US"/>
              </w:rPr>
            </w:pPr>
            <w:r w:rsidRPr="00FC4FEB">
              <w:rPr>
                <w:sz w:val="20"/>
                <w:lang w:val="en-US"/>
              </w:rPr>
              <w:t>Bureau of Philippine Standards</w:t>
            </w:r>
          </w:p>
          <w:p w14:paraId="656FECC9" w14:textId="77777777" w:rsidR="00505176" w:rsidRPr="00FC4FEB" w:rsidRDefault="000D5A39" w:rsidP="00CD4015">
            <w:pPr>
              <w:jc w:val="both"/>
              <w:rPr>
                <w:sz w:val="20"/>
                <w:lang w:val="en-US"/>
              </w:rPr>
            </w:pPr>
            <w:r w:rsidRPr="00FC4FEB">
              <w:rPr>
                <w:sz w:val="20"/>
                <w:lang w:val="en-US"/>
              </w:rPr>
              <w:t>Department of Trade and Industry</w:t>
            </w:r>
          </w:p>
          <w:p w14:paraId="11DBD11C" w14:textId="77777777" w:rsidR="00505176" w:rsidRPr="00FC4FEB" w:rsidRDefault="000D5A39" w:rsidP="00CD4015">
            <w:pPr>
              <w:jc w:val="both"/>
              <w:rPr>
                <w:sz w:val="20"/>
                <w:lang w:val="en-US"/>
              </w:rPr>
            </w:pPr>
            <w:r w:rsidRPr="00FC4FEB">
              <w:rPr>
                <w:sz w:val="20"/>
                <w:lang w:val="en-US"/>
              </w:rPr>
              <w:t>3F Trade &amp; Industry Building</w:t>
            </w:r>
          </w:p>
          <w:p w14:paraId="38F1DCD7" w14:textId="77777777" w:rsidR="00505176" w:rsidRPr="00FC4FEB" w:rsidRDefault="000D5A39" w:rsidP="00CD4015">
            <w:pPr>
              <w:jc w:val="both"/>
              <w:rPr>
                <w:sz w:val="20"/>
                <w:lang w:val="en-US"/>
              </w:rPr>
            </w:pPr>
            <w:r w:rsidRPr="00FC4FEB">
              <w:rPr>
                <w:sz w:val="20"/>
                <w:lang w:val="en-US"/>
              </w:rPr>
              <w:t xml:space="preserve">361 Sen. Gil J. </w:t>
            </w:r>
            <w:proofErr w:type="spellStart"/>
            <w:r w:rsidRPr="00FC4FEB">
              <w:rPr>
                <w:sz w:val="20"/>
                <w:lang w:val="en-US"/>
              </w:rPr>
              <w:t>Puyat</w:t>
            </w:r>
            <w:proofErr w:type="spellEnd"/>
            <w:r w:rsidRPr="00FC4FEB">
              <w:rPr>
                <w:sz w:val="20"/>
                <w:lang w:val="en-US"/>
              </w:rPr>
              <w:t xml:space="preserve"> Ave., Makati City</w:t>
            </w:r>
          </w:p>
          <w:p w14:paraId="31B1EA64" w14:textId="77777777" w:rsidR="00505176" w:rsidRPr="00FC4FEB" w:rsidRDefault="000D5A39" w:rsidP="00CD4015">
            <w:pPr>
              <w:jc w:val="both"/>
              <w:rPr>
                <w:sz w:val="20"/>
                <w:lang w:val="en-US"/>
              </w:rPr>
            </w:pPr>
            <w:r w:rsidRPr="00FC4FEB">
              <w:rPr>
                <w:sz w:val="20"/>
                <w:lang w:val="en-US"/>
              </w:rPr>
              <w:t>Tel: +632.751.4729</w:t>
            </w:r>
          </w:p>
          <w:p w14:paraId="1179C058" w14:textId="77777777" w:rsidR="00505176" w:rsidRPr="00FC4FEB" w:rsidRDefault="000D5A39">
            <w:pPr>
              <w:jc w:val="both"/>
              <w:rPr>
                <w:sz w:val="20"/>
                <w:lang w:val="en-US"/>
              </w:rPr>
            </w:pPr>
            <w:proofErr w:type="gramStart"/>
            <w:r w:rsidRPr="00FC4FEB">
              <w:rPr>
                <w:sz w:val="20"/>
                <w:lang w:val="en-US"/>
              </w:rPr>
              <w:t>Fax :</w:t>
            </w:r>
            <w:proofErr w:type="gramEnd"/>
            <w:r w:rsidRPr="00FC4FEB">
              <w:rPr>
                <w:sz w:val="20"/>
                <w:lang w:val="en-US"/>
              </w:rPr>
              <w:t xml:space="preserve"> +632.751.4706</w:t>
            </w:r>
          </w:p>
          <w:p w14:paraId="06D4A46C" w14:textId="77777777" w:rsidR="00505176" w:rsidRPr="00FC4FEB" w:rsidRDefault="000D5A39">
            <w:pPr>
              <w:jc w:val="both"/>
              <w:rPr>
                <w:sz w:val="20"/>
                <w:lang w:val="en-US"/>
              </w:rPr>
            </w:pPr>
            <w:r w:rsidRPr="00FC4FEB">
              <w:rPr>
                <w:sz w:val="20"/>
                <w:lang w:val="en-US"/>
              </w:rPr>
              <w:t>E-mail: bps@dti.gov.ph</w:t>
            </w:r>
            <w:r w:rsidRPr="00FC4FEB">
              <w:rPr>
                <w:sz w:val="20"/>
                <w:lang w:val="en-US"/>
              </w:rPr>
              <w:cr/>
            </w:r>
          </w:p>
          <w:p w14:paraId="26B47C68" w14:textId="77777777" w:rsidR="00505176" w:rsidRPr="00FC4FEB" w:rsidRDefault="000D5A39">
            <w:pPr>
              <w:jc w:val="both"/>
              <w:rPr>
                <w:sz w:val="20"/>
                <w:lang w:val="en-US"/>
              </w:rPr>
            </w:pPr>
            <w:r w:rsidRPr="00FC4FEB">
              <w:rPr>
                <w:sz w:val="20"/>
                <w:lang w:val="en-US"/>
              </w:rPr>
              <w:t>The Director</w:t>
            </w:r>
          </w:p>
          <w:p w14:paraId="75156BF5" w14:textId="77777777" w:rsidR="00505176" w:rsidRPr="00FC4FEB" w:rsidRDefault="000D5A39">
            <w:pPr>
              <w:jc w:val="both"/>
              <w:rPr>
                <w:sz w:val="20"/>
                <w:lang w:val="en-US"/>
              </w:rPr>
            </w:pPr>
            <w:r w:rsidRPr="00FC4FEB">
              <w:rPr>
                <w:sz w:val="20"/>
                <w:lang w:val="en-US"/>
              </w:rPr>
              <w:t>Philippine Accreditation Bureau</w:t>
            </w:r>
          </w:p>
          <w:p w14:paraId="51DB8F76" w14:textId="77777777" w:rsidR="00505176" w:rsidRPr="00FC4FEB" w:rsidRDefault="000D5A39">
            <w:pPr>
              <w:jc w:val="both"/>
              <w:rPr>
                <w:sz w:val="20"/>
                <w:lang w:val="en-US"/>
              </w:rPr>
            </w:pPr>
            <w:r w:rsidRPr="00FC4FEB">
              <w:rPr>
                <w:sz w:val="20"/>
                <w:lang w:val="en-US"/>
              </w:rPr>
              <w:t>Department of Trade and Industry</w:t>
            </w:r>
          </w:p>
          <w:p w14:paraId="6F1B8CA3" w14:textId="77777777" w:rsidR="00505176" w:rsidRPr="00FC4FEB" w:rsidRDefault="000D5A39">
            <w:pPr>
              <w:jc w:val="both"/>
              <w:rPr>
                <w:sz w:val="20"/>
                <w:lang w:val="en-US"/>
              </w:rPr>
            </w:pPr>
            <w:r w:rsidRPr="00FC4FEB">
              <w:rPr>
                <w:sz w:val="20"/>
                <w:lang w:val="en-US"/>
              </w:rPr>
              <w:t>3F Trade and Industry Bldg.,</w:t>
            </w:r>
          </w:p>
          <w:p w14:paraId="0EEF4334" w14:textId="77777777" w:rsidR="00505176" w:rsidRPr="00FC4FEB" w:rsidRDefault="000D5A39">
            <w:pPr>
              <w:jc w:val="both"/>
              <w:rPr>
                <w:sz w:val="20"/>
                <w:lang w:val="en-US"/>
              </w:rPr>
            </w:pPr>
            <w:r w:rsidRPr="00FC4FEB">
              <w:rPr>
                <w:sz w:val="20"/>
                <w:lang w:val="en-US"/>
              </w:rPr>
              <w:t xml:space="preserve">#361 Sen Gil </w:t>
            </w:r>
            <w:proofErr w:type="spellStart"/>
            <w:r w:rsidRPr="00FC4FEB">
              <w:rPr>
                <w:sz w:val="20"/>
                <w:lang w:val="en-US"/>
              </w:rPr>
              <w:t>Puyat</w:t>
            </w:r>
            <w:proofErr w:type="spellEnd"/>
            <w:r w:rsidRPr="00FC4FEB">
              <w:rPr>
                <w:sz w:val="20"/>
                <w:lang w:val="en-US"/>
              </w:rPr>
              <w:t xml:space="preserve"> Ave., Makati City</w:t>
            </w:r>
          </w:p>
          <w:p w14:paraId="0BF1CA48" w14:textId="77777777" w:rsidR="00505176" w:rsidRPr="00FC4FEB" w:rsidRDefault="000D5A39">
            <w:pPr>
              <w:jc w:val="both"/>
              <w:rPr>
                <w:sz w:val="20"/>
                <w:lang w:val="en-US"/>
              </w:rPr>
            </w:pPr>
            <w:r w:rsidRPr="00FC4FEB">
              <w:rPr>
                <w:sz w:val="20"/>
                <w:lang w:val="en-US"/>
              </w:rPr>
              <w:t>Tel. Nos. (632) 791-3311 / 791-3312</w:t>
            </w:r>
          </w:p>
          <w:p w14:paraId="55E9DBF6" w14:textId="77777777" w:rsidR="00505176" w:rsidRPr="00FC4FEB" w:rsidRDefault="000D5A39">
            <w:pPr>
              <w:jc w:val="both"/>
              <w:rPr>
                <w:sz w:val="20"/>
                <w:lang w:val="en-US"/>
              </w:rPr>
            </w:pPr>
            <w:r w:rsidRPr="00FC4FEB">
              <w:rPr>
                <w:sz w:val="20"/>
                <w:lang w:val="en-US"/>
              </w:rPr>
              <w:t>Fax. No. (632) 751-3262</w:t>
            </w:r>
          </w:p>
          <w:p w14:paraId="07A841DD" w14:textId="77777777" w:rsidR="00505176" w:rsidRPr="00FC4FEB" w:rsidRDefault="000D5A39">
            <w:pPr>
              <w:jc w:val="both"/>
              <w:rPr>
                <w:sz w:val="20"/>
                <w:lang w:val="en-US"/>
              </w:rPr>
            </w:pPr>
            <w:r w:rsidRPr="00FC4FEB">
              <w:rPr>
                <w:sz w:val="20"/>
                <w:lang w:val="en-US"/>
              </w:rPr>
              <w:t xml:space="preserve">E-mail: </w:t>
            </w:r>
            <w:hyperlink r:id="rId22" w:history="1">
              <w:r w:rsidRPr="00FC4FEB">
                <w:rPr>
                  <w:rStyle w:val="Hyperlink"/>
                  <w:color w:val="auto"/>
                  <w:sz w:val="20"/>
                  <w:lang w:val="en-US"/>
                </w:rPr>
                <w:t>pab@dti.gov.ph</w:t>
              </w:r>
            </w:hyperlink>
          </w:p>
          <w:p w14:paraId="5CF3786D" w14:textId="77777777" w:rsidR="00505176" w:rsidRPr="00FC4FEB" w:rsidRDefault="00505176" w:rsidP="00CD4015">
            <w:pPr>
              <w:jc w:val="both"/>
              <w:rPr>
                <w:sz w:val="20"/>
                <w:lang w:val="en-US"/>
              </w:rPr>
            </w:pPr>
          </w:p>
          <w:p w14:paraId="035FCFD5" w14:textId="77777777" w:rsidR="00505176" w:rsidRPr="00FC4FEB" w:rsidRDefault="000D5A39" w:rsidP="00CD4015">
            <w:pPr>
              <w:jc w:val="both"/>
              <w:rPr>
                <w:sz w:val="20"/>
                <w:lang w:val="en-US"/>
              </w:rPr>
            </w:pPr>
            <w:r w:rsidRPr="00FC4FEB">
              <w:rPr>
                <w:sz w:val="20"/>
                <w:lang w:val="en-US"/>
              </w:rPr>
              <w:t>The Director</w:t>
            </w:r>
          </w:p>
          <w:p w14:paraId="0DB4D6E1" w14:textId="77777777" w:rsidR="00505176" w:rsidRPr="00FC4FEB" w:rsidRDefault="000D5A39" w:rsidP="00CD4015">
            <w:pPr>
              <w:jc w:val="both"/>
              <w:rPr>
                <w:sz w:val="20"/>
                <w:lang w:val="en-US"/>
              </w:rPr>
            </w:pPr>
            <w:r w:rsidRPr="00FC4FEB">
              <w:rPr>
                <w:sz w:val="20"/>
                <w:lang w:val="en-US"/>
              </w:rPr>
              <w:t>Food and Drug Administration Philippines</w:t>
            </w:r>
          </w:p>
          <w:p w14:paraId="6DA42790" w14:textId="77777777" w:rsidR="00505176" w:rsidRPr="00FC4FEB" w:rsidRDefault="000D5A39" w:rsidP="00CD4015">
            <w:pPr>
              <w:jc w:val="both"/>
              <w:rPr>
                <w:sz w:val="20"/>
                <w:lang w:val="en-US"/>
              </w:rPr>
            </w:pPr>
            <w:r w:rsidRPr="00FC4FEB">
              <w:rPr>
                <w:sz w:val="20"/>
                <w:lang w:val="en-US"/>
              </w:rPr>
              <w:t>Department of Health</w:t>
            </w:r>
          </w:p>
          <w:p w14:paraId="4D8EB77F" w14:textId="77777777" w:rsidR="00505176" w:rsidRPr="00FC4FEB" w:rsidRDefault="000D5A39" w:rsidP="00CD4015">
            <w:pPr>
              <w:jc w:val="both"/>
              <w:rPr>
                <w:sz w:val="20"/>
                <w:lang w:val="en-US"/>
              </w:rPr>
            </w:pPr>
            <w:r w:rsidRPr="00FC4FEB">
              <w:rPr>
                <w:sz w:val="20"/>
                <w:lang w:val="en-US"/>
              </w:rPr>
              <w:t>Tel Nos: (632) 857-1900/809-4390</w:t>
            </w:r>
          </w:p>
          <w:p w14:paraId="77226A76" w14:textId="77777777" w:rsidR="00505176" w:rsidRPr="00FC4FEB" w:rsidRDefault="000D5A39" w:rsidP="00CD4015">
            <w:pPr>
              <w:jc w:val="both"/>
              <w:rPr>
                <w:sz w:val="20"/>
                <w:lang w:val="en-US"/>
              </w:rPr>
            </w:pPr>
            <w:r w:rsidRPr="00FC4FEB">
              <w:rPr>
                <w:sz w:val="20"/>
                <w:lang w:val="en-US"/>
              </w:rPr>
              <w:t>Fax No: (632) 807-0751</w:t>
            </w:r>
          </w:p>
          <w:p w14:paraId="7E5B1D36" w14:textId="77777777" w:rsidR="00505176" w:rsidRPr="00FC4FEB" w:rsidRDefault="000D5A39" w:rsidP="00CD4015">
            <w:pPr>
              <w:jc w:val="both"/>
              <w:rPr>
                <w:sz w:val="20"/>
                <w:lang w:val="en-US"/>
              </w:rPr>
            </w:pPr>
            <w:r w:rsidRPr="00FC4FEB">
              <w:rPr>
                <w:sz w:val="20"/>
                <w:lang w:val="en-US"/>
              </w:rPr>
              <w:t xml:space="preserve">Email: </w:t>
            </w:r>
            <w:hyperlink r:id="rId23" w:history="1">
              <w:r w:rsidRPr="00FC4FEB">
                <w:rPr>
                  <w:rStyle w:val="Hyperlink"/>
                  <w:color w:val="auto"/>
                  <w:sz w:val="20"/>
                  <w:lang w:val="en-US"/>
                </w:rPr>
                <w:t>info@fda.gov.ph</w:t>
              </w:r>
            </w:hyperlink>
          </w:p>
          <w:p w14:paraId="087C93A3" w14:textId="77777777" w:rsidR="00505176" w:rsidRPr="00FC4FEB" w:rsidRDefault="00505176" w:rsidP="00CD4015">
            <w:pPr>
              <w:jc w:val="both"/>
              <w:rPr>
                <w:sz w:val="20"/>
                <w:lang w:val="en-US"/>
              </w:rPr>
            </w:pPr>
          </w:p>
          <w:p w14:paraId="2E3880CC" w14:textId="77777777" w:rsidR="00505176" w:rsidRPr="00FC4FEB" w:rsidRDefault="000D5A39" w:rsidP="00CD4015">
            <w:pPr>
              <w:jc w:val="both"/>
              <w:rPr>
                <w:sz w:val="20"/>
                <w:lang w:val="en-US"/>
              </w:rPr>
            </w:pPr>
            <w:r w:rsidRPr="00FC4FEB">
              <w:rPr>
                <w:sz w:val="20"/>
                <w:lang w:val="en-US"/>
              </w:rPr>
              <w:t>The Executive Director</w:t>
            </w:r>
          </w:p>
          <w:p w14:paraId="48B1EEDF" w14:textId="77777777" w:rsidR="00505176" w:rsidRPr="00FC4FEB" w:rsidRDefault="000D5A39" w:rsidP="00CD4015">
            <w:pPr>
              <w:jc w:val="both"/>
              <w:rPr>
                <w:sz w:val="20"/>
                <w:lang w:val="en-US"/>
              </w:rPr>
            </w:pPr>
            <w:r w:rsidRPr="00FC4FEB">
              <w:rPr>
                <w:sz w:val="20"/>
                <w:lang w:val="en-US"/>
              </w:rPr>
              <w:t>Bureau of Agriculture and Fisheries and Product Standards</w:t>
            </w:r>
          </w:p>
          <w:p w14:paraId="6D25B5E7" w14:textId="77777777" w:rsidR="00505176" w:rsidRPr="00FC4FEB" w:rsidRDefault="000D5A39" w:rsidP="00CD4015">
            <w:pPr>
              <w:jc w:val="both"/>
              <w:rPr>
                <w:sz w:val="20"/>
                <w:lang w:val="en-US"/>
              </w:rPr>
            </w:pPr>
            <w:r w:rsidRPr="00FC4FEB">
              <w:rPr>
                <w:sz w:val="20"/>
                <w:lang w:val="en-US"/>
              </w:rPr>
              <w:t xml:space="preserve">BPI Compound, </w:t>
            </w:r>
            <w:proofErr w:type="spellStart"/>
            <w:r w:rsidRPr="00FC4FEB">
              <w:rPr>
                <w:sz w:val="20"/>
                <w:lang w:val="en-US"/>
              </w:rPr>
              <w:t>Visayas</w:t>
            </w:r>
            <w:proofErr w:type="spellEnd"/>
            <w:r w:rsidRPr="00FC4FEB">
              <w:rPr>
                <w:sz w:val="20"/>
                <w:lang w:val="en-US"/>
              </w:rPr>
              <w:t xml:space="preserve"> Avenue, </w:t>
            </w:r>
            <w:proofErr w:type="spellStart"/>
            <w:r w:rsidRPr="00FC4FEB">
              <w:rPr>
                <w:sz w:val="20"/>
                <w:lang w:val="en-US"/>
              </w:rPr>
              <w:t>Diliman</w:t>
            </w:r>
            <w:proofErr w:type="spellEnd"/>
            <w:r w:rsidRPr="00FC4FEB">
              <w:rPr>
                <w:sz w:val="20"/>
                <w:lang w:val="en-US"/>
              </w:rPr>
              <w:t>, Quezon City</w:t>
            </w:r>
          </w:p>
          <w:p w14:paraId="5AC05767" w14:textId="77777777" w:rsidR="00505176" w:rsidRPr="00FC4FEB" w:rsidRDefault="000D5A39" w:rsidP="00CD4015">
            <w:pPr>
              <w:jc w:val="both"/>
              <w:rPr>
                <w:sz w:val="20"/>
                <w:lang w:val="en-US"/>
              </w:rPr>
            </w:pPr>
            <w:r w:rsidRPr="00FC4FEB">
              <w:rPr>
                <w:sz w:val="20"/>
                <w:lang w:val="en-US"/>
              </w:rPr>
              <w:t>Tel. Nos. (632) 920-6131, 467-9039, 455-2856</w:t>
            </w:r>
          </w:p>
          <w:p w14:paraId="1FE5E742" w14:textId="77777777" w:rsidR="00505176" w:rsidRPr="00FC4FEB" w:rsidRDefault="000D5A39" w:rsidP="00CD4015">
            <w:pPr>
              <w:jc w:val="both"/>
              <w:rPr>
                <w:sz w:val="20"/>
                <w:lang w:val="en-US"/>
              </w:rPr>
            </w:pPr>
            <w:r w:rsidRPr="00FC4FEB">
              <w:rPr>
                <w:sz w:val="20"/>
                <w:lang w:val="en-US"/>
              </w:rPr>
              <w:t>Fax. No. (632) 455-2858</w:t>
            </w:r>
          </w:p>
          <w:p w14:paraId="51E58479" w14:textId="77777777" w:rsidR="00505176" w:rsidRPr="00FC4FEB" w:rsidRDefault="000D5A39" w:rsidP="00CD4015">
            <w:pPr>
              <w:jc w:val="both"/>
              <w:rPr>
                <w:sz w:val="20"/>
                <w:lang w:val="en-US"/>
              </w:rPr>
            </w:pPr>
            <w:r w:rsidRPr="00FC4FEB">
              <w:rPr>
                <w:sz w:val="20"/>
                <w:lang w:val="en-US"/>
              </w:rPr>
              <w:t xml:space="preserve">E-mail: bafpsda@yahoo.com; </w:t>
            </w:r>
            <w:hyperlink r:id="rId24" w:history="1">
              <w:r w:rsidRPr="00FC4FEB">
                <w:rPr>
                  <w:rStyle w:val="Hyperlink"/>
                  <w:color w:val="auto"/>
                  <w:sz w:val="20"/>
                  <w:lang w:val="en-US"/>
                </w:rPr>
                <w:t>bafs@da.gov.ph</w:t>
              </w:r>
            </w:hyperlink>
          </w:p>
          <w:p w14:paraId="6D180A51" w14:textId="77777777" w:rsidR="00505176" w:rsidRPr="00FC4FEB" w:rsidRDefault="00505176" w:rsidP="00CD4015">
            <w:pPr>
              <w:jc w:val="both"/>
              <w:rPr>
                <w:sz w:val="20"/>
                <w:lang w:val="fr-FR"/>
              </w:rPr>
            </w:pPr>
          </w:p>
        </w:tc>
        <w:tc>
          <w:tcPr>
            <w:tcW w:w="5471" w:type="dxa"/>
          </w:tcPr>
          <w:p w14:paraId="4E50C900" w14:textId="77777777" w:rsidR="00505176" w:rsidRPr="00FC4FEB" w:rsidRDefault="00505176" w:rsidP="00CD4015">
            <w:pPr>
              <w:pStyle w:val="Heading9"/>
              <w:jc w:val="both"/>
              <w:rPr>
                <w:rFonts w:ascii="Times New Roman" w:hAnsi="Times New Roman"/>
                <w:b w:val="0"/>
              </w:rPr>
            </w:pPr>
          </w:p>
        </w:tc>
      </w:tr>
      <w:tr w:rsidR="00FC4FEB" w:rsidRPr="00FC4FEB" w14:paraId="10A8FE6D" w14:textId="77777777" w:rsidTr="00810BCF">
        <w:trPr>
          <w:trHeight w:val="10425"/>
        </w:trPr>
        <w:tc>
          <w:tcPr>
            <w:tcW w:w="3520" w:type="dxa"/>
          </w:tcPr>
          <w:p w14:paraId="6FA7325C" w14:textId="77777777" w:rsidR="00505176" w:rsidRPr="00FC4FEB" w:rsidRDefault="000D5A39" w:rsidP="00CD4015">
            <w:pPr>
              <w:jc w:val="both"/>
              <w:rPr>
                <w:b/>
                <w:i/>
                <w:sz w:val="20"/>
              </w:rPr>
            </w:pPr>
            <w:bookmarkStart w:id="17" w:name="Row6"/>
            <w:r w:rsidRPr="00FC4FEB">
              <w:rPr>
                <w:b/>
                <w:i/>
                <w:sz w:val="20"/>
              </w:rPr>
              <w:lastRenderedPageBreak/>
              <w:t>Customs Procedures</w:t>
            </w:r>
            <w:bookmarkEnd w:id="17"/>
          </w:p>
          <w:p w14:paraId="7C43F8DE" w14:textId="77777777" w:rsidR="00505176" w:rsidRPr="00FC4FEB" w:rsidRDefault="00505176" w:rsidP="00CD4015">
            <w:pPr>
              <w:jc w:val="both"/>
              <w:rPr>
                <w:b/>
                <w:i/>
                <w:sz w:val="20"/>
              </w:rPr>
            </w:pPr>
          </w:p>
        </w:tc>
        <w:tc>
          <w:tcPr>
            <w:tcW w:w="5573" w:type="dxa"/>
          </w:tcPr>
          <w:p w14:paraId="56AF49D1" w14:textId="77777777" w:rsidR="000D5A39" w:rsidRPr="00FC4FEB" w:rsidRDefault="008853CF" w:rsidP="000A5925">
            <w:pPr>
              <w:pStyle w:val="Default"/>
              <w:jc w:val="both"/>
              <w:rPr>
                <w:rStyle w:val="A5"/>
                <w:rFonts w:ascii="Times New Roman" w:hAnsi="Times New Roman" w:cs="Times New Roman"/>
                <w:color w:val="auto"/>
                <w:sz w:val="20"/>
                <w:szCs w:val="20"/>
              </w:rPr>
            </w:pPr>
            <w:bookmarkStart w:id="18" w:name="Cell11"/>
            <w:bookmarkEnd w:id="18"/>
            <w:r w:rsidRPr="00FC4FEB">
              <w:rPr>
                <w:rStyle w:val="A5"/>
                <w:rFonts w:ascii="Times New Roman" w:hAnsi="Times New Roman" w:cs="Times New Roman"/>
                <w:color w:val="auto"/>
                <w:sz w:val="20"/>
                <w:szCs w:val="20"/>
              </w:rPr>
              <w:t>Enacted t</w:t>
            </w:r>
            <w:r w:rsidR="00D924AB" w:rsidRPr="00FC4FEB">
              <w:rPr>
                <w:rStyle w:val="A5"/>
                <w:rFonts w:ascii="Times New Roman" w:hAnsi="Times New Roman" w:cs="Times New Roman"/>
                <w:color w:val="auto"/>
                <w:sz w:val="20"/>
                <w:szCs w:val="20"/>
              </w:rPr>
              <w:t>he</w:t>
            </w:r>
            <w:r w:rsidR="000D5A39" w:rsidRPr="00FC4FEB">
              <w:rPr>
                <w:rStyle w:val="A5"/>
                <w:rFonts w:ascii="Times New Roman" w:hAnsi="Times New Roman" w:cs="Times New Roman"/>
                <w:color w:val="auto"/>
                <w:sz w:val="20"/>
                <w:szCs w:val="20"/>
              </w:rPr>
              <w:t xml:space="preserve"> Customs Modernization and Tariff Act (CMTA)</w:t>
            </w:r>
            <w:r w:rsidR="00D924AB" w:rsidRPr="00FC4FEB">
              <w:rPr>
                <w:rStyle w:val="A5"/>
                <w:rFonts w:ascii="Times New Roman" w:hAnsi="Times New Roman" w:cs="Times New Roman"/>
                <w:color w:val="auto"/>
                <w:sz w:val="20"/>
                <w:szCs w:val="20"/>
              </w:rPr>
              <w:t xml:space="preserve"> </w:t>
            </w:r>
            <w:r w:rsidR="000D5A39" w:rsidRPr="00FC4FEB">
              <w:rPr>
                <w:rStyle w:val="A5"/>
                <w:rFonts w:ascii="Times New Roman" w:hAnsi="Times New Roman" w:cs="Times New Roman"/>
                <w:color w:val="auto"/>
                <w:sz w:val="20"/>
                <w:szCs w:val="20"/>
              </w:rPr>
              <w:t>on 20 May 2016</w:t>
            </w:r>
            <w:r w:rsidR="004A5A88" w:rsidRPr="00FC4FEB">
              <w:rPr>
                <w:rStyle w:val="A5"/>
                <w:rFonts w:ascii="Times New Roman" w:hAnsi="Times New Roman" w:cs="Times New Roman"/>
                <w:color w:val="auto"/>
                <w:sz w:val="20"/>
                <w:szCs w:val="20"/>
              </w:rPr>
              <w:t>.</w:t>
            </w:r>
            <w:r w:rsidR="000D5A39" w:rsidRPr="00FC4FEB">
              <w:rPr>
                <w:rStyle w:val="A5"/>
                <w:rFonts w:ascii="Times New Roman" w:hAnsi="Times New Roman" w:cs="Times New Roman"/>
                <w:color w:val="auto"/>
                <w:sz w:val="20"/>
                <w:szCs w:val="20"/>
              </w:rPr>
              <w:t xml:space="preserve"> </w:t>
            </w:r>
            <w:r w:rsidR="004A5A88" w:rsidRPr="00FC4FEB">
              <w:rPr>
                <w:rStyle w:val="A5"/>
                <w:rFonts w:ascii="Times New Roman" w:hAnsi="Times New Roman" w:cs="Times New Roman"/>
                <w:color w:val="auto"/>
                <w:sz w:val="20"/>
                <w:szCs w:val="20"/>
              </w:rPr>
              <w:t>I</w:t>
            </w:r>
            <w:r w:rsidR="000D5A39" w:rsidRPr="00FC4FEB">
              <w:rPr>
                <w:rStyle w:val="A5"/>
                <w:rFonts w:ascii="Times New Roman" w:hAnsi="Times New Roman" w:cs="Times New Roman"/>
                <w:color w:val="auto"/>
                <w:sz w:val="20"/>
                <w:szCs w:val="20"/>
              </w:rPr>
              <w:t xml:space="preserve">ts implementing rules and regulations are currently being drafted. </w:t>
            </w:r>
          </w:p>
          <w:p w14:paraId="1DAFC9CB" w14:textId="77777777" w:rsidR="000D5A39" w:rsidRPr="00FC4FEB" w:rsidRDefault="000D5A39" w:rsidP="000A5925">
            <w:pPr>
              <w:spacing w:line="0" w:lineRule="atLeast"/>
              <w:ind w:right="180"/>
              <w:jc w:val="both"/>
              <w:rPr>
                <w:rStyle w:val="A5"/>
                <w:rFonts w:cs="Times New Roman"/>
                <w:color w:val="auto"/>
                <w:sz w:val="20"/>
                <w:szCs w:val="20"/>
              </w:rPr>
            </w:pPr>
          </w:p>
          <w:p w14:paraId="7BDD35AD" w14:textId="77777777" w:rsidR="000D5A39" w:rsidRPr="00FC4FEB" w:rsidRDefault="000D5A39" w:rsidP="000A5925">
            <w:pPr>
              <w:spacing w:line="0" w:lineRule="atLeast"/>
              <w:ind w:right="180"/>
              <w:jc w:val="both"/>
              <w:rPr>
                <w:rStyle w:val="A5"/>
                <w:rFonts w:cs="Times New Roman"/>
                <w:color w:val="auto"/>
                <w:sz w:val="20"/>
                <w:szCs w:val="20"/>
              </w:rPr>
            </w:pPr>
            <w:r w:rsidRPr="00FC4FEB">
              <w:rPr>
                <w:rStyle w:val="A5"/>
                <w:rFonts w:cs="Times New Roman"/>
                <w:color w:val="auto"/>
                <w:sz w:val="20"/>
                <w:szCs w:val="20"/>
              </w:rPr>
              <w:t>Customs Administrative Orders (CAOs)</w:t>
            </w:r>
            <w:r w:rsidR="00D924AB" w:rsidRPr="00FC4FEB">
              <w:rPr>
                <w:rStyle w:val="A5"/>
                <w:rFonts w:cs="Times New Roman"/>
                <w:color w:val="auto"/>
                <w:sz w:val="20"/>
                <w:szCs w:val="20"/>
              </w:rPr>
              <w:t xml:space="preserve"> were issued </w:t>
            </w:r>
            <w:proofErr w:type="gramStart"/>
            <w:r w:rsidR="00D924AB" w:rsidRPr="00FC4FEB">
              <w:rPr>
                <w:rStyle w:val="A5"/>
                <w:rFonts w:cs="Times New Roman"/>
                <w:color w:val="auto"/>
                <w:sz w:val="20"/>
                <w:szCs w:val="20"/>
              </w:rPr>
              <w:t xml:space="preserve">on </w:t>
            </w:r>
            <w:r w:rsidRPr="00FC4FEB">
              <w:rPr>
                <w:rStyle w:val="A5"/>
                <w:rFonts w:cs="Times New Roman"/>
                <w:color w:val="auto"/>
                <w:sz w:val="20"/>
                <w:szCs w:val="20"/>
              </w:rPr>
              <w:t xml:space="preserve"> the</w:t>
            </w:r>
            <w:proofErr w:type="gramEnd"/>
            <w:r w:rsidRPr="00FC4FEB">
              <w:rPr>
                <w:rStyle w:val="A5"/>
                <w:rFonts w:cs="Times New Roman"/>
                <w:color w:val="auto"/>
                <w:sz w:val="20"/>
                <w:szCs w:val="20"/>
              </w:rPr>
              <w:t xml:space="preserve"> following:</w:t>
            </w:r>
          </w:p>
          <w:p w14:paraId="7061323E" w14:textId="77777777" w:rsidR="000D5A39" w:rsidRPr="00FC4FEB" w:rsidRDefault="000D5A39" w:rsidP="000A5925">
            <w:pPr>
              <w:spacing w:line="0" w:lineRule="atLeast"/>
              <w:ind w:right="180"/>
              <w:jc w:val="both"/>
              <w:rPr>
                <w:rStyle w:val="A5"/>
                <w:rFonts w:cs="Times New Roman"/>
                <w:color w:val="auto"/>
                <w:sz w:val="20"/>
                <w:szCs w:val="20"/>
              </w:rPr>
            </w:pPr>
          </w:p>
          <w:p w14:paraId="5BD1733A" w14:textId="77777777" w:rsidR="000D5A39" w:rsidRPr="00FC4FEB" w:rsidRDefault="000D5A39" w:rsidP="000A5925">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Establishment of Authorized Economic Operator (AEO) Program (CAO-5-2017);</w:t>
            </w:r>
          </w:p>
          <w:p w14:paraId="0D3E57E8" w14:textId="77777777" w:rsidR="000D5A39" w:rsidRPr="00FC4FEB" w:rsidRDefault="000D5A39" w:rsidP="00993030">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Clearance of Postal Items (CAO-3-2017);</w:t>
            </w:r>
          </w:p>
          <w:p w14:paraId="2BBF1EF9" w14:textId="77777777" w:rsidR="000D5A39" w:rsidRPr="00FC4FEB" w:rsidRDefault="000D5A39" w:rsidP="00993030">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Anti-Agricultural Smuggling Act of 2016 (CAO-2-2017);</w:t>
            </w:r>
          </w:p>
          <w:p w14:paraId="5E13F911" w14:textId="77777777" w:rsidR="000D5A39" w:rsidRPr="00FC4FEB" w:rsidRDefault="000D5A39">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Customs Clearance of Accompanied and Unaccompanied Baggage of Travelers and Crew (CAO-1-2017);</w:t>
            </w:r>
          </w:p>
          <w:p w14:paraId="3F46ED5F" w14:textId="77777777" w:rsidR="000D5A39" w:rsidRPr="00FC4FEB" w:rsidRDefault="000D5A39">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Imported Goods with De Minimis Value not subject to Duties and Taxes (CAO-2-2016);</w:t>
            </w:r>
          </w:p>
          <w:p w14:paraId="1F0D3A71" w14:textId="77777777" w:rsidR="000D5A39" w:rsidRPr="00FC4FEB" w:rsidRDefault="000D5A39">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Establishment of Advance Ruling and System of Valuation and Rules of Origin (CAO-3-2016);</w:t>
            </w:r>
          </w:p>
          <w:p w14:paraId="5987CE3A" w14:textId="77777777" w:rsidR="000D5A39" w:rsidRPr="00FC4FEB" w:rsidRDefault="000D5A39">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 xml:space="preserve">Consolidated Shipment of Duty and Tax-Free </w:t>
            </w:r>
            <w:proofErr w:type="spellStart"/>
            <w:r w:rsidRPr="00FC4FEB">
              <w:rPr>
                <w:rStyle w:val="A5"/>
                <w:rFonts w:ascii="Times New Roman" w:hAnsi="Times New Roman" w:cs="Times New Roman"/>
                <w:color w:val="auto"/>
                <w:sz w:val="20"/>
                <w:szCs w:val="20"/>
              </w:rPr>
              <w:t>Balikbayan</w:t>
            </w:r>
            <w:proofErr w:type="spellEnd"/>
            <w:r w:rsidRPr="00FC4FEB">
              <w:rPr>
                <w:rStyle w:val="A5"/>
                <w:rFonts w:ascii="Times New Roman" w:hAnsi="Times New Roman" w:cs="Times New Roman"/>
                <w:color w:val="auto"/>
                <w:sz w:val="20"/>
                <w:szCs w:val="20"/>
              </w:rPr>
              <w:t xml:space="preserve"> Boxes (CAO-5-2016);</w:t>
            </w:r>
          </w:p>
          <w:p w14:paraId="49FF645B" w14:textId="77777777" w:rsidR="000D5A39" w:rsidRPr="00FC4FEB" w:rsidRDefault="000D5A39">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Conditionally Tax and/or Duty-exempt Importation of Returning Residents and Overseas Filipino Workers (CAO-6-2016); and</w:t>
            </w:r>
          </w:p>
          <w:p w14:paraId="65B9D65E" w14:textId="77777777" w:rsidR="000D5A39" w:rsidRPr="00FC4FEB" w:rsidRDefault="000D5A39">
            <w:pPr>
              <w:pStyle w:val="ListParagraph"/>
              <w:numPr>
                <w:ilvl w:val="0"/>
                <w:numId w:val="39"/>
              </w:numPr>
              <w:spacing w:line="0" w:lineRule="atLeast"/>
              <w:ind w:right="180"/>
              <w:jc w:val="both"/>
              <w:rPr>
                <w:rStyle w:val="A5"/>
                <w:rFonts w:ascii="Times New Roman" w:hAnsi="Times New Roman" w:cs="Times New Roman"/>
                <w:color w:val="auto"/>
                <w:sz w:val="20"/>
                <w:szCs w:val="20"/>
              </w:rPr>
            </w:pPr>
            <w:r w:rsidRPr="00FC4FEB">
              <w:rPr>
                <w:rStyle w:val="A5"/>
                <w:rFonts w:ascii="Times New Roman" w:hAnsi="Times New Roman" w:cs="Times New Roman"/>
                <w:color w:val="auto"/>
                <w:sz w:val="20"/>
                <w:szCs w:val="20"/>
              </w:rPr>
              <w:t>Advance Cargo Declaration, Inward Foreign Manifest &amp; Consolidated Cargo Manifest Rule (CAO-1-2016)</w:t>
            </w:r>
          </w:p>
          <w:p w14:paraId="2561AFCA" w14:textId="77777777" w:rsidR="000D5A39" w:rsidRPr="00FC4FEB" w:rsidRDefault="000D5A39">
            <w:pPr>
              <w:pStyle w:val="Default"/>
              <w:jc w:val="both"/>
              <w:rPr>
                <w:rFonts w:ascii="Times New Roman" w:hAnsi="Times New Roman" w:cs="Times New Roman"/>
                <w:color w:val="auto"/>
                <w:sz w:val="20"/>
                <w:szCs w:val="20"/>
              </w:rPr>
            </w:pPr>
          </w:p>
          <w:p w14:paraId="2FA1917B" w14:textId="77777777" w:rsidR="000D5A39" w:rsidRPr="00FC4FEB" w:rsidRDefault="000D5A39">
            <w:pPr>
              <w:pStyle w:val="Default"/>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Accred</w:t>
            </w:r>
            <w:r w:rsidR="00E30C67" w:rsidRPr="00FC4FEB">
              <w:rPr>
                <w:rFonts w:ascii="Times New Roman" w:hAnsi="Times New Roman" w:cs="Times New Roman"/>
                <w:color w:val="auto"/>
                <w:sz w:val="20"/>
                <w:szCs w:val="20"/>
              </w:rPr>
              <w:t>it</w:t>
            </w:r>
            <w:r w:rsidRPr="00FC4FEB">
              <w:rPr>
                <w:rFonts w:ascii="Times New Roman" w:hAnsi="Times New Roman" w:cs="Times New Roman"/>
                <w:color w:val="auto"/>
                <w:sz w:val="20"/>
                <w:szCs w:val="20"/>
              </w:rPr>
              <w:t xml:space="preserve">ation of stakeholders under the </w:t>
            </w:r>
            <w:proofErr w:type="spellStart"/>
            <w:r w:rsidRPr="00FC4FEB">
              <w:rPr>
                <w:rFonts w:ascii="Times New Roman" w:hAnsi="Times New Roman" w:cs="Times New Roman"/>
                <w:color w:val="auto"/>
                <w:sz w:val="20"/>
                <w:szCs w:val="20"/>
              </w:rPr>
              <w:t>Accrediation</w:t>
            </w:r>
            <w:proofErr w:type="spellEnd"/>
            <w:r w:rsidRPr="00FC4FEB">
              <w:rPr>
                <w:rFonts w:ascii="Times New Roman" w:hAnsi="Times New Roman" w:cs="Times New Roman"/>
                <w:color w:val="auto"/>
                <w:sz w:val="20"/>
                <w:szCs w:val="20"/>
              </w:rPr>
              <w:t xml:space="preserve"> Management Office (AMO) has been transferred from the Bureau of Customs (BOC) Legal Service to the Intelligence Group.</w:t>
            </w:r>
          </w:p>
          <w:p w14:paraId="6456DEE4" w14:textId="77777777" w:rsidR="000D5A39" w:rsidRPr="00FC4FEB" w:rsidRDefault="000D5A39">
            <w:pPr>
              <w:pStyle w:val="Default"/>
              <w:jc w:val="both"/>
              <w:rPr>
                <w:rFonts w:ascii="Times New Roman" w:hAnsi="Times New Roman" w:cs="Times New Roman"/>
                <w:color w:val="auto"/>
                <w:sz w:val="20"/>
                <w:szCs w:val="20"/>
              </w:rPr>
            </w:pPr>
          </w:p>
          <w:p w14:paraId="73B1CE68" w14:textId="77777777" w:rsidR="000D5A39" w:rsidRPr="00FC4FEB" w:rsidRDefault="000D5A39">
            <w:pPr>
              <w:pStyle w:val="Default"/>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Implementation of the Online Submission System of Air Manifests for forwarders and airlines</w:t>
            </w:r>
          </w:p>
          <w:p w14:paraId="0748561C" w14:textId="77777777" w:rsidR="000D5A39" w:rsidRPr="00FC4FEB" w:rsidRDefault="000D5A39">
            <w:pPr>
              <w:pStyle w:val="Default"/>
              <w:jc w:val="both"/>
              <w:rPr>
                <w:rFonts w:ascii="Times New Roman" w:hAnsi="Times New Roman" w:cs="Times New Roman"/>
                <w:color w:val="auto"/>
                <w:sz w:val="20"/>
                <w:szCs w:val="20"/>
              </w:rPr>
            </w:pPr>
          </w:p>
          <w:p w14:paraId="7D1C1A0E" w14:textId="77777777" w:rsidR="000D5A39" w:rsidRPr="00FC4FEB" w:rsidRDefault="000D5A39">
            <w:pPr>
              <w:pStyle w:val="Default"/>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Updating of all regulated import items including the necessary import requirements of all trade regulatory government agencies</w:t>
            </w:r>
          </w:p>
          <w:p w14:paraId="3A207988" w14:textId="77777777" w:rsidR="002F3339" w:rsidRPr="00FC4FEB" w:rsidRDefault="002F3339">
            <w:pPr>
              <w:pStyle w:val="Default"/>
              <w:jc w:val="both"/>
              <w:rPr>
                <w:rFonts w:ascii="Times New Roman" w:hAnsi="Times New Roman" w:cs="Times New Roman"/>
                <w:color w:val="auto"/>
                <w:sz w:val="20"/>
                <w:szCs w:val="20"/>
              </w:rPr>
            </w:pPr>
          </w:p>
          <w:p w14:paraId="0AE3265C" w14:textId="77777777" w:rsidR="000D5A39" w:rsidRPr="00FC4FEB" w:rsidRDefault="000D5A39">
            <w:pPr>
              <w:pStyle w:val="Default"/>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Launch of the BOC CARES, a system that enables stakeholders to monitor the status of their shipments/packages</w:t>
            </w:r>
          </w:p>
          <w:p w14:paraId="474343A1" w14:textId="77777777" w:rsidR="00CB5771" w:rsidRPr="00FC4FEB" w:rsidRDefault="00CB5771">
            <w:pPr>
              <w:pStyle w:val="Default"/>
              <w:jc w:val="both"/>
              <w:rPr>
                <w:rFonts w:ascii="Times New Roman" w:hAnsi="Times New Roman" w:cs="Times New Roman"/>
                <w:color w:val="auto"/>
                <w:sz w:val="20"/>
                <w:szCs w:val="20"/>
              </w:rPr>
            </w:pPr>
          </w:p>
          <w:p w14:paraId="7A8657C5" w14:textId="77777777" w:rsidR="000D5A39" w:rsidRPr="00FC4FEB" w:rsidRDefault="008A734E">
            <w:pPr>
              <w:pStyle w:val="Default"/>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Implementation of the</w:t>
            </w:r>
            <w:r w:rsidR="004A2508" w:rsidRPr="00FC4FEB">
              <w:rPr>
                <w:rFonts w:ascii="Times New Roman" w:hAnsi="Times New Roman" w:cs="Times New Roman"/>
                <w:color w:val="auto"/>
                <w:sz w:val="20"/>
                <w:szCs w:val="20"/>
              </w:rPr>
              <w:t xml:space="preserve"> “super green lane” accreditation for faster processing imported cargoes. </w:t>
            </w:r>
          </w:p>
        </w:tc>
        <w:tc>
          <w:tcPr>
            <w:tcW w:w="5471" w:type="dxa"/>
          </w:tcPr>
          <w:p w14:paraId="0EE20A12" w14:textId="77777777" w:rsidR="000D5A39" w:rsidRPr="00FC4FEB" w:rsidRDefault="00D924AB" w:rsidP="00D924AB">
            <w:pPr>
              <w:pStyle w:val="Pa23"/>
              <w:jc w:val="both"/>
              <w:rPr>
                <w:rFonts w:ascii="Times New Roman" w:hAnsi="Times New Roman" w:cs="Times New Roman"/>
                <w:sz w:val="20"/>
                <w:szCs w:val="20"/>
              </w:rPr>
            </w:pPr>
            <w:bookmarkStart w:id="19" w:name="Cell12"/>
            <w:bookmarkEnd w:id="19"/>
            <w:r w:rsidRPr="00FC4FEB">
              <w:rPr>
                <w:rFonts w:ascii="Times New Roman" w:hAnsi="Times New Roman" w:cs="Times New Roman"/>
                <w:sz w:val="20"/>
                <w:szCs w:val="20"/>
              </w:rPr>
              <w:t>Implement n</w:t>
            </w:r>
            <w:r w:rsidR="000D5A39" w:rsidRPr="00FC4FEB">
              <w:rPr>
                <w:rFonts w:ascii="Times New Roman" w:hAnsi="Times New Roman" w:cs="Times New Roman"/>
                <w:sz w:val="20"/>
                <w:szCs w:val="20"/>
              </w:rPr>
              <w:t xml:space="preserve">ew procedures </w:t>
            </w:r>
            <w:r w:rsidRPr="00FC4FEB">
              <w:rPr>
                <w:rFonts w:ascii="Times New Roman" w:hAnsi="Times New Roman" w:cs="Times New Roman"/>
                <w:sz w:val="20"/>
                <w:szCs w:val="20"/>
              </w:rPr>
              <w:t>on</w:t>
            </w:r>
            <w:r w:rsidR="000D5A39" w:rsidRPr="00FC4FEB">
              <w:rPr>
                <w:rFonts w:ascii="Times New Roman" w:hAnsi="Times New Roman" w:cs="Times New Roman"/>
                <w:sz w:val="20"/>
                <w:szCs w:val="20"/>
              </w:rPr>
              <w:t xml:space="preserve"> processing of shipments for import, </w:t>
            </w:r>
            <w:proofErr w:type="spellStart"/>
            <w:r w:rsidR="000D5A39" w:rsidRPr="00FC4FEB">
              <w:rPr>
                <w:rFonts w:ascii="Times New Roman" w:hAnsi="Times New Roman" w:cs="Times New Roman"/>
                <w:sz w:val="20"/>
                <w:szCs w:val="20"/>
              </w:rPr>
              <w:t>erxport</w:t>
            </w:r>
            <w:proofErr w:type="spellEnd"/>
            <w:r w:rsidR="000D5A39" w:rsidRPr="00FC4FEB">
              <w:rPr>
                <w:rFonts w:ascii="Times New Roman" w:hAnsi="Times New Roman" w:cs="Times New Roman"/>
                <w:sz w:val="20"/>
                <w:szCs w:val="20"/>
              </w:rPr>
              <w:t>, warehousing, transshipment, etc.</w:t>
            </w:r>
          </w:p>
        </w:tc>
      </w:tr>
      <w:tr w:rsidR="00FC4FEB" w:rsidRPr="00FC4FEB" w14:paraId="4EA1C6BB" w14:textId="77777777" w:rsidTr="00810BCF">
        <w:tc>
          <w:tcPr>
            <w:tcW w:w="3520" w:type="dxa"/>
          </w:tcPr>
          <w:p w14:paraId="3E3563AE"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vAlign w:val="bottom"/>
          </w:tcPr>
          <w:p w14:paraId="213DDA03" w14:textId="77777777" w:rsidR="00505176" w:rsidRPr="00FC4FEB" w:rsidRDefault="00B146C8" w:rsidP="00CD4015">
            <w:pPr>
              <w:spacing w:line="0" w:lineRule="atLeast"/>
              <w:jc w:val="both"/>
              <w:rPr>
                <w:rFonts w:eastAsia="Times New Roman"/>
                <w:sz w:val="20"/>
              </w:rPr>
            </w:pPr>
            <w:hyperlink r:id="rId25" w:history="1">
              <w:r w:rsidR="005702C8" w:rsidRPr="00FC4FEB">
                <w:rPr>
                  <w:rStyle w:val="Hyperlink"/>
                  <w:rFonts w:eastAsia="Times New Roman"/>
                  <w:color w:val="auto"/>
                  <w:sz w:val="20"/>
                </w:rPr>
                <w:t>http://customs.gov.ph</w:t>
              </w:r>
            </w:hyperlink>
          </w:p>
        </w:tc>
        <w:tc>
          <w:tcPr>
            <w:tcW w:w="5471" w:type="dxa"/>
          </w:tcPr>
          <w:p w14:paraId="5CE169B9" w14:textId="77777777" w:rsidR="00505176" w:rsidRPr="00FC4FEB" w:rsidRDefault="00505176" w:rsidP="00CD4015">
            <w:pPr>
              <w:pStyle w:val="Heading9"/>
              <w:jc w:val="both"/>
              <w:rPr>
                <w:rFonts w:ascii="Times New Roman" w:hAnsi="Times New Roman"/>
                <w:b w:val="0"/>
              </w:rPr>
            </w:pPr>
          </w:p>
        </w:tc>
      </w:tr>
      <w:tr w:rsidR="00FC4FEB" w:rsidRPr="00FC4FEB" w14:paraId="24572209" w14:textId="77777777" w:rsidTr="00810BCF">
        <w:tc>
          <w:tcPr>
            <w:tcW w:w="3520" w:type="dxa"/>
          </w:tcPr>
          <w:p w14:paraId="2F51DCAF"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vAlign w:val="bottom"/>
          </w:tcPr>
          <w:p w14:paraId="728BFCDD" w14:textId="77777777" w:rsidR="00505176" w:rsidRPr="00FC4FEB" w:rsidRDefault="000D5A39" w:rsidP="00CD4015">
            <w:pPr>
              <w:spacing w:line="0" w:lineRule="atLeast"/>
              <w:jc w:val="both"/>
              <w:rPr>
                <w:rFonts w:eastAsia="Times New Roman"/>
                <w:sz w:val="20"/>
              </w:rPr>
            </w:pPr>
            <w:r w:rsidRPr="00FC4FEB">
              <w:rPr>
                <w:rFonts w:eastAsia="Times New Roman"/>
                <w:sz w:val="20"/>
              </w:rPr>
              <w:t>The Commissioner</w:t>
            </w:r>
          </w:p>
          <w:p w14:paraId="7F709B93" w14:textId="77777777" w:rsidR="00505176" w:rsidRPr="00FC4FEB" w:rsidRDefault="000D5A39" w:rsidP="00CD4015">
            <w:pPr>
              <w:spacing w:line="0" w:lineRule="atLeast"/>
              <w:jc w:val="both"/>
              <w:rPr>
                <w:rFonts w:eastAsia="Times New Roman"/>
                <w:sz w:val="20"/>
              </w:rPr>
            </w:pPr>
            <w:r w:rsidRPr="00FC4FEB">
              <w:rPr>
                <w:rFonts w:eastAsia="Times New Roman"/>
                <w:sz w:val="20"/>
              </w:rPr>
              <w:t>Office of the Commissioner</w:t>
            </w:r>
          </w:p>
          <w:p w14:paraId="1E0D48D2" w14:textId="77777777" w:rsidR="00505176" w:rsidRPr="00FC4FEB" w:rsidRDefault="000D5A39" w:rsidP="00CD4015">
            <w:pPr>
              <w:spacing w:line="0" w:lineRule="atLeast"/>
              <w:jc w:val="both"/>
              <w:rPr>
                <w:rFonts w:eastAsia="Times New Roman"/>
                <w:sz w:val="20"/>
              </w:rPr>
            </w:pPr>
            <w:r w:rsidRPr="00FC4FEB">
              <w:rPr>
                <w:rFonts w:eastAsia="Times New Roman"/>
                <w:sz w:val="20"/>
              </w:rPr>
              <w:t>Bureau of Customs</w:t>
            </w:r>
          </w:p>
          <w:p w14:paraId="7EAF61D9" w14:textId="77777777" w:rsidR="00505176" w:rsidRPr="00FC4FEB" w:rsidRDefault="000D5A39" w:rsidP="00CD4015">
            <w:pPr>
              <w:spacing w:line="0" w:lineRule="atLeast"/>
              <w:jc w:val="both"/>
              <w:rPr>
                <w:rFonts w:eastAsia="Times New Roman"/>
                <w:sz w:val="20"/>
              </w:rPr>
            </w:pPr>
            <w:r w:rsidRPr="00FC4FEB">
              <w:rPr>
                <w:rFonts w:eastAsia="Times New Roman"/>
                <w:sz w:val="20"/>
              </w:rPr>
              <w:t>G/F OCOM Building</w:t>
            </w:r>
          </w:p>
          <w:p w14:paraId="2949BF90" w14:textId="77777777" w:rsidR="00505176" w:rsidRPr="00FC4FEB" w:rsidRDefault="000D5A39" w:rsidP="00CD4015">
            <w:pPr>
              <w:spacing w:line="0" w:lineRule="atLeast"/>
              <w:jc w:val="both"/>
              <w:rPr>
                <w:rFonts w:eastAsia="Times New Roman"/>
                <w:sz w:val="20"/>
              </w:rPr>
            </w:pPr>
            <w:r w:rsidRPr="00FC4FEB">
              <w:rPr>
                <w:rFonts w:eastAsia="Times New Roman"/>
                <w:sz w:val="20"/>
              </w:rPr>
              <w:t>Port Area, Manila</w:t>
            </w:r>
          </w:p>
          <w:p w14:paraId="0D46C95D" w14:textId="77777777" w:rsidR="00505176" w:rsidRPr="00FC4FEB" w:rsidRDefault="000D5A39" w:rsidP="00CD4015">
            <w:pPr>
              <w:spacing w:line="0" w:lineRule="atLeast"/>
              <w:jc w:val="both"/>
              <w:rPr>
                <w:rFonts w:eastAsia="Times New Roman"/>
                <w:sz w:val="20"/>
              </w:rPr>
            </w:pPr>
            <w:r w:rsidRPr="00FC4FEB">
              <w:rPr>
                <w:rFonts w:eastAsia="Times New Roman"/>
                <w:sz w:val="20"/>
              </w:rPr>
              <w:t>Tel. +632 5274537, 5271935</w:t>
            </w:r>
          </w:p>
          <w:p w14:paraId="6FA7A44A" w14:textId="77777777" w:rsidR="00505176" w:rsidRPr="00FC4FEB" w:rsidRDefault="000D5A39" w:rsidP="00CD4015">
            <w:pPr>
              <w:spacing w:line="0" w:lineRule="atLeast"/>
              <w:jc w:val="both"/>
              <w:rPr>
                <w:rFonts w:eastAsia="Times New Roman"/>
                <w:sz w:val="20"/>
              </w:rPr>
            </w:pPr>
            <w:r w:rsidRPr="00FC4FEB">
              <w:rPr>
                <w:rFonts w:eastAsia="Times New Roman"/>
                <w:sz w:val="20"/>
              </w:rPr>
              <w:t>Fax. + 632 5266355</w:t>
            </w:r>
          </w:p>
          <w:p w14:paraId="0D568ADF" w14:textId="77777777" w:rsidR="00505176" w:rsidRPr="00FC4FEB" w:rsidRDefault="000D5A39" w:rsidP="00CD4015">
            <w:pPr>
              <w:spacing w:line="0" w:lineRule="atLeast"/>
              <w:jc w:val="both"/>
              <w:rPr>
                <w:rFonts w:eastAsia="Times New Roman"/>
                <w:sz w:val="20"/>
              </w:rPr>
            </w:pPr>
            <w:r w:rsidRPr="00FC4FEB">
              <w:rPr>
                <w:rFonts w:eastAsia="Times New Roman"/>
                <w:sz w:val="20"/>
              </w:rPr>
              <w:t>Email:</w:t>
            </w:r>
            <w:hyperlink r:id="rId26" w:history="1">
              <w:r w:rsidRPr="00FC4FEB">
                <w:rPr>
                  <w:rStyle w:val="Hyperlink"/>
                  <w:rFonts w:eastAsia="Times New Roman"/>
                  <w:color w:val="auto"/>
                  <w:sz w:val="20"/>
                  <w:lang w:val="en-US"/>
                </w:rPr>
                <w:t>boc.commissioner@customs.gov.ph</w:t>
              </w:r>
            </w:hyperlink>
            <w:r w:rsidRPr="00FC4FEB">
              <w:rPr>
                <w:rFonts w:eastAsia="Times New Roman"/>
                <w:sz w:val="20"/>
                <w:lang w:val="en-US"/>
              </w:rPr>
              <w:t xml:space="preserve">; </w:t>
            </w:r>
            <w:hyperlink r:id="rId27" w:history="1">
              <w:r w:rsidRPr="00FC4FEB">
                <w:rPr>
                  <w:rStyle w:val="Hyperlink"/>
                  <w:rFonts w:eastAsia="Times New Roman"/>
                  <w:color w:val="auto"/>
                  <w:sz w:val="20"/>
                  <w:lang w:val="en-US"/>
                </w:rPr>
                <w:t>boc.cares@customs.gov.ph</w:t>
              </w:r>
            </w:hyperlink>
            <w:r w:rsidRPr="00FC4FEB">
              <w:rPr>
                <w:rFonts w:eastAsia="Times New Roman"/>
                <w:sz w:val="20"/>
                <w:lang w:val="en-US"/>
              </w:rPr>
              <w:t xml:space="preserve">, </w:t>
            </w:r>
            <w:r w:rsidRPr="00FC4FEB">
              <w:rPr>
                <w:rFonts w:eastAsia="Times New Roman"/>
                <w:sz w:val="20"/>
              </w:rPr>
              <w:t>edwardjames.dybuco@customs.gov.ph</w:t>
            </w:r>
          </w:p>
        </w:tc>
        <w:tc>
          <w:tcPr>
            <w:tcW w:w="5471" w:type="dxa"/>
          </w:tcPr>
          <w:p w14:paraId="4C1A3459" w14:textId="77777777" w:rsidR="00505176" w:rsidRPr="00FC4FEB" w:rsidRDefault="00505176" w:rsidP="00CD4015">
            <w:pPr>
              <w:pStyle w:val="Heading9"/>
              <w:jc w:val="both"/>
              <w:rPr>
                <w:rFonts w:ascii="Times New Roman" w:hAnsi="Times New Roman"/>
                <w:b w:val="0"/>
              </w:rPr>
            </w:pPr>
          </w:p>
        </w:tc>
      </w:tr>
      <w:tr w:rsidR="00FC4FEB" w:rsidRPr="00FC4FEB" w14:paraId="53C80D95" w14:textId="77777777" w:rsidTr="00810BCF">
        <w:tc>
          <w:tcPr>
            <w:tcW w:w="3520" w:type="dxa"/>
          </w:tcPr>
          <w:p w14:paraId="3DC175BB" w14:textId="77777777" w:rsidR="00505176" w:rsidRPr="00FC4FEB" w:rsidRDefault="000D5A39" w:rsidP="00CD4015">
            <w:pPr>
              <w:jc w:val="both"/>
              <w:rPr>
                <w:b/>
                <w:i/>
                <w:sz w:val="20"/>
              </w:rPr>
            </w:pPr>
            <w:bookmarkStart w:id="20" w:name="Row7"/>
            <w:r w:rsidRPr="00FC4FEB">
              <w:rPr>
                <w:b/>
                <w:i/>
                <w:sz w:val="20"/>
              </w:rPr>
              <w:t>Intellectual Property Rights</w:t>
            </w:r>
            <w:bookmarkEnd w:id="20"/>
          </w:p>
          <w:p w14:paraId="41CE6532" w14:textId="77777777" w:rsidR="00505176" w:rsidRPr="00FC4FEB" w:rsidRDefault="00505176" w:rsidP="00CD4015">
            <w:pPr>
              <w:jc w:val="both"/>
              <w:rPr>
                <w:b/>
                <w:i/>
                <w:sz w:val="20"/>
              </w:rPr>
            </w:pPr>
          </w:p>
        </w:tc>
        <w:tc>
          <w:tcPr>
            <w:tcW w:w="5573" w:type="dxa"/>
            <w:vAlign w:val="bottom"/>
          </w:tcPr>
          <w:p w14:paraId="260CF5F9" w14:textId="77777777" w:rsidR="005702C8" w:rsidRPr="00FC4FEB" w:rsidRDefault="000D5A39" w:rsidP="005702C8">
            <w:pPr>
              <w:ind w:right="145"/>
              <w:contextualSpacing/>
              <w:jc w:val="both"/>
              <w:rPr>
                <w:sz w:val="20"/>
              </w:rPr>
            </w:pPr>
            <w:bookmarkStart w:id="21" w:name="Cell13"/>
            <w:bookmarkEnd w:id="21"/>
            <w:r w:rsidRPr="00FC4FEB">
              <w:rPr>
                <w:sz w:val="20"/>
              </w:rPr>
              <w:t>Enhanced capacities of MSMEs to strengthen their participation in global trade by conducting APEC workshops on:</w:t>
            </w:r>
          </w:p>
          <w:p w14:paraId="5A451DE2" w14:textId="77777777" w:rsidR="005702C8" w:rsidRPr="00FC4FEB" w:rsidRDefault="00A368DB" w:rsidP="005702C8">
            <w:pPr>
              <w:pStyle w:val="ListParagraph"/>
              <w:numPr>
                <w:ilvl w:val="2"/>
                <w:numId w:val="35"/>
              </w:numPr>
              <w:ind w:left="650" w:right="145"/>
              <w:contextualSpacing/>
              <w:jc w:val="both"/>
              <w:rPr>
                <w:rFonts w:ascii="Times New Roman" w:hAnsi="Times New Roman"/>
                <w:sz w:val="20"/>
                <w:szCs w:val="20"/>
              </w:rPr>
            </w:pPr>
            <w:r w:rsidRPr="00FC4FEB">
              <w:rPr>
                <w:rFonts w:ascii="Times New Roman" w:hAnsi="Times New Roman"/>
                <w:sz w:val="20"/>
                <w:szCs w:val="20"/>
              </w:rPr>
              <w:t xml:space="preserve">Best Practices on Brand Development and IP Protection for Micro, Small and Medium Enterprises (MSMEs) </w:t>
            </w:r>
          </w:p>
          <w:p w14:paraId="28984B6F" w14:textId="77777777" w:rsidR="00A368DB" w:rsidRPr="00FC4FEB" w:rsidRDefault="00A368DB" w:rsidP="005702C8">
            <w:pPr>
              <w:pStyle w:val="ListParagraph"/>
              <w:numPr>
                <w:ilvl w:val="2"/>
                <w:numId w:val="35"/>
              </w:numPr>
              <w:ind w:left="650" w:right="145"/>
              <w:contextualSpacing/>
              <w:jc w:val="both"/>
              <w:rPr>
                <w:rFonts w:ascii="Times New Roman" w:hAnsi="Times New Roman"/>
                <w:sz w:val="20"/>
                <w:szCs w:val="20"/>
              </w:rPr>
            </w:pPr>
            <w:r w:rsidRPr="00FC4FEB">
              <w:rPr>
                <w:rFonts w:ascii="Times New Roman" w:hAnsi="Times New Roman"/>
                <w:sz w:val="20"/>
                <w:szCs w:val="20"/>
              </w:rPr>
              <w:t>Promoting Innovation through a Mechanism for IP Valuation, Financing and Leveraging IP Assets</w:t>
            </w:r>
          </w:p>
          <w:p w14:paraId="75929D1D" w14:textId="77777777" w:rsidR="000D5A39" w:rsidRPr="00FC4FEB" w:rsidRDefault="000D5A39" w:rsidP="000A5925">
            <w:pPr>
              <w:ind w:right="145"/>
              <w:jc w:val="both"/>
              <w:rPr>
                <w:sz w:val="20"/>
              </w:rPr>
            </w:pPr>
          </w:p>
          <w:p w14:paraId="14A25FCB" w14:textId="77777777" w:rsidR="000D5A39" w:rsidRPr="00FC4FEB" w:rsidRDefault="000D5A39" w:rsidP="00993030">
            <w:pPr>
              <w:ind w:right="145"/>
              <w:jc w:val="both"/>
              <w:rPr>
                <w:sz w:val="20"/>
              </w:rPr>
            </w:pPr>
            <w:proofErr w:type="gramStart"/>
            <w:r w:rsidRPr="00FC4FEB">
              <w:rPr>
                <w:sz w:val="20"/>
              </w:rPr>
              <w:t>Launched  IP</w:t>
            </w:r>
            <w:proofErr w:type="gramEnd"/>
            <w:r w:rsidRPr="00FC4FEB">
              <w:rPr>
                <w:sz w:val="20"/>
              </w:rPr>
              <w:t xml:space="preserve"> online platforms  to expedite IP application processes:</w:t>
            </w:r>
          </w:p>
          <w:p w14:paraId="3441A4C5" w14:textId="77777777" w:rsidR="000D5A39" w:rsidRPr="00FC4FEB" w:rsidRDefault="00E30C67" w:rsidP="00993030">
            <w:pPr>
              <w:pStyle w:val="ListParagraph"/>
              <w:numPr>
                <w:ilvl w:val="0"/>
                <w:numId w:val="34"/>
              </w:numPr>
              <w:ind w:left="718" w:right="145"/>
              <w:contextualSpacing/>
              <w:jc w:val="both"/>
              <w:rPr>
                <w:rFonts w:ascii="Times New Roman" w:hAnsi="Times New Roman"/>
                <w:sz w:val="20"/>
                <w:szCs w:val="20"/>
              </w:rPr>
            </w:pPr>
            <w:r w:rsidRPr="00FC4FEB">
              <w:rPr>
                <w:rFonts w:ascii="Times New Roman" w:hAnsi="Times New Roman"/>
                <w:sz w:val="20"/>
                <w:szCs w:val="20"/>
              </w:rPr>
              <w:t>Trademark (</w:t>
            </w:r>
            <w:r w:rsidR="000D5A39" w:rsidRPr="00FC4FEB">
              <w:rPr>
                <w:rFonts w:ascii="Times New Roman" w:hAnsi="Times New Roman"/>
                <w:sz w:val="20"/>
                <w:szCs w:val="20"/>
              </w:rPr>
              <w:t>TM</w:t>
            </w:r>
            <w:r w:rsidRPr="00FC4FEB">
              <w:rPr>
                <w:rFonts w:ascii="Times New Roman" w:hAnsi="Times New Roman"/>
                <w:sz w:val="20"/>
                <w:szCs w:val="20"/>
              </w:rPr>
              <w:t>)</w:t>
            </w:r>
            <w:r w:rsidR="000D5A39" w:rsidRPr="00FC4FEB">
              <w:rPr>
                <w:rFonts w:ascii="Times New Roman" w:hAnsi="Times New Roman"/>
                <w:sz w:val="20"/>
                <w:szCs w:val="20"/>
              </w:rPr>
              <w:t xml:space="preserve"> Online filing system </w:t>
            </w:r>
            <w:proofErr w:type="gramStart"/>
            <w:r w:rsidR="000D5A39" w:rsidRPr="00FC4FEB">
              <w:rPr>
                <w:rFonts w:ascii="Times New Roman" w:hAnsi="Times New Roman"/>
                <w:sz w:val="20"/>
                <w:szCs w:val="20"/>
              </w:rPr>
              <w:t>and  TM</w:t>
            </w:r>
            <w:proofErr w:type="gramEnd"/>
            <w:r w:rsidR="000D5A39" w:rsidRPr="00FC4FEB">
              <w:rPr>
                <w:rFonts w:ascii="Times New Roman" w:hAnsi="Times New Roman"/>
                <w:sz w:val="20"/>
                <w:szCs w:val="20"/>
              </w:rPr>
              <w:t xml:space="preserve"> e-doc system</w:t>
            </w:r>
          </w:p>
          <w:p w14:paraId="555AF1FB" w14:textId="77777777" w:rsidR="000D5A39" w:rsidRPr="00FC4FEB" w:rsidRDefault="000D5A39">
            <w:pPr>
              <w:pStyle w:val="ListParagraph"/>
              <w:numPr>
                <w:ilvl w:val="0"/>
                <w:numId w:val="34"/>
              </w:numPr>
              <w:ind w:left="718" w:right="145"/>
              <w:contextualSpacing/>
              <w:jc w:val="both"/>
              <w:rPr>
                <w:rFonts w:ascii="Times New Roman" w:hAnsi="Times New Roman"/>
                <w:sz w:val="20"/>
                <w:szCs w:val="20"/>
              </w:rPr>
            </w:pPr>
            <w:r w:rsidRPr="00FC4FEB">
              <w:rPr>
                <w:rFonts w:ascii="Times New Roman" w:hAnsi="Times New Roman"/>
                <w:sz w:val="20"/>
                <w:szCs w:val="20"/>
              </w:rPr>
              <w:t>Utility Model and Industrial Design Online Filing Systems</w:t>
            </w:r>
          </w:p>
          <w:p w14:paraId="1D0210EA" w14:textId="77777777" w:rsidR="000D5A39" w:rsidRPr="00FC4FEB" w:rsidRDefault="000D5A39">
            <w:pPr>
              <w:ind w:left="448" w:right="145"/>
              <w:jc w:val="both"/>
              <w:rPr>
                <w:sz w:val="20"/>
              </w:rPr>
            </w:pPr>
          </w:p>
          <w:p w14:paraId="734F959B" w14:textId="77777777" w:rsidR="000D5A39" w:rsidRPr="00FC4FEB" w:rsidRDefault="000D5A39">
            <w:pPr>
              <w:ind w:right="145"/>
              <w:jc w:val="both"/>
              <w:rPr>
                <w:sz w:val="20"/>
              </w:rPr>
            </w:pPr>
            <w:r w:rsidRPr="00FC4FEB">
              <w:rPr>
                <w:sz w:val="20"/>
              </w:rPr>
              <w:t>Ramped up effective utilization of the IP System by MSMEs and the academe through the following:</w:t>
            </w:r>
          </w:p>
          <w:p w14:paraId="4F2B48C7" w14:textId="77777777" w:rsidR="00A368DB" w:rsidRPr="00FC4FEB" w:rsidRDefault="00A368DB" w:rsidP="00A368DB">
            <w:pPr>
              <w:pStyle w:val="ListParagraph"/>
              <w:numPr>
                <w:ilvl w:val="0"/>
                <w:numId w:val="33"/>
              </w:numPr>
              <w:ind w:right="145"/>
              <w:contextualSpacing/>
              <w:jc w:val="both"/>
              <w:rPr>
                <w:rFonts w:ascii="Times New Roman" w:hAnsi="Times New Roman"/>
                <w:sz w:val="20"/>
                <w:szCs w:val="20"/>
              </w:rPr>
            </w:pPr>
            <w:r w:rsidRPr="00FC4FEB">
              <w:rPr>
                <w:rFonts w:ascii="Times New Roman" w:hAnsi="Times New Roman"/>
                <w:sz w:val="20"/>
                <w:szCs w:val="20"/>
              </w:rPr>
              <w:t>Launching of “Juana Make a Mark” project, focusing on the registration of brands owned by members of the MSME sector.</w:t>
            </w:r>
          </w:p>
          <w:p w14:paraId="4A93E2AB" w14:textId="77777777" w:rsidR="00A368DB" w:rsidRPr="00FC4FEB" w:rsidRDefault="00A368DB" w:rsidP="00A368DB">
            <w:pPr>
              <w:pStyle w:val="ListParagraph"/>
              <w:numPr>
                <w:ilvl w:val="0"/>
                <w:numId w:val="33"/>
              </w:numPr>
              <w:ind w:right="145"/>
              <w:contextualSpacing/>
              <w:jc w:val="both"/>
              <w:rPr>
                <w:rFonts w:ascii="Times New Roman" w:hAnsi="Times New Roman"/>
                <w:sz w:val="20"/>
                <w:szCs w:val="20"/>
              </w:rPr>
            </w:pPr>
            <w:r w:rsidRPr="00FC4FEB">
              <w:rPr>
                <w:rFonts w:ascii="Times New Roman" w:hAnsi="Times New Roman"/>
                <w:sz w:val="20"/>
                <w:szCs w:val="20"/>
              </w:rPr>
              <w:t>Conduct of Patent Mentoring Sessions for the protection of local inventions, technologies and industrial designs developed by local State Colleges and Universities and local R &amp; D institutions in the countryside.</w:t>
            </w:r>
          </w:p>
          <w:p w14:paraId="266B94F0" w14:textId="77777777" w:rsidR="000D5A39" w:rsidRPr="00FC4FEB" w:rsidRDefault="000D5A39">
            <w:pPr>
              <w:ind w:right="145"/>
              <w:jc w:val="both"/>
              <w:rPr>
                <w:sz w:val="20"/>
              </w:rPr>
            </w:pPr>
          </w:p>
          <w:p w14:paraId="083D745D" w14:textId="77777777" w:rsidR="000D5A39" w:rsidRPr="00FC4FEB" w:rsidRDefault="000D5A39">
            <w:pPr>
              <w:ind w:right="145"/>
              <w:jc w:val="both"/>
              <w:rPr>
                <w:sz w:val="20"/>
              </w:rPr>
            </w:pPr>
          </w:p>
          <w:p w14:paraId="38A5B79A" w14:textId="77777777" w:rsidR="000D5A39" w:rsidRPr="00FC4FEB" w:rsidRDefault="000D5A39">
            <w:pPr>
              <w:ind w:right="145"/>
              <w:jc w:val="both"/>
              <w:rPr>
                <w:sz w:val="20"/>
              </w:rPr>
            </w:pPr>
            <w:r w:rsidRPr="00FC4FEB">
              <w:rPr>
                <w:sz w:val="20"/>
              </w:rPr>
              <w:t>Increased the number of Innovation and Technology Support Offices (ITSO) to boost technical support services on IP asset creation, protection and commercialization.  As of 2017, there are 85 ITSOs established all over the country, with ten (10) applicants under evaluation by IPO Philippines.</w:t>
            </w:r>
          </w:p>
          <w:p w14:paraId="4881620A" w14:textId="77777777" w:rsidR="000D5A39" w:rsidRPr="00FC4FEB" w:rsidRDefault="000D5A39">
            <w:pPr>
              <w:ind w:right="145"/>
              <w:jc w:val="both"/>
              <w:rPr>
                <w:sz w:val="20"/>
                <w:u w:val="single"/>
              </w:rPr>
            </w:pPr>
          </w:p>
          <w:p w14:paraId="269B0455" w14:textId="77777777" w:rsidR="000D5A39" w:rsidRPr="00FC4FEB" w:rsidRDefault="000D5A39">
            <w:pPr>
              <w:ind w:right="145"/>
              <w:jc w:val="both"/>
              <w:rPr>
                <w:sz w:val="20"/>
              </w:rPr>
            </w:pPr>
            <w:r w:rsidRPr="00FC4FEB">
              <w:rPr>
                <w:sz w:val="20"/>
              </w:rPr>
              <w:lastRenderedPageBreak/>
              <w:t xml:space="preserve">Secured IPOPHL's designation as International Searching and Preliminary Examining Authority filed under the Patent Cooperation Treaty (PCT) thereby facilitating patent applications in PCT member countries and ensure their effective </w:t>
            </w:r>
            <w:proofErr w:type="gramStart"/>
            <w:r w:rsidRPr="00FC4FEB">
              <w:rPr>
                <w:sz w:val="20"/>
              </w:rPr>
              <w:t>protection  in</w:t>
            </w:r>
            <w:proofErr w:type="gramEnd"/>
            <w:r w:rsidRPr="00FC4FEB">
              <w:rPr>
                <w:sz w:val="20"/>
              </w:rPr>
              <w:t xml:space="preserve"> the global market.</w:t>
            </w:r>
          </w:p>
          <w:p w14:paraId="2401FD88" w14:textId="77777777" w:rsidR="00505176" w:rsidRPr="00FC4FEB" w:rsidRDefault="00505176" w:rsidP="00CD4015">
            <w:pPr>
              <w:jc w:val="both"/>
              <w:rPr>
                <w:sz w:val="20"/>
              </w:rPr>
            </w:pPr>
          </w:p>
          <w:p w14:paraId="7B681D46" w14:textId="77777777" w:rsidR="00505176" w:rsidRPr="00FC4FEB" w:rsidRDefault="000D5A39" w:rsidP="00CD4015">
            <w:pPr>
              <w:jc w:val="both"/>
              <w:rPr>
                <w:sz w:val="20"/>
              </w:rPr>
            </w:pPr>
            <w:r w:rsidRPr="00FC4FEB">
              <w:rPr>
                <w:sz w:val="20"/>
              </w:rPr>
              <w:t>Sustained effective IPR enforcement activities resulting from the Philippines exclusion from the United States Trade Representative (USTR) Special 301 Report Watch List in 2015, 2016, and 2017.</w:t>
            </w:r>
          </w:p>
        </w:tc>
        <w:tc>
          <w:tcPr>
            <w:tcW w:w="5471" w:type="dxa"/>
          </w:tcPr>
          <w:p w14:paraId="64380296" w14:textId="77777777" w:rsidR="000D5A39" w:rsidRPr="00FC4FEB" w:rsidRDefault="000D5A39" w:rsidP="000A5925">
            <w:pPr>
              <w:ind w:right="191"/>
              <w:jc w:val="both"/>
              <w:rPr>
                <w:sz w:val="20"/>
              </w:rPr>
            </w:pPr>
            <w:bookmarkStart w:id="22" w:name="Cell14"/>
            <w:bookmarkEnd w:id="22"/>
          </w:p>
        </w:tc>
      </w:tr>
      <w:tr w:rsidR="00FC4FEB" w:rsidRPr="00FC4FEB" w14:paraId="2F43CB67" w14:textId="77777777" w:rsidTr="00810BCF">
        <w:tc>
          <w:tcPr>
            <w:tcW w:w="3520" w:type="dxa"/>
          </w:tcPr>
          <w:p w14:paraId="3CBDE5D8"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vAlign w:val="bottom"/>
          </w:tcPr>
          <w:p w14:paraId="5C276BB4" w14:textId="77777777" w:rsidR="000D5A39" w:rsidRPr="00FC4FEB" w:rsidRDefault="00B146C8" w:rsidP="000A5925">
            <w:pPr>
              <w:pStyle w:val="Default"/>
              <w:ind w:right="180"/>
              <w:jc w:val="both"/>
              <w:rPr>
                <w:rFonts w:ascii="Times New Roman" w:hAnsi="Times New Roman" w:cs="Times New Roman"/>
                <w:color w:val="auto"/>
                <w:sz w:val="20"/>
                <w:szCs w:val="20"/>
              </w:rPr>
            </w:pPr>
            <w:hyperlink r:id="rId28" w:history="1">
              <w:r w:rsidR="000D5A39" w:rsidRPr="00FC4FEB">
                <w:rPr>
                  <w:rStyle w:val="Hyperlink"/>
                  <w:rFonts w:ascii="Times New Roman" w:hAnsi="Times New Roman" w:cs="Times New Roman"/>
                  <w:color w:val="auto"/>
                  <w:sz w:val="20"/>
                  <w:szCs w:val="20"/>
                </w:rPr>
                <w:t>http://www.ipophil.gov.ph</w:t>
              </w:r>
            </w:hyperlink>
            <w:r w:rsidR="000D5A39" w:rsidRPr="00FC4FEB">
              <w:rPr>
                <w:rFonts w:ascii="Times New Roman" w:hAnsi="Times New Roman" w:cs="Times New Roman"/>
                <w:color w:val="auto"/>
                <w:sz w:val="20"/>
                <w:szCs w:val="20"/>
              </w:rPr>
              <w:t xml:space="preserve"> </w:t>
            </w:r>
          </w:p>
        </w:tc>
        <w:tc>
          <w:tcPr>
            <w:tcW w:w="5471" w:type="dxa"/>
          </w:tcPr>
          <w:p w14:paraId="6F5BC93B" w14:textId="77777777" w:rsidR="00505176" w:rsidRPr="00FC4FEB" w:rsidRDefault="00505176" w:rsidP="00CD4015">
            <w:pPr>
              <w:pStyle w:val="Heading9"/>
              <w:jc w:val="both"/>
              <w:rPr>
                <w:rFonts w:ascii="Times New Roman" w:hAnsi="Times New Roman"/>
                <w:b w:val="0"/>
              </w:rPr>
            </w:pPr>
          </w:p>
        </w:tc>
      </w:tr>
      <w:tr w:rsidR="00FC4FEB" w:rsidRPr="00FC4FEB" w14:paraId="13747C32" w14:textId="77777777" w:rsidTr="00810BCF">
        <w:tc>
          <w:tcPr>
            <w:tcW w:w="3520" w:type="dxa"/>
          </w:tcPr>
          <w:p w14:paraId="56DF08B5" w14:textId="77777777" w:rsidR="00505176" w:rsidRPr="00FC4FEB" w:rsidRDefault="000D5A39"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vAlign w:val="bottom"/>
          </w:tcPr>
          <w:p w14:paraId="455DDCDF" w14:textId="77777777" w:rsidR="00505176" w:rsidRPr="00FC4FEB" w:rsidRDefault="000D5A39" w:rsidP="00CD4015">
            <w:pPr>
              <w:jc w:val="both"/>
              <w:rPr>
                <w:rFonts w:eastAsiaTheme="minorEastAsia"/>
                <w:sz w:val="20"/>
                <w:lang w:val="en-US"/>
              </w:rPr>
            </w:pPr>
            <w:r w:rsidRPr="00FC4FEB">
              <w:rPr>
                <w:rFonts w:eastAsiaTheme="minorEastAsia"/>
                <w:sz w:val="20"/>
                <w:lang w:val="en-US"/>
              </w:rPr>
              <w:t>Atty. Josephine R. Santiago, LLM</w:t>
            </w:r>
          </w:p>
          <w:p w14:paraId="3CEF3E0A" w14:textId="77777777" w:rsidR="00505176" w:rsidRPr="00FC4FEB" w:rsidRDefault="000D5A39" w:rsidP="00CD4015">
            <w:pPr>
              <w:jc w:val="both"/>
              <w:rPr>
                <w:rFonts w:eastAsiaTheme="minorEastAsia"/>
                <w:sz w:val="20"/>
                <w:lang w:val="en-US"/>
              </w:rPr>
            </w:pPr>
            <w:r w:rsidRPr="00FC4FEB">
              <w:rPr>
                <w:rFonts w:eastAsiaTheme="minorEastAsia"/>
                <w:sz w:val="20"/>
                <w:lang w:val="en-US"/>
              </w:rPr>
              <w:t>Director General</w:t>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p>
          <w:p w14:paraId="412BD61B" w14:textId="77777777" w:rsidR="00505176" w:rsidRPr="00FC4FEB" w:rsidRDefault="000D5A39" w:rsidP="00CD4015">
            <w:pPr>
              <w:jc w:val="both"/>
              <w:rPr>
                <w:rFonts w:eastAsiaTheme="minorEastAsia"/>
                <w:sz w:val="20"/>
                <w:lang w:val="en-US"/>
              </w:rPr>
            </w:pPr>
            <w:r w:rsidRPr="00FC4FEB">
              <w:rPr>
                <w:rFonts w:eastAsiaTheme="minorEastAsia"/>
                <w:sz w:val="20"/>
                <w:lang w:val="en-US"/>
              </w:rPr>
              <w:t>Intellectual Property Office of the Philippines</w:t>
            </w:r>
          </w:p>
          <w:p w14:paraId="49C1A6CB" w14:textId="77777777" w:rsidR="00505176" w:rsidRPr="00FC4FEB" w:rsidRDefault="000D5A39" w:rsidP="00CD4015">
            <w:pPr>
              <w:jc w:val="both"/>
              <w:rPr>
                <w:rFonts w:eastAsiaTheme="minorEastAsia"/>
                <w:sz w:val="20"/>
                <w:lang w:val="en-US"/>
              </w:rPr>
            </w:pPr>
            <w:r w:rsidRPr="00FC4FEB">
              <w:rPr>
                <w:rFonts w:eastAsiaTheme="minorEastAsia"/>
                <w:sz w:val="20"/>
                <w:lang w:val="en-US"/>
              </w:rPr>
              <w:t>Intellectual Property Center, 28 Upper McKinley Road,</w:t>
            </w:r>
          </w:p>
          <w:p w14:paraId="2528A38C" w14:textId="77777777" w:rsidR="00505176" w:rsidRPr="00FC4FEB" w:rsidRDefault="000D5A39" w:rsidP="00CD4015">
            <w:pPr>
              <w:jc w:val="both"/>
              <w:rPr>
                <w:rFonts w:eastAsiaTheme="minorEastAsia"/>
                <w:sz w:val="20"/>
                <w:lang w:val="en-US"/>
              </w:rPr>
            </w:pPr>
            <w:r w:rsidRPr="00FC4FEB">
              <w:rPr>
                <w:rFonts w:eastAsiaTheme="minorEastAsia"/>
                <w:sz w:val="20"/>
                <w:lang w:val="en-US"/>
              </w:rPr>
              <w:t xml:space="preserve">McKinley Hill Town Center, Fort </w:t>
            </w:r>
            <w:proofErr w:type="spellStart"/>
            <w:r w:rsidRPr="00FC4FEB">
              <w:rPr>
                <w:rFonts w:eastAsiaTheme="minorEastAsia"/>
                <w:sz w:val="20"/>
                <w:lang w:val="en-US"/>
              </w:rPr>
              <w:t>Bonifacio</w:t>
            </w:r>
            <w:proofErr w:type="spellEnd"/>
            <w:r w:rsidRPr="00FC4FEB">
              <w:rPr>
                <w:rFonts w:eastAsiaTheme="minorEastAsia"/>
                <w:sz w:val="20"/>
                <w:lang w:val="en-US"/>
              </w:rPr>
              <w:t xml:space="preserve">, 1634 </w:t>
            </w:r>
            <w:proofErr w:type="spellStart"/>
            <w:r w:rsidRPr="00FC4FEB">
              <w:rPr>
                <w:rFonts w:eastAsiaTheme="minorEastAsia"/>
                <w:sz w:val="20"/>
                <w:lang w:val="en-US"/>
              </w:rPr>
              <w:t>Taguig</w:t>
            </w:r>
            <w:proofErr w:type="spellEnd"/>
            <w:r w:rsidRPr="00FC4FEB">
              <w:rPr>
                <w:rFonts w:eastAsiaTheme="minorEastAsia"/>
                <w:sz w:val="20"/>
                <w:lang w:val="en-US"/>
              </w:rPr>
              <w:t xml:space="preserve"> City</w:t>
            </w:r>
          </w:p>
          <w:p w14:paraId="2316F79F" w14:textId="77777777" w:rsidR="00505176" w:rsidRPr="00FC4FEB" w:rsidRDefault="000D5A39" w:rsidP="00CD4015">
            <w:pPr>
              <w:jc w:val="both"/>
              <w:rPr>
                <w:rFonts w:eastAsiaTheme="minorEastAsia"/>
                <w:sz w:val="20"/>
                <w:lang w:val="en-US"/>
              </w:rPr>
            </w:pPr>
            <w:r w:rsidRPr="00FC4FEB">
              <w:rPr>
                <w:rFonts w:eastAsiaTheme="minorEastAsia"/>
                <w:sz w:val="20"/>
                <w:lang w:val="en-US"/>
              </w:rPr>
              <w:t>Tel.: +632 238 6300</w:t>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p>
          <w:p w14:paraId="4326465C" w14:textId="77777777" w:rsidR="00505176" w:rsidRPr="00FC4FEB" w:rsidRDefault="000D5A39" w:rsidP="00CD4015">
            <w:pPr>
              <w:jc w:val="both"/>
              <w:rPr>
                <w:rFonts w:eastAsiaTheme="minorEastAsia"/>
                <w:sz w:val="20"/>
                <w:lang w:val="en-US"/>
              </w:rPr>
            </w:pPr>
            <w:r w:rsidRPr="00FC4FEB">
              <w:rPr>
                <w:rFonts w:eastAsiaTheme="minorEastAsia"/>
                <w:sz w:val="20"/>
                <w:lang w:val="en-US"/>
              </w:rPr>
              <w:t>Fax: +632 890 4862</w:t>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p>
          <w:p w14:paraId="2E6608B8" w14:textId="77777777" w:rsidR="00505176" w:rsidRPr="00FC4FEB" w:rsidRDefault="000D5A39" w:rsidP="00CD4015">
            <w:pPr>
              <w:jc w:val="both"/>
              <w:rPr>
                <w:rFonts w:eastAsiaTheme="minorEastAsia"/>
                <w:sz w:val="20"/>
                <w:lang w:val="en-US"/>
              </w:rPr>
            </w:pPr>
            <w:r w:rsidRPr="00FC4FEB">
              <w:rPr>
                <w:rFonts w:eastAsiaTheme="minorEastAsia"/>
                <w:sz w:val="20"/>
                <w:lang w:val="en-US"/>
              </w:rPr>
              <w:t>Email: josephinesantiago.dg@ipophil.gov.ph</w:t>
            </w:r>
            <w:r w:rsidRPr="00FC4FEB">
              <w:rPr>
                <w:rFonts w:eastAsiaTheme="minorEastAsia"/>
                <w:sz w:val="20"/>
                <w:lang w:val="en-US"/>
              </w:rPr>
              <w:cr/>
            </w:r>
          </w:p>
          <w:p w14:paraId="1B6957C2" w14:textId="77777777" w:rsidR="00505176" w:rsidRPr="00FC4FEB" w:rsidRDefault="000D5A39" w:rsidP="00CD4015">
            <w:pPr>
              <w:jc w:val="both"/>
              <w:rPr>
                <w:rFonts w:eastAsiaTheme="minorEastAsia"/>
                <w:sz w:val="20"/>
                <w:lang w:val="en-US"/>
              </w:rPr>
            </w:pPr>
            <w:r w:rsidRPr="00FC4FEB">
              <w:rPr>
                <w:rFonts w:eastAsiaTheme="minorEastAsia"/>
                <w:sz w:val="20"/>
                <w:lang w:val="en-US"/>
              </w:rPr>
              <w:t xml:space="preserve">Atty. </w:t>
            </w:r>
            <w:proofErr w:type="spellStart"/>
            <w:r w:rsidRPr="00FC4FEB">
              <w:rPr>
                <w:rFonts w:eastAsiaTheme="minorEastAsia"/>
                <w:sz w:val="20"/>
                <w:lang w:val="en-US"/>
              </w:rPr>
              <w:t>Leny</w:t>
            </w:r>
            <w:proofErr w:type="spellEnd"/>
            <w:r w:rsidRPr="00FC4FEB">
              <w:rPr>
                <w:rFonts w:eastAsiaTheme="minorEastAsia"/>
                <w:sz w:val="20"/>
                <w:lang w:val="en-US"/>
              </w:rPr>
              <w:t xml:space="preserve"> B. </w:t>
            </w:r>
            <w:proofErr w:type="spellStart"/>
            <w:r w:rsidRPr="00FC4FEB">
              <w:rPr>
                <w:rFonts w:eastAsiaTheme="minorEastAsia"/>
                <w:sz w:val="20"/>
                <w:lang w:val="en-US"/>
              </w:rPr>
              <w:t>Raz</w:t>
            </w:r>
            <w:proofErr w:type="spellEnd"/>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p>
          <w:p w14:paraId="335869F2" w14:textId="77777777" w:rsidR="00505176" w:rsidRPr="00FC4FEB" w:rsidRDefault="000D5A39" w:rsidP="00CD4015">
            <w:pPr>
              <w:jc w:val="both"/>
              <w:rPr>
                <w:rFonts w:eastAsiaTheme="minorEastAsia"/>
                <w:sz w:val="20"/>
                <w:lang w:val="en-US"/>
              </w:rPr>
            </w:pPr>
            <w:r w:rsidRPr="00FC4FEB">
              <w:rPr>
                <w:rFonts w:eastAsiaTheme="minorEastAsia"/>
                <w:sz w:val="20"/>
                <w:lang w:val="en-US"/>
              </w:rPr>
              <w:t>Director, Bureau of Trademarks (BOT)</w:t>
            </w:r>
          </w:p>
          <w:p w14:paraId="61E532CB" w14:textId="77777777" w:rsidR="00505176" w:rsidRPr="00FC4FEB" w:rsidRDefault="000D5A39" w:rsidP="00CD4015">
            <w:pPr>
              <w:jc w:val="both"/>
              <w:rPr>
                <w:rFonts w:eastAsiaTheme="minorEastAsia"/>
                <w:sz w:val="20"/>
                <w:lang w:val="en-US"/>
              </w:rPr>
            </w:pPr>
            <w:r w:rsidRPr="00FC4FEB">
              <w:rPr>
                <w:rFonts w:eastAsiaTheme="minorEastAsia"/>
                <w:sz w:val="20"/>
                <w:lang w:val="en-US"/>
              </w:rPr>
              <w:t>Intellectual Property Office of the Philippines</w:t>
            </w:r>
          </w:p>
          <w:p w14:paraId="30DA7355" w14:textId="77777777" w:rsidR="00505176" w:rsidRPr="00FC4FEB" w:rsidRDefault="000D5A39" w:rsidP="00CD4015">
            <w:pPr>
              <w:jc w:val="both"/>
              <w:rPr>
                <w:rFonts w:eastAsiaTheme="minorEastAsia"/>
                <w:sz w:val="20"/>
                <w:lang w:val="en-US"/>
              </w:rPr>
            </w:pPr>
            <w:r w:rsidRPr="00FC4FEB">
              <w:rPr>
                <w:rFonts w:eastAsiaTheme="minorEastAsia"/>
                <w:sz w:val="20"/>
                <w:lang w:val="en-US"/>
              </w:rPr>
              <w:t>Intellectual Property Center, 28 Upper McKinley Road,</w:t>
            </w:r>
          </w:p>
          <w:p w14:paraId="478758B3" w14:textId="77777777" w:rsidR="00505176" w:rsidRPr="00FC4FEB" w:rsidRDefault="000D5A39" w:rsidP="00CD4015">
            <w:pPr>
              <w:jc w:val="both"/>
              <w:rPr>
                <w:rFonts w:eastAsiaTheme="minorEastAsia"/>
                <w:sz w:val="20"/>
                <w:lang w:val="en-US"/>
              </w:rPr>
            </w:pPr>
            <w:r w:rsidRPr="00FC4FEB">
              <w:rPr>
                <w:rFonts w:eastAsiaTheme="minorEastAsia"/>
                <w:sz w:val="20"/>
                <w:lang w:val="en-US"/>
              </w:rPr>
              <w:t xml:space="preserve">McKinley Hill Town Center, Fort </w:t>
            </w:r>
            <w:proofErr w:type="spellStart"/>
            <w:r w:rsidRPr="00FC4FEB">
              <w:rPr>
                <w:rFonts w:eastAsiaTheme="minorEastAsia"/>
                <w:sz w:val="20"/>
                <w:lang w:val="en-US"/>
              </w:rPr>
              <w:t>Bonifacio</w:t>
            </w:r>
            <w:proofErr w:type="spellEnd"/>
            <w:r w:rsidRPr="00FC4FEB">
              <w:rPr>
                <w:rFonts w:eastAsiaTheme="minorEastAsia"/>
                <w:sz w:val="20"/>
                <w:lang w:val="en-US"/>
              </w:rPr>
              <w:t xml:space="preserve">, 1634 </w:t>
            </w:r>
            <w:proofErr w:type="spellStart"/>
            <w:r w:rsidRPr="00FC4FEB">
              <w:rPr>
                <w:rFonts w:eastAsiaTheme="minorEastAsia"/>
                <w:sz w:val="20"/>
                <w:lang w:val="en-US"/>
              </w:rPr>
              <w:t>Taguig</w:t>
            </w:r>
            <w:proofErr w:type="spellEnd"/>
            <w:r w:rsidRPr="00FC4FEB">
              <w:rPr>
                <w:rFonts w:eastAsiaTheme="minorEastAsia"/>
                <w:sz w:val="20"/>
                <w:lang w:val="en-US"/>
              </w:rPr>
              <w:t xml:space="preserve"> City</w:t>
            </w:r>
          </w:p>
          <w:p w14:paraId="2E62962F" w14:textId="77777777" w:rsidR="00505176" w:rsidRPr="00FC4FEB" w:rsidRDefault="000D5A39" w:rsidP="00CD4015">
            <w:pPr>
              <w:jc w:val="both"/>
              <w:rPr>
                <w:rFonts w:eastAsiaTheme="minorEastAsia"/>
                <w:sz w:val="20"/>
                <w:lang w:val="en-US"/>
              </w:rPr>
            </w:pPr>
            <w:r w:rsidRPr="00FC4FEB">
              <w:rPr>
                <w:rFonts w:eastAsiaTheme="minorEastAsia"/>
                <w:sz w:val="20"/>
                <w:lang w:val="en-US"/>
              </w:rPr>
              <w:t>Tel.: +632 238 6300</w:t>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r w:rsidRPr="00FC4FEB">
              <w:rPr>
                <w:rFonts w:eastAsiaTheme="minorEastAsia"/>
                <w:sz w:val="20"/>
                <w:lang w:val="en-US"/>
              </w:rPr>
              <w:tab/>
            </w:r>
          </w:p>
          <w:p w14:paraId="172843AC" w14:textId="77777777" w:rsidR="00505176" w:rsidRPr="00FC4FEB" w:rsidRDefault="000D5A39" w:rsidP="00CD4015">
            <w:pPr>
              <w:shd w:val="clear" w:color="auto" w:fill="FFFFFF"/>
              <w:jc w:val="both"/>
              <w:rPr>
                <w:sz w:val="20"/>
              </w:rPr>
            </w:pPr>
            <w:r w:rsidRPr="00FC4FEB">
              <w:rPr>
                <w:rFonts w:eastAsiaTheme="minorEastAsia"/>
                <w:sz w:val="20"/>
                <w:lang w:val="en-US"/>
              </w:rPr>
              <w:t>Email. leny.raz@ipophil.gov.ph</w:t>
            </w:r>
          </w:p>
        </w:tc>
        <w:tc>
          <w:tcPr>
            <w:tcW w:w="5471" w:type="dxa"/>
          </w:tcPr>
          <w:p w14:paraId="7EB8D29B" w14:textId="77777777" w:rsidR="00505176" w:rsidRPr="00FC4FEB" w:rsidRDefault="00505176" w:rsidP="00CD4015">
            <w:pPr>
              <w:pStyle w:val="Heading9"/>
              <w:jc w:val="both"/>
              <w:rPr>
                <w:rFonts w:ascii="Times New Roman" w:hAnsi="Times New Roman"/>
                <w:b w:val="0"/>
              </w:rPr>
            </w:pPr>
          </w:p>
        </w:tc>
      </w:tr>
      <w:tr w:rsidR="00FC4FEB" w:rsidRPr="00FC4FEB" w14:paraId="3BE7B1AA" w14:textId="77777777" w:rsidTr="00810BCF">
        <w:tc>
          <w:tcPr>
            <w:tcW w:w="3520" w:type="dxa"/>
          </w:tcPr>
          <w:p w14:paraId="76CD559D" w14:textId="77777777" w:rsidR="00505176" w:rsidRPr="00FC4FEB" w:rsidRDefault="000E615D" w:rsidP="00CD4015">
            <w:pPr>
              <w:jc w:val="both"/>
              <w:rPr>
                <w:b/>
                <w:i/>
                <w:sz w:val="20"/>
              </w:rPr>
            </w:pPr>
            <w:bookmarkStart w:id="23" w:name="Row8"/>
            <w:bookmarkEnd w:id="23"/>
            <w:r w:rsidRPr="00FC4FEB">
              <w:rPr>
                <w:b/>
                <w:i/>
                <w:sz w:val="20"/>
              </w:rPr>
              <w:t>Competition Policy</w:t>
            </w:r>
          </w:p>
          <w:p w14:paraId="3E5A64DE" w14:textId="77777777" w:rsidR="00505176" w:rsidRPr="00FC4FEB" w:rsidRDefault="00505176" w:rsidP="00CD4015">
            <w:pPr>
              <w:jc w:val="both"/>
              <w:rPr>
                <w:b/>
                <w:i/>
                <w:sz w:val="20"/>
              </w:rPr>
            </w:pPr>
          </w:p>
        </w:tc>
        <w:tc>
          <w:tcPr>
            <w:tcW w:w="5573" w:type="dxa"/>
          </w:tcPr>
          <w:p w14:paraId="2CDC63CE" w14:textId="77777777" w:rsidR="000E615D" w:rsidRPr="00FC4FEB" w:rsidRDefault="000E615D" w:rsidP="000A5925">
            <w:pPr>
              <w:contextualSpacing/>
              <w:jc w:val="both"/>
              <w:rPr>
                <w:sz w:val="20"/>
              </w:rPr>
            </w:pPr>
            <w:bookmarkStart w:id="24" w:name="Cell15"/>
            <w:bookmarkEnd w:id="24"/>
            <w:r w:rsidRPr="00FC4FEB">
              <w:rPr>
                <w:sz w:val="20"/>
              </w:rPr>
              <w:t xml:space="preserve">Passed Republic Act No. 10667, otherwise known as the Philippine Competition Act (PCA), which took effect on 8 August 2015. The PCA prohibits anti-competitive agreements, abuses of dominant position, and mergers and acquisitions that substantially limit, prevent, and restrict competition in the relevant market and considers certain forms of anti-competitive conduct as criminal. The law authorizes the imposition of administrative fines and criminal penalties, as well as civil damages. </w:t>
            </w:r>
          </w:p>
          <w:p w14:paraId="1DED906F" w14:textId="77777777" w:rsidR="000E615D" w:rsidRPr="00FC4FEB" w:rsidRDefault="000E615D" w:rsidP="000A5925">
            <w:pPr>
              <w:contextualSpacing/>
              <w:jc w:val="both"/>
              <w:rPr>
                <w:sz w:val="20"/>
              </w:rPr>
            </w:pPr>
          </w:p>
          <w:p w14:paraId="3DCAA773" w14:textId="77777777" w:rsidR="000E615D" w:rsidRPr="00FC4FEB" w:rsidRDefault="000E615D" w:rsidP="000A5925">
            <w:pPr>
              <w:contextualSpacing/>
              <w:jc w:val="both"/>
              <w:rPr>
                <w:sz w:val="20"/>
              </w:rPr>
            </w:pPr>
            <w:r w:rsidRPr="00FC4FEB">
              <w:rPr>
                <w:sz w:val="20"/>
              </w:rPr>
              <w:t>Pursuant to the PCA, the Philippine Competition Commission (PCC), a quasi-judicial body and primary competition authority, was established in February 2016</w:t>
            </w:r>
            <w:r w:rsidR="00B46957" w:rsidRPr="00FC4FEB">
              <w:rPr>
                <w:sz w:val="20"/>
              </w:rPr>
              <w:t>,</w:t>
            </w:r>
            <w:r w:rsidRPr="00FC4FEB">
              <w:rPr>
                <w:sz w:val="20"/>
              </w:rPr>
              <w:t xml:space="preserve"> following the appointment of the Chairman and Commissioners.</w:t>
            </w:r>
          </w:p>
          <w:p w14:paraId="2286B84D" w14:textId="77777777" w:rsidR="000E615D" w:rsidRPr="00FC4FEB" w:rsidRDefault="000E615D" w:rsidP="000A5925">
            <w:pPr>
              <w:contextualSpacing/>
              <w:jc w:val="both"/>
              <w:rPr>
                <w:sz w:val="20"/>
              </w:rPr>
            </w:pPr>
          </w:p>
          <w:p w14:paraId="25592D6D" w14:textId="77777777" w:rsidR="000E615D" w:rsidRPr="00FC4FEB" w:rsidRDefault="00B46957" w:rsidP="000A5925">
            <w:pPr>
              <w:contextualSpacing/>
              <w:jc w:val="both"/>
              <w:rPr>
                <w:sz w:val="20"/>
              </w:rPr>
            </w:pPr>
            <w:r w:rsidRPr="00FC4FEB">
              <w:rPr>
                <w:sz w:val="20"/>
              </w:rPr>
              <w:t xml:space="preserve">PCC </w:t>
            </w:r>
            <w:r w:rsidR="00E93E25" w:rsidRPr="00FC4FEB">
              <w:rPr>
                <w:sz w:val="20"/>
              </w:rPr>
              <w:t xml:space="preserve">promulgated </w:t>
            </w:r>
            <w:r w:rsidR="000E615D" w:rsidRPr="00FC4FEB">
              <w:rPr>
                <w:sz w:val="20"/>
              </w:rPr>
              <w:t>the transitory rules on the review of mergers and acquisitions</w:t>
            </w:r>
            <w:r w:rsidRPr="00FC4FEB">
              <w:rPr>
                <w:sz w:val="20"/>
              </w:rPr>
              <w:t xml:space="preserve"> in February 2016</w:t>
            </w:r>
            <w:r w:rsidR="000E615D" w:rsidRPr="00FC4FEB">
              <w:rPr>
                <w:sz w:val="20"/>
              </w:rPr>
              <w:t>.</w:t>
            </w:r>
          </w:p>
          <w:p w14:paraId="69308510" w14:textId="77777777" w:rsidR="000E615D" w:rsidRPr="00FC4FEB" w:rsidRDefault="000E615D" w:rsidP="00993030">
            <w:pPr>
              <w:contextualSpacing/>
              <w:jc w:val="both"/>
              <w:rPr>
                <w:sz w:val="20"/>
              </w:rPr>
            </w:pPr>
          </w:p>
          <w:p w14:paraId="056DA82F" w14:textId="77777777" w:rsidR="000E615D" w:rsidRPr="00FC4FEB" w:rsidRDefault="000E615D" w:rsidP="00993030">
            <w:pPr>
              <w:contextualSpacing/>
              <w:jc w:val="both"/>
              <w:rPr>
                <w:sz w:val="20"/>
              </w:rPr>
            </w:pPr>
            <w:r w:rsidRPr="00FC4FEB">
              <w:rPr>
                <w:sz w:val="20"/>
              </w:rPr>
              <w:lastRenderedPageBreak/>
              <w:t>On 18 June 2016, the Implementing Rules and Regulations of the PCA promulgated by the PCC became effective.</w:t>
            </w:r>
          </w:p>
          <w:p w14:paraId="5AD9BFBB" w14:textId="77777777" w:rsidR="000E615D" w:rsidRPr="00FC4FEB" w:rsidRDefault="000E615D">
            <w:pPr>
              <w:contextualSpacing/>
              <w:jc w:val="both"/>
              <w:rPr>
                <w:sz w:val="20"/>
              </w:rPr>
            </w:pPr>
          </w:p>
          <w:p w14:paraId="6E9D4CA9" w14:textId="77777777" w:rsidR="000E615D" w:rsidRPr="00FC4FEB" w:rsidRDefault="000E615D">
            <w:pPr>
              <w:contextualSpacing/>
              <w:jc w:val="both"/>
              <w:rPr>
                <w:sz w:val="20"/>
              </w:rPr>
            </w:pPr>
            <w:r w:rsidRPr="00FC4FEB">
              <w:rPr>
                <w:sz w:val="20"/>
              </w:rPr>
              <w:t xml:space="preserve">In December 2016, </w:t>
            </w:r>
            <w:r w:rsidR="00ED0700" w:rsidRPr="00FC4FEB">
              <w:rPr>
                <w:sz w:val="20"/>
              </w:rPr>
              <w:t xml:space="preserve">included </w:t>
            </w:r>
            <w:r w:rsidRPr="00FC4FEB">
              <w:rPr>
                <w:sz w:val="20"/>
              </w:rPr>
              <w:t xml:space="preserve">separate chapter on Competition (Chapter 16) in the Philippine Development Plan 2017-2022 and </w:t>
            </w:r>
            <w:r w:rsidR="00ED0700" w:rsidRPr="00FC4FEB">
              <w:rPr>
                <w:sz w:val="20"/>
              </w:rPr>
              <w:t xml:space="preserve">launched </w:t>
            </w:r>
            <w:r w:rsidR="00B46957" w:rsidRPr="00FC4FEB">
              <w:rPr>
                <w:sz w:val="20"/>
              </w:rPr>
              <w:t xml:space="preserve">a </w:t>
            </w:r>
            <w:r w:rsidRPr="00FC4FEB">
              <w:rPr>
                <w:sz w:val="20"/>
              </w:rPr>
              <w:t>program for development partners.</w:t>
            </w:r>
          </w:p>
          <w:p w14:paraId="2392E688" w14:textId="77777777" w:rsidR="000E615D" w:rsidRPr="00FC4FEB" w:rsidRDefault="000E615D">
            <w:pPr>
              <w:contextualSpacing/>
              <w:jc w:val="both"/>
              <w:rPr>
                <w:sz w:val="20"/>
              </w:rPr>
            </w:pPr>
          </w:p>
          <w:p w14:paraId="55A2C20D" w14:textId="77777777" w:rsidR="000E615D" w:rsidRPr="00FC4FEB" w:rsidRDefault="000E615D">
            <w:pPr>
              <w:contextualSpacing/>
              <w:jc w:val="both"/>
              <w:rPr>
                <w:sz w:val="20"/>
              </w:rPr>
            </w:pPr>
            <w:r w:rsidRPr="00FC4FEB">
              <w:rPr>
                <w:sz w:val="20"/>
              </w:rPr>
              <w:t xml:space="preserve">In September 2017, the PCC promulgated the 2017 Rules of Procedure of the Philippine Competition </w:t>
            </w:r>
            <w:proofErr w:type="spellStart"/>
            <w:r w:rsidRPr="00FC4FEB">
              <w:rPr>
                <w:sz w:val="20"/>
              </w:rPr>
              <w:t>Commission.MOA</w:t>
            </w:r>
            <w:proofErr w:type="spellEnd"/>
            <w:r w:rsidRPr="00FC4FEB">
              <w:rPr>
                <w:sz w:val="20"/>
              </w:rPr>
              <w:t xml:space="preserve"> with the Commission on Audit executed in November 2017</w:t>
            </w:r>
            <w:r w:rsidR="004A5A88" w:rsidRPr="00FC4FEB">
              <w:rPr>
                <w:sz w:val="20"/>
              </w:rPr>
              <w:t>.</w:t>
            </w:r>
            <w:r w:rsidRPr="00FC4FEB">
              <w:rPr>
                <w:sz w:val="20"/>
              </w:rPr>
              <w:t xml:space="preserve">In November 2017, the Rules on Merger Procedure </w:t>
            </w:r>
            <w:r w:rsidR="00A368DB" w:rsidRPr="00FC4FEB">
              <w:rPr>
                <w:sz w:val="20"/>
              </w:rPr>
              <w:t xml:space="preserve">was </w:t>
            </w:r>
            <w:r w:rsidRPr="00FC4FEB">
              <w:rPr>
                <w:sz w:val="20"/>
              </w:rPr>
              <w:t>promulgated.</w:t>
            </w:r>
          </w:p>
          <w:p w14:paraId="5FFB53F9" w14:textId="77777777" w:rsidR="000E615D" w:rsidRPr="00FC4FEB" w:rsidRDefault="000E615D">
            <w:pPr>
              <w:contextualSpacing/>
              <w:jc w:val="both"/>
              <w:rPr>
                <w:sz w:val="20"/>
              </w:rPr>
            </w:pPr>
          </w:p>
          <w:p w14:paraId="47D15CD6" w14:textId="77777777" w:rsidR="000E615D" w:rsidRPr="00FC4FEB" w:rsidRDefault="000E615D" w:rsidP="00F0733A">
            <w:pPr>
              <w:pStyle w:val="Default"/>
              <w:contextualSpacing/>
              <w:jc w:val="both"/>
              <w:rPr>
                <w:rFonts w:ascii="Times New Roman" w:eastAsia="Times New Roman" w:hAnsi="Times New Roman" w:cs="Times New Roman"/>
                <w:color w:val="auto"/>
                <w:sz w:val="20"/>
                <w:szCs w:val="20"/>
              </w:rPr>
            </w:pPr>
            <w:r w:rsidRPr="00FC4FEB">
              <w:rPr>
                <w:rFonts w:ascii="Times New Roman" w:hAnsi="Times New Roman" w:cs="Times New Roman"/>
                <w:color w:val="auto"/>
                <w:sz w:val="20"/>
                <w:szCs w:val="20"/>
              </w:rPr>
              <w:t>Continued and enhanced cooperation with other Competition Authorities and other international organizations</w:t>
            </w:r>
            <w:r w:rsidR="00F0733A" w:rsidRPr="00FC4FEB">
              <w:rPr>
                <w:rFonts w:ascii="Times New Roman" w:hAnsi="Times New Roman" w:cs="Times New Roman"/>
                <w:color w:val="auto"/>
                <w:sz w:val="20"/>
                <w:szCs w:val="20"/>
              </w:rPr>
              <w:t>.</w:t>
            </w:r>
          </w:p>
        </w:tc>
        <w:tc>
          <w:tcPr>
            <w:tcW w:w="5471" w:type="dxa"/>
          </w:tcPr>
          <w:p w14:paraId="45E34E5D" w14:textId="77777777" w:rsidR="000E615D" w:rsidRPr="00FC4FEB" w:rsidRDefault="000E615D">
            <w:pPr>
              <w:jc w:val="both"/>
              <w:rPr>
                <w:sz w:val="20"/>
              </w:rPr>
            </w:pPr>
            <w:bookmarkStart w:id="25" w:name="Cell16"/>
            <w:bookmarkEnd w:id="25"/>
            <w:r w:rsidRPr="00FC4FEB">
              <w:rPr>
                <w:sz w:val="20"/>
              </w:rPr>
              <w:lastRenderedPageBreak/>
              <w:t>Promulgate further procedural rules and guidelines, particularly on leniency and forbearance</w:t>
            </w:r>
          </w:p>
          <w:p w14:paraId="3C4230B5" w14:textId="77777777" w:rsidR="000E615D" w:rsidRPr="00FC4FEB" w:rsidRDefault="000E615D">
            <w:pPr>
              <w:jc w:val="both"/>
              <w:rPr>
                <w:sz w:val="20"/>
              </w:rPr>
            </w:pPr>
          </w:p>
          <w:p w14:paraId="5253714F" w14:textId="77777777" w:rsidR="000E615D" w:rsidRPr="00FC4FEB" w:rsidRDefault="000E615D">
            <w:pPr>
              <w:jc w:val="both"/>
              <w:rPr>
                <w:sz w:val="20"/>
              </w:rPr>
            </w:pPr>
            <w:r w:rsidRPr="00FC4FEB">
              <w:rPr>
                <w:sz w:val="20"/>
              </w:rPr>
              <w:t>Continue to increase and enhance awareness of the PCA, competition law and economics, among stakeholders and the public in general</w:t>
            </w:r>
          </w:p>
          <w:p w14:paraId="662ED091" w14:textId="77777777" w:rsidR="000E615D" w:rsidRPr="00FC4FEB" w:rsidRDefault="000E615D">
            <w:pPr>
              <w:jc w:val="both"/>
              <w:rPr>
                <w:sz w:val="20"/>
              </w:rPr>
            </w:pPr>
          </w:p>
          <w:p w14:paraId="2D0447F5" w14:textId="77777777" w:rsidR="000E615D" w:rsidRPr="00FC4FEB" w:rsidRDefault="000E615D">
            <w:pPr>
              <w:jc w:val="both"/>
              <w:rPr>
                <w:sz w:val="20"/>
              </w:rPr>
            </w:pPr>
            <w:r w:rsidRPr="00FC4FEB">
              <w:rPr>
                <w:sz w:val="20"/>
              </w:rPr>
              <w:t>Continue capacity-building across all fields such as merger and acquisitions review and investigation of anti-competitive conduct and abuse of dominance</w:t>
            </w:r>
          </w:p>
          <w:p w14:paraId="18495075" w14:textId="77777777" w:rsidR="000E615D" w:rsidRPr="00FC4FEB" w:rsidRDefault="000E615D">
            <w:pPr>
              <w:jc w:val="both"/>
              <w:rPr>
                <w:sz w:val="20"/>
              </w:rPr>
            </w:pPr>
          </w:p>
          <w:p w14:paraId="4FA052CC" w14:textId="77777777" w:rsidR="000E615D" w:rsidRPr="00FC4FEB" w:rsidRDefault="000E615D">
            <w:pPr>
              <w:jc w:val="both"/>
              <w:rPr>
                <w:sz w:val="20"/>
              </w:rPr>
            </w:pPr>
            <w:r w:rsidRPr="00FC4FEB">
              <w:rPr>
                <w:sz w:val="20"/>
              </w:rPr>
              <w:t>Work towards enabling knowledge-sharing environment that advances responsible business and regulatory practices to advance consumer welfare</w:t>
            </w:r>
          </w:p>
          <w:p w14:paraId="54954216" w14:textId="77777777" w:rsidR="000E615D" w:rsidRPr="00FC4FEB" w:rsidRDefault="000E615D">
            <w:pPr>
              <w:jc w:val="both"/>
              <w:rPr>
                <w:sz w:val="20"/>
              </w:rPr>
            </w:pPr>
          </w:p>
          <w:p w14:paraId="7D1527FF" w14:textId="77777777" w:rsidR="000E615D" w:rsidRPr="00FC4FEB" w:rsidRDefault="000E615D">
            <w:pPr>
              <w:jc w:val="both"/>
              <w:rPr>
                <w:sz w:val="20"/>
              </w:rPr>
            </w:pPr>
            <w:r w:rsidRPr="00FC4FEB">
              <w:rPr>
                <w:sz w:val="20"/>
              </w:rPr>
              <w:t xml:space="preserve">In the ASEAN level, actively participate in </w:t>
            </w:r>
            <w:r w:rsidR="00E30C67" w:rsidRPr="00FC4FEB">
              <w:rPr>
                <w:sz w:val="20"/>
              </w:rPr>
              <w:t>the ASEAN Experts Group on Competition (</w:t>
            </w:r>
            <w:r w:rsidRPr="00FC4FEB">
              <w:rPr>
                <w:sz w:val="20"/>
              </w:rPr>
              <w:t>AEGC</w:t>
            </w:r>
            <w:r w:rsidR="00E30C67" w:rsidRPr="00FC4FEB">
              <w:rPr>
                <w:sz w:val="20"/>
              </w:rPr>
              <w:t>)</w:t>
            </w:r>
            <w:r w:rsidRPr="00FC4FEB">
              <w:rPr>
                <w:sz w:val="20"/>
              </w:rPr>
              <w:t xml:space="preserve"> work program and activities. </w:t>
            </w:r>
          </w:p>
          <w:p w14:paraId="2FAC51F5" w14:textId="77777777" w:rsidR="000E615D" w:rsidRPr="00FC4FEB" w:rsidRDefault="000E615D">
            <w:pPr>
              <w:jc w:val="both"/>
              <w:rPr>
                <w:sz w:val="20"/>
              </w:rPr>
            </w:pPr>
          </w:p>
          <w:p w14:paraId="00D0E246" w14:textId="77777777" w:rsidR="000E615D" w:rsidRPr="00FC4FEB" w:rsidRDefault="000E615D">
            <w:pPr>
              <w:jc w:val="both"/>
              <w:rPr>
                <w:sz w:val="20"/>
              </w:rPr>
            </w:pPr>
            <w:r w:rsidRPr="00FC4FEB">
              <w:rPr>
                <w:sz w:val="20"/>
              </w:rPr>
              <w:t>Continue to participate in policy dialogues and information exchanges on competition policy within APEC and with other international organizations.</w:t>
            </w:r>
          </w:p>
          <w:p w14:paraId="688548BB" w14:textId="77777777" w:rsidR="000E615D" w:rsidRPr="00FC4FEB" w:rsidRDefault="000E615D">
            <w:pPr>
              <w:jc w:val="both"/>
              <w:rPr>
                <w:sz w:val="20"/>
              </w:rPr>
            </w:pPr>
          </w:p>
          <w:p w14:paraId="5C441BB4" w14:textId="77777777" w:rsidR="000E615D" w:rsidRPr="00FC4FEB" w:rsidRDefault="000E615D">
            <w:pPr>
              <w:jc w:val="both"/>
              <w:rPr>
                <w:sz w:val="20"/>
              </w:rPr>
            </w:pPr>
            <w:r w:rsidRPr="00FC4FEB">
              <w:rPr>
                <w:sz w:val="20"/>
              </w:rPr>
              <w:t>Carry out programs with development partners.</w:t>
            </w:r>
          </w:p>
        </w:tc>
      </w:tr>
      <w:tr w:rsidR="00FC4FEB" w:rsidRPr="00FC4FEB" w14:paraId="7D02CBE0" w14:textId="77777777" w:rsidTr="00810BCF">
        <w:tc>
          <w:tcPr>
            <w:tcW w:w="3520" w:type="dxa"/>
          </w:tcPr>
          <w:p w14:paraId="4297A877" w14:textId="77777777" w:rsidR="00505176" w:rsidRPr="00FC4FEB" w:rsidRDefault="000E615D">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vAlign w:val="bottom"/>
          </w:tcPr>
          <w:p w14:paraId="4F26B1AD" w14:textId="77777777" w:rsidR="000E615D" w:rsidRPr="00FC4FEB" w:rsidRDefault="000E615D" w:rsidP="000A5925">
            <w:pPr>
              <w:spacing w:line="0" w:lineRule="atLeast"/>
              <w:ind w:right="180"/>
              <w:jc w:val="both"/>
              <w:rPr>
                <w:sz w:val="20"/>
              </w:rPr>
            </w:pPr>
            <w:r w:rsidRPr="00FC4FEB">
              <w:rPr>
                <w:sz w:val="20"/>
              </w:rPr>
              <w:t>http://www.phcc.gov.ph</w:t>
            </w:r>
          </w:p>
        </w:tc>
        <w:tc>
          <w:tcPr>
            <w:tcW w:w="5471" w:type="dxa"/>
          </w:tcPr>
          <w:p w14:paraId="1A7B0886" w14:textId="77777777" w:rsidR="00505176" w:rsidRPr="00FC4FEB" w:rsidRDefault="00505176" w:rsidP="00CD4015">
            <w:pPr>
              <w:pStyle w:val="Heading9"/>
              <w:jc w:val="both"/>
              <w:rPr>
                <w:rFonts w:ascii="Times New Roman" w:hAnsi="Times New Roman"/>
                <w:b w:val="0"/>
              </w:rPr>
            </w:pPr>
          </w:p>
        </w:tc>
      </w:tr>
      <w:tr w:rsidR="00FC4FEB" w:rsidRPr="00FC4FEB" w14:paraId="65EFB1AE" w14:textId="77777777" w:rsidTr="00810BCF">
        <w:tc>
          <w:tcPr>
            <w:tcW w:w="3520" w:type="dxa"/>
          </w:tcPr>
          <w:p w14:paraId="6F54505A"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vAlign w:val="bottom"/>
          </w:tcPr>
          <w:p w14:paraId="109B6FD4" w14:textId="77777777" w:rsidR="000E615D" w:rsidRPr="00FC4FEB" w:rsidRDefault="000E615D" w:rsidP="000A5925">
            <w:pPr>
              <w:spacing w:line="0" w:lineRule="atLeast"/>
              <w:ind w:right="180"/>
              <w:jc w:val="both"/>
              <w:rPr>
                <w:sz w:val="20"/>
              </w:rPr>
            </w:pPr>
            <w:r w:rsidRPr="00FC4FEB">
              <w:rPr>
                <w:sz w:val="20"/>
              </w:rPr>
              <w:t xml:space="preserve">Executive Director Gwen </w:t>
            </w:r>
            <w:proofErr w:type="spellStart"/>
            <w:r w:rsidRPr="00FC4FEB">
              <w:rPr>
                <w:sz w:val="20"/>
              </w:rPr>
              <w:t>Grecia</w:t>
            </w:r>
            <w:proofErr w:type="spellEnd"/>
            <w:r w:rsidRPr="00FC4FEB">
              <w:rPr>
                <w:sz w:val="20"/>
              </w:rPr>
              <w:t>-de Vera</w:t>
            </w:r>
          </w:p>
          <w:p w14:paraId="361DD77B" w14:textId="77777777" w:rsidR="000E615D" w:rsidRPr="00FC4FEB" w:rsidRDefault="000E615D" w:rsidP="000A5925">
            <w:pPr>
              <w:spacing w:line="0" w:lineRule="atLeast"/>
              <w:ind w:right="180"/>
              <w:jc w:val="both"/>
              <w:rPr>
                <w:sz w:val="20"/>
              </w:rPr>
            </w:pPr>
            <w:r w:rsidRPr="00FC4FEB">
              <w:rPr>
                <w:sz w:val="20"/>
              </w:rPr>
              <w:t>Philippine Competition Commission</w:t>
            </w:r>
          </w:p>
          <w:p w14:paraId="31E05DC1" w14:textId="77777777" w:rsidR="000E615D" w:rsidRPr="00FC4FEB" w:rsidRDefault="000E615D" w:rsidP="000A5925">
            <w:pPr>
              <w:spacing w:line="0" w:lineRule="atLeast"/>
              <w:ind w:right="180"/>
              <w:jc w:val="both"/>
              <w:rPr>
                <w:sz w:val="20"/>
              </w:rPr>
            </w:pPr>
            <w:r w:rsidRPr="00FC4FEB">
              <w:rPr>
                <w:sz w:val="20"/>
              </w:rPr>
              <w:t xml:space="preserve">2nd Floor, Development Academy of the Philippines (DAP) Building, San Miguel Avenue, </w:t>
            </w:r>
            <w:proofErr w:type="spellStart"/>
            <w:r w:rsidRPr="00FC4FEB">
              <w:rPr>
                <w:sz w:val="20"/>
              </w:rPr>
              <w:t>Ortigas</w:t>
            </w:r>
            <w:proofErr w:type="spellEnd"/>
            <w:r w:rsidRPr="00FC4FEB">
              <w:rPr>
                <w:sz w:val="20"/>
              </w:rPr>
              <w:t xml:space="preserve"> </w:t>
            </w:r>
            <w:proofErr w:type="spellStart"/>
            <w:r w:rsidRPr="00FC4FEB">
              <w:rPr>
                <w:sz w:val="20"/>
              </w:rPr>
              <w:t>Center</w:t>
            </w:r>
            <w:proofErr w:type="spellEnd"/>
            <w:r w:rsidRPr="00FC4FEB">
              <w:rPr>
                <w:sz w:val="20"/>
              </w:rPr>
              <w:t>, Pasig City</w:t>
            </w:r>
          </w:p>
          <w:p w14:paraId="07798750" w14:textId="77777777" w:rsidR="000E615D" w:rsidRPr="00FC4FEB" w:rsidRDefault="000E615D" w:rsidP="000A5925">
            <w:pPr>
              <w:spacing w:line="0" w:lineRule="atLeast"/>
              <w:ind w:right="180"/>
              <w:jc w:val="both"/>
              <w:rPr>
                <w:sz w:val="20"/>
              </w:rPr>
            </w:pPr>
            <w:r w:rsidRPr="00FC4FEB">
              <w:rPr>
                <w:sz w:val="20"/>
              </w:rPr>
              <w:t>Email: oed@phcc.gov.ph</w:t>
            </w:r>
          </w:p>
          <w:p w14:paraId="5C48C581" w14:textId="77777777" w:rsidR="000E615D" w:rsidRPr="00FC4FEB" w:rsidRDefault="000E615D" w:rsidP="000A5925">
            <w:pPr>
              <w:spacing w:line="0" w:lineRule="atLeast"/>
              <w:ind w:right="180"/>
              <w:jc w:val="both"/>
              <w:rPr>
                <w:sz w:val="20"/>
              </w:rPr>
            </w:pPr>
            <w:r w:rsidRPr="00FC4FEB">
              <w:rPr>
                <w:sz w:val="20"/>
              </w:rPr>
              <w:t>Telephone: +632 631-2129</w:t>
            </w:r>
          </w:p>
        </w:tc>
        <w:tc>
          <w:tcPr>
            <w:tcW w:w="5471" w:type="dxa"/>
          </w:tcPr>
          <w:p w14:paraId="6ECDBD9A" w14:textId="77777777" w:rsidR="00505176" w:rsidRPr="00FC4FEB" w:rsidRDefault="00505176" w:rsidP="00CD4015">
            <w:pPr>
              <w:pStyle w:val="Heading9"/>
              <w:jc w:val="both"/>
              <w:rPr>
                <w:rFonts w:ascii="Times New Roman" w:hAnsi="Times New Roman"/>
                <w:b w:val="0"/>
              </w:rPr>
            </w:pPr>
          </w:p>
        </w:tc>
      </w:tr>
      <w:tr w:rsidR="00FC4FEB" w:rsidRPr="00FC4FEB" w14:paraId="7D63A231" w14:textId="77777777" w:rsidTr="00810BCF">
        <w:tc>
          <w:tcPr>
            <w:tcW w:w="3520" w:type="dxa"/>
          </w:tcPr>
          <w:p w14:paraId="3780606A" w14:textId="77777777" w:rsidR="00505176" w:rsidRPr="00FC4FEB" w:rsidRDefault="000E615D" w:rsidP="00CD4015">
            <w:pPr>
              <w:jc w:val="both"/>
              <w:rPr>
                <w:b/>
                <w:i/>
                <w:sz w:val="20"/>
              </w:rPr>
            </w:pPr>
            <w:bookmarkStart w:id="26" w:name="Row9"/>
            <w:r w:rsidRPr="00FC4FEB">
              <w:rPr>
                <w:b/>
                <w:i/>
                <w:sz w:val="20"/>
              </w:rPr>
              <w:t>Government Procurement</w:t>
            </w:r>
            <w:bookmarkEnd w:id="26"/>
          </w:p>
          <w:p w14:paraId="52FF942E" w14:textId="77777777" w:rsidR="00505176" w:rsidRPr="00FC4FEB" w:rsidRDefault="00505176" w:rsidP="00CD4015">
            <w:pPr>
              <w:jc w:val="both"/>
              <w:rPr>
                <w:b/>
                <w:i/>
                <w:sz w:val="20"/>
              </w:rPr>
            </w:pPr>
          </w:p>
        </w:tc>
        <w:tc>
          <w:tcPr>
            <w:tcW w:w="5573" w:type="dxa"/>
          </w:tcPr>
          <w:p w14:paraId="31E4821A" w14:textId="77777777" w:rsidR="000E615D" w:rsidRPr="00FC4FEB" w:rsidRDefault="004A5A88" w:rsidP="000A5925">
            <w:pPr>
              <w:jc w:val="both"/>
              <w:rPr>
                <w:rFonts w:eastAsia="Times New Roman"/>
                <w:sz w:val="20"/>
              </w:rPr>
            </w:pPr>
            <w:bookmarkStart w:id="27" w:name="Cell17"/>
            <w:bookmarkEnd w:id="27"/>
            <w:r w:rsidRPr="00FC4FEB">
              <w:rPr>
                <w:rFonts w:eastAsia="Times New Roman"/>
                <w:bCs/>
                <w:iCs/>
                <w:sz w:val="20"/>
              </w:rPr>
              <w:t xml:space="preserve">Approved </w:t>
            </w:r>
            <w:r w:rsidRPr="00FC4FEB">
              <w:rPr>
                <w:rFonts w:eastAsia="Times New Roman"/>
                <w:sz w:val="20"/>
              </w:rPr>
              <w:t>i</w:t>
            </w:r>
            <w:r w:rsidR="000E615D" w:rsidRPr="00FC4FEB">
              <w:rPr>
                <w:rFonts w:eastAsia="Times New Roman"/>
                <w:sz w:val="20"/>
              </w:rPr>
              <w:t>n 2016</w:t>
            </w:r>
            <w:r w:rsidRPr="00FC4FEB">
              <w:rPr>
                <w:rFonts w:eastAsia="Times New Roman"/>
                <w:sz w:val="20"/>
              </w:rPr>
              <w:t xml:space="preserve"> </w:t>
            </w:r>
            <w:r w:rsidR="000E615D" w:rsidRPr="00FC4FEB">
              <w:rPr>
                <w:rFonts w:eastAsia="Times New Roman"/>
                <w:sz w:val="20"/>
              </w:rPr>
              <w:t xml:space="preserve">the second major revision of the Implementing Rules and Regulations of Republic Act No. 9184 and the Consolidated Guidelines for Alternative Methods of Procurement, which became effective on 28 October 2017.  </w:t>
            </w:r>
          </w:p>
          <w:p w14:paraId="265FEDAC" w14:textId="77777777" w:rsidR="000E615D" w:rsidRPr="00FC4FEB" w:rsidRDefault="000E615D" w:rsidP="000A5925">
            <w:pPr>
              <w:jc w:val="both"/>
              <w:rPr>
                <w:rFonts w:eastAsia="Times New Roman"/>
                <w:sz w:val="20"/>
              </w:rPr>
            </w:pPr>
          </w:p>
          <w:p w14:paraId="492DAB3D" w14:textId="77777777" w:rsidR="000E615D" w:rsidRPr="00FC4FEB" w:rsidRDefault="000E615D" w:rsidP="000A5925">
            <w:pPr>
              <w:jc w:val="both"/>
              <w:rPr>
                <w:rFonts w:eastAsia="Times New Roman"/>
                <w:sz w:val="20"/>
              </w:rPr>
            </w:pPr>
            <w:r w:rsidRPr="00FC4FEB">
              <w:rPr>
                <w:rFonts w:eastAsia="Times New Roman"/>
                <w:sz w:val="20"/>
              </w:rPr>
              <w:t>Some of the salient features of the 2016 revised IRR include strengthening the provisions on procurement planning and budget linkage, and procurement short of award</w:t>
            </w:r>
            <w:r w:rsidRPr="00FC4FEB">
              <w:rPr>
                <w:rFonts w:eastAsia="Times New Roman"/>
                <w:sz w:val="20"/>
              </w:rPr>
              <w:tab/>
              <w:t>to fast track government acquisition.</w:t>
            </w:r>
            <w:r w:rsidR="00D529E8" w:rsidRPr="00FC4FEB">
              <w:rPr>
                <w:rFonts w:eastAsia="Times New Roman"/>
                <w:sz w:val="20"/>
              </w:rPr>
              <w:t xml:space="preserve"> </w:t>
            </w:r>
            <w:r w:rsidRPr="00FC4FEB">
              <w:rPr>
                <w:rFonts w:eastAsia="Times New Roman"/>
                <w:sz w:val="20"/>
              </w:rPr>
              <w:t xml:space="preserve">To reduce costs to government, the thresholds for newspaper advertisement have been increased and a sunset provision has been included. Several measures have also been included for easier eligibility check and reduction of disqualification of bidders or failure of biddings, which include mandatory registration under Platinum Membership with the </w:t>
            </w:r>
            <w:r w:rsidR="00E30C67" w:rsidRPr="00FC4FEB">
              <w:rPr>
                <w:rFonts w:eastAsia="Times New Roman"/>
                <w:sz w:val="20"/>
              </w:rPr>
              <w:t>Philippine Government Electronic Procurement System (</w:t>
            </w:r>
            <w:proofErr w:type="spellStart"/>
            <w:r w:rsidRPr="00FC4FEB">
              <w:rPr>
                <w:rFonts w:eastAsia="Times New Roman"/>
                <w:sz w:val="20"/>
              </w:rPr>
              <w:t>PhilGEPS</w:t>
            </w:r>
            <w:proofErr w:type="spellEnd"/>
            <w:r w:rsidR="00E30C67" w:rsidRPr="00FC4FEB">
              <w:rPr>
                <w:rFonts w:eastAsia="Times New Roman"/>
                <w:sz w:val="20"/>
              </w:rPr>
              <w:t>)</w:t>
            </w:r>
            <w:r w:rsidRPr="00FC4FEB">
              <w:rPr>
                <w:rFonts w:eastAsia="Times New Roman"/>
                <w:sz w:val="20"/>
              </w:rPr>
              <w:t xml:space="preserve">. </w:t>
            </w:r>
          </w:p>
          <w:p w14:paraId="780F0F22" w14:textId="77777777" w:rsidR="000E615D" w:rsidRPr="00FC4FEB" w:rsidRDefault="000E615D" w:rsidP="000A5925">
            <w:pPr>
              <w:jc w:val="both"/>
              <w:rPr>
                <w:rFonts w:eastAsia="Times New Roman"/>
                <w:sz w:val="20"/>
              </w:rPr>
            </w:pPr>
          </w:p>
          <w:p w14:paraId="74C49298" w14:textId="77777777" w:rsidR="000E615D" w:rsidRPr="00FC4FEB" w:rsidRDefault="000E615D" w:rsidP="000A5925">
            <w:pPr>
              <w:jc w:val="both"/>
              <w:rPr>
                <w:rFonts w:eastAsia="Times New Roman"/>
                <w:sz w:val="20"/>
              </w:rPr>
            </w:pPr>
            <w:r w:rsidRPr="00FC4FEB">
              <w:rPr>
                <w:rFonts w:eastAsia="Times New Roman"/>
                <w:sz w:val="20"/>
              </w:rPr>
              <w:t xml:space="preserve">To further provide for a streamlined process for the use of alternative methods of procurement, the Consolidated Guidelines for the Alternative Methods of Procurement have been crafted and approved as Annex H of the IRR. An additional instance for the use of negotiated procurement has been included for Scientific, </w:t>
            </w:r>
            <w:r w:rsidRPr="00FC4FEB">
              <w:rPr>
                <w:rFonts w:eastAsia="Times New Roman"/>
                <w:sz w:val="20"/>
              </w:rPr>
              <w:lastRenderedPageBreak/>
              <w:t xml:space="preserve">Scholarly or Artistic Work, Exclusive Technology and Media Services. </w:t>
            </w:r>
          </w:p>
          <w:p w14:paraId="3438CC2D" w14:textId="77777777" w:rsidR="000E615D" w:rsidRPr="00FC4FEB" w:rsidRDefault="00F83517" w:rsidP="00993030">
            <w:pPr>
              <w:jc w:val="both"/>
              <w:rPr>
                <w:rFonts w:eastAsia="Times New Roman"/>
                <w:sz w:val="20"/>
              </w:rPr>
            </w:pPr>
            <w:r w:rsidRPr="00FC4FEB">
              <w:rPr>
                <w:rFonts w:eastAsia="Times New Roman"/>
                <w:sz w:val="20"/>
              </w:rPr>
              <w:t xml:space="preserve"> </w:t>
            </w:r>
          </w:p>
        </w:tc>
        <w:tc>
          <w:tcPr>
            <w:tcW w:w="5471" w:type="dxa"/>
          </w:tcPr>
          <w:p w14:paraId="01FDB70A" w14:textId="77777777" w:rsidR="000E615D" w:rsidRPr="00FC4FEB" w:rsidRDefault="000E615D">
            <w:pPr>
              <w:spacing w:before="100" w:beforeAutospacing="1"/>
              <w:jc w:val="both"/>
              <w:rPr>
                <w:rFonts w:eastAsia="Times New Roman"/>
                <w:sz w:val="20"/>
              </w:rPr>
            </w:pPr>
            <w:r w:rsidRPr="00FC4FEB">
              <w:rPr>
                <w:rFonts w:eastAsia="Times New Roman"/>
                <w:sz w:val="20"/>
              </w:rPr>
              <w:lastRenderedPageBreak/>
              <w:t>Review and revise existing Guidelines on the Procurement of Petroleum, Oil and Lubricants, Guidelines on the Procurement of Water, Electricity, Telephone and Internet Service Provider, Guidelines on the Procurement of Janitorial and Security Services, Guidelines on the Extension of Contracts, etc.</w:t>
            </w:r>
          </w:p>
        </w:tc>
      </w:tr>
      <w:tr w:rsidR="00FC4FEB" w:rsidRPr="00FC4FEB" w14:paraId="6CBB2BB3" w14:textId="77777777" w:rsidTr="00810BCF">
        <w:tc>
          <w:tcPr>
            <w:tcW w:w="3520" w:type="dxa"/>
          </w:tcPr>
          <w:p w14:paraId="72522E68" w14:textId="77777777" w:rsidR="00505176" w:rsidRPr="00FC4FEB" w:rsidRDefault="00505176" w:rsidP="00CD4015">
            <w:pPr>
              <w:jc w:val="both"/>
              <w:rPr>
                <w:b/>
                <w:i/>
                <w:sz w:val="20"/>
              </w:rPr>
            </w:pPr>
          </w:p>
        </w:tc>
        <w:tc>
          <w:tcPr>
            <w:tcW w:w="5573" w:type="dxa"/>
          </w:tcPr>
          <w:p w14:paraId="55CB3F3F" w14:textId="77777777" w:rsidR="000E615D" w:rsidRPr="00FC4FEB" w:rsidRDefault="003D2AB8" w:rsidP="000A5925">
            <w:pPr>
              <w:jc w:val="both"/>
              <w:rPr>
                <w:rFonts w:eastAsia="Times New Roman"/>
                <w:bCs/>
                <w:iCs/>
                <w:sz w:val="20"/>
              </w:rPr>
            </w:pPr>
            <w:r w:rsidRPr="00FC4FEB">
              <w:rPr>
                <w:rFonts w:eastAsia="Times New Roman"/>
                <w:bCs/>
                <w:iCs/>
                <w:sz w:val="20"/>
              </w:rPr>
              <w:t>M</w:t>
            </w:r>
            <w:r w:rsidR="000E615D" w:rsidRPr="00FC4FEB">
              <w:rPr>
                <w:rFonts w:eastAsia="Times New Roman"/>
                <w:bCs/>
                <w:iCs/>
                <w:sz w:val="20"/>
              </w:rPr>
              <w:t xml:space="preserve">aintains a database (Please see: http://www.gppb.gov.ph/monitoring/blacklistedSup.php and http://www.gppb.gov.ph/monitoring/blacklistedCon.php) of blacklisted suppliers, consultants and contractors in accordance with the blacklisting order issued by procuring entities and submitted to the </w:t>
            </w:r>
            <w:proofErr w:type="gramStart"/>
            <w:r w:rsidR="000E615D" w:rsidRPr="00FC4FEB">
              <w:rPr>
                <w:rFonts w:eastAsia="Times New Roman"/>
                <w:bCs/>
                <w:iCs/>
                <w:sz w:val="20"/>
              </w:rPr>
              <w:t>Board.  .</w:t>
            </w:r>
            <w:proofErr w:type="gramEnd"/>
          </w:p>
          <w:p w14:paraId="71462A47" w14:textId="77777777" w:rsidR="000E615D" w:rsidRPr="00FC4FEB" w:rsidRDefault="000E615D" w:rsidP="000A5925">
            <w:pPr>
              <w:jc w:val="both"/>
              <w:rPr>
                <w:rFonts w:eastAsia="Times New Roman"/>
                <w:bCs/>
                <w:iCs/>
                <w:sz w:val="20"/>
              </w:rPr>
            </w:pPr>
          </w:p>
          <w:p w14:paraId="2BD0D031" w14:textId="77777777" w:rsidR="000E615D" w:rsidRPr="00FC4FEB" w:rsidRDefault="003D2AB8" w:rsidP="00123CF7">
            <w:pPr>
              <w:jc w:val="both"/>
              <w:rPr>
                <w:rFonts w:eastAsia="Times New Roman"/>
                <w:bCs/>
                <w:iCs/>
                <w:sz w:val="20"/>
              </w:rPr>
            </w:pPr>
            <w:r w:rsidRPr="00FC4FEB">
              <w:rPr>
                <w:rFonts w:eastAsia="Times New Roman"/>
                <w:bCs/>
                <w:iCs/>
                <w:sz w:val="20"/>
              </w:rPr>
              <w:t>A</w:t>
            </w:r>
            <w:r w:rsidR="00123CF7" w:rsidRPr="00FC4FEB">
              <w:rPr>
                <w:rFonts w:eastAsia="Times New Roman"/>
                <w:bCs/>
                <w:iCs/>
                <w:sz w:val="20"/>
              </w:rPr>
              <w:t xml:space="preserve">mended </w:t>
            </w:r>
            <w:r w:rsidR="000E615D" w:rsidRPr="00FC4FEB">
              <w:rPr>
                <w:rFonts w:eastAsia="Times New Roman"/>
                <w:bCs/>
                <w:iCs/>
                <w:sz w:val="20"/>
              </w:rPr>
              <w:t>its Guidelines on Ordering Agreements/Framework Agreements providing for a Framework Agreement of up to three years. The Guidelines was approved for pilot testing of big procuring entities</w:t>
            </w:r>
            <w:r w:rsidRPr="00FC4FEB">
              <w:rPr>
                <w:rFonts w:eastAsia="Times New Roman"/>
                <w:bCs/>
                <w:iCs/>
                <w:sz w:val="20"/>
              </w:rPr>
              <w:t>, namely</w:t>
            </w:r>
            <w:r w:rsidR="000E615D" w:rsidRPr="00FC4FEB">
              <w:rPr>
                <w:rFonts w:eastAsia="Times New Roman"/>
                <w:bCs/>
                <w:iCs/>
                <w:sz w:val="20"/>
              </w:rPr>
              <w:t xml:space="preserve">: Department of Education, Department of Health, Department of National </w:t>
            </w:r>
            <w:proofErr w:type="spellStart"/>
            <w:r w:rsidR="000E615D" w:rsidRPr="00FC4FEB">
              <w:rPr>
                <w:rFonts w:eastAsia="Times New Roman"/>
                <w:bCs/>
                <w:iCs/>
                <w:sz w:val="20"/>
              </w:rPr>
              <w:t>Defense</w:t>
            </w:r>
            <w:proofErr w:type="spellEnd"/>
            <w:r w:rsidR="000E615D" w:rsidRPr="00FC4FEB">
              <w:rPr>
                <w:rFonts w:eastAsia="Times New Roman"/>
                <w:bCs/>
                <w:iCs/>
                <w:sz w:val="20"/>
              </w:rPr>
              <w:t xml:space="preserve"> and Department of Budget and Management-Procurement Service.</w:t>
            </w:r>
          </w:p>
          <w:p w14:paraId="04CFBEF2" w14:textId="77777777" w:rsidR="00A368DB" w:rsidRPr="00FC4FEB" w:rsidRDefault="00A368DB" w:rsidP="00123CF7">
            <w:pPr>
              <w:jc w:val="both"/>
              <w:rPr>
                <w:rFonts w:eastAsia="Times New Roman"/>
                <w:bCs/>
                <w:iCs/>
                <w:sz w:val="20"/>
              </w:rPr>
            </w:pPr>
          </w:p>
          <w:p w14:paraId="30DD06E8" w14:textId="77777777" w:rsidR="00A368DB" w:rsidRPr="00FC4FEB" w:rsidRDefault="003C68F6" w:rsidP="00A368DB">
            <w:pPr>
              <w:jc w:val="both"/>
              <w:rPr>
                <w:rFonts w:eastAsia="Times New Roman"/>
                <w:bCs/>
                <w:iCs/>
                <w:sz w:val="20"/>
              </w:rPr>
            </w:pPr>
            <w:r w:rsidRPr="00FC4FEB">
              <w:rPr>
                <w:rFonts w:eastAsia="Times New Roman"/>
                <w:bCs/>
                <w:iCs/>
                <w:sz w:val="20"/>
              </w:rPr>
              <w:t xml:space="preserve">The IRR of the </w:t>
            </w:r>
            <w:proofErr w:type="gramStart"/>
            <w:r w:rsidRPr="00FC4FEB">
              <w:rPr>
                <w:rFonts w:eastAsia="Times New Roman"/>
                <w:bCs/>
                <w:iCs/>
                <w:sz w:val="20"/>
              </w:rPr>
              <w:t xml:space="preserve">GPRA </w:t>
            </w:r>
            <w:r w:rsidR="00A368DB" w:rsidRPr="00FC4FEB">
              <w:rPr>
                <w:rFonts w:eastAsia="Times New Roman"/>
                <w:bCs/>
                <w:iCs/>
                <w:sz w:val="20"/>
              </w:rPr>
              <w:t xml:space="preserve"> requires</w:t>
            </w:r>
            <w:proofErr w:type="gramEnd"/>
            <w:r w:rsidR="00A368DB" w:rsidRPr="00FC4FEB">
              <w:rPr>
                <w:rFonts w:eastAsia="Times New Roman"/>
                <w:bCs/>
                <w:iCs/>
                <w:sz w:val="20"/>
              </w:rPr>
              <w:t xml:space="preserve"> the partic</w:t>
            </w:r>
            <w:r w:rsidRPr="00FC4FEB">
              <w:rPr>
                <w:rFonts w:eastAsia="Times New Roman"/>
                <w:bCs/>
                <w:iCs/>
                <w:sz w:val="20"/>
              </w:rPr>
              <w:t>ipation of civil society, through non-governmental o</w:t>
            </w:r>
            <w:r w:rsidR="00A368DB" w:rsidRPr="00FC4FEB">
              <w:rPr>
                <w:rFonts w:eastAsia="Times New Roman"/>
                <w:bCs/>
                <w:iCs/>
                <w:sz w:val="20"/>
              </w:rPr>
              <w:t>rganizations (NGOs)</w:t>
            </w:r>
            <w:r w:rsidRPr="00FC4FEB">
              <w:rPr>
                <w:rFonts w:eastAsia="Times New Roman"/>
                <w:bCs/>
                <w:iCs/>
                <w:sz w:val="20"/>
              </w:rPr>
              <w:t xml:space="preserve">, in all BAC meetings and in all stages of the procurement process. </w:t>
            </w:r>
            <w:r w:rsidR="00A368DB" w:rsidRPr="00FC4FEB">
              <w:rPr>
                <w:rFonts w:eastAsia="Times New Roman"/>
                <w:bCs/>
                <w:iCs/>
                <w:sz w:val="20"/>
              </w:rPr>
              <w:t xml:space="preserve"> </w:t>
            </w:r>
          </w:p>
          <w:p w14:paraId="2A5EC694" w14:textId="77777777" w:rsidR="00A368DB" w:rsidRPr="00FC4FEB" w:rsidRDefault="00A368DB" w:rsidP="00A368DB">
            <w:pPr>
              <w:jc w:val="both"/>
              <w:rPr>
                <w:rFonts w:eastAsia="Times New Roman"/>
                <w:bCs/>
                <w:iCs/>
                <w:sz w:val="20"/>
              </w:rPr>
            </w:pPr>
          </w:p>
          <w:p w14:paraId="10F4DC82" w14:textId="77777777" w:rsidR="00A368DB" w:rsidRPr="00FC4FEB" w:rsidRDefault="00A368DB" w:rsidP="00A368DB">
            <w:pPr>
              <w:jc w:val="both"/>
              <w:rPr>
                <w:rFonts w:eastAsia="Times New Roman"/>
                <w:bCs/>
                <w:iCs/>
                <w:sz w:val="20"/>
              </w:rPr>
            </w:pPr>
            <w:r w:rsidRPr="00FC4FEB">
              <w:rPr>
                <w:rFonts w:eastAsia="Times New Roman"/>
                <w:bCs/>
                <w:iCs/>
                <w:sz w:val="20"/>
              </w:rPr>
              <w:t>The Issuance of Notice to invite prospective Observers was changed from 3 days to 5 days, to ensure that concerned observers will appear during conduct of biddings.</w:t>
            </w:r>
          </w:p>
        </w:tc>
        <w:tc>
          <w:tcPr>
            <w:tcW w:w="5471" w:type="dxa"/>
          </w:tcPr>
          <w:p w14:paraId="1CBC184F" w14:textId="77777777" w:rsidR="000E615D" w:rsidRPr="00FC4FEB" w:rsidRDefault="000E615D" w:rsidP="000A5925">
            <w:pPr>
              <w:spacing w:before="100" w:beforeAutospacing="1"/>
              <w:jc w:val="both"/>
              <w:rPr>
                <w:rFonts w:eastAsia="Times New Roman"/>
                <w:sz w:val="20"/>
              </w:rPr>
            </w:pPr>
            <w:r w:rsidRPr="00FC4FEB">
              <w:rPr>
                <w:rFonts w:eastAsia="Times New Roman"/>
                <w:sz w:val="20"/>
              </w:rPr>
              <w:t>Amend the Blacklisting Guidelines and study the possibility of implementing a Cross-</w:t>
            </w:r>
            <w:proofErr w:type="gramStart"/>
            <w:r w:rsidRPr="00FC4FEB">
              <w:rPr>
                <w:rFonts w:eastAsia="Times New Roman"/>
                <w:sz w:val="20"/>
              </w:rPr>
              <w:t>Debarment  policy</w:t>
            </w:r>
            <w:proofErr w:type="gramEnd"/>
            <w:r w:rsidRPr="00FC4FEB">
              <w:rPr>
                <w:rFonts w:eastAsia="Times New Roman"/>
                <w:sz w:val="20"/>
              </w:rPr>
              <w:t xml:space="preserve">  with  International Financing Institutions.</w:t>
            </w:r>
          </w:p>
          <w:p w14:paraId="76FD4133" w14:textId="77777777" w:rsidR="000E615D" w:rsidRPr="00FC4FEB" w:rsidRDefault="000E615D" w:rsidP="000A5925">
            <w:pPr>
              <w:spacing w:before="100" w:beforeAutospacing="1"/>
              <w:jc w:val="both"/>
              <w:rPr>
                <w:rFonts w:eastAsia="Times New Roman"/>
                <w:sz w:val="20"/>
              </w:rPr>
            </w:pPr>
            <w:r w:rsidRPr="00FC4FEB">
              <w:rPr>
                <w:rFonts w:eastAsia="Times New Roman"/>
                <w:sz w:val="20"/>
              </w:rPr>
              <w:t xml:space="preserve">Further strengthen the procurement monitoring and enforcement institutions and mechanisms of the government through an online monitoring and assessment platform, i.e. the Online Procurement Performance and Compliance Indicator System (OPPCIS) linked with the </w:t>
            </w:r>
            <w:proofErr w:type="spellStart"/>
            <w:r w:rsidRPr="00FC4FEB">
              <w:rPr>
                <w:rFonts w:eastAsia="Times New Roman"/>
                <w:sz w:val="20"/>
              </w:rPr>
              <w:t>PhilGEPS</w:t>
            </w:r>
            <w:proofErr w:type="spellEnd"/>
            <w:r w:rsidRPr="00FC4FEB">
              <w:rPr>
                <w:rFonts w:eastAsia="Times New Roman"/>
                <w:sz w:val="20"/>
              </w:rPr>
              <w:t xml:space="preserve"> Modernization Program.</w:t>
            </w:r>
          </w:p>
        </w:tc>
      </w:tr>
      <w:tr w:rsidR="00FC4FEB" w:rsidRPr="00FC4FEB" w14:paraId="17937FAC" w14:textId="77777777" w:rsidTr="00810BCF">
        <w:tc>
          <w:tcPr>
            <w:tcW w:w="3520" w:type="dxa"/>
          </w:tcPr>
          <w:p w14:paraId="63885AB3" w14:textId="77777777" w:rsidR="00505176" w:rsidRPr="00FC4FEB" w:rsidRDefault="000E615D">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vAlign w:val="bottom"/>
          </w:tcPr>
          <w:p w14:paraId="010C7BCB"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www.gppb.gov.ph </w:t>
            </w:r>
          </w:p>
          <w:p w14:paraId="56F5CA66"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www.neda.gov.ph</w:t>
            </w:r>
          </w:p>
        </w:tc>
        <w:tc>
          <w:tcPr>
            <w:tcW w:w="5471" w:type="dxa"/>
          </w:tcPr>
          <w:p w14:paraId="2E6298FA" w14:textId="77777777" w:rsidR="00505176" w:rsidRPr="00FC4FEB" w:rsidRDefault="00505176" w:rsidP="00CD4015">
            <w:pPr>
              <w:pStyle w:val="Heading9"/>
              <w:jc w:val="both"/>
              <w:rPr>
                <w:rFonts w:ascii="Times New Roman" w:hAnsi="Times New Roman"/>
                <w:b w:val="0"/>
              </w:rPr>
            </w:pPr>
          </w:p>
        </w:tc>
      </w:tr>
      <w:tr w:rsidR="00FC4FEB" w:rsidRPr="00FC4FEB" w14:paraId="0D2F8879" w14:textId="77777777" w:rsidTr="00810BCF">
        <w:tc>
          <w:tcPr>
            <w:tcW w:w="3520" w:type="dxa"/>
          </w:tcPr>
          <w:p w14:paraId="10959C97"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vAlign w:val="bottom"/>
          </w:tcPr>
          <w:p w14:paraId="56A4FBAF" w14:textId="77777777" w:rsidR="00505176" w:rsidRPr="00FC4FEB" w:rsidRDefault="000E615D" w:rsidP="00CD4015">
            <w:pPr>
              <w:jc w:val="both"/>
              <w:rPr>
                <w:rFonts w:eastAsia="Times New Roman"/>
                <w:sz w:val="20"/>
              </w:rPr>
            </w:pPr>
            <w:r w:rsidRPr="00FC4FEB">
              <w:rPr>
                <w:rFonts w:eastAsia="Times New Roman"/>
                <w:sz w:val="20"/>
              </w:rPr>
              <w:t xml:space="preserve"> Ruben S. </w:t>
            </w:r>
            <w:proofErr w:type="spellStart"/>
            <w:r w:rsidRPr="00FC4FEB">
              <w:rPr>
                <w:rFonts w:eastAsia="Times New Roman"/>
                <w:sz w:val="20"/>
              </w:rPr>
              <w:t>Reinoso</w:t>
            </w:r>
            <w:proofErr w:type="spellEnd"/>
            <w:r w:rsidRPr="00FC4FEB">
              <w:rPr>
                <w:rFonts w:eastAsia="Times New Roman"/>
                <w:sz w:val="20"/>
              </w:rPr>
              <w:t>, Jr.</w:t>
            </w:r>
          </w:p>
          <w:p w14:paraId="12585692" w14:textId="77777777" w:rsidR="00505176" w:rsidRPr="00FC4FEB" w:rsidRDefault="000E615D" w:rsidP="00CD4015">
            <w:pPr>
              <w:jc w:val="both"/>
              <w:rPr>
                <w:rFonts w:eastAsia="Times New Roman"/>
                <w:sz w:val="20"/>
              </w:rPr>
            </w:pPr>
            <w:r w:rsidRPr="00FC4FEB">
              <w:rPr>
                <w:rFonts w:eastAsia="Times New Roman"/>
                <w:sz w:val="20"/>
              </w:rPr>
              <w:t>Assistant Director General for Investment Programming</w:t>
            </w:r>
          </w:p>
          <w:p w14:paraId="61FDEB64" w14:textId="77777777" w:rsidR="00505176" w:rsidRPr="00FC4FEB" w:rsidRDefault="000E615D" w:rsidP="00CD4015">
            <w:pPr>
              <w:jc w:val="both"/>
              <w:rPr>
                <w:rFonts w:eastAsia="Times New Roman"/>
                <w:sz w:val="20"/>
              </w:rPr>
            </w:pPr>
            <w:r w:rsidRPr="00FC4FEB">
              <w:rPr>
                <w:rFonts w:eastAsia="Times New Roman"/>
                <w:sz w:val="20"/>
              </w:rPr>
              <w:t>National Economic and Development Authority (NEDA)</w:t>
            </w:r>
          </w:p>
          <w:p w14:paraId="653C38B0" w14:textId="77777777" w:rsidR="00505176" w:rsidRPr="00FC4FEB" w:rsidRDefault="000E615D" w:rsidP="00CD4015">
            <w:pPr>
              <w:jc w:val="both"/>
              <w:rPr>
                <w:rFonts w:eastAsia="Times New Roman"/>
                <w:sz w:val="20"/>
              </w:rPr>
            </w:pPr>
            <w:r w:rsidRPr="00FC4FEB">
              <w:rPr>
                <w:rFonts w:eastAsia="Times New Roman"/>
                <w:sz w:val="20"/>
              </w:rPr>
              <w:t xml:space="preserve">12 Saint Jose Maria </w:t>
            </w:r>
            <w:proofErr w:type="spellStart"/>
            <w:r w:rsidRPr="00FC4FEB">
              <w:rPr>
                <w:rFonts w:eastAsia="Times New Roman"/>
                <w:sz w:val="20"/>
              </w:rPr>
              <w:t>Escriva</w:t>
            </w:r>
            <w:proofErr w:type="spellEnd"/>
            <w:r w:rsidRPr="00FC4FEB">
              <w:rPr>
                <w:rFonts w:eastAsia="Times New Roman"/>
                <w:sz w:val="20"/>
              </w:rPr>
              <w:t xml:space="preserve"> Drive</w:t>
            </w:r>
          </w:p>
          <w:p w14:paraId="52579E37" w14:textId="77777777" w:rsidR="00505176" w:rsidRPr="00FC4FEB" w:rsidRDefault="000E615D" w:rsidP="00CD4015">
            <w:pPr>
              <w:jc w:val="both"/>
              <w:rPr>
                <w:rFonts w:eastAsia="Times New Roman"/>
                <w:sz w:val="20"/>
              </w:rPr>
            </w:pPr>
            <w:r w:rsidRPr="00FC4FEB">
              <w:rPr>
                <w:rFonts w:eastAsia="Times New Roman"/>
                <w:sz w:val="20"/>
              </w:rPr>
              <w:t>Pasig City, Philippines</w:t>
            </w:r>
          </w:p>
          <w:p w14:paraId="065D7B80" w14:textId="77777777" w:rsidR="00505176" w:rsidRPr="00FC4FEB" w:rsidRDefault="000E615D" w:rsidP="00CD4015">
            <w:pPr>
              <w:jc w:val="both"/>
              <w:rPr>
                <w:rFonts w:eastAsia="Times New Roman"/>
                <w:sz w:val="20"/>
              </w:rPr>
            </w:pPr>
            <w:r w:rsidRPr="00FC4FEB">
              <w:rPr>
                <w:rFonts w:eastAsia="Times New Roman"/>
                <w:sz w:val="20"/>
              </w:rPr>
              <w:t xml:space="preserve">Tel.: (632) 631-0945 </w:t>
            </w:r>
            <w:proofErr w:type="spellStart"/>
            <w:r w:rsidRPr="00FC4FEB">
              <w:rPr>
                <w:rFonts w:eastAsia="Times New Roman"/>
                <w:sz w:val="20"/>
              </w:rPr>
              <w:t>loc</w:t>
            </w:r>
            <w:proofErr w:type="spellEnd"/>
            <w:r w:rsidRPr="00FC4FEB">
              <w:rPr>
                <w:rFonts w:eastAsia="Times New Roman"/>
                <w:sz w:val="20"/>
              </w:rPr>
              <w:t xml:space="preserve"> 607</w:t>
            </w:r>
          </w:p>
          <w:p w14:paraId="4B5796F8" w14:textId="77777777" w:rsidR="00505176" w:rsidRPr="00FC4FEB" w:rsidRDefault="000E615D" w:rsidP="00CD4015">
            <w:pPr>
              <w:jc w:val="both"/>
              <w:rPr>
                <w:rFonts w:eastAsia="Times New Roman"/>
                <w:sz w:val="20"/>
              </w:rPr>
            </w:pPr>
            <w:r w:rsidRPr="00FC4FEB">
              <w:rPr>
                <w:rFonts w:eastAsia="Times New Roman"/>
                <w:sz w:val="20"/>
              </w:rPr>
              <w:t>Fax: (632) 631-2192</w:t>
            </w:r>
          </w:p>
          <w:p w14:paraId="7A478E25" w14:textId="77777777" w:rsidR="00505176" w:rsidRPr="00FC4FEB" w:rsidRDefault="000E615D" w:rsidP="00CD4015">
            <w:pPr>
              <w:jc w:val="both"/>
              <w:rPr>
                <w:rFonts w:eastAsia="Times New Roman"/>
                <w:sz w:val="20"/>
              </w:rPr>
            </w:pPr>
            <w:r w:rsidRPr="00FC4FEB">
              <w:rPr>
                <w:rFonts w:eastAsia="Times New Roman"/>
                <w:sz w:val="20"/>
              </w:rPr>
              <w:t>Email: RSReinoso@neda.gov.ph</w:t>
            </w:r>
          </w:p>
          <w:p w14:paraId="26250A6B" w14:textId="77777777" w:rsidR="00505176" w:rsidRPr="00FC4FEB" w:rsidRDefault="00505176" w:rsidP="00CD4015">
            <w:pPr>
              <w:jc w:val="both"/>
              <w:rPr>
                <w:rFonts w:eastAsia="Times New Roman"/>
                <w:sz w:val="20"/>
              </w:rPr>
            </w:pPr>
          </w:p>
          <w:p w14:paraId="760D70C7" w14:textId="77777777" w:rsidR="00505176" w:rsidRPr="00FC4FEB" w:rsidRDefault="000E615D" w:rsidP="00CD4015">
            <w:pPr>
              <w:jc w:val="both"/>
              <w:rPr>
                <w:rFonts w:eastAsia="Times New Roman"/>
                <w:sz w:val="20"/>
              </w:rPr>
            </w:pPr>
            <w:r w:rsidRPr="00FC4FEB">
              <w:rPr>
                <w:rFonts w:eastAsia="Times New Roman"/>
                <w:sz w:val="20"/>
              </w:rPr>
              <w:t>Roderick M. Planta</w:t>
            </w:r>
          </w:p>
          <w:p w14:paraId="7CAC6E30" w14:textId="77777777" w:rsidR="00505176" w:rsidRPr="00FC4FEB" w:rsidRDefault="000E615D" w:rsidP="00CD4015">
            <w:pPr>
              <w:jc w:val="both"/>
              <w:rPr>
                <w:rFonts w:eastAsia="Times New Roman"/>
                <w:sz w:val="20"/>
              </w:rPr>
            </w:pPr>
            <w:r w:rsidRPr="00FC4FEB">
              <w:rPr>
                <w:rFonts w:eastAsia="Times New Roman"/>
                <w:sz w:val="20"/>
              </w:rPr>
              <w:t>Director IV, Infrastructure Staff</w:t>
            </w:r>
          </w:p>
          <w:p w14:paraId="7E0C16DA" w14:textId="77777777" w:rsidR="00505176" w:rsidRPr="00FC4FEB" w:rsidRDefault="000E615D" w:rsidP="00CD4015">
            <w:pPr>
              <w:jc w:val="both"/>
              <w:rPr>
                <w:rFonts w:eastAsia="Times New Roman"/>
                <w:sz w:val="20"/>
              </w:rPr>
            </w:pPr>
            <w:r w:rsidRPr="00FC4FEB">
              <w:rPr>
                <w:rFonts w:eastAsia="Times New Roman"/>
                <w:sz w:val="20"/>
              </w:rPr>
              <w:t>National Economic and Development Authority (NEDA)</w:t>
            </w:r>
          </w:p>
          <w:p w14:paraId="30D5AD4C" w14:textId="77777777" w:rsidR="00505176" w:rsidRPr="00FC4FEB" w:rsidRDefault="000E615D" w:rsidP="00CD4015">
            <w:pPr>
              <w:jc w:val="both"/>
              <w:rPr>
                <w:rFonts w:eastAsia="Times New Roman"/>
                <w:sz w:val="20"/>
              </w:rPr>
            </w:pPr>
            <w:r w:rsidRPr="00FC4FEB">
              <w:rPr>
                <w:rFonts w:eastAsia="Times New Roman"/>
                <w:sz w:val="20"/>
              </w:rPr>
              <w:t xml:space="preserve">12 Saint Jose Maria </w:t>
            </w:r>
            <w:proofErr w:type="spellStart"/>
            <w:r w:rsidRPr="00FC4FEB">
              <w:rPr>
                <w:rFonts w:eastAsia="Times New Roman"/>
                <w:sz w:val="20"/>
              </w:rPr>
              <w:t>Escriva</w:t>
            </w:r>
            <w:proofErr w:type="spellEnd"/>
            <w:r w:rsidRPr="00FC4FEB">
              <w:rPr>
                <w:rFonts w:eastAsia="Times New Roman"/>
                <w:sz w:val="20"/>
              </w:rPr>
              <w:t xml:space="preserve"> Drive</w:t>
            </w:r>
          </w:p>
          <w:p w14:paraId="1065F914" w14:textId="77777777" w:rsidR="00505176" w:rsidRPr="00FC4FEB" w:rsidRDefault="000E615D" w:rsidP="00CD4015">
            <w:pPr>
              <w:jc w:val="both"/>
              <w:rPr>
                <w:rFonts w:eastAsia="Times New Roman"/>
                <w:sz w:val="20"/>
              </w:rPr>
            </w:pPr>
            <w:r w:rsidRPr="00FC4FEB">
              <w:rPr>
                <w:rFonts w:eastAsia="Times New Roman"/>
                <w:sz w:val="20"/>
              </w:rPr>
              <w:t>Pasig City, Philippines</w:t>
            </w:r>
          </w:p>
          <w:p w14:paraId="33113E25" w14:textId="77777777" w:rsidR="00505176" w:rsidRPr="00FC4FEB" w:rsidRDefault="000E615D" w:rsidP="00CD4015">
            <w:pPr>
              <w:jc w:val="both"/>
              <w:rPr>
                <w:rFonts w:eastAsia="Times New Roman"/>
                <w:sz w:val="20"/>
              </w:rPr>
            </w:pPr>
            <w:r w:rsidRPr="00FC4FEB">
              <w:rPr>
                <w:rFonts w:eastAsia="Times New Roman"/>
                <w:sz w:val="20"/>
              </w:rPr>
              <w:t>Tel.: (632) 631-3724</w:t>
            </w:r>
          </w:p>
          <w:p w14:paraId="3789EF07" w14:textId="77777777" w:rsidR="00505176" w:rsidRPr="00FC4FEB" w:rsidRDefault="000E615D" w:rsidP="00CD4015">
            <w:pPr>
              <w:jc w:val="both"/>
              <w:rPr>
                <w:rFonts w:eastAsia="Times New Roman"/>
                <w:sz w:val="20"/>
              </w:rPr>
            </w:pPr>
            <w:r w:rsidRPr="00FC4FEB">
              <w:rPr>
                <w:rFonts w:eastAsia="Times New Roman"/>
                <w:sz w:val="20"/>
              </w:rPr>
              <w:t>Fax: (632) 631-2188</w:t>
            </w:r>
          </w:p>
          <w:p w14:paraId="41A3B45D" w14:textId="77777777" w:rsidR="00505176" w:rsidRPr="00FC4FEB" w:rsidRDefault="000E615D" w:rsidP="00CD4015">
            <w:pPr>
              <w:jc w:val="both"/>
              <w:rPr>
                <w:rFonts w:eastAsia="Times New Roman"/>
                <w:sz w:val="20"/>
              </w:rPr>
            </w:pPr>
            <w:r w:rsidRPr="00FC4FEB">
              <w:rPr>
                <w:rFonts w:eastAsia="Times New Roman"/>
                <w:sz w:val="20"/>
              </w:rPr>
              <w:t>Email: RMPlanta@neda.gov.ph</w:t>
            </w:r>
          </w:p>
          <w:p w14:paraId="404B1EF0" w14:textId="77777777" w:rsidR="000E615D" w:rsidRPr="00FC4FEB" w:rsidRDefault="000E615D" w:rsidP="000A5925">
            <w:pPr>
              <w:spacing w:line="0" w:lineRule="atLeast"/>
              <w:ind w:right="180"/>
              <w:jc w:val="both"/>
              <w:rPr>
                <w:sz w:val="20"/>
              </w:rPr>
            </w:pPr>
          </w:p>
          <w:p w14:paraId="1CEEBE26" w14:textId="77777777" w:rsidR="00246AB0" w:rsidRPr="00FC4FEB" w:rsidRDefault="00246AB0" w:rsidP="000A5925">
            <w:pPr>
              <w:spacing w:line="0" w:lineRule="atLeast"/>
              <w:ind w:right="180"/>
              <w:jc w:val="both"/>
              <w:rPr>
                <w:sz w:val="20"/>
              </w:rPr>
            </w:pPr>
            <w:r w:rsidRPr="00FC4FEB">
              <w:rPr>
                <w:sz w:val="20"/>
              </w:rPr>
              <w:t>Dennis S. Santiago</w:t>
            </w:r>
          </w:p>
          <w:p w14:paraId="0E016CEF" w14:textId="77777777" w:rsidR="00246AB0" w:rsidRPr="00FC4FEB" w:rsidRDefault="00246AB0" w:rsidP="000A5925">
            <w:pPr>
              <w:spacing w:line="0" w:lineRule="atLeast"/>
              <w:ind w:right="180"/>
              <w:jc w:val="both"/>
              <w:rPr>
                <w:sz w:val="20"/>
              </w:rPr>
            </w:pPr>
            <w:r w:rsidRPr="00FC4FEB">
              <w:rPr>
                <w:sz w:val="20"/>
              </w:rPr>
              <w:t>Executive Director V</w:t>
            </w:r>
          </w:p>
          <w:p w14:paraId="67BCB7FB" w14:textId="77777777" w:rsidR="00246AB0" w:rsidRPr="00FC4FEB" w:rsidRDefault="00246AB0" w:rsidP="000A5925">
            <w:pPr>
              <w:spacing w:line="0" w:lineRule="atLeast"/>
              <w:ind w:right="180"/>
              <w:jc w:val="both"/>
              <w:rPr>
                <w:sz w:val="20"/>
              </w:rPr>
            </w:pPr>
            <w:r w:rsidRPr="00FC4FEB">
              <w:rPr>
                <w:sz w:val="20"/>
              </w:rPr>
              <w:t xml:space="preserve">Government Procurement Policy Board-Technical Support Office </w:t>
            </w:r>
          </w:p>
          <w:p w14:paraId="4DEB0A00" w14:textId="77777777" w:rsidR="00246AB0" w:rsidRPr="00FC4FEB" w:rsidRDefault="00246AB0" w:rsidP="000A5925">
            <w:pPr>
              <w:spacing w:line="0" w:lineRule="atLeast"/>
              <w:ind w:right="180"/>
              <w:jc w:val="both"/>
              <w:rPr>
                <w:sz w:val="20"/>
              </w:rPr>
            </w:pPr>
            <w:r w:rsidRPr="00FC4FEB">
              <w:rPr>
                <w:sz w:val="20"/>
              </w:rPr>
              <w:t>(GPPB-TSO)</w:t>
            </w:r>
          </w:p>
          <w:p w14:paraId="4CEB7877" w14:textId="77777777" w:rsidR="00246AB0" w:rsidRPr="00FC4FEB" w:rsidRDefault="00246AB0" w:rsidP="00993030">
            <w:pPr>
              <w:spacing w:line="0" w:lineRule="atLeast"/>
              <w:ind w:right="180"/>
              <w:jc w:val="both"/>
              <w:rPr>
                <w:sz w:val="20"/>
              </w:rPr>
            </w:pPr>
            <w:r w:rsidRPr="00FC4FEB">
              <w:rPr>
                <w:sz w:val="20"/>
              </w:rPr>
              <w:t xml:space="preserve">Unit 2206, Raffles Corporate </w:t>
            </w:r>
            <w:proofErr w:type="spellStart"/>
            <w:r w:rsidRPr="00FC4FEB">
              <w:rPr>
                <w:sz w:val="20"/>
              </w:rPr>
              <w:t>Center</w:t>
            </w:r>
            <w:proofErr w:type="spellEnd"/>
            <w:r w:rsidRPr="00FC4FEB">
              <w:rPr>
                <w:sz w:val="20"/>
              </w:rPr>
              <w:t xml:space="preserve">, F. </w:t>
            </w:r>
            <w:proofErr w:type="spellStart"/>
            <w:r w:rsidRPr="00FC4FEB">
              <w:rPr>
                <w:sz w:val="20"/>
              </w:rPr>
              <w:t>Ortigas</w:t>
            </w:r>
            <w:proofErr w:type="spellEnd"/>
            <w:r w:rsidRPr="00FC4FEB">
              <w:rPr>
                <w:sz w:val="20"/>
              </w:rPr>
              <w:t xml:space="preserve"> Jr. Road, </w:t>
            </w:r>
            <w:proofErr w:type="spellStart"/>
            <w:r w:rsidRPr="00FC4FEB">
              <w:rPr>
                <w:sz w:val="20"/>
              </w:rPr>
              <w:t>Ortigas</w:t>
            </w:r>
            <w:proofErr w:type="spellEnd"/>
            <w:r w:rsidRPr="00FC4FEB">
              <w:rPr>
                <w:sz w:val="20"/>
              </w:rPr>
              <w:t xml:space="preserve">, </w:t>
            </w:r>
          </w:p>
          <w:p w14:paraId="00795E9A" w14:textId="77777777" w:rsidR="00246AB0" w:rsidRPr="00FC4FEB" w:rsidRDefault="00246AB0" w:rsidP="00993030">
            <w:pPr>
              <w:spacing w:line="0" w:lineRule="atLeast"/>
              <w:ind w:right="180"/>
              <w:jc w:val="both"/>
              <w:rPr>
                <w:sz w:val="20"/>
              </w:rPr>
            </w:pPr>
            <w:r w:rsidRPr="00FC4FEB">
              <w:rPr>
                <w:sz w:val="20"/>
              </w:rPr>
              <w:t>Pasig City</w:t>
            </w:r>
          </w:p>
          <w:p w14:paraId="4B2EE69A" w14:textId="77777777" w:rsidR="00246AB0" w:rsidRPr="00FC4FEB" w:rsidRDefault="00246AB0">
            <w:pPr>
              <w:spacing w:line="0" w:lineRule="atLeast"/>
              <w:ind w:right="180"/>
              <w:jc w:val="both"/>
              <w:rPr>
                <w:sz w:val="20"/>
              </w:rPr>
            </w:pPr>
            <w:r w:rsidRPr="00FC4FEB">
              <w:rPr>
                <w:sz w:val="20"/>
              </w:rPr>
              <w:t>Tel: (632) 900-6741 to 44</w:t>
            </w:r>
          </w:p>
          <w:p w14:paraId="615185AD" w14:textId="77777777" w:rsidR="00246AB0" w:rsidRPr="00FC4FEB" w:rsidRDefault="00246AB0">
            <w:pPr>
              <w:spacing w:line="0" w:lineRule="atLeast"/>
              <w:ind w:right="180"/>
              <w:jc w:val="both"/>
              <w:rPr>
                <w:sz w:val="20"/>
              </w:rPr>
            </w:pPr>
            <w:r w:rsidRPr="00FC4FEB">
              <w:rPr>
                <w:sz w:val="20"/>
              </w:rPr>
              <w:t>E-mail: dssantiago@gppb.gov.ph; gppb@gppb.gov.ph</w:t>
            </w:r>
          </w:p>
        </w:tc>
        <w:tc>
          <w:tcPr>
            <w:tcW w:w="5471" w:type="dxa"/>
          </w:tcPr>
          <w:p w14:paraId="0F821A16" w14:textId="77777777" w:rsidR="00505176" w:rsidRPr="00FC4FEB" w:rsidRDefault="00505176" w:rsidP="00CD4015">
            <w:pPr>
              <w:pStyle w:val="Heading9"/>
              <w:jc w:val="both"/>
              <w:rPr>
                <w:rFonts w:ascii="Times New Roman" w:hAnsi="Times New Roman"/>
                <w:b w:val="0"/>
              </w:rPr>
            </w:pPr>
          </w:p>
        </w:tc>
      </w:tr>
      <w:tr w:rsidR="00FC4FEB" w:rsidRPr="00FC4FEB" w14:paraId="602C94E0" w14:textId="77777777" w:rsidTr="00810BCF">
        <w:tc>
          <w:tcPr>
            <w:tcW w:w="3520" w:type="dxa"/>
          </w:tcPr>
          <w:p w14:paraId="7393528F" w14:textId="77777777" w:rsidR="00505176" w:rsidRPr="00FC4FEB" w:rsidRDefault="000E615D" w:rsidP="00CD4015">
            <w:pPr>
              <w:jc w:val="both"/>
              <w:rPr>
                <w:b/>
                <w:i/>
                <w:sz w:val="20"/>
              </w:rPr>
            </w:pPr>
            <w:bookmarkStart w:id="28" w:name="Row10"/>
            <w:r w:rsidRPr="00FC4FEB">
              <w:rPr>
                <w:b/>
                <w:i/>
                <w:sz w:val="20"/>
              </w:rPr>
              <w:t>Deregulation/Regulatory Review</w:t>
            </w:r>
            <w:bookmarkEnd w:id="28"/>
          </w:p>
          <w:p w14:paraId="75D33886" w14:textId="77777777" w:rsidR="00505176" w:rsidRPr="00FC4FEB" w:rsidRDefault="00505176" w:rsidP="00CD4015">
            <w:pPr>
              <w:jc w:val="both"/>
              <w:rPr>
                <w:b/>
                <w:i/>
                <w:sz w:val="20"/>
              </w:rPr>
            </w:pPr>
          </w:p>
        </w:tc>
        <w:tc>
          <w:tcPr>
            <w:tcW w:w="5573" w:type="dxa"/>
          </w:tcPr>
          <w:p w14:paraId="432C6131" w14:textId="77777777" w:rsidR="00A368DB" w:rsidRPr="00FC4FEB" w:rsidRDefault="00A368DB" w:rsidP="000A5925">
            <w:pPr>
              <w:ind w:right="180"/>
              <w:jc w:val="both"/>
              <w:rPr>
                <w:sz w:val="20"/>
              </w:rPr>
            </w:pPr>
            <w:bookmarkStart w:id="29" w:name="Cell19"/>
            <w:bookmarkEnd w:id="29"/>
            <w:r w:rsidRPr="00FC4FEB">
              <w:rPr>
                <w:sz w:val="20"/>
              </w:rPr>
              <w:t>Issued Memorandum Circular No. 27 on October 6, 2017, providing for the promotion of the use of Regulatory Impact Assessment (RIA) and other related tools by regulatory agencies to improve the quality of new regulations in a way that will facilitate the free flow of goods and services in accordance with the PEDP.</w:t>
            </w:r>
          </w:p>
          <w:p w14:paraId="18998007" w14:textId="77777777" w:rsidR="005702C8" w:rsidRPr="00FC4FEB" w:rsidRDefault="005702C8" w:rsidP="000A5925">
            <w:pPr>
              <w:ind w:right="180"/>
              <w:jc w:val="both"/>
              <w:rPr>
                <w:sz w:val="20"/>
              </w:rPr>
            </w:pPr>
          </w:p>
          <w:p w14:paraId="53D13D3F" w14:textId="77777777" w:rsidR="00505176" w:rsidRPr="00FC4FEB" w:rsidRDefault="00A368DB" w:rsidP="00CD4015">
            <w:pPr>
              <w:ind w:right="180"/>
              <w:jc w:val="both"/>
              <w:rPr>
                <w:sz w:val="20"/>
              </w:rPr>
            </w:pPr>
            <w:r w:rsidRPr="00FC4FEB">
              <w:rPr>
                <w:sz w:val="20"/>
              </w:rPr>
              <w:t>I</w:t>
            </w:r>
            <w:r w:rsidR="00E80007" w:rsidRPr="00FC4FEB">
              <w:rPr>
                <w:sz w:val="20"/>
              </w:rPr>
              <w:t>nitiated various activities on</w:t>
            </w:r>
            <w:r w:rsidRPr="00FC4FEB">
              <w:rPr>
                <w:sz w:val="20"/>
              </w:rPr>
              <w:t xml:space="preserve"> regulatory impact analysis (</w:t>
            </w:r>
            <w:r w:rsidR="00E80007" w:rsidRPr="00FC4FEB">
              <w:rPr>
                <w:sz w:val="20"/>
              </w:rPr>
              <w:t>RIA</w:t>
            </w:r>
            <w:proofErr w:type="gramStart"/>
            <w:r w:rsidRPr="00FC4FEB">
              <w:rPr>
                <w:sz w:val="20"/>
              </w:rPr>
              <w:t>),  with</w:t>
            </w:r>
            <w:proofErr w:type="gramEnd"/>
            <w:r w:rsidRPr="00FC4FEB">
              <w:rPr>
                <w:sz w:val="20"/>
              </w:rPr>
              <w:t xml:space="preserve"> assistance from the Asian Development Bank, for a comprehensive training program, study on the institutionalization of RIA and drafting of a general manual on RIA. </w:t>
            </w:r>
          </w:p>
          <w:p w14:paraId="1D277647" w14:textId="77777777" w:rsidR="005702C8" w:rsidRPr="00FC4FEB" w:rsidRDefault="005702C8">
            <w:pPr>
              <w:ind w:right="180"/>
              <w:jc w:val="both"/>
              <w:rPr>
                <w:i/>
                <w:sz w:val="20"/>
              </w:rPr>
            </w:pPr>
          </w:p>
          <w:p w14:paraId="0DF133D9" w14:textId="77777777" w:rsidR="00E80007" w:rsidRPr="00FC4FEB" w:rsidRDefault="005702C8">
            <w:pPr>
              <w:ind w:right="180"/>
              <w:jc w:val="both"/>
              <w:rPr>
                <w:sz w:val="20"/>
                <w:u w:val="single"/>
              </w:rPr>
            </w:pPr>
            <w:r w:rsidRPr="00FC4FEB">
              <w:rPr>
                <w:sz w:val="20"/>
                <w:u w:val="single"/>
              </w:rPr>
              <w:t>Project Repeal</w:t>
            </w:r>
          </w:p>
          <w:p w14:paraId="795ECC31" w14:textId="77777777" w:rsidR="00E80007" w:rsidRPr="00FC4FEB" w:rsidRDefault="005F40E5">
            <w:pPr>
              <w:ind w:right="180"/>
              <w:jc w:val="both"/>
              <w:rPr>
                <w:sz w:val="20"/>
              </w:rPr>
            </w:pPr>
            <w:r w:rsidRPr="00FC4FEB">
              <w:rPr>
                <w:sz w:val="20"/>
              </w:rPr>
              <w:lastRenderedPageBreak/>
              <w:t xml:space="preserve">Launched </w:t>
            </w:r>
            <w:r w:rsidR="00E80007" w:rsidRPr="00FC4FEB">
              <w:rPr>
                <w:sz w:val="20"/>
              </w:rPr>
              <w:t xml:space="preserve">Project Repeal </w:t>
            </w:r>
            <w:r w:rsidRPr="00FC4FEB">
              <w:rPr>
                <w:sz w:val="20"/>
              </w:rPr>
              <w:t xml:space="preserve">in March 2016 </w:t>
            </w:r>
            <w:proofErr w:type="gramStart"/>
            <w:r w:rsidRPr="00FC4FEB">
              <w:rPr>
                <w:sz w:val="20"/>
              </w:rPr>
              <w:t xml:space="preserve">which </w:t>
            </w:r>
            <w:r w:rsidR="00E80007" w:rsidRPr="00FC4FEB">
              <w:rPr>
                <w:sz w:val="20"/>
              </w:rPr>
              <w:t xml:space="preserve"> involves</w:t>
            </w:r>
            <w:proofErr w:type="gramEnd"/>
            <w:r w:rsidR="00074CBD" w:rsidRPr="00FC4FEB">
              <w:rPr>
                <w:sz w:val="20"/>
              </w:rPr>
              <w:t xml:space="preserve"> the</w:t>
            </w:r>
            <w:r w:rsidR="00E80007" w:rsidRPr="00FC4FEB">
              <w:rPr>
                <w:sz w:val="20"/>
              </w:rPr>
              <w:t xml:space="preserve"> review of executive issuances to reduce cost of regulatory compliance, and eventually review of legislations with Congress. </w:t>
            </w:r>
          </w:p>
          <w:p w14:paraId="44CC7521" w14:textId="77777777" w:rsidR="00E80007" w:rsidRPr="00FC4FEB" w:rsidRDefault="00E80007">
            <w:pPr>
              <w:ind w:right="180"/>
              <w:jc w:val="both"/>
              <w:rPr>
                <w:sz w:val="20"/>
              </w:rPr>
            </w:pPr>
          </w:p>
          <w:p w14:paraId="72B63A3E" w14:textId="77777777" w:rsidR="00C03AC5" w:rsidRPr="00FC4FEB" w:rsidRDefault="00E80007" w:rsidP="004F600F">
            <w:pPr>
              <w:ind w:right="180"/>
              <w:jc w:val="both"/>
              <w:rPr>
                <w:sz w:val="20"/>
              </w:rPr>
            </w:pPr>
            <w:r w:rsidRPr="00FC4FEB">
              <w:rPr>
                <w:sz w:val="20"/>
              </w:rPr>
              <w:t xml:space="preserve">Eight (8) agencies participated in the Philippines’ First Repeal Day in June 2016 where 1,877 department issuances were delisted and 1,873 were </w:t>
            </w:r>
            <w:proofErr w:type="spellStart"/>
            <w:proofErr w:type="gramStart"/>
            <w:r w:rsidRPr="00FC4FEB">
              <w:rPr>
                <w:sz w:val="20"/>
              </w:rPr>
              <w:t>repealed.Sixteen</w:t>
            </w:r>
            <w:proofErr w:type="spellEnd"/>
            <w:proofErr w:type="gramEnd"/>
            <w:r w:rsidRPr="00FC4FEB">
              <w:rPr>
                <w:sz w:val="20"/>
              </w:rPr>
              <w:t xml:space="preserve"> (16) agencies enrolled issuances and participated during Project Repeal’s Second Repeal Day in December 2016 where about 762 department issuances were delisted and two (2) department issuances were repealed.</w:t>
            </w:r>
            <w:r w:rsidR="00C03AC5" w:rsidRPr="00FC4FEB">
              <w:rPr>
                <w:sz w:val="20"/>
              </w:rPr>
              <w:t xml:space="preserve"> On December 2017, which marked the Third Repeal Day, saw 976 rules and issuances repealed by 13 participating agencies.</w:t>
            </w:r>
          </w:p>
        </w:tc>
        <w:tc>
          <w:tcPr>
            <w:tcW w:w="5471" w:type="dxa"/>
          </w:tcPr>
          <w:p w14:paraId="53E552C2" w14:textId="77777777" w:rsidR="000E615D" w:rsidRPr="00FC4FEB" w:rsidRDefault="000E615D">
            <w:pPr>
              <w:spacing w:line="0" w:lineRule="atLeast"/>
              <w:ind w:right="191"/>
              <w:jc w:val="both"/>
              <w:rPr>
                <w:sz w:val="20"/>
              </w:rPr>
            </w:pPr>
            <w:bookmarkStart w:id="30" w:name="Cell20"/>
            <w:bookmarkEnd w:id="30"/>
          </w:p>
          <w:p w14:paraId="1FA4CE98" w14:textId="77777777" w:rsidR="00505176" w:rsidRPr="00FC4FEB" w:rsidRDefault="00505176" w:rsidP="00CD4015">
            <w:pPr>
              <w:jc w:val="both"/>
              <w:rPr>
                <w:sz w:val="20"/>
              </w:rPr>
            </w:pPr>
          </w:p>
          <w:p w14:paraId="10966933" w14:textId="77777777" w:rsidR="00505176" w:rsidRPr="00FC4FEB" w:rsidRDefault="000E615D" w:rsidP="00CD4015">
            <w:pPr>
              <w:jc w:val="both"/>
              <w:rPr>
                <w:sz w:val="20"/>
              </w:rPr>
            </w:pPr>
            <w:r w:rsidRPr="00FC4FEB">
              <w:rPr>
                <w:sz w:val="20"/>
              </w:rPr>
              <w:t xml:space="preserve"> </w:t>
            </w:r>
          </w:p>
          <w:p w14:paraId="754E840B" w14:textId="77777777" w:rsidR="00505176" w:rsidRPr="00FC4FEB" w:rsidRDefault="000E615D" w:rsidP="00CD4015">
            <w:pPr>
              <w:jc w:val="both"/>
              <w:rPr>
                <w:sz w:val="20"/>
              </w:rPr>
            </w:pPr>
            <w:r w:rsidRPr="00FC4FEB">
              <w:rPr>
                <w:sz w:val="20"/>
              </w:rPr>
              <w:t xml:space="preserve"> </w:t>
            </w:r>
          </w:p>
        </w:tc>
      </w:tr>
      <w:tr w:rsidR="00FC4FEB" w:rsidRPr="00FC4FEB" w14:paraId="6C12D3BC" w14:textId="77777777" w:rsidTr="00810BCF">
        <w:tc>
          <w:tcPr>
            <w:tcW w:w="3520" w:type="dxa"/>
          </w:tcPr>
          <w:p w14:paraId="29585162" w14:textId="77777777" w:rsidR="00505176" w:rsidRPr="00FC4FEB" w:rsidRDefault="00505176" w:rsidP="00CD4015">
            <w:pPr>
              <w:jc w:val="both"/>
              <w:rPr>
                <w:b/>
                <w:i/>
                <w:sz w:val="20"/>
              </w:rPr>
            </w:pPr>
          </w:p>
        </w:tc>
        <w:tc>
          <w:tcPr>
            <w:tcW w:w="5573" w:type="dxa"/>
          </w:tcPr>
          <w:p w14:paraId="3C36E7AE" w14:textId="77777777" w:rsidR="006B1C2D" w:rsidRPr="00FC4FEB" w:rsidRDefault="00505176" w:rsidP="000A5925">
            <w:pPr>
              <w:ind w:right="180"/>
              <w:jc w:val="both"/>
              <w:rPr>
                <w:sz w:val="20"/>
                <w:u w:val="single"/>
              </w:rPr>
            </w:pPr>
            <w:r w:rsidRPr="00FC4FEB">
              <w:rPr>
                <w:sz w:val="20"/>
                <w:u w:val="single"/>
              </w:rPr>
              <w:t>Water Sector</w:t>
            </w:r>
          </w:p>
          <w:p w14:paraId="2162D834" w14:textId="77777777" w:rsidR="006B1C2D" w:rsidRPr="00FC4FEB" w:rsidRDefault="003D2AB8" w:rsidP="000A5925">
            <w:pPr>
              <w:ind w:right="180"/>
              <w:jc w:val="both"/>
              <w:rPr>
                <w:sz w:val="20"/>
              </w:rPr>
            </w:pPr>
            <w:r w:rsidRPr="00FC4FEB">
              <w:rPr>
                <w:sz w:val="20"/>
              </w:rPr>
              <w:t>Endorsed</w:t>
            </w:r>
            <w:r w:rsidR="006B1C2D" w:rsidRPr="00FC4FEB">
              <w:rPr>
                <w:sz w:val="20"/>
              </w:rPr>
              <w:t xml:space="preserve"> the proposal </w:t>
            </w:r>
            <w:r w:rsidR="00865552" w:rsidRPr="00FC4FEB">
              <w:rPr>
                <w:sz w:val="20"/>
              </w:rPr>
              <w:t xml:space="preserve">of </w:t>
            </w:r>
            <w:r w:rsidR="006B1C2D" w:rsidRPr="00FC4FEB">
              <w:rPr>
                <w:sz w:val="20"/>
              </w:rPr>
              <w:t>creat</w:t>
            </w:r>
            <w:r w:rsidR="00865552" w:rsidRPr="00FC4FEB">
              <w:rPr>
                <w:sz w:val="20"/>
              </w:rPr>
              <w:t>ing</w:t>
            </w:r>
            <w:r w:rsidR="006B1C2D" w:rsidRPr="00FC4FEB">
              <w:rPr>
                <w:sz w:val="20"/>
              </w:rPr>
              <w:t xml:space="preserve"> an Apex body for the water resources sector was endorsed for inclusion on the priority agenda of the Legislative-Executive Development Action Council</w:t>
            </w:r>
            <w:r w:rsidR="00865552" w:rsidRPr="00FC4FEB">
              <w:rPr>
                <w:sz w:val="20"/>
              </w:rPr>
              <w:t xml:space="preserve"> in August 2016</w:t>
            </w:r>
            <w:r w:rsidR="006B1C2D" w:rsidRPr="00FC4FEB">
              <w:rPr>
                <w:sz w:val="20"/>
              </w:rPr>
              <w:t>.</w:t>
            </w:r>
            <w:r w:rsidR="00865552" w:rsidRPr="00FC4FEB">
              <w:rPr>
                <w:sz w:val="20"/>
              </w:rPr>
              <w:t>T</w:t>
            </w:r>
            <w:r w:rsidR="006B1C2D" w:rsidRPr="00FC4FEB">
              <w:rPr>
                <w:sz w:val="20"/>
              </w:rPr>
              <w:t>he following bills related to the creation of an Apex Body are pending in Congress:</w:t>
            </w:r>
          </w:p>
          <w:p w14:paraId="680CFC22" w14:textId="77777777" w:rsidR="006B1C2D" w:rsidRPr="00FC4FEB" w:rsidRDefault="006B1C2D" w:rsidP="00993030">
            <w:pPr>
              <w:pStyle w:val="ListParagraph"/>
              <w:numPr>
                <w:ilvl w:val="0"/>
                <w:numId w:val="55"/>
              </w:numPr>
              <w:ind w:right="180"/>
              <w:jc w:val="both"/>
              <w:rPr>
                <w:rFonts w:ascii="Times New Roman" w:hAnsi="Times New Roman"/>
                <w:sz w:val="20"/>
                <w:szCs w:val="20"/>
              </w:rPr>
            </w:pPr>
            <w:r w:rsidRPr="00FC4FEB">
              <w:rPr>
                <w:rFonts w:ascii="Times New Roman" w:hAnsi="Times New Roman"/>
                <w:sz w:val="20"/>
                <w:szCs w:val="20"/>
              </w:rPr>
              <w:t>House Bill No. 2457</w:t>
            </w:r>
          </w:p>
          <w:p w14:paraId="55319BDC" w14:textId="77777777" w:rsidR="006B1C2D" w:rsidRPr="00FC4FEB" w:rsidRDefault="006B1C2D" w:rsidP="00993030">
            <w:pPr>
              <w:pStyle w:val="ListParagraph"/>
              <w:numPr>
                <w:ilvl w:val="0"/>
                <w:numId w:val="55"/>
              </w:numPr>
              <w:ind w:right="180"/>
              <w:jc w:val="both"/>
              <w:rPr>
                <w:rFonts w:ascii="Times New Roman" w:hAnsi="Times New Roman"/>
                <w:sz w:val="20"/>
                <w:szCs w:val="20"/>
              </w:rPr>
            </w:pPr>
            <w:r w:rsidRPr="00FC4FEB">
              <w:rPr>
                <w:rFonts w:ascii="Times New Roman" w:hAnsi="Times New Roman"/>
                <w:sz w:val="20"/>
                <w:szCs w:val="20"/>
              </w:rPr>
              <w:t>House Bill No. 4995</w:t>
            </w:r>
          </w:p>
          <w:p w14:paraId="6B353C42" w14:textId="77777777" w:rsidR="006B1C2D" w:rsidRPr="00FC4FEB" w:rsidRDefault="006B1C2D">
            <w:pPr>
              <w:pStyle w:val="ListParagraph"/>
              <w:numPr>
                <w:ilvl w:val="0"/>
                <w:numId w:val="55"/>
              </w:numPr>
              <w:ind w:right="180"/>
              <w:jc w:val="both"/>
              <w:rPr>
                <w:rFonts w:ascii="Times New Roman" w:hAnsi="Times New Roman"/>
                <w:sz w:val="20"/>
                <w:szCs w:val="20"/>
              </w:rPr>
            </w:pPr>
            <w:r w:rsidRPr="00FC4FEB">
              <w:rPr>
                <w:rFonts w:ascii="Times New Roman" w:hAnsi="Times New Roman"/>
                <w:sz w:val="20"/>
                <w:szCs w:val="20"/>
              </w:rPr>
              <w:t>House Bill No. 221</w:t>
            </w:r>
          </w:p>
          <w:p w14:paraId="74559B0C" w14:textId="77777777" w:rsidR="006B1C2D" w:rsidRPr="00FC4FEB" w:rsidRDefault="006B1C2D">
            <w:pPr>
              <w:pStyle w:val="ListParagraph"/>
              <w:numPr>
                <w:ilvl w:val="0"/>
                <w:numId w:val="55"/>
              </w:numPr>
              <w:ind w:right="180"/>
              <w:jc w:val="both"/>
              <w:rPr>
                <w:rFonts w:ascii="Times New Roman" w:hAnsi="Times New Roman"/>
                <w:sz w:val="20"/>
                <w:szCs w:val="20"/>
              </w:rPr>
            </w:pPr>
            <w:r w:rsidRPr="00FC4FEB">
              <w:rPr>
                <w:rFonts w:ascii="Times New Roman" w:hAnsi="Times New Roman"/>
                <w:sz w:val="20"/>
                <w:szCs w:val="20"/>
              </w:rPr>
              <w:t>Senate Bill No. 245</w:t>
            </w:r>
          </w:p>
          <w:p w14:paraId="132A0AEE" w14:textId="77777777" w:rsidR="006B1C2D" w:rsidRPr="00FC4FEB" w:rsidRDefault="006B1C2D">
            <w:pPr>
              <w:ind w:right="180"/>
              <w:jc w:val="both"/>
              <w:rPr>
                <w:sz w:val="20"/>
              </w:rPr>
            </w:pPr>
          </w:p>
          <w:p w14:paraId="4EF211C5" w14:textId="77777777" w:rsidR="006B1C2D" w:rsidRPr="00FC4FEB" w:rsidRDefault="00C17E69">
            <w:pPr>
              <w:ind w:right="180"/>
              <w:jc w:val="both"/>
              <w:rPr>
                <w:sz w:val="20"/>
              </w:rPr>
            </w:pPr>
            <w:r w:rsidRPr="00FC4FEB">
              <w:rPr>
                <w:sz w:val="20"/>
              </w:rPr>
              <w:t>F</w:t>
            </w:r>
            <w:r w:rsidR="006B1C2D" w:rsidRPr="00FC4FEB">
              <w:rPr>
                <w:sz w:val="20"/>
              </w:rPr>
              <w:t xml:space="preserve">inalizing the technical assistance with the Asian Development Bank (ADB) for the refinement </w:t>
            </w:r>
            <w:r w:rsidR="00C03AC5" w:rsidRPr="00FC4FEB">
              <w:rPr>
                <w:sz w:val="20"/>
              </w:rPr>
              <w:t>o</w:t>
            </w:r>
            <w:r w:rsidR="006B1C2D" w:rsidRPr="00FC4FEB">
              <w:rPr>
                <w:sz w:val="20"/>
              </w:rPr>
              <w:t>f the draft bill which shall be presented to the respective Committee for endorsement/approval prior to submission to Congress.</w:t>
            </w:r>
          </w:p>
          <w:p w14:paraId="37A08D15" w14:textId="77777777" w:rsidR="006B1C2D" w:rsidRPr="00FC4FEB" w:rsidRDefault="006B1C2D">
            <w:pPr>
              <w:ind w:right="180"/>
              <w:jc w:val="both"/>
              <w:rPr>
                <w:sz w:val="20"/>
              </w:rPr>
            </w:pPr>
          </w:p>
          <w:p w14:paraId="2551224B" w14:textId="77777777" w:rsidR="006B1C2D" w:rsidRPr="00FC4FEB" w:rsidRDefault="00865552">
            <w:pPr>
              <w:ind w:right="180"/>
              <w:jc w:val="both"/>
              <w:rPr>
                <w:sz w:val="20"/>
              </w:rPr>
            </w:pPr>
            <w:r w:rsidRPr="00FC4FEB">
              <w:rPr>
                <w:sz w:val="20"/>
              </w:rPr>
              <w:t xml:space="preserve">Reconfirmed and endorsed </w:t>
            </w:r>
            <w:r w:rsidR="006B1C2D" w:rsidRPr="00FC4FEB">
              <w:rPr>
                <w:sz w:val="20"/>
              </w:rPr>
              <w:t>the proposed Water Regulatory Commission (WRC) was as a priority legislation. The following are the proposed bills in Congress:</w:t>
            </w:r>
          </w:p>
          <w:p w14:paraId="349D4B8C" w14:textId="77777777" w:rsidR="006B1C2D" w:rsidRPr="00FC4FEB" w:rsidRDefault="006B1C2D">
            <w:pPr>
              <w:pStyle w:val="ListParagraph"/>
              <w:numPr>
                <w:ilvl w:val="0"/>
                <w:numId w:val="56"/>
              </w:numPr>
              <w:ind w:right="180"/>
              <w:jc w:val="both"/>
              <w:rPr>
                <w:rFonts w:ascii="Times New Roman" w:hAnsi="Times New Roman"/>
                <w:sz w:val="20"/>
                <w:szCs w:val="20"/>
              </w:rPr>
            </w:pPr>
            <w:r w:rsidRPr="00FC4FEB">
              <w:rPr>
                <w:rFonts w:ascii="Times New Roman" w:hAnsi="Times New Roman"/>
                <w:sz w:val="20"/>
                <w:szCs w:val="20"/>
              </w:rPr>
              <w:t>Senate Bill No. 933</w:t>
            </w:r>
          </w:p>
          <w:p w14:paraId="11680B76" w14:textId="77777777" w:rsidR="006B1C2D" w:rsidRPr="00FC4FEB" w:rsidRDefault="006B1C2D">
            <w:pPr>
              <w:pStyle w:val="ListParagraph"/>
              <w:numPr>
                <w:ilvl w:val="0"/>
                <w:numId w:val="56"/>
              </w:numPr>
              <w:ind w:right="180"/>
              <w:jc w:val="both"/>
              <w:rPr>
                <w:rFonts w:ascii="Times New Roman" w:hAnsi="Times New Roman"/>
                <w:sz w:val="20"/>
                <w:szCs w:val="20"/>
              </w:rPr>
            </w:pPr>
            <w:r w:rsidRPr="00FC4FEB">
              <w:rPr>
                <w:rFonts w:ascii="Times New Roman" w:hAnsi="Times New Roman"/>
                <w:sz w:val="20"/>
                <w:szCs w:val="20"/>
              </w:rPr>
              <w:t>Senate Bill No. 1217</w:t>
            </w:r>
          </w:p>
          <w:p w14:paraId="5F8C59EC" w14:textId="77777777" w:rsidR="006B1C2D" w:rsidRPr="00FC4FEB" w:rsidRDefault="006B1C2D">
            <w:pPr>
              <w:pStyle w:val="ListParagraph"/>
              <w:numPr>
                <w:ilvl w:val="0"/>
                <w:numId w:val="56"/>
              </w:numPr>
              <w:ind w:right="180"/>
              <w:jc w:val="both"/>
              <w:rPr>
                <w:rFonts w:ascii="Times New Roman" w:hAnsi="Times New Roman"/>
                <w:sz w:val="20"/>
                <w:szCs w:val="20"/>
              </w:rPr>
            </w:pPr>
            <w:r w:rsidRPr="00FC4FEB">
              <w:rPr>
                <w:rFonts w:ascii="Times New Roman" w:hAnsi="Times New Roman"/>
                <w:sz w:val="20"/>
                <w:szCs w:val="20"/>
              </w:rPr>
              <w:t>House Bill No. 2057</w:t>
            </w:r>
          </w:p>
          <w:p w14:paraId="2662AB72" w14:textId="77777777" w:rsidR="006B1C2D" w:rsidRPr="00FC4FEB" w:rsidRDefault="006B1C2D">
            <w:pPr>
              <w:pStyle w:val="ListParagraph"/>
              <w:numPr>
                <w:ilvl w:val="0"/>
                <w:numId w:val="56"/>
              </w:numPr>
              <w:ind w:right="180"/>
              <w:jc w:val="both"/>
              <w:rPr>
                <w:rFonts w:ascii="Times New Roman" w:hAnsi="Times New Roman"/>
                <w:sz w:val="20"/>
                <w:szCs w:val="20"/>
              </w:rPr>
            </w:pPr>
            <w:r w:rsidRPr="00FC4FEB">
              <w:rPr>
                <w:rFonts w:ascii="Times New Roman" w:hAnsi="Times New Roman"/>
                <w:sz w:val="20"/>
                <w:szCs w:val="20"/>
              </w:rPr>
              <w:t>House Bill No. 517</w:t>
            </w:r>
          </w:p>
          <w:p w14:paraId="3257FFCB" w14:textId="77777777" w:rsidR="006B1C2D" w:rsidRPr="00FC4FEB" w:rsidRDefault="006B1C2D">
            <w:pPr>
              <w:ind w:right="180"/>
              <w:jc w:val="both"/>
              <w:rPr>
                <w:sz w:val="20"/>
              </w:rPr>
            </w:pPr>
          </w:p>
          <w:p w14:paraId="74FCDE3E" w14:textId="77777777" w:rsidR="006B1C2D" w:rsidRPr="00FC4FEB" w:rsidRDefault="006B1C2D">
            <w:pPr>
              <w:ind w:right="180"/>
              <w:jc w:val="both"/>
              <w:rPr>
                <w:sz w:val="20"/>
              </w:rPr>
            </w:pPr>
          </w:p>
        </w:tc>
        <w:tc>
          <w:tcPr>
            <w:tcW w:w="5471" w:type="dxa"/>
          </w:tcPr>
          <w:p w14:paraId="23E6E603" w14:textId="77777777" w:rsidR="006B1C2D" w:rsidRPr="00FC4FEB" w:rsidRDefault="006B1C2D">
            <w:pPr>
              <w:spacing w:line="0" w:lineRule="atLeast"/>
              <w:ind w:right="191"/>
              <w:jc w:val="both"/>
              <w:rPr>
                <w:sz w:val="20"/>
              </w:rPr>
            </w:pPr>
          </w:p>
        </w:tc>
      </w:tr>
      <w:tr w:rsidR="00FC4FEB" w:rsidRPr="00FC4FEB" w14:paraId="7EF99036" w14:textId="77777777" w:rsidTr="00810BCF">
        <w:tc>
          <w:tcPr>
            <w:tcW w:w="3520" w:type="dxa"/>
          </w:tcPr>
          <w:p w14:paraId="2951BA8D" w14:textId="77777777" w:rsidR="00505176" w:rsidRPr="00FC4FEB" w:rsidRDefault="00505176" w:rsidP="00CD4015">
            <w:pPr>
              <w:jc w:val="both"/>
              <w:rPr>
                <w:b/>
                <w:i/>
                <w:sz w:val="20"/>
              </w:rPr>
            </w:pPr>
          </w:p>
        </w:tc>
        <w:tc>
          <w:tcPr>
            <w:tcW w:w="5573" w:type="dxa"/>
          </w:tcPr>
          <w:p w14:paraId="3F6E7263" w14:textId="77777777" w:rsidR="006B1C2D" w:rsidRPr="00FC4FEB" w:rsidRDefault="005702C8" w:rsidP="000A5925">
            <w:pPr>
              <w:ind w:right="180"/>
              <w:jc w:val="both"/>
              <w:rPr>
                <w:sz w:val="20"/>
                <w:u w:val="single"/>
              </w:rPr>
            </w:pPr>
            <w:r w:rsidRPr="00FC4FEB">
              <w:rPr>
                <w:sz w:val="20"/>
                <w:u w:val="single"/>
              </w:rPr>
              <w:t>Transportation Sector</w:t>
            </w:r>
          </w:p>
          <w:p w14:paraId="0B271E87" w14:textId="77777777" w:rsidR="006B1C2D" w:rsidRPr="00FC4FEB" w:rsidRDefault="006B1C2D" w:rsidP="000A5925">
            <w:pPr>
              <w:ind w:right="180"/>
              <w:jc w:val="both"/>
              <w:rPr>
                <w:sz w:val="20"/>
              </w:rPr>
            </w:pPr>
            <w:r w:rsidRPr="00FC4FEB">
              <w:rPr>
                <w:sz w:val="20"/>
              </w:rPr>
              <w:t>The Philippine Development Plan 2017-2022 identified several legislative a</w:t>
            </w:r>
            <w:r w:rsidR="005702C8" w:rsidRPr="00FC4FEB">
              <w:rPr>
                <w:sz w:val="20"/>
              </w:rPr>
              <w:t>genda for the transport sector:</w:t>
            </w:r>
          </w:p>
          <w:p w14:paraId="76CADD5B" w14:textId="77777777" w:rsidR="00DF5D68" w:rsidRPr="00FC4FEB" w:rsidRDefault="00DF5D68" w:rsidP="000A5925">
            <w:pPr>
              <w:pStyle w:val="ListParagraph"/>
              <w:numPr>
                <w:ilvl w:val="0"/>
                <w:numId w:val="57"/>
              </w:numPr>
              <w:ind w:right="180"/>
              <w:jc w:val="both"/>
              <w:rPr>
                <w:rFonts w:ascii="Times New Roman" w:hAnsi="Times New Roman"/>
                <w:sz w:val="20"/>
                <w:szCs w:val="20"/>
              </w:rPr>
            </w:pPr>
            <w:r w:rsidRPr="00FC4FEB">
              <w:rPr>
                <w:rFonts w:ascii="Times New Roman" w:hAnsi="Times New Roman"/>
                <w:sz w:val="20"/>
                <w:szCs w:val="20"/>
              </w:rPr>
              <w:t xml:space="preserve">Enactment of a National Transport Policy (NTP). IRR currently under formulation. Seeks to guide all </w:t>
            </w:r>
            <w:r w:rsidRPr="00FC4FEB">
              <w:rPr>
                <w:rFonts w:ascii="Times New Roman" w:hAnsi="Times New Roman"/>
                <w:sz w:val="20"/>
                <w:szCs w:val="20"/>
              </w:rPr>
              <w:lastRenderedPageBreak/>
              <w:t xml:space="preserve">transport-related agencies in pursuing policy decisions and future investments by setting the parameters for planning at the agency level. </w:t>
            </w:r>
          </w:p>
          <w:p w14:paraId="5F9AF4BA" w14:textId="77777777" w:rsidR="00DF5D68" w:rsidRPr="00FC4FEB" w:rsidRDefault="00DF5D68" w:rsidP="00993030">
            <w:pPr>
              <w:pStyle w:val="ListParagraph"/>
              <w:numPr>
                <w:ilvl w:val="0"/>
                <w:numId w:val="57"/>
              </w:numPr>
              <w:ind w:right="180"/>
              <w:jc w:val="both"/>
              <w:rPr>
                <w:rFonts w:ascii="Times New Roman" w:hAnsi="Times New Roman"/>
                <w:sz w:val="20"/>
                <w:szCs w:val="20"/>
              </w:rPr>
            </w:pPr>
            <w:r w:rsidRPr="00FC4FEB">
              <w:rPr>
                <w:rFonts w:ascii="Times New Roman" w:hAnsi="Times New Roman"/>
                <w:sz w:val="20"/>
                <w:szCs w:val="20"/>
              </w:rPr>
              <w:t xml:space="preserve">Enactment of a Law Creating Independent Regulatory Bodies for Railway and Maritime Transport Sectors. The law aims to address the weak and fragmented institutional set-up of concerned transport agencies by creating respective independent regulatory bodies for the railway sector and maritime transport sector, consistent with the National Transport Policy. The existing dual roles of some agencies acting as both </w:t>
            </w:r>
            <w:r w:rsidR="002979A5" w:rsidRPr="00FC4FEB">
              <w:rPr>
                <w:rFonts w:ascii="Times New Roman" w:hAnsi="Times New Roman"/>
                <w:sz w:val="20"/>
                <w:szCs w:val="20"/>
              </w:rPr>
              <w:t>operator and regulator of transport facilities will be effectively eliminated</w:t>
            </w:r>
          </w:p>
          <w:p w14:paraId="56AB6966" w14:textId="77777777" w:rsidR="002979A5" w:rsidRPr="00FC4FEB" w:rsidRDefault="002979A5" w:rsidP="00993030">
            <w:pPr>
              <w:pStyle w:val="ListParagraph"/>
              <w:numPr>
                <w:ilvl w:val="0"/>
                <w:numId w:val="57"/>
              </w:numPr>
              <w:ind w:right="180"/>
              <w:jc w:val="both"/>
              <w:rPr>
                <w:rFonts w:ascii="Times New Roman" w:hAnsi="Times New Roman"/>
                <w:sz w:val="20"/>
                <w:szCs w:val="20"/>
              </w:rPr>
            </w:pPr>
            <w:r w:rsidRPr="00FC4FEB">
              <w:rPr>
                <w:rFonts w:ascii="Times New Roman" w:hAnsi="Times New Roman"/>
                <w:sz w:val="20"/>
                <w:szCs w:val="20"/>
              </w:rPr>
              <w:t xml:space="preserve">Enactment of a Law Creating an Independent Body for Transport Safety and Security. This law aims to place all transport </w:t>
            </w:r>
            <w:r w:rsidR="00F22A9E" w:rsidRPr="00FC4FEB">
              <w:rPr>
                <w:rFonts w:ascii="Times New Roman" w:hAnsi="Times New Roman"/>
                <w:sz w:val="20"/>
                <w:szCs w:val="20"/>
              </w:rPr>
              <w:t xml:space="preserve">safety recommendations, thereby eliminating conflicting and overlapping </w:t>
            </w:r>
            <w:proofErr w:type="spellStart"/>
            <w:r w:rsidR="00F22A9E" w:rsidRPr="00FC4FEB">
              <w:rPr>
                <w:rFonts w:ascii="Times New Roman" w:hAnsi="Times New Roman"/>
                <w:sz w:val="20"/>
                <w:szCs w:val="20"/>
              </w:rPr>
              <w:t>fucntions</w:t>
            </w:r>
            <w:proofErr w:type="spellEnd"/>
            <w:r w:rsidR="00F22A9E" w:rsidRPr="00FC4FEB">
              <w:rPr>
                <w:rFonts w:ascii="Times New Roman" w:hAnsi="Times New Roman"/>
                <w:sz w:val="20"/>
                <w:szCs w:val="20"/>
              </w:rPr>
              <w:t xml:space="preserve"> of existing agencies or entities.</w:t>
            </w:r>
          </w:p>
          <w:p w14:paraId="08F74221" w14:textId="77777777" w:rsidR="00F22A9E" w:rsidRPr="00FC4FEB" w:rsidRDefault="00F22A9E">
            <w:pPr>
              <w:ind w:right="180"/>
              <w:jc w:val="both"/>
              <w:rPr>
                <w:sz w:val="20"/>
              </w:rPr>
            </w:pPr>
          </w:p>
          <w:p w14:paraId="10B097D3" w14:textId="77777777" w:rsidR="00F22A9E" w:rsidRPr="00FC4FEB" w:rsidRDefault="00AD2268">
            <w:pPr>
              <w:ind w:right="180"/>
              <w:jc w:val="both"/>
              <w:rPr>
                <w:sz w:val="20"/>
              </w:rPr>
            </w:pPr>
            <w:r w:rsidRPr="00FC4FEB">
              <w:rPr>
                <w:sz w:val="20"/>
              </w:rPr>
              <w:t>Formulated t</w:t>
            </w:r>
            <w:r w:rsidR="00F22A9E" w:rsidRPr="00FC4FEB">
              <w:rPr>
                <w:sz w:val="20"/>
              </w:rPr>
              <w:t>he National Logistics Masterplan to address the issues and concerns that affect the competitiveness of the Philippine logistics industry, including the lack of infrastructure and difficulties arising from regulatory bottlenecks.</w:t>
            </w:r>
          </w:p>
          <w:p w14:paraId="61BD3718" w14:textId="77777777" w:rsidR="00F22A9E" w:rsidRPr="00FC4FEB" w:rsidRDefault="00F22A9E">
            <w:pPr>
              <w:ind w:right="180"/>
              <w:jc w:val="both"/>
              <w:rPr>
                <w:sz w:val="20"/>
              </w:rPr>
            </w:pPr>
          </w:p>
          <w:p w14:paraId="32F76B76" w14:textId="77777777" w:rsidR="00F22A9E" w:rsidRPr="00FC4FEB" w:rsidRDefault="00AD2268" w:rsidP="00AD2268">
            <w:pPr>
              <w:ind w:right="180"/>
              <w:jc w:val="both"/>
              <w:rPr>
                <w:sz w:val="20"/>
              </w:rPr>
            </w:pPr>
            <w:r w:rsidRPr="00FC4FEB">
              <w:rPr>
                <w:sz w:val="20"/>
              </w:rPr>
              <w:t>Implementation of t</w:t>
            </w:r>
            <w:r w:rsidR="00F22A9E" w:rsidRPr="00FC4FEB">
              <w:rPr>
                <w:sz w:val="20"/>
              </w:rPr>
              <w:t>he “Build-Build-Build” program to support the government’s policy to increase infrastructure spending. The program specifies the implementation of high-impact infrastructure projects following the program’s three pronged objective of building: (a) more railways, urban mass transport, airports and seaports; (b) more bridges and roads; and (c) new and better cities.</w:t>
            </w:r>
          </w:p>
        </w:tc>
        <w:tc>
          <w:tcPr>
            <w:tcW w:w="5471" w:type="dxa"/>
          </w:tcPr>
          <w:p w14:paraId="58E25C3E" w14:textId="77777777" w:rsidR="006B1C2D" w:rsidRPr="00FC4FEB" w:rsidRDefault="00865552" w:rsidP="00865552">
            <w:pPr>
              <w:spacing w:line="0" w:lineRule="atLeast"/>
              <w:ind w:right="191"/>
              <w:jc w:val="both"/>
              <w:rPr>
                <w:sz w:val="20"/>
              </w:rPr>
            </w:pPr>
            <w:r w:rsidRPr="00FC4FEB">
              <w:rPr>
                <w:sz w:val="20"/>
              </w:rPr>
              <w:lastRenderedPageBreak/>
              <w:t xml:space="preserve">Formulate a Philippine Transport System Master Plan (PTSMP) to ensure a holistic, </w:t>
            </w:r>
            <w:proofErr w:type="spellStart"/>
            <w:r w:rsidRPr="00FC4FEB">
              <w:rPr>
                <w:sz w:val="20"/>
              </w:rPr>
              <w:t>peopleoriented</w:t>
            </w:r>
            <w:proofErr w:type="spellEnd"/>
            <w:r w:rsidRPr="00FC4FEB">
              <w:rPr>
                <w:sz w:val="20"/>
              </w:rPr>
              <w:t xml:space="preserve"> and evidence-based program/project selection process.</w:t>
            </w:r>
          </w:p>
        </w:tc>
      </w:tr>
      <w:tr w:rsidR="00FC4FEB" w:rsidRPr="00FC4FEB" w14:paraId="5BDA2108" w14:textId="77777777" w:rsidTr="00810BCF">
        <w:tc>
          <w:tcPr>
            <w:tcW w:w="3520" w:type="dxa"/>
          </w:tcPr>
          <w:p w14:paraId="471E51B7"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tcPr>
          <w:p w14:paraId="7131BB1C" w14:textId="77777777" w:rsidR="000E615D" w:rsidRPr="00FC4FEB" w:rsidRDefault="00F22A9E" w:rsidP="000A5925">
            <w:pPr>
              <w:spacing w:line="0" w:lineRule="atLeast"/>
              <w:ind w:right="180"/>
              <w:jc w:val="both"/>
              <w:rPr>
                <w:sz w:val="20"/>
              </w:rPr>
            </w:pPr>
            <w:r w:rsidRPr="00FC4FEB">
              <w:rPr>
                <w:sz w:val="20"/>
              </w:rPr>
              <w:t>http://www.neda.gov.ph</w:t>
            </w:r>
          </w:p>
          <w:p w14:paraId="1BE41503" w14:textId="77777777" w:rsidR="00F22A9E" w:rsidRPr="00FC4FEB" w:rsidRDefault="00F22A9E" w:rsidP="000A5925">
            <w:pPr>
              <w:spacing w:line="0" w:lineRule="atLeast"/>
              <w:ind w:right="180"/>
              <w:jc w:val="both"/>
              <w:rPr>
                <w:sz w:val="20"/>
              </w:rPr>
            </w:pPr>
            <w:r w:rsidRPr="00FC4FEB">
              <w:rPr>
                <w:sz w:val="20"/>
              </w:rPr>
              <w:t>http://www.build.gov.ph/</w:t>
            </w:r>
          </w:p>
        </w:tc>
        <w:tc>
          <w:tcPr>
            <w:tcW w:w="5471" w:type="dxa"/>
          </w:tcPr>
          <w:p w14:paraId="1806E70A" w14:textId="77777777" w:rsidR="00505176" w:rsidRPr="00FC4FEB" w:rsidRDefault="00505176" w:rsidP="00CD4015">
            <w:pPr>
              <w:pStyle w:val="Heading9"/>
              <w:jc w:val="both"/>
              <w:rPr>
                <w:rFonts w:ascii="Times New Roman" w:hAnsi="Times New Roman"/>
                <w:b w:val="0"/>
              </w:rPr>
            </w:pPr>
          </w:p>
        </w:tc>
      </w:tr>
      <w:tr w:rsidR="00FC4FEB" w:rsidRPr="00FC4FEB" w14:paraId="159D0DAE" w14:textId="77777777" w:rsidTr="00810BCF">
        <w:tc>
          <w:tcPr>
            <w:tcW w:w="3520" w:type="dxa"/>
          </w:tcPr>
          <w:p w14:paraId="5A3204CC"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tcPr>
          <w:p w14:paraId="4BEEFE98" w14:textId="77777777" w:rsidR="00E80007" w:rsidRPr="00FC4FEB" w:rsidRDefault="00E80007" w:rsidP="000A5925">
            <w:pPr>
              <w:spacing w:line="0" w:lineRule="atLeast"/>
              <w:ind w:right="180"/>
              <w:jc w:val="both"/>
              <w:rPr>
                <w:sz w:val="20"/>
              </w:rPr>
            </w:pPr>
            <w:r w:rsidRPr="00FC4FEB">
              <w:rPr>
                <w:sz w:val="20"/>
              </w:rPr>
              <w:t xml:space="preserve">Jonathan L. </w:t>
            </w:r>
            <w:proofErr w:type="spellStart"/>
            <w:r w:rsidRPr="00FC4FEB">
              <w:rPr>
                <w:sz w:val="20"/>
              </w:rPr>
              <w:t>Uy</w:t>
            </w:r>
            <w:proofErr w:type="spellEnd"/>
          </w:p>
          <w:p w14:paraId="2AA9EA0E" w14:textId="77777777" w:rsidR="00315A2A" w:rsidRPr="00FC4FEB" w:rsidRDefault="00E80007" w:rsidP="000A5925">
            <w:pPr>
              <w:spacing w:line="0" w:lineRule="atLeast"/>
              <w:ind w:right="180"/>
              <w:jc w:val="both"/>
              <w:rPr>
                <w:sz w:val="20"/>
              </w:rPr>
            </w:pPr>
            <w:r w:rsidRPr="00FC4FEB">
              <w:rPr>
                <w:sz w:val="20"/>
              </w:rPr>
              <w:t xml:space="preserve">OIC- Assistant Director General for </w:t>
            </w:r>
            <w:r w:rsidR="00A368DB" w:rsidRPr="00FC4FEB">
              <w:rPr>
                <w:sz w:val="20"/>
              </w:rPr>
              <w:t>P</w:t>
            </w:r>
            <w:r w:rsidRPr="00FC4FEB">
              <w:rPr>
                <w:sz w:val="20"/>
              </w:rPr>
              <w:t xml:space="preserve">rograms and Projects </w:t>
            </w:r>
          </w:p>
          <w:p w14:paraId="5384F6F2" w14:textId="77777777" w:rsidR="00315A2A" w:rsidRPr="00FC4FEB" w:rsidRDefault="00315A2A" w:rsidP="000A5925">
            <w:pPr>
              <w:spacing w:line="0" w:lineRule="atLeast"/>
              <w:ind w:right="180"/>
              <w:jc w:val="both"/>
              <w:rPr>
                <w:sz w:val="20"/>
              </w:rPr>
            </w:pPr>
            <w:r w:rsidRPr="00FC4FEB">
              <w:rPr>
                <w:sz w:val="20"/>
              </w:rPr>
              <w:t>Tel.: (632) 631-0945 loc. 400</w:t>
            </w:r>
          </w:p>
          <w:p w14:paraId="2F029647" w14:textId="77777777" w:rsidR="00315A2A" w:rsidRPr="00FC4FEB" w:rsidRDefault="00315A2A" w:rsidP="000A5925">
            <w:pPr>
              <w:spacing w:line="0" w:lineRule="atLeast"/>
              <w:ind w:right="180"/>
              <w:jc w:val="both"/>
              <w:rPr>
                <w:sz w:val="20"/>
              </w:rPr>
            </w:pPr>
            <w:r w:rsidRPr="00FC4FEB">
              <w:rPr>
                <w:sz w:val="20"/>
              </w:rPr>
              <w:t xml:space="preserve">Email: </w:t>
            </w:r>
            <w:hyperlink r:id="rId29" w:history="1">
              <w:r w:rsidRPr="00FC4FEB">
                <w:rPr>
                  <w:rStyle w:val="Hyperlink"/>
                  <w:color w:val="auto"/>
                  <w:sz w:val="20"/>
                </w:rPr>
                <w:t>JLUy@neda.gov.ph</w:t>
              </w:r>
            </w:hyperlink>
          </w:p>
          <w:p w14:paraId="114BFF02" w14:textId="77777777" w:rsidR="00315A2A" w:rsidRPr="00FC4FEB" w:rsidRDefault="00315A2A" w:rsidP="000A5925">
            <w:pPr>
              <w:spacing w:line="0" w:lineRule="atLeast"/>
              <w:ind w:right="180"/>
              <w:jc w:val="both"/>
              <w:rPr>
                <w:sz w:val="20"/>
              </w:rPr>
            </w:pPr>
          </w:p>
          <w:p w14:paraId="2B82A1B5" w14:textId="77777777" w:rsidR="00315A2A" w:rsidRPr="00FC4FEB" w:rsidRDefault="00315A2A" w:rsidP="00993030">
            <w:pPr>
              <w:spacing w:line="0" w:lineRule="atLeast"/>
              <w:ind w:right="180"/>
              <w:jc w:val="both"/>
              <w:rPr>
                <w:sz w:val="20"/>
              </w:rPr>
            </w:pPr>
            <w:r w:rsidRPr="00FC4FEB">
              <w:rPr>
                <w:sz w:val="20"/>
              </w:rPr>
              <w:t>Carlos Bernardo O. Abad Santos</w:t>
            </w:r>
          </w:p>
          <w:p w14:paraId="4D825626" w14:textId="77777777" w:rsidR="00315A2A" w:rsidRPr="00FC4FEB" w:rsidRDefault="00315A2A" w:rsidP="00993030">
            <w:pPr>
              <w:spacing w:line="0" w:lineRule="atLeast"/>
              <w:ind w:right="180"/>
              <w:jc w:val="both"/>
              <w:rPr>
                <w:sz w:val="20"/>
              </w:rPr>
            </w:pPr>
            <w:r w:rsidRPr="00FC4FEB">
              <w:rPr>
                <w:sz w:val="20"/>
              </w:rPr>
              <w:t>Assistant Director General for Policy and Planning</w:t>
            </w:r>
          </w:p>
          <w:p w14:paraId="1C2FCEE4" w14:textId="77777777" w:rsidR="00315A2A" w:rsidRPr="00FC4FEB" w:rsidRDefault="00315A2A">
            <w:pPr>
              <w:spacing w:line="0" w:lineRule="atLeast"/>
              <w:ind w:right="180"/>
              <w:jc w:val="both"/>
              <w:rPr>
                <w:sz w:val="20"/>
              </w:rPr>
            </w:pPr>
            <w:r w:rsidRPr="00FC4FEB">
              <w:rPr>
                <w:sz w:val="20"/>
              </w:rPr>
              <w:t>Tel. (632) 631-0945 loc. 501</w:t>
            </w:r>
          </w:p>
          <w:p w14:paraId="7120C78F" w14:textId="77777777" w:rsidR="00315A2A" w:rsidRPr="00FC4FEB" w:rsidRDefault="00315A2A">
            <w:pPr>
              <w:spacing w:line="0" w:lineRule="atLeast"/>
              <w:ind w:right="180"/>
              <w:jc w:val="both"/>
              <w:rPr>
                <w:sz w:val="20"/>
              </w:rPr>
            </w:pPr>
            <w:r w:rsidRPr="00FC4FEB">
              <w:rPr>
                <w:sz w:val="20"/>
              </w:rPr>
              <w:t xml:space="preserve">Email: COAbadSantos@neda.gov.ph  </w:t>
            </w:r>
          </w:p>
          <w:p w14:paraId="1194A4C6" w14:textId="77777777" w:rsidR="00315A2A" w:rsidRPr="00FC4FEB" w:rsidRDefault="00315A2A">
            <w:pPr>
              <w:spacing w:line="0" w:lineRule="atLeast"/>
              <w:ind w:right="180"/>
              <w:jc w:val="both"/>
              <w:rPr>
                <w:sz w:val="20"/>
              </w:rPr>
            </w:pPr>
          </w:p>
          <w:p w14:paraId="0E820218" w14:textId="77777777" w:rsidR="00315A2A" w:rsidRPr="00FC4FEB" w:rsidRDefault="00315A2A">
            <w:pPr>
              <w:spacing w:line="0" w:lineRule="atLeast"/>
              <w:ind w:right="180"/>
              <w:jc w:val="both"/>
              <w:rPr>
                <w:sz w:val="20"/>
              </w:rPr>
            </w:pPr>
            <w:r w:rsidRPr="00FC4FEB">
              <w:rPr>
                <w:sz w:val="20"/>
              </w:rPr>
              <w:t>Roderick M. Planta</w:t>
            </w:r>
          </w:p>
          <w:p w14:paraId="2C97151B" w14:textId="77777777" w:rsidR="00315A2A" w:rsidRPr="00FC4FEB" w:rsidRDefault="00315A2A">
            <w:pPr>
              <w:spacing w:line="0" w:lineRule="atLeast"/>
              <w:ind w:right="180"/>
              <w:jc w:val="both"/>
              <w:rPr>
                <w:sz w:val="20"/>
              </w:rPr>
            </w:pPr>
            <w:r w:rsidRPr="00FC4FEB">
              <w:rPr>
                <w:sz w:val="20"/>
              </w:rPr>
              <w:t>Director IV, Infrastructure Staff</w:t>
            </w:r>
          </w:p>
          <w:p w14:paraId="3B11841A" w14:textId="77777777" w:rsidR="00315A2A" w:rsidRPr="00FC4FEB" w:rsidRDefault="00315A2A">
            <w:pPr>
              <w:spacing w:line="0" w:lineRule="atLeast"/>
              <w:ind w:right="180"/>
              <w:jc w:val="both"/>
              <w:rPr>
                <w:sz w:val="20"/>
              </w:rPr>
            </w:pPr>
            <w:r w:rsidRPr="00FC4FEB">
              <w:rPr>
                <w:sz w:val="20"/>
              </w:rPr>
              <w:t>Tel. (632) 631-3724</w:t>
            </w:r>
          </w:p>
          <w:p w14:paraId="2A05A460" w14:textId="77777777" w:rsidR="00315A2A" w:rsidRPr="00FC4FEB" w:rsidRDefault="00315A2A">
            <w:pPr>
              <w:spacing w:line="0" w:lineRule="atLeast"/>
              <w:ind w:right="180"/>
              <w:jc w:val="both"/>
              <w:rPr>
                <w:sz w:val="20"/>
              </w:rPr>
            </w:pPr>
            <w:r w:rsidRPr="00FC4FEB">
              <w:rPr>
                <w:sz w:val="20"/>
              </w:rPr>
              <w:t>Fax: (632) 631-2188</w:t>
            </w:r>
          </w:p>
          <w:p w14:paraId="357FC2EE" w14:textId="77777777" w:rsidR="00315A2A" w:rsidRPr="00FC4FEB" w:rsidRDefault="00315A2A">
            <w:pPr>
              <w:spacing w:line="0" w:lineRule="atLeast"/>
              <w:ind w:right="180"/>
              <w:jc w:val="both"/>
              <w:rPr>
                <w:sz w:val="20"/>
              </w:rPr>
            </w:pPr>
            <w:r w:rsidRPr="00FC4FEB">
              <w:rPr>
                <w:sz w:val="20"/>
              </w:rPr>
              <w:t xml:space="preserve">Email: </w:t>
            </w:r>
            <w:hyperlink r:id="rId30" w:history="1">
              <w:r w:rsidRPr="00FC4FEB">
                <w:rPr>
                  <w:rStyle w:val="Hyperlink"/>
                  <w:color w:val="auto"/>
                  <w:sz w:val="20"/>
                </w:rPr>
                <w:t>RMPlanta@neda.gov.ph</w:t>
              </w:r>
            </w:hyperlink>
          </w:p>
          <w:p w14:paraId="0165E5F4" w14:textId="77777777" w:rsidR="00315A2A" w:rsidRPr="00FC4FEB" w:rsidRDefault="00315A2A">
            <w:pPr>
              <w:spacing w:line="0" w:lineRule="atLeast"/>
              <w:ind w:right="180"/>
              <w:jc w:val="both"/>
              <w:rPr>
                <w:sz w:val="20"/>
              </w:rPr>
            </w:pPr>
          </w:p>
          <w:p w14:paraId="3D336BAD" w14:textId="77777777" w:rsidR="00315A2A" w:rsidRPr="00FC4FEB" w:rsidRDefault="00315A2A">
            <w:pPr>
              <w:spacing w:line="0" w:lineRule="atLeast"/>
              <w:ind w:right="180"/>
              <w:jc w:val="both"/>
              <w:rPr>
                <w:sz w:val="20"/>
              </w:rPr>
            </w:pPr>
            <w:r w:rsidRPr="00FC4FEB">
              <w:rPr>
                <w:sz w:val="20"/>
              </w:rPr>
              <w:t>Thelma C. Manuel</w:t>
            </w:r>
          </w:p>
          <w:p w14:paraId="78B6A1DD" w14:textId="77777777" w:rsidR="00315A2A" w:rsidRPr="00FC4FEB" w:rsidRDefault="00315A2A">
            <w:pPr>
              <w:spacing w:line="0" w:lineRule="atLeast"/>
              <w:ind w:right="180"/>
              <w:jc w:val="both"/>
              <w:rPr>
                <w:sz w:val="20"/>
              </w:rPr>
            </w:pPr>
            <w:r w:rsidRPr="00FC4FEB">
              <w:rPr>
                <w:sz w:val="20"/>
              </w:rPr>
              <w:t>OIC-Director, Governance Staff</w:t>
            </w:r>
          </w:p>
          <w:p w14:paraId="116C94AC" w14:textId="77777777" w:rsidR="00315A2A" w:rsidRPr="00FC4FEB" w:rsidRDefault="00315A2A">
            <w:pPr>
              <w:spacing w:line="0" w:lineRule="atLeast"/>
              <w:ind w:right="180"/>
              <w:jc w:val="both"/>
              <w:rPr>
                <w:sz w:val="20"/>
              </w:rPr>
            </w:pPr>
            <w:r w:rsidRPr="00FC4FEB">
              <w:rPr>
                <w:sz w:val="20"/>
              </w:rPr>
              <w:t>Tel: (632) 631-3733</w:t>
            </w:r>
          </w:p>
          <w:p w14:paraId="0D9047DB" w14:textId="77777777" w:rsidR="00315A2A" w:rsidRPr="00FC4FEB" w:rsidRDefault="00315A2A">
            <w:pPr>
              <w:spacing w:line="0" w:lineRule="atLeast"/>
              <w:ind w:right="180"/>
              <w:jc w:val="both"/>
              <w:rPr>
                <w:sz w:val="20"/>
              </w:rPr>
            </w:pPr>
            <w:r w:rsidRPr="00FC4FEB">
              <w:rPr>
                <w:sz w:val="20"/>
              </w:rPr>
              <w:t>Fax: (632) 631-3746</w:t>
            </w:r>
          </w:p>
          <w:p w14:paraId="732146F7" w14:textId="77777777" w:rsidR="00315A2A" w:rsidRPr="00FC4FEB" w:rsidRDefault="00315A2A">
            <w:pPr>
              <w:spacing w:line="0" w:lineRule="atLeast"/>
              <w:ind w:right="180"/>
              <w:jc w:val="both"/>
              <w:rPr>
                <w:sz w:val="20"/>
              </w:rPr>
            </w:pPr>
            <w:r w:rsidRPr="00FC4FEB">
              <w:rPr>
                <w:sz w:val="20"/>
              </w:rPr>
              <w:t>Email: tcmanuel@neda.gov.ph</w:t>
            </w:r>
          </w:p>
          <w:p w14:paraId="5EAC6A97" w14:textId="77777777" w:rsidR="00315A2A" w:rsidRPr="00FC4FEB" w:rsidRDefault="00315A2A">
            <w:pPr>
              <w:spacing w:line="0" w:lineRule="atLeast"/>
              <w:ind w:right="180"/>
              <w:jc w:val="both"/>
              <w:rPr>
                <w:sz w:val="20"/>
              </w:rPr>
            </w:pPr>
          </w:p>
          <w:p w14:paraId="1781FC3F" w14:textId="77777777" w:rsidR="00E80007" w:rsidRPr="00FC4FEB" w:rsidRDefault="00E80007">
            <w:pPr>
              <w:spacing w:line="0" w:lineRule="atLeast"/>
              <w:ind w:right="180"/>
              <w:jc w:val="both"/>
              <w:rPr>
                <w:sz w:val="20"/>
              </w:rPr>
            </w:pPr>
            <w:r w:rsidRPr="00FC4FEB">
              <w:rPr>
                <w:sz w:val="20"/>
              </w:rPr>
              <w:t>National Economic and Development Authority (NEDA)</w:t>
            </w:r>
          </w:p>
          <w:p w14:paraId="70B6CB1C" w14:textId="77777777" w:rsidR="00E80007" w:rsidRPr="00FC4FEB" w:rsidRDefault="00E80007">
            <w:pPr>
              <w:spacing w:line="0" w:lineRule="atLeast"/>
              <w:ind w:right="180"/>
              <w:jc w:val="both"/>
              <w:rPr>
                <w:sz w:val="20"/>
              </w:rPr>
            </w:pPr>
            <w:r w:rsidRPr="00FC4FEB">
              <w:rPr>
                <w:sz w:val="20"/>
              </w:rPr>
              <w:t>1</w:t>
            </w:r>
            <w:r w:rsidR="00315A2A" w:rsidRPr="00FC4FEB">
              <w:rPr>
                <w:sz w:val="20"/>
              </w:rPr>
              <w:t xml:space="preserve">2 Saint </w:t>
            </w:r>
            <w:proofErr w:type="spellStart"/>
            <w:r w:rsidR="00315A2A" w:rsidRPr="00FC4FEB">
              <w:rPr>
                <w:sz w:val="20"/>
              </w:rPr>
              <w:t>Josemaria</w:t>
            </w:r>
            <w:proofErr w:type="spellEnd"/>
            <w:r w:rsidR="00315A2A" w:rsidRPr="00FC4FEB">
              <w:rPr>
                <w:sz w:val="20"/>
              </w:rPr>
              <w:t xml:space="preserve"> </w:t>
            </w:r>
            <w:proofErr w:type="spellStart"/>
            <w:r w:rsidR="00315A2A" w:rsidRPr="00FC4FEB">
              <w:rPr>
                <w:sz w:val="20"/>
              </w:rPr>
              <w:t>Escriva</w:t>
            </w:r>
            <w:proofErr w:type="spellEnd"/>
            <w:r w:rsidR="00315A2A" w:rsidRPr="00FC4FEB">
              <w:rPr>
                <w:sz w:val="20"/>
              </w:rPr>
              <w:t xml:space="preserve"> Drive</w:t>
            </w:r>
          </w:p>
          <w:p w14:paraId="2F9AE34A" w14:textId="77777777" w:rsidR="000E615D" w:rsidRPr="00FC4FEB" w:rsidRDefault="00E80007">
            <w:pPr>
              <w:spacing w:line="0" w:lineRule="atLeast"/>
              <w:ind w:right="180"/>
              <w:jc w:val="both"/>
              <w:rPr>
                <w:sz w:val="20"/>
              </w:rPr>
            </w:pPr>
            <w:r w:rsidRPr="00FC4FEB">
              <w:rPr>
                <w:sz w:val="20"/>
              </w:rPr>
              <w:t>Pasig City, Philippines</w:t>
            </w:r>
          </w:p>
        </w:tc>
        <w:tc>
          <w:tcPr>
            <w:tcW w:w="5471" w:type="dxa"/>
          </w:tcPr>
          <w:p w14:paraId="640E59EF" w14:textId="77777777" w:rsidR="00505176" w:rsidRPr="00FC4FEB" w:rsidRDefault="00505176" w:rsidP="00CD4015">
            <w:pPr>
              <w:pStyle w:val="Heading9"/>
              <w:jc w:val="both"/>
              <w:rPr>
                <w:rFonts w:ascii="Times New Roman" w:hAnsi="Times New Roman"/>
                <w:b w:val="0"/>
              </w:rPr>
            </w:pPr>
          </w:p>
        </w:tc>
      </w:tr>
      <w:tr w:rsidR="00FC4FEB" w:rsidRPr="00FC4FEB" w14:paraId="1FB9B9A3" w14:textId="77777777" w:rsidTr="00810BCF">
        <w:tc>
          <w:tcPr>
            <w:tcW w:w="3520" w:type="dxa"/>
          </w:tcPr>
          <w:p w14:paraId="4522763F" w14:textId="77777777" w:rsidR="00505176" w:rsidRPr="00FC4FEB" w:rsidRDefault="000E615D" w:rsidP="00CD4015">
            <w:pPr>
              <w:jc w:val="both"/>
              <w:rPr>
                <w:b/>
                <w:i/>
                <w:sz w:val="20"/>
              </w:rPr>
            </w:pPr>
            <w:bookmarkStart w:id="31" w:name="Row11"/>
            <w:r w:rsidRPr="00FC4FEB">
              <w:rPr>
                <w:b/>
                <w:i/>
                <w:sz w:val="20"/>
              </w:rPr>
              <w:t>Implementation of WTO Obligations/ROOs</w:t>
            </w:r>
            <w:bookmarkEnd w:id="31"/>
          </w:p>
          <w:p w14:paraId="561F24E7" w14:textId="77777777" w:rsidR="00505176" w:rsidRPr="00FC4FEB" w:rsidRDefault="00505176" w:rsidP="00CD4015">
            <w:pPr>
              <w:jc w:val="both"/>
              <w:rPr>
                <w:b/>
                <w:i/>
                <w:sz w:val="20"/>
              </w:rPr>
            </w:pPr>
          </w:p>
        </w:tc>
        <w:tc>
          <w:tcPr>
            <w:tcW w:w="5573" w:type="dxa"/>
            <w:vAlign w:val="bottom"/>
          </w:tcPr>
          <w:p w14:paraId="03D79FD7" w14:textId="77777777" w:rsidR="00E80007" w:rsidRPr="00FC4FEB" w:rsidRDefault="00D146B6" w:rsidP="000A5925">
            <w:pPr>
              <w:pStyle w:val="NoSpacing"/>
              <w:ind w:right="180"/>
              <w:jc w:val="both"/>
              <w:rPr>
                <w:rFonts w:ascii="Times New Roman" w:hAnsi="Times New Roman" w:cs="Times New Roman"/>
                <w:sz w:val="20"/>
                <w:szCs w:val="20"/>
              </w:rPr>
            </w:pPr>
            <w:bookmarkStart w:id="32" w:name="Cell21"/>
            <w:bookmarkEnd w:id="32"/>
            <w:r w:rsidRPr="00FC4FEB">
              <w:rPr>
                <w:rFonts w:ascii="Times New Roman" w:hAnsi="Times New Roman" w:cs="Times New Roman"/>
                <w:sz w:val="20"/>
                <w:szCs w:val="20"/>
              </w:rPr>
              <w:t>Submitted the</w:t>
            </w:r>
            <w:r w:rsidR="00E80007" w:rsidRPr="00FC4FEB">
              <w:rPr>
                <w:rFonts w:ascii="Times New Roman" w:hAnsi="Times New Roman" w:cs="Times New Roman"/>
                <w:sz w:val="20"/>
                <w:szCs w:val="20"/>
              </w:rPr>
              <w:t xml:space="preserve"> annual notification e on Import Licensing Procedures (ILP) as required under Articles 1.4 (A) and 8.2(B); Article 7.3; and Article 5 of the WTO Agreement on ILP.</w:t>
            </w:r>
          </w:p>
          <w:p w14:paraId="021BC07E" w14:textId="77777777" w:rsidR="00D146B6" w:rsidRPr="00FC4FEB" w:rsidRDefault="00D146B6" w:rsidP="000A5925">
            <w:pPr>
              <w:pStyle w:val="NoSpacing"/>
              <w:ind w:right="180"/>
              <w:jc w:val="both"/>
              <w:rPr>
                <w:rFonts w:ascii="Times New Roman" w:hAnsi="Times New Roman" w:cs="Times New Roman"/>
                <w:sz w:val="20"/>
                <w:szCs w:val="20"/>
              </w:rPr>
            </w:pPr>
          </w:p>
          <w:p w14:paraId="7DB45CE3" w14:textId="77777777" w:rsidR="00E80007" w:rsidRPr="00FC4FEB" w:rsidRDefault="0099359C" w:rsidP="000A5925">
            <w:pPr>
              <w:pStyle w:val="NoSpacing"/>
              <w:ind w:right="180"/>
              <w:jc w:val="both"/>
              <w:rPr>
                <w:rFonts w:ascii="Times New Roman" w:hAnsi="Times New Roman" w:cs="Times New Roman"/>
                <w:sz w:val="20"/>
                <w:szCs w:val="20"/>
              </w:rPr>
            </w:pPr>
            <w:r w:rsidRPr="00FC4FEB">
              <w:rPr>
                <w:rFonts w:ascii="Times New Roman" w:hAnsi="Times New Roman" w:cs="Times New Roman"/>
                <w:sz w:val="20"/>
                <w:szCs w:val="20"/>
              </w:rPr>
              <w:t xml:space="preserve">Submitted a full notification according to Article 25.1 </w:t>
            </w:r>
            <w:proofErr w:type="spellStart"/>
            <w:r w:rsidRPr="00FC4FEB">
              <w:rPr>
                <w:rFonts w:ascii="Times New Roman" w:hAnsi="Times New Roman" w:cs="Times New Roman"/>
                <w:sz w:val="20"/>
                <w:szCs w:val="20"/>
              </w:rPr>
              <w:t>od</w:t>
            </w:r>
            <w:proofErr w:type="spellEnd"/>
            <w:r w:rsidRPr="00FC4FEB">
              <w:rPr>
                <w:rFonts w:ascii="Times New Roman" w:hAnsi="Times New Roman" w:cs="Times New Roman"/>
                <w:sz w:val="20"/>
                <w:szCs w:val="20"/>
              </w:rPr>
              <w:t xml:space="preserve"> the Subsidies and Countervailing Measures Agreement. </w:t>
            </w:r>
          </w:p>
          <w:p w14:paraId="0B5C7CBD" w14:textId="77777777" w:rsidR="00E80007" w:rsidRPr="00FC4FEB" w:rsidRDefault="00E80007" w:rsidP="000A5925">
            <w:pPr>
              <w:pStyle w:val="NoSpacing"/>
              <w:ind w:right="180"/>
              <w:jc w:val="both"/>
              <w:rPr>
                <w:rFonts w:ascii="Times New Roman" w:hAnsi="Times New Roman" w:cs="Times New Roman"/>
                <w:sz w:val="20"/>
                <w:szCs w:val="20"/>
              </w:rPr>
            </w:pPr>
          </w:p>
          <w:p w14:paraId="762A040C" w14:textId="77777777" w:rsidR="00E80007" w:rsidRPr="00FC4FEB" w:rsidRDefault="00E80007" w:rsidP="000A5925">
            <w:pPr>
              <w:pStyle w:val="NoSpacing"/>
              <w:ind w:right="180"/>
              <w:jc w:val="both"/>
              <w:rPr>
                <w:rFonts w:ascii="Times New Roman" w:hAnsi="Times New Roman" w:cs="Times New Roman"/>
                <w:sz w:val="20"/>
                <w:szCs w:val="20"/>
              </w:rPr>
            </w:pPr>
            <w:r w:rsidRPr="00FC4FEB">
              <w:rPr>
                <w:rFonts w:ascii="Times New Roman" w:hAnsi="Times New Roman" w:cs="Times New Roman"/>
                <w:sz w:val="20"/>
                <w:szCs w:val="20"/>
              </w:rPr>
              <w:t>Submitted the notification requirements mandated under the covered WTO Agreements, among others, on:</w:t>
            </w:r>
          </w:p>
          <w:p w14:paraId="44EA32B3" w14:textId="77777777" w:rsidR="00E80007" w:rsidRPr="00FC4FEB" w:rsidRDefault="00E80007" w:rsidP="00993030">
            <w:pPr>
              <w:pStyle w:val="NoSpacing"/>
              <w:numPr>
                <w:ilvl w:val="0"/>
                <w:numId w:val="51"/>
              </w:numPr>
              <w:ind w:right="180"/>
              <w:jc w:val="both"/>
              <w:rPr>
                <w:rFonts w:ascii="Times New Roman" w:hAnsi="Times New Roman" w:cs="Times New Roman"/>
                <w:sz w:val="20"/>
                <w:szCs w:val="20"/>
              </w:rPr>
            </w:pPr>
            <w:r w:rsidRPr="00FC4FEB">
              <w:rPr>
                <w:rFonts w:ascii="Times New Roman" w:hAnsi="Times New Roman" w:cs="Times New Roman"/>
                <w:sz w:val="20"/>
                <w:szCs w:val="20"/>
              </w:rPr>
              <w:t>Anti-Dumping;</w:t>
            </w:r>
          </w:p>
          <w:p w14:paraId="67A7DE0F" w14:textId="77777777" w:rsidR="00E80007" w:rsidRPr="00FC4FEB" w:rsidRDefault="00E80007" w:rsidP="00993030">
            <w:pPr>
              <w:pStyle w:val="NoSpacing"/>
              <w:numPr>
                <w:ilvl w:val="0"/>
                <w:numId w:val="51"/>
              </w:numPr>
              <w:ind w:right="180"/>
              <w:jc w:val="both"/>
              <w:rPr>
                <w:rFonts w:ascii="Times New Roman" w:hAnsi="Times New Roman" w:cs="Times New Roman"/>
                <w:sz w:val="20"/>
                <w:szCs w:val="20"/>
              </w:rPr>
            </w:pPr>
            <w:r w:rsidRPr="00FC4FEB">
              <w:rPr>
                <w:rFonts w:ascii="Times New Roman" w:hAnsi="Times New Roman" w:cs="Times New Roman"/>
                <w:sz w:val="20"/>
                <w:szCs w:val="20"/>
              </w:rPr>
              <w:t>Safeguards;</w:t>
            </w:r>
          </w:p>
          <w:p w14:paraId="2DFEC7E8" w14:textId="77777777" w:rsidR="00E80007" w:rsidRPr="00FC4FEB" w:rsidRDefault="00E80007">
            <w:pPr>
              <w:pStyle w:val="NoSpacing"/>
              <w:numPr>
                <w:ilvl w:val="0"/>
                <w:numId w:val="51"/>
              </w:numPr>
              <w:ind w:right="180"/>
              <w:jc w:val="both"/>
              <w:rPr>
                <w:rFonts w:ascii="Times New Roman" w:hAnsi="Times New Roman" w:cs="Times New Roman"/>
                <w:sz w:val="20"/>
                <w:szCs w:val="20"/>
              </w:rPr>
            </w:pPr>
            <w:r w:rsidRPr="00FC4FEB">
              <w:rPr>
                <w:rFonts w:ascii="Times New Roman" w:hAnsi="Times New Roman" w:cs="Times New Roman"/>
                <w:sz w:val="20"/>
                <w:szCs w:val="20"/>
              </w:rPr>
              <w:t xml:space="preserve">Sanitary and </w:t>
            </w:r>
            <w:proofErr w:type="spellStart"/>
            <w:r w:rsidRPr="00FC4FEB">
              <w:rPr>
                <w:rFonts w:ascii="Times New Roman" w:hAnsi="Times New Roman" w:cs="Times New Roman"/>
                <w:sz w:val="20"/>
                <w:szCs w:val="20"/>
              </w:rPr>
              <w:t>Phyto</w:t>
            </w:r>
            <w:proofErr w:type="spellEnd"/>
            <w:r w:rsidRPr="00FC4FEB">
              <w:rPr>
                <w:rFonts w:ascii="Times New Roman" w:hAnsi="Times New Roman" w:cs="Times New Roman"/>
                <w:sz w:val="20"/>
                <w:szCs w:val="20"/>
              </w:rPr>
              <w:t>-Sanitary Measures; and</w:t>
            </w:r>
          </w:p>
          <w:p w14:paraId="2247DCAF" w14:textId="77777777" w:rsidR="000E615D" w:rsidRPr="00FC4FEB" w:rsidRDefault="00E80007">
            <w:pPr>
              <w:pStyle w:val="NoSpacing"/>
              <w:numPr>
                <w:ilvl w:val="0"/>
                <w:numId w:val="51"/>
              </w:numPr>
              <w:ind w:right="180"/>
              <w:jc w:val="both"/>
              <w:rPr>
                <w:rFonts w:ascii="Times New Roman" w:hAnsi="Times New Roman" w:cs="Times New Roman"/>
                <w:sz w:val="20"/>
                <w:szCs w:val="20"/>
              </w:rPr>
            </w:pPr>
            <w:r w:rsidRPr="00FC4FEB">
              <w:rPr>
                <w:rFonts w:ascii="Times New Roman" w:hAnsi="Times New Roman" w:cs="Times New Roman"/>
                <w:sz w:val="20"/>
                <w:szCs w:val="20"/>
              </w:rPr>
              <w:t>Technical Barriers to Trade</w:t>
            </w:r>
          </w:p>
          <w:p w14:paraId="39E9F167" w14:textId="77777777" w:rsidR="00D146B6" w:rsidRPr="00FC4FEB" w:rsidRDefault="00D146B6" w:rsidP="005702C8">
            <w:pPr>
              <w:pStyle w:val="NoSpacing"/>
              <w:ind w:left="720" w:right="180"/>
              <w:jc w:val="both"/>
              <w:rPr>
                <w:rFonts w:ascii="Times New Roman" w:hAnsi="Times New Roman" w:cs="Times New Roman"/>
                <w:sz w:val="20"/>
                <w:szCs w:val="20"/>
              </w:rPr>
            </w:pPr>
          </w:p>
          <w:p w14:paraId="5EDECF5D" w14:textId="77777777" w:rsidR="000E615D" w:rsidRPr="00FC4FEB" w:rsidRDefault="00D146B6">
            <w:pPr>
              <w:pStyle w:val="NoSpacing"/>
              <w:ind w:right="180"/>
              <w:jc w:val="both"/>
              <w:rPr>
                <w:rFonts w:ascii="Times New Roman" w:hAnsi="Times New Roman" w:cs="Times New Roman"/>
                <w:sz w:val="20"/>
                <w:szCs w:val="20"/>
              </w:rPr>
            </w:pPr>
            <w:r w:rsidRPr="00FC4FEB">
              <w:rPr>
                <w:rFonts w:ascii="Times New Roman" w:hAnsi="Times New Roman" w:cs="Times New Roman"/>
                <w:sz w:val="20"/>
                <w:szCs w:val="20"/>
              </w:rPr>
              <w:t>Preparations for the PH 5th Trade Policy Review (TPR)</w:t>
            </w:r>
            <w:r w:rsidR="0099359C" w:rsidRPr="00FC4FEB">
              <w:rPr>
                <w:rFonts w:ascii="Times New Roman" w:hAnsi="Times New Roman" w:cs="Times New Roman"/>
                <w:sz w:val="20"/>
                <w:szCs w:val="20"/>
              </w:rPr>
              <w:t xml:space="preserve"> </w:t>
            </w:r>
            <w:proofErr w:type="gramStart"/>
            <w:r w:rsidR="0099359C" w:rsidRPr="00FC4FEB">
              <w:rPr>
                <w:rFonts w:ascii="Times New Roman" w:hAnsi="Times New Roman" w:cs="Times New Roman"/>
                <w:sz w:val="20"/>
                <w:szCs w:val="20"/>
              </w:rPr>
              <w:t xml:space="preserve">are </w:t>
            </w:r>
            <w:r w:rsidRPr="00FC4FEB">
              <w:rPr>
                <w:rFonts w:ascii="Times New Roman" w:hAnsi="Times New Roman" w:cs="Times New Roman"/>
                <w:sz w:val="20"/>
                <w:szCs w:val="20"/>
              </w:rPr>
              <w:t xml:space="preserve"> ongoing</w:t>
            </w:r>
            <w:proofErr w:type="gramEnd"/>
            <w:r w:rsidRPr="00FC4FEB">
              <w:rPr>
                <w:rFonts w:ascii="Times New Roman" w:hAnsi="Times New Roman" w:cs="Times New Roman"/>
                <w:sz w:val="20"/>
                <w:szCs w:val="20"/>
              </w:rPr>
              <w:t>.</w:t>
            </w:r>
          </w:p>
          <w:p w14:paraId="24C5FF8C" w14:textId="77777777" w:rsidR="0099359C" w:rsidRPr="00FC4FEB" w:rsidRDefault="0099359C">
            <w:pPr>
              <w:pStyle w:val="NoSpacing"/>
              <w:ind w:right="180"/>
              <w:jc w:val="both"/>
              <w:rPr>
                <w:rFonts w:ascii="Times New Roman" w:hAnsi="Times New Roman" w:cs="Times New Roman"/>
                <w:sz w:val="20"/>
                <w:szCs w:val="20"/>
              </w:rPr>
            </w:pPr>
          </w:p>
          <w:p w14:paraId="5AE972C0" w14:textId="77777777" w:rsidR="0099359C" w:rsidRPr="00FC4FEB" w:rsidRDefault="0099359C">
            <w:pPr>
              <w:pStyle w:val="NoSpacing"/>
              <w:ind w:right="180"/>
              <w:jc w:val="both"/>
              <w:rPr>
                <w:rFonts w:ascii="Times New Roman" w:hAnsi="Times New Roman" w:cs="Times New Roman"/>
                <w:sz w:val="20"/>
                <w:szCs w:val="20"/>
              </w:rPr>
            </w:pPr>
            <w:r w:rsidRPr="00FC4FEB">
              <w:rPr>
                <w:rFonts w:ascii="Times New Roman" w:hAnsi="Times New Roman" w:cs="Times New Roman"/>
                <w:sz w:val="20"/>
                <w:szCs w:val="20"/>
              </w:rPr>
              <w:t>Requested in July 2017 WTO dispute settlement consultations with Thailand to address Thailand’s compliance with the DS371 ruling on Thai measures imposed on imports of c</w:t>
            </w:r>
            <w:r w:rsidR="00AC4F3B" w:rsidRPr="00FC4FEB">
              <w:rPr>
                <w:rFonts w:ascii="Times New Roman" w:hAnsi="Times New Roman" w:cs="Times New Roman"/>
                <w:sz w:val="20"/>
                <w:szCs w:val="20"/>
              </w:rPr>
              <w:t>igarettes from the Philippines.</w:t>
            </w:r>
          </w:p>
        </w:tc>
        <w:tc>
          <w:tcPr>
            <w:tcW w:w="5471" w:type="dxa"/>
          </w:tcPr>
          <w:p w14:paraId="48E4283C" w14:textId="77777777" w:rsidR="00E80007" w:rsidRPr="00FC4FEB" w:rsidRDefault="003E396F">
            <w:pPr>
              <w:spacing w:line="223" w:lineRule="exact"/>
              <w:ind w:right="191"/>
              <w:jc w:val="both"/>
              <w:rPr>
                <w:sz w:val="20"/>
              </w:rPr>
            </w:pPr>
            <w:r w:rsidRPr="00FC4FEB">
              <w:rPr>
                <w:sz w:val="20"/>
              </w:rPr>
              <w:lastRenderedPageBreak/>
              <w:t>P</w:t>
            </w:r>
            <w:r w:rsidR="00E80007" w:rsidRPr="00FC4FEB">
              <w:rPr>
                <w:sz w:val="20"/>
              </w:rPr>
              <w:t>articipate actively in the 11th Session of the WTO Ministerial Conference (MC1) to be held on 10-13 December 2017 in   Buenos Aires, Argentina.</w:t>
            </w:r>
          </w:p>
          <w:p w14:paraId="73E862A1" w14:textId="77777777" w:rsidR="00E80007" w:rsidRPr="00FC4FEB" w:rsidRDefault="00E80007">
            <w:pPr>
              <w:spacing w:line="223" w:lineRule="exact"/>
              <w:ind w:right="191"/>
              <w:jc w:val="both"/>
              <w:rPr>
                <w:sz w:val="20"/>
              </w:rPr>
            </w:pPr>
          </w:p>
          <w:p w14:paraId="351CBCB7" w14:textId="77777777" w:rsidR="00E80007" w:rsidRPr="00FC4FEB" w:rsidRDefault="00E80007">
            <w:pPr>
              <w:spacing w:line="223" w:lineRule="exact"/>
              <w:ind w:right="191"/>
              <w:jc w:val="both"/>
              <w:rPr>
                <w:sz w:val="20"/>
              </w:rPr>
            </w:pPr>
            <w:r w:rsidRPr="00FC4FEB">
              <w:rPr>
                <w:sz w:val="20"/>
              </w:rPr>
              <w:t>Submi</w:t>
            </w:r>
            <w:r w:rsidR="0099359C" w:rsidRPr="00FC4FEB">
              <w:rPr>
                <w:sz w:val="20"/>
              </w:rPr>
              <w:t xml:space="preserve">t </w:t>
            </w:r>
            <w:r w:rsidRPr="00FC4FEB">
              <w:rPr>
                <w:sz w:val="20"/>
              </w:rPr>
              <w:t>notification requirements within the</w:t>
            </w:r>
          </w:p>
          <w:p w14:paraId="2A8086A2" w14:textId="77777777" w:rsidR="000E615D" w:rsidRPr="00FC4FEB" w:rsidRDefault="00E80007">
            <w:pPr>
              <w:spacing w:line="223" w:lineRule="exact"/>
              <w:ind w:right="191"/>
              <w:jc w:val="both"/>
              <w:rPr>
                <w:i/>
                <w:sz w:val="20"/>
              </w:rPr>
            </w:pPr>
            <w:r w:rsidRPr="00FC4FEB">
              <w:rPr>
                <w:sz w:val="20"/>
              </w:rPr>
              <w:t>prescribed period.</w:t>
            </w:r>
          </w:p>
        </w:tc>
      </w:tr>
      <w:tr w:rsidR="00FC4FEB" w:rsidRPr="00FC4FEB" w14:paraId="4942DD84" w14:textId="77777777" w:rsidTr="00810BCF">
        <w:tc>
          <w:tcPr>
            <w:tcW w:w="3520" w:type="dxa"/>
          </w:tcPr>
          <w:p w14:paraId="33137250"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vAlign w:val="bottom"/>
          </w:tcPr>
          <w:p w14:paraId="0C154793" w14:textId="77777777" w:rsidR="000E615D" w:rsidRPr="00FC4FEB" w:rsidRDefault="00E80007" w:rsidP="000A5925">
            <w:pPr>
              <w:spacing w:line="0" w:lineRule="atLeast"/>
              <w:ind w:right="180"/>
              <w:jc w:val="both"/>
              <w:rPr>
                <w:rFonts w:eastAsia="Times New Roman"/>
                <w:sz w:val="20"/>
              </w:rPr>
            </w:pPr>
            <w:r w:rsidRPr="00FC4FEB">
              <w:rPr>
                <w:rFonts w:eastAsia="Times New Roman"/>
                <w:sz w:val="20"/>
              </w:rPr>
              <w:t>https://www.wto.org/</w:t>
            </w:r>
          </w:p>
        </w:tc>
        <w:tc>
          <w:tcPr>
            <w:tcW w:w="5471" w:type="dxa"/>
          </w:tcPr>
          <w:p w14:paraId="27678415" w14:textId="77777777" w:rsidR="00505176" w:rsidRPr="00FC4FEB" w:rsidRDefault="00505176" w:rsidP="00CD4015">
            <w:pPr>
              <w:pStyle w:val="Heading9"/>
              <w:jc w:val="both"/>
              <w:rPr>
                <w:rFonts w:ascii="Times New Roman" w:hAnsi="Times New Roman"/>
                <w:b w:val="0"/>
              </w:rPr>
            </w:pPr>
          </w:p>
        </w:tc>
      </w:tr>
      <w:tr w:rsidR="00FC4FEB" w:rsidRPr="00FC4FEB" w14:paraId="5DF59A25" w14:textId="77777777" w:rsidTr="00810BCF">
        <w:tc>
          <w:tcPr>
            <w:tcW w:w="3520" w:type="dxa"/>
          </w:tcPr>
          <w:p w14:paraId="2538DA29"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vAlign w:val="bottom"/>
          </w:tcPr>
          <w:p w14:paraId="11161C22" w14:textId="77777777" w:rsidR="00E80007" w:rsidRPr="00FC4FEB" w:rsidRDefault="00E80007" w:rsidP="000A5925">
            <w:pPr>
              <w:spacing w:line="0" w:lineRule="atLeast"/>
              <w:ind w:right="180"/>
              <w:jc w:val="both"/>
              <w:rPr>
                <w:rFonts w:eastAsia="Times New Roman"/>
                <w:sz w:val="20"/>
              </w:rPr>
            </w:pPr>
            <w:r w:rsidRPr="00FC4FEB">
              <w:rPr>
                <w:rFonts w:eastAsia="Times New Roman"/>
                <w:sz w:val="20"/>
              </w:rPr>
              <w:t>Office of the Director</w:t>
            </w:r>
          </w:p>
          <w:p w14:paraId="1841F189" w14:textId="77777777" w:rsidR="00E80007" w:rsidRPr="00FC4FEB" w:rsidRDefault="00E80007" w:rsidP="000A5925">
            <w:pPr>
              <w:spacing w:line="0" w:lineRule="atLeast"/>
              <w:ind w:right="180"/>
              <w:jc w:val="both"/>
              <w:rPr>
                <w:rFonts w:eastAsia="Times New Roman"/>
                <w:sz w:val="20"/>
              </w:rPr>
            </w:pPr>
            <w:r w:rsidRPr="00FC4FEB">
              <w:rPr>
                <w:rFonts w:eastAsia="Times New Roman"/>
                <w:sz w:val="20"/>
              </w:rPr>
              <w:t>Bureau of International Trade Relations</w:t>
            </w:r>
          </w:p>
          <w:p w14:paraId="34DBDC8D" w14:textId="77777777" w:rsidR="00E80007" w:rsidRPr="00FC4FEB" w:rsidRDefault="00E80007" w:rsidP="000A5925">
            <w:pPr>
              <w:spacing w:line="0" w:lineRule="atLeast"/>
              <w:ind w:right="180"/>
              <w:jc w:val="both"/>
              <w:rPr>
                <w:rFonts w:eastAsia="Times New Roman"/>
                <w:sz w:val="20"/>
              </w:rPr>
            </w:pPr>
            <w:r w:rsidRPr="00FC4FEB">
              <w:rPr>
                <w:rFonts w:eastAsia="Times New Roman"/>
                <w:sz w:val="20"/>
              </w:rPr>
              <w:t>Department of Trade and Industry</w:t>
            </w:r>
          </w:p>
          <w:p w14:paraId="71A8E782" w14:textId="77777777" w:rsidR="00E80007" w:rsidRPr="00FC4FEB" w:rsidRDefault="00E80007" w:rsidP="000A5925">
            <w:pPr>
              <w:spacing w:line="0" w:lineRule="atLeast"/>
              <w:ind w:right="180"/>
              <w:jc w:val="both"/>
              <w:rPr>
                <w:rFonts w:eastAsia="Times New Roman"/>
                <w:sz w:val="20"/>
              </w:rPr>
            </w:pPr>
            <w:r w:rsidRPr="00FC4FEB">
              <w:rPr>
                <w:rFonts w:eastAsia="Times New Roman"/>
                <w:sz w:val="20"/>
              </w:rPr>
              <w:t xml:space="preserve">375 Senator Gil J. </w:t>
            </w:r>
            <w:proofErr w:type="spellStart"/>
            <w:r w:rsidRPr="00FC4FEB">
              <w:rPr>
                <w:rFonts w:eastAsia="Times New Roman"/>
                <w:sz w:val="20"/>
              </w:rPr>
              <w:t>Puyat</w:t>
            </w:r>
            <w:proofErr w:type="spellEnd"/>
            <w:r w:rsidRPr="00FC4FEB">
              <w:rPr>
                <w:rFonts w:eastAsia="Times New Roman"/>
                <w:sz w:val="20"/>
              </w:rPr>
              <w:t xml:space="preserve"> Avenue</w:t>
            </w:r>
          </w:p>
          <w:p w14:paraId="77C661B5" w14:textId="77777777" w:rsidR="00E80007" w:rsidRPr="00FC4FEB" w:rsidRDefault="00E80007" w:rsidP="000A5925">
            <w:pPr>
              <w:spacing w:line="0" w:lineRule="atLeast"/>
              <w:ind w:right="180"/>
              <w:jc w:val="both"/>
              <w:rPr>
                <w:rFonts w:eastAsia="Times New Roman"/>
                <w:sz w:val="20"/>
              </w:rPr>
            </w:pPr>
            <w:r w:rsidRPr="00FC4FEB">
              <w:rPr>
                <w:rFonts w:eastAsia="Times New Roman"/>
                <w:sz w:val="20"/>
              </w:rPr>
              <w:t>Makati City 1200 Philippines</w:t>
            </w:r>
          </w:p>
          <w:p w14:paraId="109F43C9" w14:textId="77777777" w:rsidR="00E80007" w:rsidRPr="00FC4FEB" w:rsidRDefault="00E80007" w:rsidP="00993030">
            <w:pPr>
              <w:spacing w:line="0" w:lineRule="atLeast"/>
              <w:ind w:right="180"/>
              <w:jc w:val="both"/>
              <w:rPr>
                <w:rFonts w:eastAsia="Times New Roman"/>
                <w:sz w:val="20"/>
              </w:rPr>
            </w:pPr>
            <w:r w:rsidRPr="00FC4FEB">
              <w:rPr>
                <w:rFonts w:eastAsia="Times New Roman"/>
                <w:sz w:val="20"/>
              </w:rPr>
              <w:t>Tel: (632) 465-3300; 465-3356</w:t>
            </w:r>
          </w:p>
          <w:p w14:paraId="48F82034" w14:textId="77777777" w:rsidR="000E615D" w:rsidRPr="00FC4FEB" w:rsidRDefault="00E80007" w:rsidP="00993030">
            <w:pPr>
              <w:spacing w:line="0" w:lineRule="atLeast"/>
              <w:ind w:right="180"/>
              <w:jc w:val="both"/>
              <w:rPr>
                <w:rFonts w:eastAsia="Times New Roman"/>
                <w:sz w:val="20"/>
              </w:rPr>
            </w:pPr>
            <w:r w:rsidRPr="00FC4FEB">
              <w:rPr>
                <w:rFonts w:eastAsia="Times New Roman"/>
                <w:sz w:val="20"/>
              </w:rPr>
              <w:t>Fax: (632) 890 5149</w:t>
            </w:r>
          </w:p>
        </w:tc>
        <w:tc>
          <w:tcPr>
            <w:tcW w:w="5471" w:type="dxa"/>
          </w:tcPr>
          <w:p w14:paraId="71F84ED8" w14:textId="77777777" w:rsidR="00505176" w:rsidRPr="00FC4FEB" w:rsidRDefault="00505176" w:rsidP="00CD4015">
            <w:pPr>
              <w:pStyle w:val="Heading9"/>
              <w:jc w:val="both"/>
              <w:rPr>
                <w:rFonts w:ascii="Times New Roman" w:hAnsi="Times New Roman"/>
                <w:b w:val="0"/>
              </w:rPr>
            </w:pPr>
          </w:p>
        </w:tc>
      </w:tr>
      <w:tr w:rsidR="00FC4FEB" w:rsidRPr="00FC4FEB" w14:paraId="7CD828B7" w14:textId="77777777" w:rsidTr="00810BCF">
        <w:tc>
          <w:tcPr>
            <w:tcW w:w="3520" w:type="dxa"/>
          </w:tcPr>
          <w:p w14:paraId="32276A03" w14:textId="77777777" w:rsidR="00505176" w:rsidRPr="00FC4FEB" w:rsidRDefault="000E615D" w:rsidP="00CD4015">
            <w:pPr>
              <w:jc w:val="both"/>
              <w:rPr>
                <w:b/>
                <w:i/>
                <w:sz w:val="20"/>
              </w:rPr>
            </w:pPr>
            <w:bookmarkStart w:id="33" w:name="Row12"/>
            <w:r w:rsidRPr="00FC4FEB">
              <w:rPr>
                <w:b/>
                <w:i/>
                <w:sz w:val="20"/>
              </w:rPr>
              <w:t xml:space="preserve">Dispute </w:t>
            </w:r>
            <w:bookmarkEnd w:id="33"/>
            <w:r w:rsidRPr="00FC4FEB">
              <w:rPr>
                <w:b/>
                <w:i/>
                <w:sz w:val="20"/>
              </w:rPr>
              <w:t>Resolution</w:t>
            </w:r>
          </w:p>
          <w:p w14:paraId="2D1AD680" w14:textId="77777777" w:rsidR="00505176" w:rsidRPr="00FC4FEB" w:rsidRDefault="00505176" w:rsidP="00CD4015">
            <w:pPr>
              <w:jc w:val="both"/>
              <w:rPr>
                <w:b/>
                <w:i/>
                <w:sz w:val="20"/>
              </w:rPr>
            </w:pPr>
          </w:p>
        </w:tc>
        <w:tc>
          <w:tcPr>
            <w:tcW w:w="5573" w:type="dxa"/>
          </w:tcPr>
          <w:p w14:paraId="79A3A511" w14:textId="77777777" w:rsidR="000E615D" w:rsidRPr="00FC4FEB" w:rsidRDefault="000E615D" w:rsidP="000A5925">
            <w:pPr>
              <w:jc w:val="both"/>
              <w:rPr>
                <w:sz w:val="20"/>
              </w:rPr>
            </w:pPr>
            <w:bookmarkStart w:id="34" w:name="Cell23"/>
            <w:bookmarkEnd w:id="34"/>
            <w:r w:rsidRPr="00FC4FEB">
              <w:rPr>
                <w:sz w:val="20"/>
              </w:rPr>
              <w:t>The Intellectual Property Office (IPO) is currently drafting an amendment to the Rules of Procedure on IPO Mediation Proceedings. It has invited the public to submit comments on the draft amendment until October 30, 2017.</w:t>
            </w:r>
          </w:p>
          <w:p w14:paraId="160082B3" w14:textId="77777777" w:rsidR="000E615D" w:rsidRPr="00FC4FEB" w:rsidRDefault="000E615D" w:rsidP="000A5925">
            <w:pPr>
              <w:ind w:left="360"/>
              <w:jc w:val="both"/>
              <w:rPr>
                <w:sz w:val="20"/>
              </w:rPr>
            </w:pPr>
          </w:p>
          <w:p w14:paraId="2CA2DAE1" w14:textId="77777777" w:rsidR="000E615D" w:rsidRPr="00FC4FEB" w:rsidRDefault="009D6F28" w:rsidP="000A5925">
            <w:pPr>
              <w:jc w:val="both"/>
              <w:rPr>
                <w:sz w:val="20"/>
              </w:rPr>
            </w:pPr>
            <w:r w:rsidRPr="00FC4FEB">
              <w:rPr>
                <w:sz w:val="20"/>
              </w:rPr>
              <w:t xml:space="preserve">Finalization of </w:t>
            </w:r>
            <w:r w:rsidR="000E615D" w:rsidRPr="00FC4FEB">
              <w:rPr>
                <w:sz w:val="20"/>
              </w:rPr>
              <w:t>the Revised Guidelines for Continuous Trial of Criminal Cases (A.M. No. 15-06-10-SC)</w:t>
            </w:r>
            <w:r w:rsidRPr="00FC4FEB">
              <w:rPr>
                <w:sz w:val="20"/>
              </w:rPr>
              <w:t xml:space="preserve"> which</w:t>
            </w:r>
            <w:r w:rsidR="000E615D" w:rsidRPr="00FC4FEB">
              <w:rPr>
                <w:sz w:val="20"/>
              </w:rPr>
              <w:t xml:space="preserve"> took effect</w:t>
            </w:r>
            <w:r w:rsidRPr="00FC4FEB">
              <w:rPr>
                <w:sz w:val="20"/>
              </w:rPr>
              <w:t xml:space="preserve"> on September 1, 2017</w:t>
            </w:r>
            <w:r w:rsidR="000E615D" w:rsidRPr="00FC4FEB">
              <w:rPr>
                <w:sz w:val="20"/>
              </w:rPr>
              <w:t xml:space="preserve">. Under the Revised Guidelines, the civil aspect of certain criminal cases shall be referred to the Philippine Mediation </w:t>
            </w:r>
            <w:proofErr w:type="spellStart"/>
            <w:r w:rsidR="000E615D" w:rsidRPr="00FC4FEB">
              <w:rPr>
                <w:sz w:val="20"/>
              </w:rPr>
              <w:t>Center</w:t>
            </w:r>
            <w:proofErr w:type="spellEnd"/>
            <w:r w:rsidR="000E615D" w:rsidRPr="00FC4FEB">
              <w:rPr>
                <w:sz w:val="20"/>
              </w:rPr>
              <w:t xml:space="preserve"> (PMC) Unit for mediation after the conduct of arraignment and pre-trial/preliminary conference.</w:t>
            </w:r>
          </w:p>
          <w:p w14:paraId="7EB3B902" w14:textId="77777777" w:rsidR="000E615D" w:rsidRPr="00FC4FEB" w:rsidRDefault="000E615D" w:rsidP="000A5925">
            <w:pPr>
              <w:ind w:left="360"/>
              <w:jc w:val="both"/>
              <w:rPr>
                <w:sz w:val="20"/>
              </w:rPr>
            </w:pPr>
          </w:p>
          <w:p w14:paraId="4FCD88AC" w14:textId="77777777" w:rsidR="000E615D" w:rsidRPr="00FC4FEB" w:rsidRDefault="009D6F28" w:rsidP="000A5925">
            <w:pPr>
              <w:jc w:val="both"/>
              <w:rPr>
                <w:sz w:val="20"/>
              </w:rPr>
            </w:pPr>
            <w:r w:rsidRPr="00FC4FEB">
              <w:rPr>
                <w:sz w:val="20"/>
              </w:rPr>
              <w:t>A</w:t>
            </w:r>
            <w:r w:rsidR="000E615D" w:rsidRPr="00FC4FEB">
              <w:rPr>
                <w:sz w:val="20"/>
              </w:rPr>
              <w:t>nnounce</w:t>
            </w:r>
            <w:r w:rsidRPr="00FC4FEB">
              <w:rPr>
                <w:sz w:val="20"/>
              </w:rPr>
              <w:t>ment</w:t>
            </w:r>
            <w:r w:rsidR="000E615D" w:rsidRPr="00FC4FEB">
              <w:rPr>
                <w:sz w:val="20"/>
              </w:rPr>
              <w:t xml:space="preserve"> </w:t>
            </w:r>
            <w:r w:rsidRPr="00FC4FEB">
              <w:rPr>
                <w:sz w:val="20"/>
              </w:rPr>
              <w:t>for the</w:t>
            </w:r>
            <w:r w:rsidR="000E615D" w:rsidRPr="00FC4FEB">
              <w:rPr>
                <w:sz w:val="20"/>
              </w:rPr>
              <w:t xml:space="preserve"> adopt</w:t>
            </w:r>
            <w:r w:rsidRPr="00FC4FEB">
              <w:rPr>
                <w:sz w:val="20"/>
              </w:rPr>
              <w:t>ion of</w:t>
            </w:r>
            <w:r w:rsidR="000E615D" w:rsidRPr="00FC4FEB">
              <w:rPr>
                <w:sz w:val="20"/>
              </w:rPr>
              <w:t xml:space="preserve"> a two-step Alternative Dispute Resolution (ADR) process</w:t>
            </w:r>
            <w:r w:rsidRPr="00FC4FEB">
              <w:rPr>
                <w:sz w:val="20"/>
              </w:rPr>
              <w:t xml:space="preserve"> by the Mines and Geosciences Bureau (MGB) on August 7, 2017.</w:t>
            </w:r>
            <w:r w:rsidR="000E615D" w:rsidRPr="00FC4FEB">
              <w:rPr>
                <w:sz w:val="20"/>
              </w:rPr>
              <w:t xml:space="preserve"> </w:t>
            </w:r>
            <w:r w:rsidRPr="00FC4FEB">
              <w:rPr>
                <w:sz w:val="20"/>
              </w:rPr>
              <w:t xml:space="preserve"> The process will</w:t>
            </w:r>
            <w:r w:rsidR="000E615D" w:rsidRPr="00FC4FEB">
              <w:rPr>
                <w:sz w:val="20"/>
              </w:rPr>
              <w:t xml:space="preserve"> include mediation, followed by arbitration, in resolving mining cases.</w:t>
            </w:r>
          </w:p>
          <w:p w14:paraId="1B010D92" w14:textId="77777777" w:rsidR="000E615D" w:rsidRPr="00FC4FEB" w:rsidRDefault="000E615D" w:rsidP="00993030">
            <w:pPr>
              <w:jc w:val="both"/>
              <w:rPr>
                <w:sz w:val="20"/>
              </w:rPr>
            </w:pPr>
          </w:p>
          <w:p w14:paraId="127260C6" w14:textId="77777777" w:rsidR="000E615D" w:rsidRPr="00FC4FEB" w:rsidRDefault="009D6F28" w:rsidP="00993030">
            <w:pPr>
              <w:jc w:val="both"/>
              <w:rPr>
                <w:sz w:val="20"/>
              </w:rPr>
            </w:pPr>
            <w:r w:rsidRPr="00FC4FEB">
              <w:rPr>
                <w:sz w:val="20"/>
              </w:rPr>
              <w:t xml:space="preserve">Publication of </w:t>
            </w:r>
            <w:r w:rsidR="000E615D" w:rsidRPr="00FC4FEB">
              <w:rPr>
                <w:sz w:val="20"/>
              </w:rPr>
              <w:t xml:space="preserve">the Implementing Rules and Regulations (IRR) of Executive Order (E.O.) No. 78, series of 2012, </w:t>
            </w:r>
            <w:r w:rsidRPr="00FC4FEB">
              <w:rPr>
                <w:sz w:val="20"/>
              </w:rPr>
              <w:t>on May 12, 2017</w:t>
            </w:r>
            <w:r w:rsidR="000E615D" w:rsidRPr="00FC4FEB">
              <w:rPr>
                <w:sz w:val="20"/>
              </w:rPr>
              <w:t>. E.O. No. 78 mandates the inclusion of provisions on the use of ADR mechanisms in all contracts involving Public-Private Partnership (PPP) projects, Build-Operate-Transfer (BOT) projects, and Joint Venture Agreements (JVA) between the government and private entities and those entered into by local government units (LGUs).</w:t>
            </w:r>
          </w:p>
          <w:p w14:paraId="48F75163" w14:textId="77777777" w:rsidR="000E615D" w:rsidRPr="00FC4FEB" w:rsidRDefault="000E615D">
            <w:pPr>
              <w:ind w:left="360"/>
              <w:jc w:val="both"/>
              <w:rPr>
                <w:sz w:val="20"/>
              </w:rPr>
            </w:pPr>
          </w:p>
          <w:p w14:paraId="52FA2B6A" w14:textId="77777777" w:rsidR="000E615D" w:rsidRPr="00FC4FEB" w:rsidRDefault="009D6F28">
            <w:pPr>
              <w:jc w:val="both"/>
              <w:rPr>
                <w:sz w:val="20"/>
              </w:rPr>
            </w:pPr>
            <w:r w:rsidRPr="00FC4FEB">
              <w:rPr>
                <w:sz w:val="20"/>
              </w:rPr>
              <w:t>A</w:t>
            </w:r>
            <w:r w:rsidR="000E615D" w:rsidRPr="00FC4FEB">
              <w:rPr>
                <w:sz w:val="20"/>
              </w:rPr>
              <w:t>pprov</w:t>
            </w:r>
            <w:r w:rsidRPr="00FC4FEB">
              <w:rPr>
                <w:sz w:val="20"/>
              </w:rPr>
              <w:t>al</w:t>
            </w:r>
            <w:r w:rsidR="000E615D" w:rsidRPr="00FC4FEB">
              <w:rPr>
                <w:sz w:val="20"/>
              </w:rPr>
              <w:t xml:space="preserve"> </w:t>
            </w:r>
            <w:r w:rsidRPr="00FC4FEB">
              <w:rPr>
                <w:sz w:val="20"/>
              </w:rPr>
              <w:t>of Department of Environment and Natural Resources’ (DENR)</w:t>
            </w:r>
            <w:r w:rsidR="000E615D" w:rsidRPr="00FC4FEB">
              <w:rPr>
                <w:sz w:val="20"/>
              </w:rPr>
              <w:t xml:space="preserve"> Procedure in the Investigation and Resolution of Land Claims and Conflicts Cases (DENR Administrative Order No. 2016-31)</w:t>
            </w:r>
            <w:r w:rsidRPr="00FC4FEB">
              <w:rPr>
                <w:sz w:val="20"/>
              </w:rPr>
              <w:t xml:space="preserve"> on December 29, 2016. The Administrative Order</w:t>
            </w:r>
            <w:r w:rsidR="000E615D" w:rsidRPr="00FC4FEB">
              <w:rPr>
                <w:sz w:val="20"/>
              </w:rPr>
              <w:t xml:space="preserve"> provides for a mandatory referral of land claims/conflicts cases for </w:t>
            </w:r>
            <w:r w:rsidR="000E615D" w:rsidRPr="00FC4FEB">
              <w:rPr>
                <w:sz w:val="20"/>
              </w:rPr>
              <w:lastRenderedPageBreak/>
              <w:t>ADR (Sec. 12). Said issuance was subsequently published on February 3, 2017.</w:t>
            </w:r>
          </w:p>
          <w:p w14:paraId="6260634A" w14:textId="77777777" w:rsidR="000E615D" w:rsidRPr="00FC4FEB" w:rsidRDefault="000E615D">
            <w:pPr>
              <w:jc w:val="both"/>
              <w:rPr>
                <w:sz w:val="20"/>
              </w:rPr>
            </w:pPr>
          </w:p>
          <w:p w14:paraId="26CDE94C" w14:textId="77777777" w:rsidR="000E615D" w:rsidRPr="00FC4FEB" w:rsidRDefault="009D6F28">
            <w:pPr>
              <w:jc w:val="both"/>
              <w:rPr>
                <w:sz w:val="20"/>
              </w:rPr>
            </w:pPr>
            <w:r w:rsidRPr="00FC4FEB">
              <w:rPr>
                <w:sz w:val="20"/>
              </w:rPr>
              <w:t>A</w:t>
            </w:r>
            <w:r w:rsidR="000E615D" w:rsidRPr="00FC4FEB">
              <w:rPr>
                <w:sz w:val="20"/>
              </w:rPr>
              <w:t>pprov</w:t>
            </w:r>
            <w:r w:rsidRPr="00FC4FEB">
              <w:rPr>
                <w:sz w:val="20"/>
              </w:rPr>
              <w:t>al of DENR’s</w:t>
            </w:r>
            <w:r w:rsidR="000E615D" w:rsidRPr="00FC4FEB">
              <w:rPr>
                <w:sz w:val="20"/>
              </w:rPr>
              <w:t xml:space="preserve"> Guidelines in the Conduct of ADR in Land Management and Disposition (DENR Administrative Order No. 2016-30)</w:t>
            </w:r>
            <w:r w:rsidRPr="00FC4FEB">
              <w:rPr>
                <w:sz w:val="20"/>
              </w:rPr>
              <w:t xml:space="preserve"> on December 22, 2016</w:t>
            </w:r>
            <w:r w:rsidR="000E615D" w:rsidRPr="00FC4FEB">
              <w:rPr>
                <w:sz w:val="20"/>
              </w:rPr>
              <w:t>. Said issuance was subsequently published on March 1, 2017.</w:t>
            </w:r>
          </w:p>
          <w:p w14:paraId="447BD32A" w14:textId="77777777" w:rsidR="000E615D" w:rsidRPr="00FC4FEB" w:rsidRDefault="000E615D">
            <w:pPr>
              <w:ind w:left="360"/>
              <w:jc w:val="both"/>
              <w:rPr>
                <w:sz w:val="20"/>
              </w:rPr>
            </w:pPr>
          </w:p>
          <w:p w14:paraId="5D60C1D5" w14:textId="77777777" w:rsidR="000E615D" w:rsidRPr="00FC4FEB" w:rsidRDefault="009D6F28">
            <w:pPr>
              <w:jc w:val="both"/>
              <w:rPr>
                <w:sz w:val="20"/>
              </w:rPr>
            </w:pPr>
            <w:r w:rsidRPr="00FC4FEB">
              <w:rPr>
                <w:sz w:val="20"/>
              </w:rPr>
              <w:t xml:space="preserve">Approval of </w:t>
            </w:r>
            <w:r w:rsidR="000E615D" w:rsidRPr="00FC4FEB">
              <w:rPr>
                <w:sz w:val="20"/>
              </w:rPr>
              <w:t>the National Privacy Commission</w:t>
            </w:r>
            <w:r w:rsidRPr="00FC4FEB">
              <w:rPr>
                <w:sz w:val="20"/>
              </w:rPr>
              <w:t>’s</w:t>
            </w:r>
            <w:r w:rsidR="000E615D" w:rsidRPr="00FC4FEB">
              <w:rPr>
                <w:sz w:val="20"/>
              </w:rPr>
              <w:t xml:space="preserve"> (NPC) Rules of Procedure (NPC Circular No. 04-16)</w:t>
            </w:r>
            <w:r w:rsidRPr="00FC4FEB">
              <w:rPr>
                <w:sz w:val="20"/>
              </w:rPr>
              <w:t xml:space="preserve"> on December 15, 2016</w:t>
            </w:r>
            <w:r w:rsidR="000E615D" w:rsidRPr="00FC4FEB">
              <w:rPr>
                <w:sz w:val="20"/>
              </w:rPr>
              <w:t>, which includes a provision that the NPC shall facilitate or enable settlement through the use of ADR processes (Sec. 25).</w:t>
            </w:r>
          </w:p>
          <w:p w14:paraId="63F8DE78" w14:textId="77777777" w:rsidR="000E615D" w:rsidRPr="00FC4FEB" w:rsidRDefault="000E615D">
            <w:pPr>
              <w:ind w:left="360"/>
              <w:jc w:val="both"/>
              <w:rPr>
                <w:sz w:val="20"/>
              </w:rPr>
            </w:pPr>
          </w:p>
          <w:p w14:paraId="5D7B967B" w14:textId="77777777" w:rsidR="000E615D" w:rsidRPr="00FC4FEB" w:rsidRDefault="00F823D9">
            <w:pPr>
              <w:jc w:val="both"/>
              <w:rPr>
                <w:sz w:val="20"/>
              </w:rPr>
            </w:pPr>
            <w:r w:rsidRPr="00FC4FEB">
              <w:rPr>
                <w:sz w:val="20"/>
              </w:rPr>
              <w:t xml:space="preserve">Approval </w:t>
            </w:r>
            <w:proofErr w:type="gramStart"/>
            <w:r w:rsidRPr="00FC4FEB">
              <w:rPr>
                <w:sz w:val="20"/>
              </w:rPr>
              <w:t xml:space="preserve">of </w:t>
            </w:r>
            <w:r w:rsidR="000E615D" w:rsidRPr="00FC4FEB">
              <w:rPr>
                <w:sz w:val="20"/>
              </w:rPr>
              <w:t xml:space="preserve"> R.A.</w:t>
            </w:r>
            <w:proofErr w:type="gramEnd"/>
            <w:r w:rsidR="000E615D" w:rsidRPr="00FC4FEB">
              <w:rPr>
                <w:sz w:val="20"/>
              </w:rPr>
              <w:t xml:space="preserve"> No. 10846 </w:t>
            </w:r>
            <w:r w:rsidRPr="00FC4FEB">
              <w:rPr>
                <w:sz w:val="20"/>
              </w:rPr>
              <w:t xml:space="preserve">on May 23, 2016 which </w:t>
            </w:r>
            <w:r w:rsidR="000E615D" w:rsidRPr="00FC4FEB">
              <w:rPr>
                <w:sz w:val="20"/>
              </w:rPr>
              <w:t>amends R.A. No. 3591</w:t>
            </w:r>
            <w:r w:rsidRPr="00FC4FEB">
              <w:rPr>
                <w:sz w:val="20"/>
              </w:rPr>
              <w:t xml:space="preserve">– an act which established </w:t>
            </w:r>
            <w:r w:rsidR="000E615D" w:rsidRPr="00FC4FEB">
              <w:rPr>
                <w:sz w:val="20"/>
              </w:rPr>
              <w:t>the Philippine Deposit Insurance Corporation (PDIC). Under the amended law, actions pending for or against a closed bank, except those pending before the Supreme Court, shall be suspended for a period not exceeding 180 days and referred to mandatory mediation (Sec. 13(e)(9), R.A. No. 3591, as amended by R.A. No. 10846).</w:t>
            </w:r>
          </w:p>
          <w:p w14:paraId="6948D44F" w14:textId="77777777" w:rsidR="000E615D" w:rsidRPr="00FC4FEB" w:rsidRDefault="000E615D">
            <w:pPr>
              <w:ind w:left="360"/>
              <w:jc w:val="both"/>
              <w:rPr>
                <w:sz w:val="20"/>
              </w:rPr>
            </w:pPr>
          </w:p>
          <w:p w14:paraId="2A05BC8F" w14:textId="77777777" w:rsidR="000E615D" w:rsidRPr="00FC4FEB" w:rsidRDefault="00F823D9">
            <w:pPr>
              <w:jc w:val="both"/>
              <w:rPr>
                <w:sz w:val="20"/>
              </w:rPr>
            </w:pPr>
            <w:r w:rsidRPr="00FC4FEB">
              <w:rPr>
                <w:sz w:val="20"/>
              </w:rPr>
              <w:t>T</w:t>
            </w:r>
            <w:r w:rsidR="000E615D" w:rsidRPr="00FC4FEB">
              <w:rPr>
                <w:sz w:val="20"/>
              </w:rPr>
              <w:t>he Securities and Exchange Commission (SEC) invited the public to submit comments on the Draft SEC Mediation Policy, which covers all cases within the jurisdiction of the SEC, as well as intra-corporate controversies voluntarily brought to the SEC by the parties concerned for mediation</w:t>
            </w:r>
            <w:r w:rsidRPr="00FC4FEB">
              <w:rPr>
                <w:sz w:val="20"/>
              </w:rPr>
              <w:t xml:space="preserve"> on April 25, 2016</w:t>
            </w:r>
            <w:r w:rsidR="000E615D" w:rsidRPr="00FC4FEB">
              <w:rPr>
                <w:sz w:val="20"/>
              </w:rPr>
              <w:t>.</w:t>
            </w:r>
          </w:p>
          <w:p w14:paraId="391F75F8" w14:textId="77777777" w:rsidR="000E615D" w:rsidRPr="00FC4FEB" w:rsidRDefault="000E615D">
            <w:pPr>
              <w:ind w:left="360"/>
              <w:jc w:val="both"/>
              <w:rPr>
                <w:sz w:val="20"/>
              </w:rPr>
            </w:pPr>
          </w:p>
          <w:p w14:paraId="06FD7188" w14:textId="77777777" w:rsidR="000E615D" w:rsidRPr="00FC4FEB" w:rsidRDefault="00F823D9">
            <w:pPr>
              <w:jc w:val="both"/>
              <w:rPr>
                <w:sz w:val="20"/>
              </w:rPr>
            </w:pPr>
            <w:r w:rsidRPr="00FC4FEB">
              <w:rPr>
                <w:sz w:val="20"/>
              </w:rPr>
              <w:t>A</w:t>
            </w:r>
            <w:r w:rsidR="000E615D" w:rsidRPr="00FC4FEB">
              <w:rPr>
                <w:sz w:val="20"/>
              </w:rPr>
              <w:t>pprov</w:t>
            </w:r>
            <w:r w:rsidRPr="00FC4FEB">
              <w:rPr>
                <w:sz w:val="20"/>
              </w:rPr>
              <w:t>al</w:t>
            </w:r>
            <w:r w:rsidR="000E615D" w:rsidRPr="00FC4FEB">
              <w:rPr>
                <w:sz w:val="20"/>
              </w:rPr>
              <w:t xml:space="preserve"> </w:t>
            </w:r>
            <w:r w:rsidRPr="00FC4FEB">
              <w:rPr>
                <w:sz w:val="20"/>
              </w:rPr>
              <w:t xml:space="preserve">of the Department of </w:t>
            </w:r>
            <w:proofErr w:type="spellStart"/>
            <w:r w:rsidRPr="00FC4FEB">
              <w:rPr>
                <w:sz w:val="20"/>
              </w:rPr>
              <w:t>Labor</w:t>
            </w:r>
            <w:proofErr w:type="spellEnd"/>
            <w:r w:rsidRPr="00FC4FEB">
              <w:rPr>
                <w:sz w:val="20"/>
              </w:rPr>
              <w:t xml:space="preserve"> and Employment’s (DOLE)</w:t>
            </w:r>
            <w:r w:rsidR="000E615D" w:rsidRPr="00FC4FEB">
              <w:rPr>
                <w:sz w:val="20"/>
              </w:rPr>
              <w:t xml:space="preserve"> Single Entry Approach (</w:t>
            </w:r>
            <w:proofErr w:type="spellStart"/>
            <w:r w:rsidR="000E615D" w:rsidRPr="00FC4FEB">
              <w:rPr>
                <w:sz w:val="20"/>
              </w:rPr>
              <w:t>SEnA</w:t>
            </w:r>
            <w:proofErr w:type="spellEnd"/>
            <w:r w:rsidR="000E615D" w:rsidRPr="00FC4FEB">
              <w:rPr>
                <w:sz w:val="20"/>
              </w:rPr>
              <w:t>) IRR (DOLE Department Order No. 151-16), pursuant to R.A. No. 10396</w:t>
            </w:r>
            <w:r w:rsidRPr="00FC4FEB">
              <w:rPr>
                <w:sz w:val="20"/>
              </w:rPr>
              <w:t xml:space="preserve"> on February 22, 2016</w:t>
            </w:r>
            <w:r w:rsidR="000E615D" w:rsidRPr="00FC4FEB">
              <w:rPr>
                <w:sz w:val="20"/>
              </w:rPr>
              <w:t xml:space="preserve">.  The </w:t>
            </w:r>
            <w:proofErr w:type="spellStart"/>
            <w:r w:rsidR="000E615D" w:rsidRPr="00FC4FEB">
              <w:rPr>
                <w:sz w:val="20"/>
              </w:rPr>
              <w:t>SEnA</w:t>
            </w:r>
            <w:proofErr w:type="spellEnd"/>
            <w:r w:rsidR="000E615D" w:rsidRPr="00FC4FEB">
              <w:rPr>
                <w:sz w:val="20"/>
              </w:rPr>
              <w:t xml:space="preserve"> IRR mandates </w:t>
            </w:r>
            <w:r w:rsidRPr="00FC4FEB">
              <w:rPr>
                <w:sz w:val="20"/>
              </w:rPr>
              <w:t>for</w:t>
            </w:r>
            <w:r w:rsidR="000E615D" w:rsidRPr="00FC4FEB">
              <w:rPr>
                <w:sz w:val="20"/>
              </w:rPr>
              <w:t xml:space="preserve"> all issues arising from </w:t>
            </w:r>
            <w:proofErr w:type="spellStart"/>
            <w:r w:rsidR="000E615D" w:rsidRPr="00FC4FEB">
              <w:rPr>
                <w:sz w:val="20"/>
              </w:rPr>
              <w:t>labor</w:t>
            </w:r>
            <w:proofErr w:type="spellEnd"/>
            <w:r w:rsidR="000E615D" w:rsidRPr="00FC4FEB">
              <w:rPr>
                <w:sz w:val="20"/>
              </w:rPr>
              <w:t xml:space="preserve"> and employment shall be subject to a thirty (30)-day mandatory conciliation-mediation service.</w:t>
            </w:r>
          </w:p>
          <w:p w14:paraId="43F917FE" w14:textId="77777777" w:rsidR="000E615D" w:rsidRPr="00FC4FEB" w:rsidRDefault="000E615D">
            <w:pPr>
              <w:ind w:left="360"/>
              <w:jc w:val="both"/>
              <w:rPr>
                <w:sz w:val="20"/>
              </w:rPr>
            </w:pPr>
          </w:p>
          <w:p w14:paraId="461A3DD8" w14:textId="77777777" w:rsidR="000E615D" w:rsidRPr="00FC4FEB" w:rsidRDefault="00F823D9">
            <w:pPr>
              <w:jc w:val="both"/>
              <w:rPr>
                <w:sz w:val="20"/>
              </w:rPr>
            </w:pPr>
            <w:r w:rsidRPr="00FC4FEB">
              <w:rPr>
                <w:sz w:val="20"/>
              </w:rPr>
              <w:t xml:space="preserve">Publication of </w:t>
            </w:r>
            <w:r w:rsidR="000E615D" w:rsidRPr="00FC4FEB">
              <w:rPr>
                <w:sz w:val="20"/>
              </w:rPr>
              <w:t xml:space="preserve">the Uniform Rules on Dispute Resolution under Presidential Decree (P.D.) No. 242 </w:t>
            </w:r>
            <w:r w:rsidRPr="00FC4FEB">
              <w:rPr>
                <w:sz w:val="20"/>
              </w:rPr>
              <w:t>on November 9, 2015</w:t>
            </w:r>
            <w:r w:rsidR="000E615D" w:rsidRPr="00FC4FEB">
              <w:rPr>
                <w:sz w:val="20"/>
              </w:rPr>
              <w:t>. The Uniform Rules shall govern the resolution of all disputes, claims, and controversies between or among government departments, bureaus, offices, agencies, and instrumentalities, including government-owned or controlled corporations.</w:t>
            </w:r>
          </w:p>
          <w:p w14:paraId="77C367C0" w14:textId="77777777" w:rsidR="000E615D" w:rsidRPr="00FC4FEB" w:rsidRDefault="000E615D">
            <w:pPr>
              <w:ind w:left="360"/>
              <w:jc w:val="both"/>
              <w:rPr>
                <w:sz w:val="20"/>
              </w:rPr>
            </w:pPr>
          </w:p>
          <w:p w14:paraId="1E701A40" w14:textId="77777777" w:rsidR="000E615D" w:rsidRPr="00FC4FEB" w:rsidRDefault="000E615D">
            <w:pPr>
              <w:jc w:val="both"/>
              <w:rPr>
                <w:sz w:val="20"/>
              </w:rPr>
            </w:pPr>
            <w:r w:rsidRPr="00FC4FEB">
              <w:rPr>
                <w:sz w:val="20"/>
              </w:rPr>
              <w:lastRenderedPageBreak/>
              <w:t>The Supreme Court, through its decisions, continues its liberal stance towards ADR as a welcome alternative to burdensome litigation.</w:t>
            </w:r>
          </w:p>
          <w:p w14:paraId="4DABD97F" w14:textId="77777777" w:rsidR="000E615D" w:rsidRPr="00FC4FEB" w:rsidRDefault="000E615D" w:rsidP="000A5925">
            <w:pPr>
              <w:jc w:val="both"/>
              <w:rPr>
                <w:sz w:val="20"/>
              </w:rPr>
            </w:pPr>
          </w:p>
          <w:p w14:paraId="54C3CB94" w14:textId="77777777" w:rsidR="000E615D" w:rsidRPr="00FC4FEB" w:rsidRDefault="000E615D" w:rsidP="000A5925">
            <w:pPr>
              <w:jc w:val="both"/>
              <w:rPr>
                <w:sz w:val="20"/>
              </w:rPr>
            </w:pPr>
            <w:r w:rsidRPr="00FC4FEB">
              <w:rPr>
                <w:sz w:val="20"/>
              </w:rPr>
              <w:t xml:space="preserve">Adoption of the Philippines Dispute Resolution </w:t>
            </w:r>
            <w:proofErr w:type="spellStart"/>
            <w:r w:rsidRPr="00FC4FEB">
              <w:rPr>
                <w:sz w:val="20"/>
              </w:rPr>
              <w:t>Center</w:t>
            </w:r>
            <w:proofErr w:type="spellEnd"/>
            <w:r w:rsidRPr="00FC4FEB">
              <w:rPr>
                <w:sz w:val="20"/>
              </w:rPr>
              <w:t xml:space="preserve"> Inc. (PDRCI) 2015 Arbitration Rules which governs disputes by parties who have agreed to refer it to arbitration </w:t>
            </w:r>
          </w:p>
          <w:p w14:paraId="7665E2ED" w14:textId="77777777" w:rsidR="000E615D" w:rsidRPr="00FC4FEB" w:rsidRDefault="000E615D" w:rsidP="000A5925">
            <w:pPr>
              <w:jc w:val="both"/>
              <w:rPr>
                <w:sz w:val="20"/>
              </w:rPr>
            </w:pPr>
          </w:p>
          <w:p w14:paraId="3DBF8919" w14:textId="77777777" w:rsidR="000E615D" w:rsidRPr="00FC4FEB" w:rsidRDefault="00505176" w:rsidP="00993030">
            <w:pPr>
              <w:jc w:val="both"/>
              <w:rPr>
                <w:sz w:val="20"/>
                <w:u w:val="single"/>
              </w:rPr>
            </w:pPr>
            <w:r w:rsidRPr="00FC4FEB">
              <w:rPr>
                <w:sz w:val="20"/>
                <w:u w:val="single"/>
              </w:rPr>
              <w:t>Adoption of the 2017 Mediation Rules</w:t>
            </w:r>
          </w:p>
          <w:p w14:paraId="77FB463E" w14:textId="77777777" w:rsidR="000E615D" w:rsidRPr="00FC4FEB" w:rsidRDefault="00A250EF">
            <w:pPr>
              <w:jc w:val="both"/>
              <w:rPr>
                <w:sz w:val="20"/>
              </w:rPr>
            </w:pPr>
            <w:proofErr w:type="spellStart"/>
            <w:r w:rsidRPr="00FC4FEB">
              <w:rPr>
                <w:sz w:val="20"/>
              </w:rPr>
              <w:t>Adopt</w:t>
            </w:r>
            <w:r w:rsidR="00914C2A" w:rsidRPr="00FC4FEB">
              <w:rPr>
                <w:sz w:val="20"/>
              </w:rPr>
              <w:t>ed</w:t>
            </w:r>
            <w:r w:rsidRPr="00FC4FEB">
              <w:rPr>
                <w:sz w:val="20"/>
              </w:rPr>
              <w:t>t</w:t>
            </w:r>
            <w:r w:rsidR="000E615D" w:rsidRPr="00FC4FEB">
              <w:rPr>
                <w:sz w:val="20"/>
              </w:rPr>
              <w:t>he</w:t>
            </w:r>
            <w:proofErr w:type="spellEnd"/>
            <w:r w:rsidR="000E615D" w:rsidRPr="00FC4FEB">
              <w:rPr>
                <w:sz w:val="20"/>
              </w:rPr>
              <w:t xml:space="preserve"> PDRCI Guidelines on Fees as Annex B of the 2015 Arbitration Rules. Under the Guidelines, Parties adopted the schedule of payment as indicated under it. </w:t>
            </w:r>
          </w:p>
          <w:p w14:paraId="7DC2A145" w14:textId="77777777" w:rsidR="000E615D" w:rsidRPr="00FC4FEB" w:rsidRDefault="000E615D">
            <w:pPr>
              <w:jc w:val="both"/>
              <w:rPr>
                <w:sz w:val="20"/>
              </w:rPr>
            </w:pPr>
          </w:p>
          <w:p w14:paraId="2EB1D1DF" w14:textId="77777777" w:rsidR="000E615D" w:rsidRPr="00FC4FEB" w:rsidRDefault="000E615D">
            <w:pPr>
              <w:jc w:val="both"/>
              <w:rPr>
                <w:sz w:val="20"/>
              </w:rPr>
            </w:pPr>
            <w:r w:rsidRPr="00FC4FEB">
              <w:rPr>
                <w:sz w:val="20"/>
              </w:rPr>
              <w:t>Signing of a Memorandum of Understanding (MOU) between the Dispute Resolution Board Foundation (DRBF) and the Philippine Institute of Arbitrators (</w:t>
            </w:r>
            <w:proofErr w:type="spellStart"/>
            <w:r w:rsidRPr="00FC4FEB">
              <w:rPr>
                <w:sz w:val="20"/>
              </w:rPr>
              <w:t>PIArb</w:t>
            </w:r>
            <w:proofErr w:type="spellEnd"/>
            <w:r w:rsidRPr="00FC4FEB">
              <w:rPr>
                <w:sz w:val="20"/>
              </w:rPr>
              <w:t>) on mutual cooperation with the goal of promoting ADR as an effective instrument of dispute resolution.</w:t>
            </w:r>
          </w:p>
          <w:p w14:paraId="76CD30F3" w14:textId="77777777" w:rsidR="000E615D" w:rsidRPr="00FC4FEB" w:rsidRDefault="000E615D">
            <w:pPr>
              <w:jc w:val="both"/>
              <w:rPr>
                <w:sz w:val="20"/>
              </w:rPr>
            </w:pPr>
          </w:p>
          <w:p w14:paraId="38DBCB6B" w14:textId="77777777" w:rsidR="000E615D" w:rsidRPr="00FC4FEB" w:rsidRDefault="000E615D">
            <w:pPr>
              <w:jc w:val="both"/>
              <w:rPr>
                <w:sz w:val="20"/>
                <w:u w:val="single"/>
              </w:rPr>
            </w:pPr>
            <w:r w:rsidRPr="00FC4FEB">
              <w:rPr>
                <w:sz w:val="20"/>
              </w:rPr>
              <w:t xml:space="preserve">Signing of a Memorandum of Agreement (MOA) between the Movie and Television Review and Classification Board (MTRCB) and the Philippine Dispute Resolution </w:t>
            </w:r>
            <w:proofErr w:type="spellStart"/>
            <w:r w:rsidRPr="00FC4FEB">
              <w:rPr>
                <w:sz w:val="20"/>
              </w:rPr>
              <w:t>Center</w:t>
            </w:r>
            <w:proofErr w:type="spellEnd"/>
            <w:r w:rsidRPr="00FC4FEB">
              <w:rPr>
                <w:sz w:val="20"/>
              </w:rPr>
              <w:t xml:space="preserve"> Inc. (PDRCI) to design and implement an ADR framework for the entertainment industry. </w:t>
            </w:r>
          </w:p>
          <w:p w14:paraId="6317AC7F" w14:textId="77777777" w:rsidR="000E615D" w:rsidRPr="00FC4FEB" w:rsidRDefault="000E615D">
            <w:pPr>
              <w:spacing w:line="225" w:lineRule="exact"/>
              <w:jc w:val="both"/>
              <w:rPr>
                <w:sz w:val="20"/>
              </w:rPr>
            </w:pPr>
          </w:p>
          <w:p w14:paraId="1E41822B" w14:textId="77777777" w:rsidR="000E615D" w:rsidRPr="00FC4FEB" w:rsidRDefault="000E615D">
            <w:pPr>
              <w:spacing w:line="225" w:lineRule="exact"/>
              <w:jc w:val="both"/>
              <w:rPr>
                <w:sz w:val="20"/>
              </w:rPr>
            </w:pPr>
            <w:r w:rsidRPr="00FC4FEB">
              <w:rPr>
                <w:sz w:val="20"/>
              </w:rPr>
              <w:t>In 2015, the Construction Industry Arbitration Commission (CIAC) initiated the review of its rules for purposes of aligning these with accepted international practices but always within the intent and spirit of the Philippine laws particularly Executive Order No. 1008 or the Construction Industry Arbitration Law. Since then, the Commission has approved amendments to the CIAC rules, including:</w:t>
            </w:r>
          </w:p>
          <w:p w14:paraId="522B7307" w14:textId="77777777" w:rsidR="00505176" w:rsidRPr="00FC4FEB" w:rsidRDefault="00505176" w:rsidP="00CD4015">
            <w:pPr>
              <w:pStyle w:val="ListParagraph"/>
              <w:numPr>
                <w:ilvl w:val="0"/>
                <w:numId w:val="45"/>
              </w:numPr>
              <w:spacing w:line="225" w:lineRule="exact"/>
              <w:jc w:val="both"/>
              <w:rPr>
                <w:rFonts w:ascii="Times New Roman" w:hAnsi="Times New Roman"/>
                <w:sz w:val="20"/>
                <w:szCs w:val="20"/>
              </w:rPr>
            </w:pPr>
            <w:r w:rsidRPr="00FC4FEB">
              <w:rPr>
                <w:rFonts w:ascii="Times New Roman" w:hAnsi="Times New Roman"/>
                <w:sz w:val="20"/>
                <w:szCs w:val="20"/>
              </w:rPr>
              <w:t>Reinstatement of the provision in Section 1, Article III of the original CIAC Arbitration Rules dated 13 August 1988 on the submission by the parties to the CIAC Rules;</w:t>
            </w:r>
          </w:p>
          <w:p w14:paraId="67E8B15A" w14:textId="77777777" w:rsidR="00505176" w:rsidRPr="00FC4FEB" w:rsidRDefault="00505176" w:rsidP="00CD4015">
            <w:pPr>
              <w:pStyle w:val="ListParagraph"/>
              <w:numPr>
                <w:ilvl w:val="0"/>
                <w:numId w:val="45"/>
              </w:numPr>
              <w:spacing w:line="225" w:lineRule="exact"/>
              <w:jc w:val="both"/>
              <w:rPr>
                <w:rFonts w:ascii="Times New Roman" w:hAnsi="Times New Roman"/>
                <w:sz w:val="20"/>
                <w:szCs w:val="20"/>
              </w:rPr>
            </w:pPr>
            <w:r w:rsidRPr="00FC4FEB">
              <w:rPr>
                <w:rFonts w:ascii="Times New Roman" w:hAnsi="Times New Roman"/>
                <w:sz w:val="20"/>
                <w:szCs w:val="20"/>
              </w:rPr>
              <w:t>Vesting the Commission with the authority to select and appoint the 3rd member and Chairman of the Arbitral Tribunal, consistent with Section 14 of E.O. No. 1008; and</w:t>
            </w:r>
          </w:p>
          <w:p w14:paraId="64E8B36B" w14:textId="77777777" w:rsidR="00505176" w:rsidRPr="00FC4FEB" w:rsidRDefault="00505176" w:rsidP="00CD4015">
            <w:pPr>
              <w:pStyle w:val="ListParagraph"/>
              <w:numPr>
                <w:ilvl w:val="0"/>
                <w:numId w:val="45"/>
              </w:numPr>
              <w:spacing w:line="225" w:lineRule="exact"/>
              <w:jc w:val="both"/>
              <w:rPr>
                <w:rFonts w:ascii="Times New Roman" w:hAnsi="Times New Roman"/>
                <w:sz w:val="20"/>
                <w:szCs w:val="20"/>
              </w:rPr>
            </w:pPr>
            <w:r w:rsidRPr="00FC4FEB">
              <w:rPr>
                <w:rFonts w:ascii="Times New Roman" w:hAnsi="Times New Roman"/>
                <w:sz w:val="20"/>
                <w:szCs w:val="20"/>
              </w:rPr>
              <w:t>Deleting the rule on automatic appointment of “common nominees” to the Arbitral Tribunal to be more in accord with the party autonomy principle by applying the order of preference of the parties as signified in their lists of nominees.</w:t>
            </w:r>
          </w:p>
          <w:p w14:paraId="4E37F506" w14:textId="77777777" w:rsidR="000E615D" w:rsidRPr="00FC4FEB" w:rsidRDefault="000E615D" w:rsidP="000A5925">
            <w:pPr>
              <w:spacing w:line="225" w:lineRule="exact"/>
              <w:jc w:val="both"/>
              <w:rPr>
                <w:sz w:val="20"/>
              </w:rPr>
            </w:pPr>
          </w:p>
        </w:tc>
        <w:tc>
          <w:tcPr>
            <w:tcW w:w="5471" w:type="dxa"/>
          </w:tcPr>
          <w:p w14:paraId="53BFC943" w14:textId="77777777" w:rsidR="000E615D" w:rsidRPr="00FC4FEB" w:rsidRDefault="00156489" w:rsidP="000A5925">
            <w:pPr>
              <w:spacing w:line="225" w:lineRule="exact"/>
              <w:jc w:val="both"/>
              <w:rPr>
                <w:sz w:val="20"/>
              </w:rPr>
            </w:pPr>
            <w:bookmarkStart w:id="35" w:name="Cell24"/>
            <w:bookmarkEnd w:id="35"/>
            <w:r w:rsidRPr="00FC4FEB">
              <w:rPr>
                <w:sz w:val="20"/>
              </w:rPr>
              <w:lastRenderedPageBreak/>
              <w:t xml:space="preserve">Continue work for the publication of the </w:t>
            </w:r>
            <w:r w:rsidR="000E615D" w:rsidRPr="00FC4FEB">
              <w:rPr>
                <w:sz w:val="20"/>
              </w:rPr>
              <w:t xml:space="preserve">second draft of the Revised Rules of Civil Procedure. The first draft of the Revised Rules provides that every case, with few exceptions, must undergo </w:t>
            </w:r>
            <w:r w:rsidRPr="00FC4FEB">
              <w:rPr>
                <w:sz w:val="20"/>
              </w:rPr>
              <w:t>alternative dispute resolution (</w:t>
            </w:r>
            <w:r w:rsidR="000E615D" w:rsidRPr="00FC4FEB">
              <w:rPr>
                <w:sz w:val="20"/>
              </w:rPr>
              <w:t>ADR</w:t>
            </w:r>
            <w:r w:rsidRPr="00FC4FEB">
              <w:rPr>
                <w:sz w:val="20"/>
              </w:rPr>
              <w:t>)</w:t>
            </w:r>
            <w:r w:rsidR="000E615D" w:rsidRPr="00FC4FEB">
              <w:rPr>
                <w:sz w:val="20"/>
              </w:rPr>
              <w:t xml:space="preserve"> before it is filed in court.</w:t>
            </w:r>
          </w:p>
          <w:p w14:paraId="7F98E042" w14:textId="77777777" w:rsidR="000E615D" w:rsidRPr="00FC4FEB" w:rsidRDefault="000E615D" w:rsidP="000A5925">
            <w:pPr>
              <w:spacing w:line="225" w:lineRule="exact"/>
              <w:jc w:val="both"/>
              <w:rPr>
                <w:sz w:val="20"/>
              </w:rPr>
            </w:pPr>
          </w:p>
          <w:p w14:paraId="26E04AC6" w14:textId="77777777" w:rsidR="000E615D" w:rsidRPr="00FC4FEB" w:rsidRDefault="00156489" w:rsidP="000A5925">
            <w:pPr>
              <w:spacing w:line="225" w:lineRule="exact"/>
              <w:jc w:val="both"/>
              <w:rPr>
                <w:sz w:val="20"/>
              </w:rPr>
            </w:pPr>
            <w:r w:rsidRPr="00FC4FEB">
              <w:rPr>
                <w:sz w:val="20"/>
              </w:rPr>
              <w:t>I</w:t>
            </w:r>
            <w:r w:rsidR="000E615D" w:rsidRPr="00FC4FEB">
              <w:rPr>
                <w:sz w:val="20"/>
              </w:rPr>
              <w:t>mplementation of rules, regulations, guidelines, procedures, and other issuances promoting ADR mechanisms and processes should continue to be monitored and evaluated.</w:t>
            </w:r>
          </w:p>
          <w:p w14:paraId="05A15F15" w14:textId="77777777" w:rsidR="000E615D" w:rsidRPr="00FC4FEB" w:rsidRDefault="000E615D" w:rsidP="000A5925">
            <w:pPr>
              <w:spacing w:line="225" w:lineRule="exact"/>
              <w:jc w:val="both"/>
              <w:rPr>
                <w:sz w:val="20"/>
              </w:rPr>
            </w:pPr>
          </w:p>
          <w:p w14:paraId="1AC9513E" w14:textId="77777777" w:rsidR="000E615D" w:rsidRPr="00FC4FEB" w:rsidRDefault="000E615D" w:rsidP="00993030">
            <w:pPr>
              <w:spacing w:line="225" w:lineRule="exact"/>
              <w:jc w:val="both"/>
              <w:rPr>
                <w:sz w:val="20"/>
              </w:rPr>
            </w:pPr>
            <w:r w:rsidRPr="00FC4FEB">
              <w:rPr>
                <w:sz w:val="20"/>
              </w:rPr>
              <w:t>Continued discussions with the Securities and Exchange Commission (SEC) and the Board of Investments (BOI) on providing ADR mechanisms in current dispute resolution rules.</w:t>
            </w:r>
          </w:p>
          <w:p w14:paraId="383E7C3C" w14:textId="77777777" w:rsidR="000E615D" w:rsidRPr="00FC4FEB" w:rsidRDefault="000E615D" w:rsidP="00993030">
            <w:pPr>
              <w:spacing w:line="225" w:lineRule="exact"/>
              <w:jc w:val="both"/>
              <w:rPr>
                <w:sz w:val="20"/>
              </w:rPr>
            </w:pPr>
          </w:p>
          <w:p w14:paraId="5030D2ED" w14:textId="77777777" w:rsidR="000E615D" w:rsidRPr="00FC4FEB" w:rsidRDefault="000E615D">
            <w:pPr>
              <w:spacing w:line="225" w:lineRule="exact"/>
              <w:jc w:val="both"/>
              <w:rPr>
                <w:sz w:val="20"/>
              </w:rPr>
            </w:pPr>
            <w:r w:rsidRPr="00FC4FEB">
              <w:rPr>
                <w:sz w:val="20"/>
              </w:rPr>
              <w:t>Continuing the upgrade of CIAC rules and systems to be comparable to world-renowned institutions providing ADR services.</w:t>
            </w:r>
          </w:p>
          <w:p w14:paraId="7C18B2B9" w14:textId="77777777" w:rsidR="000E615D" w:rsidRPr="00FC4FEB" w:rsidRDefault="000E615D">
            <w:pPr>
              <w:spacing w:line="225" w:lineRule="exact"/>
              <w:ind w:left="100"/>
              <w:jc w:val="both"/>
              <w:rPr>
                <w:i/>
                <w:sz w:val="20"/>
              </w:rPr>
            </w:pPr>
          </w:p>
          <w:p w14:paraId="5A8D613C" w14:textId="77777777" w:rsidR="00505176" w:rsidRPr="00FC4FEB" w:rsidRDefault="00505176" w:rsidP="00CD4015">
            <w:pPr>
              <w:jc w:val="both"/>
              <w:rPr>
                <w:sz w:val="20"/>
              </w:rPr>
            </w:pPr>
          </w:p>
        </w:tc>
      </w:tr>
      <w:tr w:rsidR="00FC4FEB" w:rsidRPr="00FC4FEB" w14:paraId="77CF332D" w14:textId="77777777" w:rsidTr="00810BCF">
        <w:trPr>
          <w:trHeight w:val="349"/>
        </w:trPr>
        <w:tc>
          <w:tcPr>
            <w:tcW w:w="3520" w:type="dxa"/>
          </w:tcPr>
          <w:p w14:paraId="0B9EE03B"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573" w:type="dxa"/>
            <w:vAlign w:val="bottom"/>
          </w:tcPr>
          <w:p w14:paraId="690CF2B3" w14:textId="77777777" w:rsidR="000E615D" w:rsidRPr="00FC4FEB" w:rsidRDefault="00B146C8" w:rsidP="000A5925">
            <w:pPr>
              <w:spacing w:line="225" w:lineRule="exact"/>
              <w:ind w:right="180"/>
              <w:jc w:val="both"/>
              <w:rPr>
                <w:sz w:val="20"/>
              </w:rPr>
            </w:pPr>
            <w:hyperlink r:id="rId31" w:history="1">
              <w:r w:rsidR="000E615D" w:rsidRPr="00FC4FEB">
                <w:rPr>
                  <w:rStyle w:val="Hyperlink"/>
                  <w:color w:val="auto"/>
                  <w:sz w:val="20"/>
                </w:rPr>
                <w:t>www.pdrci.com</w:t>
              </w:r>
            </w:hyperlink>
          </w:p>
          <w:p w14:paraId="30C7B0DE" w14:textId="77777777" w:rsidR="000E615D" w:rsidRPr="00FC4FEB" w:rsidRDefault="000E615D" w:rsidP="000A5925">
            <w:pPr>
              <w:spacing w:line="225" w:lineRule="exact"/>
              <w:ind w:right="180"/>
              <w:jc w:val="both"/>
              <w:rPr>
                <w:sz w:val="20"/>
              </w:rPr>
            </w:pPr>
          </w:p>
          <w:p w14:paraId="77D90771" w14:textId="77777777" w:rsidR="000E615D" w:rsidRPr="00FC4FEB" w:rsidRDefault="00B146C8" w:rsidP="000A5925">
            <w:pPr>
              <w:spacing w:line="225" w:lineRule="exact"/>
              <w:ind w:right="180"/>
              <w:jc w:val="both"/>
              <w:rPr>
                <w:sz w:val="20"/>
              </w:rPr>
            </w:pPr>
            <w:hyperlink r:id="rId32" w:history="1">
              <w:r w:rsidR="000E615D" w:rsidRPr="00FC4FEB">
                <w:rPr>
                  <w:rStyle w:val="Hyperlink"/>
                  <w:color w:val="auto"/>
                  <w:sz w:val="20"/>
                </w:rPr>
                <w:t>https://www.ipophil.gov.ph/images/2017Uploads/Announcements/mandatory_mediation_proposed_amended_rules_of_procedure.pdf</w:t>
              </w:r>
            </w:hyperlink>
            <w:r w:rsidR="000E615D" w:rsidRPr="00FC4FEB">
              <w:rPr>
                <w:sz w:val="20"/>
              </w:rPr>
              <w:t xml:space="preserve"> </w:t>
            </w:r>
          </w:p>
          <w:p w14:paraId="5BFF6F3D" w14:textId="77777777" w:rsidR="000E615D" w:rsidRPr="00FC4FEB" w:rsidRDefault="000E615D" w:rsidP="00993030">
            <w:pPr>
              <w:spacing w:line="225" w:lineRule="exact"/>
              <w:ind w:right="180"/>
              <w:jc w:val="both"/>
              <w:rPr>
                <w:sz w:val="20"/>
              </w:rPr>
            </w:pPr>
          </w:p>
          <w:p w14:paraId="715B544B" w14:textId="77777777" w:rsidR="000E615D" w:rsidRPr="00FC4FEB" w:rsidRDefault="00B146C8" w:rsidP="00993030">
            <w:pPr>
              <w:spacing w:line="225" w:lineRule="exact"/>
              <w:ind w:right="180"/>
              <w:jc w:val="both"/>
              <w:rPr>
                <w:sz w:val="20"/>
              </w:rPr>
            </w:pPr>
            <w:hyperlink r:id="rId33" w:history="1">
              <w:r w:rsidR="000E615D" w:rsidRPr="00FC4FEB">
                <w:rPr>
                  <w:rStyle w:val="Hyperlink"/>
                  <w:color w:val="auto"/>
                  <w:sz w:val="20"/>
                </w:rPr>
                <w:t>http://www.mgb.gov.ph/2015-05-13-02-02-11/mgb-news/562-mgb-shifts-to-new-alternative-dispute-resolution-for-mining-cases</w:t>
              </w:r>
            </w:hyperlink>
          </w:p>
          <w:p w14:paraId="57BDB8FB" w14:textId="77777777" w:rsidR="000E615D" w:rsidRPr="00FC4FEB" w:rsidRDefault="000E615D">
            <w:pPr>
              <w:spacing w:line="225" w:lineRule="exact"/>
              <w:ind w:right="180"/>
              <w:jc w:val="both"/>
              <w:rPr>
                <w:sz w:val="20"/>
              </w:rPr>
            </w:pPr>
          </w:p>
          <w:p w14:paraId="246E5937" w14:textId="77777777" w:rsidR="00505176" w:rsidRPr="00FC4FEB" w:rsidRDefault="00B146C8" w:rsidP="00CD4015">
            <w:pPr>
              <w:pStyle w:val="FootnoteText"/>
              <w:ind w:left="0" w:firstLine="0"/>
              <w:jc w:val="both"/>
            </w:pPr>
            <w:hyperlink r:id="rId34" w:history="1">
              <w:r w:rsidR="000E615D" w:rsidRPr="00FC4FEB">
                <w:rPr>
                  <w:rStyle w:val="Hyperlink"/>
                  <w:color w:val="auto"/>
                </w:rPr>
                <w:t>http://www.neda.gov.ph/wpcontent/uploads/2017/06/IRR_of_EO78.pdf</w:t>
              </w:r>
            </w:hyperlink>
            <w:r w:rsidR="000E615D" w:rsidRPr="00FC4FEB">
              <w:t xml:space="preserve"> </w:t>
            </w:r>
          </w:p>
          <w:p w14:paraId="38615944" w14:textId="77777777" w:rsidR="00505176" w:rsidRPr="00FC4FEB" w:rsidRDefault="00B146C8" w:rsidP="00CD4015">
            <w:pPr>
              <w:pStyle w:val="FootnoteText"/>
              <w:ind w:left="0" w:firstLine="0"/>
              <w:jc w:val="both"/>
            </w:pPr>
            <w:hyperlink r:id="rId35" w:history="1">
              <w:r w:rsidR="000E615D" w:rsidRPr="00FC4FEB">
                <w:rPr>
                  <w:rStyle w:val="Hyperlink"/>
                  <w:color w:val="auto"/>
                </w:rPr>
                <w:t>https://globalarbitrationnews.com/wp-content/uploads/2017/06/Philippines.pdf</w:t>
              </w:r>
            </w:hyperlink>
          </w:p>
          <w:p w14:paraId="09AA47B8" w14:textId="77777777" w:rsidR="00505176" w:rsidRPr="00FC4FEB" w:rsidRDefault="000E615D" w:rsidP="00CD4015">
            <w:pPr>
              <w:pStyle w:val="FootnoteText"/>
              <w:ind w:left="0" w:firstLine="0"/>
              <w:jc w:val="both"/>
            </w:pPr>
            <w:r w:rsidRPr="00FC4FEB">
              <w:t xml:space="preserve"> </w:t>
            </w:r>
            <w:hyperlink r:id="rId36" w:history="1">
              <w:r w:rsidRPr="00FC4FEB">
                <w:rPr>
                  <w:rStyle w:val="Hyperlink"/>
                  <w:color w:val="auto"/>
                </w:rPr>
                <w:t>http://www.pdrci.org/web/wp-content/uploads/2016/05/2016-05-Philippine-ADR-Review.pdf</w:t>
              </w:r>
            </w:hyperlink>
            <w:r w:rsidRPr="00FC4FEB">
              <w:t xml:space="preserve">  </w:t>
            </w:r>
          </w:p>
          <w:p w14:paraId="648E124B" w14:textId="77777777" w:rsidR="00505176" w:rsidRPr="00FC4FEB" w:rsidRDefault="00B146C8" w:rsidP="00CD4015">
            <w:pPr>
              <w:pStyle w:val="FootnoteText"/>
              <w:ind w:left="0" w:firstLine="0"/>
              <w:jc w:val="both"/>
            </w:pPr>
            <w:hyperlink r:id="rId37" w:history="1">
              <w:r w:rsidR="000E615D" w:rsidRPr="00FC4FEB">
                <w:rPr>
                  <w:rStyle w:val="Hyperlink"/>
                  <w:color w:val="auto"/>
                </w:rPr>
                <w:t>http://server2.denr.gov.ph/uploads/rmdd/dao-2016-31.pdf</w:t>
              </w:r>
            </w:hyperlink>
            <w:r w:rsidR="000E615D" w:rsidRPr="00FC4FEB">
              <w:t xml:space="preserve"> </w:t>
            </w:r>
          </w:p>
          <w:p w14:paraId="3960A6C8" w14:textId="77777777" w:rsidR="00505176" w:rsidRPr="00FC4FEB" w:rsidRDefault="00505176" w:rsidP="00CD4015">
            <w:pPr>
              <w:pStyle w:val="FootnoteText"/>
              <w:ind w:left="0" w:firstLine="0"/>
              <w:jc w:val="both"/>
            </w:pPr>
          </w:p>
          <w:p w14:paraId="4BEB10D6" w14:textId="77777777" w:rsidR="000E615D" w:rsidRPr="00FC4FEB" w:rsidRDefault="00B146C8" w:rsidP="000A5925">
            <w:pPr>
              <w:spacing w:line="225" w:lineRule="exact"/>
              <w:ind w:right="180"/>
              <w:jc w:val="both"/>
              <w:rPr>
                <w:sz w:val="20"/>
              </w:rPr>
            </w:pPr>
            <w:hyperlink r:id="rId38" w:history="1">
              <w:r w:rsidR="000E615D" w:rsidRPr="00FC4FEB">
                <w:rPr>
                  <w:rStyle w:val="Hyperlink"/>
                  <w:color w:val="auto"/>
                  <w:sz w:val="20"/>
                </w:rPr>
                <w:t>http://server2.denr.gov.ph/uploads/rmdd/dao-2016-30.pdf</w:t>
              </w:r>
            </w:hyperlink>
          </w:p>
          <w:p w14:paraId="13F1B4D7" w14:textId="77777777" w:rsidR="000E615D" w:rsidRPr="00FC4FEB" w:rsidRDefault="000E615D" w:rsidP="000A5925">
            <w:pPr>
              <w:spacing w:line="225" w:lineRule="exact"/>
              <w:ind w:right="180"/>
              <w:jc w:val="both"/>
              <w:rPr>
                <w:sz w:val="20"/>
              </w:rPr>
            </w:pPr>
          </w:p>
          <w:p w14:paraId="3AB36071" w14:textId="77777777" w:rsidR="000E615D" w:rsidRPr="00FC4FEB" w:rsidRDefault="00B146C8" w:rsidP="000A5925">
            <w:pPr>
              <w:spacing w:line="225" w:lineRule="exact"/>
              <w:ind w:right="180"/>
              <w:jc w:val="both"/>
              <w:rPr>
                <w:sz w:val="20"/>
              </w:rPr>
            </w:pPr>
            <w:hyperlink r:id="rId39" w:history="1">
              <w:r w:rsidR="000E615D" w:rsidRPr="00FC4FEB">
                <w:rPr>
                  <w:rStyle w:val="Hyperlink"/>
                  <w:color w:val="auto"/>
                  <w:sz w:val="20"/>
                </w:rPr>
                <w:t>https://privacy.gov.ph/memorandum-circulars/npc-circular-16-04-rules-of-procedure/</w:t>
              </w:r>
            </w:hyperlink>
          </w:p>
          <w:p w14:paraId="0E879BB5" w14:textId="77777777" w:rsidR="000E615D" w:rsidRPr="00FC4FEB" w:rsidRDefault="000E615D" w:rsidP="000A5925">
            <w:pPr>
              <w:spacing w:line="225" w:lineRule="exact"/>
              <w:ind w:right="180"/>
              <w:jc w:val="both"/>
              <w:rPr>
                <w:sz w:val="20"/>
              </w:rPr>
            </w:pPr>
            <w:r w:rsidRPr="00FC4FEB">
              <w:rPr>
                <w:sz w:val="20"/>
              </w:rPr>
              <w:t xml:space="preserve"> </w:t>
            </w:r>
          </w:p>
          <w:p w14:paraId="036D1B44" w14:textId="77777777" w:rsidR="000E615D" w:rsidRPr="00FC4FEB" w:rsidRDefault="00B146C8" w:rsidP="000A5925">
            <w:pPr>
              <w:spacing w:line="225" w:lineRule="exact"/>
              <w:ind w:right="180"/>
              <w:jc w:val="both"/>
              <w:rPr>
                <w:sz w:val="20"/>
              </w:rPr>
            </w:pPr>
            <w:hyperlink r:id="rId40" w:history="1">
              <w:r w:rsidR="000E615D" w:rsidRPr="00FC4FEB">
                <w:rPr>
                  <w:rStyle w:val="Hyperlink"/>
                  <w:color w:val="auto"/>
                  <w:sz w:val="20"/>
                </w:rPr>
                <w:t>http://www.officialgazette.gov.ph/2016/05/23/republic-act-no-10846/</w:t>
              </w:r>
            </w:hyperlink>
          </w:p>
          <w:p w14:paraId="0BBBAF23" w14:textId="77777777" w:rsidR="000E615D" w:rsidRPr="00FC4FEB" w:rsidRDefault="000E615D" w:rsidP="00993030">
            <w:pPr>
              <w:spacing w:line="225" w:lineRule="exact"/>
              <w:ind w:right="180"/>
              <w:jc w:val="both"/>
              <w:rPr>
                <w:sz w:val="20"/>
              </w:rPr>
            </w:pPr>
            <w:r w:rsidRPr="00FC4FEB">
              <w:rPr>
                <w:sz w:val="20"/>
              </w:rPr>
              <w:t xml:space="preserve"> </w:t>
            </w:r>
          </w:p>
          <w:p w14:paraId="3A3A845E" w14:textId="77777777" w:rsidR="000E615D" w:rsidRPr="00FC4FEB" w:rsidRDefault="000E615D" w:rsidP="00993030">
            <w:pPr>
              <w:spacing w:line="225" w:lineRule="exact"/>
              <w:ind w:right="180"/>
              <w:jc w:val="both"/>
              <w:rPr>
                <w:sz w:val="20"/>
              </w:rPr>
            </w:pPr>
            <w:r w:rsidRPr="00FC4FEB">
              <w:rPr>
                <w:sz w:val="20"/>
              </w:rPr>
              <w:t xml:space="preserve">http://www.sec.gov.ph/wp-content/uploads/2016/04/DraftSECMediationPolicy1.pdf </w:t>
            </w:r>
          </w:p>
          <w:p w14:paraId="71F4DBE4" w14:textId="77777777" w:rsidR="000E615D" w:rsidRPr="00FC4FEB" w:rsidRDefault="000E615D">
            <w:pPr>
              <w:spacing w:line="225" w:lineRule="exact"/>
              <w:ind w:right="180"/>
              <w:jc w:val="both"/>
              <w:rPr>
                <w:sz w:val="20"/>
              </w:rPr>
            </w:pPr>
            <w:r w:rsidRPr="00FC4FEB">
              <w:rPr>
                <w:sz w:val="20"/>
              </w:rPr>
              <w:t xml:space="preserve">  </w:t>
            </w:r>
            <w:hyperlink r:id="rId41" w:history="1">
              <w:r w:rsidRPr="00FC4FEB">
                <w:rPr>
                  <w:rStyle w:val="Hyperlink"/>
                  <w:color w:val="auto"/>
                  <w:sz w:val="20"/>
                </w:rPr>
                <w:t>https://www.dole.gov.ph/files/Dept%20Order%20No_%20151-16.pdf</w:t>
              </w:r>
            </w:hyperlink>
          </w:p>
          <w:p w14:paraId="59A4C08C" w14:textId="77777777" w:rsidR="000E615D" w:rsidRPr="00FC4FEB" w:rsidRDefault="000E615D">
            <w:pPr>
              <w:spacing w:line="225" w:lineRule="exact"/>
              <w:ind w:right="180"/>
              <w:jc w:val="both"/>
              <w:rPr>
                <w:sz w:val="20"/>
              </w:rPr>
            </w:pPr>
          </w:p>
          <w:p w14:paraId="207BAB7B" w14:textId="77777777" w:rsidR="000E615D" w:rsidRPr="00FC4FEB" w:rsidRDefault="000E615D" w:rsidP="00F0733A">
            <w:pPr>
              <w:spacing w:line="225" w:lineRule="exact"/>
              <w:ind w:right="180"/>
              <w:jc w:val="both"/>
              <w:rPr>
                <w:sz w:val="20"/>
              </w:rPr>
            </w:pPr>
            <w:r w:rsidRPr="00FC4FEB">
              <w:rPr>
                <w:sz w:val="20"/>
              </w:rPr>
              <w:t xml:space="preserve">  http://sc.judiciary.gov.phwww.ciap.dti.gov.ph</w:t>
            </w:r>
          </w:p>
        </w:tc>
        <w:tc>
          <w:tcPr>
            <w:tcW w:w="5471" w:type="dxa"/>
          </w:tcPr>
          <w:p w14:paraId="436E4162" w14:textId="77777777" w:rsidR="00505176" w:rsidRPr="00FC4FEB" w:rsidRDefault="00505176" w:rsidP="00CD4015">
            <w:pPr>
              <w:pStyle w:val="Heading9"/>
              <w:jc w:val="both"/>
              <w:rPr>
                <w:rFonts w:ascii="Times New Roman" w:hAnsi="Times New Roman"/>
                <w:b w:val="0"/>
              </w:rPr>
            </w:pPr>
          </w:p>
        </w:tc>
      </w:tr>
      <w:tr w:rsidR="00FC4FEB" w:rsidRPr="00FC4FEB" w14:paraId="7910A60D" w14:textId="77777777" w:rsidTr="00810BCF">
        <w:tc>
          <w:tcPr>
            <w:tcW w:w="3520" w:type="dxa"/>
          </w:tcPr>
          <w:p w14:paraId="62EB38BC"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lastRenderedPageBreak/>
              <w:t>Contact point for further details:</w:t>
            </w:r>
          </w:p>
        </w:tc>
        <w:tc>
          <w:tcPr>
            <w:tcW w:w="5573" w:type="dxa"/>
            <w:vAlign w:val="bottom"/>
          </w:tcPr>
          <w:p w14:paraId="74EC7A02"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The Solicitor General </w:t>
            </w:r>
          </w:p>
          <w:p w14:paraId="2F118647"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Office of the Solicitor General </w:t>
            </w:r>
          </w:p>
          <w:p w14:paraId="4E592CD5"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134 </w:t>
            </w:r>
            <w:proofErr w:type="spellStart"/>
            <w:r w:rsidRPr="00FC4FEB">
              <w:rPr>
                <w:rFonts w:ascii="Times New Roman" w:hAnsi="Times New Roman" w:cs="Times New Roman"/>
                <w:color w:val="auto"/>
                <w:sz w:val="20"/>
                <w:szCs w:val="20"/>
              </w:rPr>
              <w:t>Amorsolo</w:t>
            </w:r>
            <w:proofErr w:type="spellEnd"/>
            <w:r w:rsidRPr="00FC4FEB">
              <w:rPr>
                <w:rFonts w:ascii="Times New Roman" w:hAnsi="Times New Roman" w:cs="Times New Roman"/>
                <w:color w:val="auto"/>
                <w:sz w:val="20"/>
                <w:szCs w:val="20"/>
              </w:rPr>
              <w:t xml:space="preserve"> Street, Legaspi Village, Makati City </w:t>
            </w:r>
          </w:p>
          <w:p w14:paraId="4E19B574"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Tel: (632) 818-6381 </w:t>
            </w:r>
          </w:p>
          <w:p w14:paraId="4B530752"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Fax: (632) 817-6037 </w:t>
            </w:r>
          </w:p>
          <w:p w14:paraId="4B4CA902" w14:textId="77777777" w:rsidR="000E615D" w:rsidRPr="00FC4FEB" w:rsidRDefault="000E615D" w:rsidP="00993030">
            <w:pPr>
              <w:spacing w:line="225" w:lineRule="exact"/>
              <w:ind w:right="180"/>
              <w:jc w:val="both"/>
              <w:rPr>
                <w:sz w:val="20"/>
              </w:rPr>
            </w:pPr>
            <w:r w:rsidRPr="00FC4FEB">
              <w:rPr>
                <w:sz w:val="20"/>
              </w:rPr>
              <w:t>E-mail: docket@osg.gov.ph</w:t>
            </w:r>
          </w:p>
          <w:p w14:paraId="56FC91DC" w14:textId="77777777" w:rsidR="000E615D" w:rsidRPr="00FC4FEB" w:rsidRDefault="000E615D" w:rsidP="00993030">
            <w:pPr>
              <w:pStyle w:val="Default"/>
              <w:ind w:right="180"/>
              <w:jc w:val="both"/>
              <w:rPr>
                <w:rFonts w:ascii="Times New Roman" w:hAnsi="Times New Roman" w:cs="Times New Roman"/>
                <w:color w:val="auto"/>
                <w:sz w:val="20"/>
                <w:szCs w:val="20"/>
              </w:rPr>
            </w:pPr>
          </w:p>
          <w:p w14:paraId="3274807C" w14:textId="77777777" w:rsidR="000E615D" w:rsidRPr="00FC4FEB" w:rsidRDefault="000E615D">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Mr. Edmund L. Tan</w:t>
            </w:r>
          </w:p>
          <w:p w14:paraId="3A71ED8A" w14:textId="77777777" w:rsidR="00505176" w:rsidRPr="00FC4FEB" w:rsidRDefault="000E615D" w:rsidP="00CD4015">
            <w:pPr>
              <w:pStyle w:val="Default"/>
              <w:jc w:val="both"/>
              <w:rPr>
                <w:rFonts w:ascii="Times New Roman" w:hAnsi="Times New Roman" w:cs="Times New Roman"/>
                <w:color w:val="auto"/>
                <w:sz w:val="20"/>
                <w:szCs w:val="20"/>
                <w:lang w:val="en-AU"/>
              </w:rPr>
            </w:pPr>
            <w:r w:rsidRPr="00FC4FEB">
              <w:rPr>
                <w:rFonts w:ascii="Times New Roman" w:hAnsi="Times New Roman" w:cs="Times New Roman"/>
                <w:color w:val="auto"/>
                <w:sz w:val="20"/>
                <w:szCs w:val="20"/>
                <w:lang w:val="en-AU"/>
              </w:rPr>
              <w:t xml:space="preserve">Philippine Dispute Resolution </w:t>
            </w:r>
            <w:proofErr w:type="spellStart"/>
            <w:r w:rsidRPr="00FC4FEB">
              <w:rPr>
                <w:rFonts w:ascii="Times New Roman" w:hAnsi="Times New Roman" w:cs="Times New Roman"/>
                <w:color w:val="auto"/>
                <w:sz w:val="20"/>
                <w:szCs w:val="20"/>
                <w:lang w:val="en-AU"/>
              </w:rPr>
              <w:t>Center</w:t>
            </w:r>
            <w:proofErr w:type="spellEnd"/>
            <w:r w:rsidRPr="00FC4FEB">
              <w:rPr>
                <w:rFonts w:ascii="Times New Roman" w:hAnsi="Times New Roman" w:cs="Times New Roman"/>
                <w:color w:val="auto"/>
                <w:sz w:val="20"/>
                <w:szCs w:val="20"/>
                <w:lang w:val="en-AU"/>
              </w:rPr>
              <w:t>, Inc. (PDRCI)</w:t>
            </w:r>
          </w:p>
          <w:p w14:paraId="3FB28E77" w14:textId="77777777" w:rsidR="00505176" w:rsidRPr="00FC4FEB" w:rsidRDefault="000E615D" w:rsidP="00CD4015">
            <w:pPr>
              <w:pStyle w:val="Default"/>
              <w:jc w:val="both"/>
              <w:rPr>
                <w:rFonts w:ascii="Times New Roman" w:hAnsi="Times New Roman" w:cs="Times New Roman"/>
                <w:color w:val="auto"/>
                <w:sz w:val="20"/>
                <w:szCs w:val="20"/>
                <w:lang w:val="en-AU"/>
              </w:rPr>
            </w:pPr>
            <w:r w:rsidRPr="00FC4FEB">
              <w:rPr>
                <w:rFonts w:ascii="Times New Roman" w:hAnsi="Times New Roman" w:cs="Times New Roman"/>
                <w:color w:val="auto"/>
                <w:sz w:val="20"/>
                <w:szCs w:val="20"/>
                <w:lang w:val="en-AU"/>
              </w:rPr>
              <w:t>3</w:t>
            </w:r>
            <w:r w:rsidRPr="00FC4FEB">
              <w:rPr>
                <w:rFonts w:ascii="Times New Roman" w:hAnsi="Times New Roman" w:cs="Times New Roman"/>
                <w:color w:val="auto"/>
                <w:sz w:val="20"/>
                <w:szCs w:val="20"/>
                <w:vertAlign w:val="superscript"/>
                <w:lang w:val="en-AU"/>
              </w:rPr>
              <w:t>rd</w:t>
            </w:r>
            <w:r w:rsidRPr="00FC4FEB">
              <w:rPr>
                <w:rFonts w:ascii="Times New Roman" w:hAnsi="Times New Roman" w:cs="Times New Roman"/>
                <w:color w:val="auto"/>
                <w:sz w:val="20"/>
                <w:szCs w:val="20"/>
                <w:lang w:val="en-AU"/>
              </w:rPr>
              <w:t xml:space="preserve"> Floor, Commerce &amp; Industry Plaza (PCCI Building), 1030 Campus Ave. </w:t>
            </w:r>
            <w:proofErr w:type="spellStart"/>
            <w:r w:rsidRPr="00FC4FEB">
              <w:rPr>
                <w:rFonts w:ascii="Times New Roman" w:hAnsi="Times New Roman" w:cs="Times New Roman"/>
                <w:color w:val="auto"/>
                <w:sz w:val="20"/>
                <w:szCs w:val="20"/>
                <w:lang w:val="en-AU"/>
              </w:rPr>
              <w:t>cor</w:t>
            </w:r>
            <w:proofErr w:type="spellEnd"/>
            <w:r w:rsidRPr="00FC4FEB">
              <w:rPr>
                <w:rFonts w:ascii="Times New Roman" w:hAnsi="Times New Roman" w:cs="Times New Roman"/>
                <w:color w:val="auto"/>
                <w:sz w:val="20"/>
                <w:szCs w:val="20"/>
                <w:lang w:val="en-AU"/>
              </w:rPr>
              <w:t xml:space="preserve"> Park Ave., </w:t>
            </w:r>
            <w:proofErr w:type="spellStart"/>
            <w:r w:rsidRPr="00FC4FEB">
              <w:rPr>
                <w:rFonts w:ascii="Times New Roman" w:hAnsi="Times New Roman" w:cs="Times New Roman"/>
                <w:color w:val="auto"/>
                <w:sz w:val="20"/>
                <w:szCs w:val="20"/>
                <w:lang w:val="en-AU"/>
              </w:rPr>
              <w:t>Mckinley</w:t>
            </w:r>
            <w:proofErr w:type="spellEnd"/>
            <w:r w:rsidRPr="00FC4FEB">
              <w:rPr>
                <w:rFonts w:ascii="Times New Roman" w:hAnsi="Times New Roman" w:cs="Times New Roman"/>
                <w:color w:val="auto"/>
                <w:sz w:val="20"/>
                <w:szCs w:val="20"/>
                <w:lang w:val="en-AU"/>
              </w:rPr>
              <w:t xml:space="preserve"> Town </w:t>
            </w:r>
            <w:proofErr w:type="spellStart"/>
            <w:r w:rsidRPr="00FC4FEB">
              <w:rPr>
                <w:rFonts w:ascii="Times New Roman" w:hAnsi="Times New Roman" w:cs="Times New Roman"/>
                <w:color w:val="auto"/>
                <w:sz w:val="20"/>
                <w:szCs w:val="20"/>
                <w:lang w:val="en-AU"/>
              </w:rPr>
              <w:t>Center</w:t>
            </w:r>
            <w:proofErr w:type="spellEnd"/>
            <w:r w:rsidRPr="00FC4FEB">
              <w:rPr>
                <w:rFonts w:ascii="Times New Roman" w:hAnsi="Times New Roman" w:cs="Times New Roman"/>
                <w:color w:val="auto"/>
                <w:sz w:val="20"/>
                <w:szCs w:val="20"/>
                <w:lang w:val="en-AU"/>
              </w:rPr>
              <w:t xml:space="preserve">, Fort </w:t>
            </w:r>
            <w:proofErr w:type="spellStart"/>
            <w:r w:rsidRPr="00FC4FEB">
              <w:rPr>
                <w:rFonts w:ascii="Times New Roman" w:hAnsi="Times New Roman" w:cs="Times New Roman"/>
                <w:color w:val="auto"/>
                <w:sz w:val="20"/>
                <w:szCs w:val="20"/>
                <w:lang w:val="en-AU"/>
              </w:rPr>
              <w:t>Bonifacio</w:t>
            </w:r>
            <w:proofErr w:type="spellEnd"/>
            <w:r w:rsidRPr="00FC4FEB">
              <w:rPr>
                <w:rFonts w:ascii="Times New Roman" w:hAnsi="Times New Roman" w:cs="Times New Roman"/>
                <w:color w:val="auto"/>
                <w:sz w:val="20"/>
                <w:szCs w:val="20"/>
                <w:lang w:val="en-AU"/>
              </w:rPr>
              <w:t xml:space="preserve">, </w:t>
            </w:r>
            <w:proofErr w:type="spellStart"/>
            <w:r w:rsidRPr="00FC4FEB">
              <w:rPr>
                <w:rFonts w:ascii="Times New Roman" w:hAnsi="Times New Roman" w:cs="Times New Roman"/>
                <w:color w:val="auto"/>
                <w:sz w:val="20"/>
                <w:szCs w:val="20"/>
                <w:lang w:val="en-AU"/>
              </w:rPr>
              <w:t>Taguig</w:t>
            </w:r>
            <w:proofErr w:type="spellEnd"/>
            <w:r w:rsidRPr="00FC4FEB">
              <w:rPr>
                <w:rFonts w:ascii="Times New Roman" w:hAnsi="Times New Roman" w:cs="Times New Roman"/>
                <w:color w:val="auto"/>
                <w:sz w:val="20"/>
                <w:szCs w:val="20"/>
                <w:lang w:val="en-AU"/>
              </w:rPr>
              <w:t xml:space="preserve"> City</w:t>
            </w:r>
          </w:p>
          <w:p w14:paraId="40104213" w14:textId="77777777" w:rsidR="00505176" w:rsidRPr="00FC4FEB" w:rsidRDefault="000E615D" w:rsidP="00CD4015">
            <w:pPr>
              <w:pStyle w:val="Default"/>
              <w:jc w:val="both"/>
              <w:rPr>
                <w:rFonts w:ascii="Times New Roman" w:hAnsi="Times New Roman" w:cs="Times New Roman"/>
                <w:color w:val="auto"/>
                <w:sz w:val="20"/>
                <w:szCs w:val="20"/>
                <w:lang w:val="en-AU"/>
              </w:rPr>
            </w:pPr>
            <w:r w:rsidRPr="00FC4FEB">
              <w:rPr>
                <w:rFonts w:ascii="Times New Roman" w:hAnsi="Times New Roman" w:cs="Times New Roman"/>
                <w:color w:val="auto"/>
                <w:sz w:val="20"/>
                <w:szCs w:val="20"/>
              </w:rPr>
              <w:t xml:space="preserve">Tel: (632) 822-4102 </w:t>
            </w:r>
          </w:p>
          <w:p w14:paraId="4AC39A62" w14:textId="77777777" w:rsidR="00505176" w:rsidRPr="00FC4FEB" w:rsidRDefault="000E615D" w:rsidP="00CD4015">
            <w:pPr>
              <w:pStyle w:val="Default"/>
              <w:jc w:val="both"/>
              <w:rPr>
                <w:rFonts w:ascii="Times New Roman" w:hAnsi="Times New Roman" w:cs="Times New Roman"/>
                <w:color w:val="auto"/>
                <w:sz w:val="20"/>
                <w:szCs w:val="20"/>
                <w:lang w:val="en-AU"/>
              </w:rPr>
            </w:pPr>
            <w:r w:rsidRPr="00FC4FEB">
              <w:rPr>
                <w:rFonts w:ascii="Times New Roman" w:hAnsi="Times New Roman" w:cs="Times New Roman"/>
                <w:color w:val="auto"/>
                <w:sz w:val="20"/>
                <w:szCs w:val="20"/>
              </w:rPr>
              <w:t xml:space="preserve">Fax: (632) 822-4102 </w:t>
            </w:r>
          </w:p>
          <w:p w14:paraId="4D068661"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lang w:val="en-AU"/>
              </w:rPr>
              <w:t xml:space="preserve">E-mail: secretariat@pdrci.org  </w:t>
            </w:r>
          </w:p>
          <w:p w14:paraId="0E5E1CD8" w14:textId="77777777" w:rsidR="000E615D" w:rsidRPr="00FC4FEB" w:rsidRDefault="000E615D" w:rsidP="000A5925">
            <w:pPr>
              <w:spacing w:line="225" w:lineRule="exact"/>
              <w:ind w:right="180"/>
              <w:jc w:val="both"/>
              <w:rPr>
                <w:sz w:val="20"/>
              </w:rPr>
            </w:pPr>
          </w:p>
          <w:p w14:paraId="4B8549A2" w14:textId="77777777" w:rsidR="000E615D" w:rsidRPr="00FC4FEB" w:rsidRDefault="000E615D" w:rsidP="000A5925">
            <w:pPr>
              <w:spacing w:line="225" w:lineRule="exact"/>
              <w:ind w:right="180"/>
              <w:jc w:val="both"/>
              <w:rPr>
                <w:sz w:val="20"/>
              </w:rPr>
            </w:pPr>
            <w:r w:rsidRPr="00FC4FEB">
              <w:rPr>
                <w:sz w:val="20"/>
              </w:rPr>
              <w:t xml:space="preserve">Executive Director Kathryn Josephine T. </w:t>
            </w:r>
            <w:proofErr w:type="spellStart"/>
            <w:r w:rsidRPr="00FC4FEB">
              <w:rPr>
                <w:sz w:val="20"/>
              </w:rPr>
              <w:t>Dela</w:t>
            </w:r>
            <w:proofErr w:type="spellEnd"/>
            <w:r w:rsidRPr="00FC4FEB">
              <w:rPr>
                <w:sz w:val="20"/>
              </w:rPr>
              <w:t xml:space="preserve"> Cruz</w:t>
            </w:r>
          </w:p>
          <w:p w14:paraId="5366AA69" w14:textId="77777777" w:rsidR="000E615D" w:rsidRPr="00FC4FEB" w:rsidRDefault="000E615D" w:rsidP="000A5925">
            <w:pPr>
              <w:spacing w:line="225" w:lineRule="exact"/>
              <w:ind w:right="180"/>
              <w:jc w:val="both"/>
              <w:rPr>
                <w:sz w:val="20"/>
              </w:rPr>
            </w:pPr>
            <w:r w:rsidRPr="00FC4FEB">
              <w:rPr>
                <w:sz w:val="20"/>
              </w:rPr>
              <w:t>Construction Industry Arbitration Commission (CIAC)</w:t>
            </w:r>
          </w:p>
          <w:p w14:paraId="24A460D4" w14:textId="77777777" w:rsidR="000E615D" w:rsidRPr="00FC4FEB" w:rsidRDefault="000E615D" w:rsidP="000A5925">
            <w:pPr>
              <w:spacing w:line="225" w:lineRule="exact"/>
              <w:ind w:right="180"/>
              <w:jc w:val="both"/>
              <w:rPr>
                <w:sz w:val="20"/>
              </w:rPr>
            </w:pPr>
            <w:r w:rsidRPr="00FC4FEB">
              <w:rPr>
                <w:sz w:val="20"/>
              </w:rPr>
              <w:t>DTI – Construction Industry Authority of the Philippines</w:t>
            </w:r>
          </w:p>
          <w:p w14:paraId="512360F5" w14:textId="77777777" w:rsidR="000E615D" w:rsidRPr="00FC4FEB" w:rsidRDefault="000E615D" w:rsidP="00993030">
            <w:pPr>
              <w:spacing w:line="225" w:lineRule="exact"/>
              <w:ind w:right="180"/>
              <w:jc w:val="both"/>
              <w:rPr>
                <w:sz w:val="20"/>
              </w:rPr>
            </w:pPr>
            <w:r w:rsidRPr="00FC4FEB">
              <w:rPr>
                <w:sz w:val="20"/>
              </w:rPr>
              <w:t xml:space="preserve">2/F, Executive Building </w:t>
            </w:r>
            <w:proofErr w:type="spellStart"/>
            <w:r w:rsidRPr="00FC4FEB">
              <w:rPr>
                <w:sz w:val="20"/>
              </w:rPr>
              <w:t>Center</w:t>
            </w:r>
            <w:proofErr w:type="spellEnd"/>
            <w:r w:rsidRPr="00FC4FEB">
              <w:rPr>
                <w:sz w:val="20"/>
              </w:rPr>
              <w:t xml:space="preserve">, 369 Sen. Gil </w:t>
            </w:r>
            <w:proofErr w:type="spellStart"/>
            <w:r w:rsidRPr="00FC4FEB">
              <w:rPr>
                <w:sz w:val="20"/>
              </w:rPr>
              <w:t>Puyat</w:t>
            </w:r>
            <w:proofErr w:type="spellEnd"/>
            <w:r w:rsidRPr="00FC4FEB">
              <w:rPr>
                <w:sz w:val="20"/>
              </w:rPr>
              <w:t xml:space="preserve"> Avenue</w:t>
            </w:r>
          </w:p>
          <w:p w14:paraId="554B7CD5" w14:textId="77777777" w:rsidR="000E615D" w:rsidRPr="00FC4FEB" w:rsidRDefault="000E615D" w:rsidP="00993030">
            <w:pPr>
              <w:spacing w:line="225" w:lineRule="exact"/>
              <w:ind w:right="180"/>
              <w:jc w:val="both"/>
              <w:rPr>
                <w:sz w:val="20"/>
              </w:rPr>
            </w:pPr>
            <w:r w:rsidRPr="00FC4FEB">
              <w:rPr>
                <w:sz w:val="20"/>
              </w:rPr>
              <w:t>corner Makati Avenue, Makati City</w:t>
            </w:r>
          </w:p>
          <w:p w14:paraId="4C00CB73" w14:textId="77777777" w:rsidR="000E615D" w:rsidRPr="00FC4FEB" w:rsidRDefault="000E615D">
            <w:pPr>
              <w:spacing w:line="225" w:lineRule="exact"/>
              <w:ind w:right="180"/>
              <w:jc w:val="both"/>
              <w:rPr>
                <w:sz w:val="20"/>
              </w:rPr>
            </w:pPr>
            <w:r w:rsidRPr="00FC4FEB">
              <w:rPr>
                <w:sz w:val="20"/>
              </w:rPr>
              <w:t>Telephone No.: (632) 897-0853</w:t>
            </w:r>
          </w:p>
          <w:p w14:paraId="5589CCF9" w14:textId="77777777" w:rsidR="000E615D" w:rsidRPr="00FC4FEB" w:rsidRDefault="000E615D">
            <w:pPr>
              <w:spacing w:line="225" w:lineRule="exact"/>
              <w:ind w:right="180"/>
              <w:jc w:val="both"/>
              <w:rPr>
                <w:sz w:val="20"/>
              </w:rPr>
            </w:pPr>
            <w:r w:rsidRPr="00FC4FEB">
              <w:rPr>
                <w:sz w:val="20"/>
              </w:rPr>
              <w:t>Telefax No.: (632) 897-9313</w:t>
            </w:r>
          </w:p>
          <w:p w14:paraId="22895043" w14:textId="77777777" w:rsidR="000E615D" w:rsidRPr="00FC4FEB" w:rsidRDefault="000E615D">
            <w:pPr>
              <w:spacing w:line="225" w:lineRule="exact"/>
              <w:ind w:right="180"/>
              <w:jc w:val="both"/>
              <w:rPr>
                <w:sz w:val="20"/>
              </w:rPr>
            </w:pPr>
            <w:r w:rsidRPr="00FC4FEB">
              <w:rPr>
                <w:sz w:val="20"/>
              </w:rPr>
              <w:t>Email: ciac_ciap@yahoo.com / ciac@dti.gov.ph</w:t>
            </w:r>
          </w:p>
          <w:p w14:paraId="08D8F216" w14:textId="77777777" w:rsidR="000E615D" w:rsidRPr="00FC4FEB" w:rsidRDefault="000E615D">
            <w:pPr>
              <w:spacing w:line="225" w:lineRule="exact"/>
              <w:ind w:right="180"/>
              <w:jc w:val="both"/>
              <w:rPr>
                <w:sz w:val="20"/>
              </w:rPr>
            </w:pPr>
          </w:p>
        </w:tc>
        <w:tc>
          <w:tcPr>
            <w:tcW w:w="5471" w:type="dxa"/>
          </w:tcPr>
          <w:p w14:paraId="05CBDE02" w14:textId="77777777" w:rsidR="00505176" w:rsidRPr="00FC4FEB" w:rsidRDefault="00505176" w:rsidP="00CD4015">
            <w:pPr>
              <w:pStyle w:val="Heading9"/>
              <w:jc w:val="both"/>
              <w:rPr>
                <w:rFonts w:ascii="Times New Roman" w:hAnsi="Times New Roman"/>
                <w:b w:val="0"/>
              </w:rPr>
            </w:pPr>
          </w:p>
        </w:tc>
      </w:tr>
      <w:tr w:rsidR="00FC4FEB" w:rsidRPr="00FC4FEB" w14:paraId="4572C31E" w14:textId="77777777" w:rsidTr="00810BCF">
        <w:tc>
          <w:tcPr>
            <w:tcW w:w="3520" w:type="dxa"/>
          </w:tcPr>
          <w:p w14:paraId="0EBF2AD3" w14:textId="77777777" w:rsidR="00505176" w:rsidRPr="00FC4FEB" w:rsidRDefault="000E615D" w:rsidP="00CD4015">
            <w:pPr>
              <w:pStyle w:val="Heading5"/>
              <w:spacing w:after="0"/>
              <w:jc w:val="both"/>
              <w:rPr>
                <w:rFonts w:ascii="Times New Roman" w:hAnsi="Times New Roman"/>
                <w:i/>
              </w:rPr>
            </w:pPr>
            <w:bookmarkStart w:id="36" w:name="Row13"/>
            <w:r w:rsidRPr="00FC4FEB">
              <w:rPr>
                <w:rFonts w:ascii="Times New Roman" w:hAnsi="Times New Roman"/>
                <w:i/>
              </w:rPr>
              <w:t>Mobility of Business People</w:t>
            </w:r>
            <w:bookmarkEnd w:id="36"/>
          </w:p>
          <w:p w14:paraId="56DA9BEB" w14:textId="77777777" w:rsidR="00505176" w:rsidRPr="00FC4FEB" w:rsidRDefault="00505176" w:rsidP="00CD4015">
            <w:pPr>
              <w:jc w:val="both"/>
              <w:rPr>
                <w:sz w:val="20"/>
              </w:rPr>
            </w:pPr>
          </w:p>
        </w:tc>
        <w:tc>
          <w:tcPr>
            <w:tcW w:w="5573" w:type="dxa"/>
          </w:tcPr>
          <w:p w14:paraId="1B9C7A36" w14:textId="77777777" w:rsidR="00505176" w:rsidRPr="00FC4FEB" w:rsidRDefault="000E615D" w:rsidP="00CD4015">
            <w:pPr>
              <w:pStyle w:val="Default"/>
              <w:ind w:right="180"/>
              <w:jc w:val="both"/>
              <w:rPr>
                <w:rFonts w:ascii="Times New Roman" w:hAnsi="Times New Roman" w:cs="Times New Roman"/>
                <w:color w:val="auto"/>
                <w:sz w:val="20"/>
                <w:szCs w:val="20"/>
                <w:lang w:val="en-AU"/>
              </w:rPr>
            </w:pPr>
            <w:bookmarkStart w:id="37" w:name="Cell25"/>
            <w:bookmarkEnd w:id="37"/>
            <w:r w:rsidRPr="00FC4FEB">
              <w:rPr>
                <w:rFonts w:ascii="Times New Roman" w:hAnsi="Times New Roman" w:cs="Times New Roman"/>
                <w:color w:val="auto"/>
                <w:sz w:val="20"/>
                <w:szCs w:val="20"/>
              </w:rPr>
              <w:t>Implementing the Foreign Service Circular 157-2016 which extends visa free entry to the Philippines of nationals from 157 countries, with an initial stay of 30 days.</w:t>
            </w:r>
          </w:p>
          <w:p w14:paraId="5D093C69" w14:textId="77777777" w:rsidR="00505176" w:rsidRPr="00FC4FEB" w:rsidRDefault="00505176" w:rsidP="00CD4015">
            <w:pPr>
              <w:pStyle w:val="Default"/>
              <w:ind w:right="180"/>
              <w:jc w:val="both"/>
              <w:rPr>
                <w:rFonts w:ascii="Times New Roman" w:hAnsi="Times New Roman" w:cs="Times New Roman"/>
                <w:color w:val="auto"/>
                <w:sz w:val="20"/>
                <w:szCs w:val="20"/>
                <w:lang w:val="en-AU"/>
              </w:rPr>
            </w:pPr>
          </w:p>
          <w:p w14:paraId="465F7D55" w14:textId="77777777" w:rsidR="00505176" w:rsidRPr="00FC4FEB" w:rsidRDefault="000E615D" w:rsidP="00CD4015">
            <w:pPr>
              <w:pStyle w:val="Default"/>
              <w:ind w:right="180"/>
              <w:jc w:val="both"/>
              <w:rPr>
                <w:rFonts w:ascii="Times New Roman" w:hAnsi="Times New Roman" w:cs="Times New Roman"/>
                <w:color w:val="auto"/>
                <w:sz w:val="20"/>
                <w:szCs w:val="20"/>
                <w:lang w:val="en-AU"/>
              </w:rPr>
            </w:pPr>
            <w:r w:rsidRPr="00FC4FEB">
              <w:rPr>
                <w:rFonts w:ascii="Times New Roman" w:hAnsi="Times New Roman" w:cs="Times New Roman"/>
                <w:color w:val="auto"/>
                <w:sz w:val="20"/>
                <w:szCs w:val="20"/>
              </w:rPr>
              <w:t>Relaxed the six (6) months validity of passport requirements for nationals of countries whose respective embassies/consulates in the Philippines are renewing passports and/or extending passport validity</w:t>
            </w:r>
          </w:p>
          <w:p w14:paraId="58580303" w14:textId="77777777" w:rsidR="00505176" w:rsidRPr="00FC4FEB" w:rsidRDefault="00505176" w:rsidP="00CD4015">
            <w:pPr>
              <w:pStyle w:val="Default"/>
              <w:ind w:right="180"/>
              <w:jc w:val="both"/>
              <w:rPr>
                <w:rFonts w:ascii="Times New Roman" w:hAnsi="Times New Roman" w:cs="Times New Roman"/>
                <w:color w:val="auto"/>
                <w:sz w:val="20"/>
                <w:szCs w:val="20"/>
                <w:lang w:val="en-AU"/>
              </w:rPr>
            </w:pPr>
          </w:p>
          <w:p w14:paraId="437881D3" w14:textId="77777777" w:rsidR="00505176" w:rsidRPr="00FC4FEB" w:rsidRDefault="000E615D" w:rsidP="00CD4015">
            <w:pPr>
              <w:pStyle w:val="Default"/>
              <w:ind w:right="180"/>
              <w:jc w:val="both"/>
              <w:rPr>
                <w:rFonts w:ascii="Times New Roman" w:hAnsi="Times New Roman" w:cs="Times New Roman"/>
                <w:color w:val="auto"/>
                <w:sz w:val="20"/>
                <w:szCs w:val="20"/>
                <w:lang w:val="en-AU"/>
              </w:rPr>
            </w:pPr>
            <w:r w:rsidRPr="00FC4FEB">
              <w:rPr>
                <w:rFonts w:ascii="Times New Roman" w:hAnsi="Times New Roman" w:cs="Times New Roman"/>
                <w:color w:val="auto"/>
                <w:sz w:val="20"/>
                <w:szCs w:val="20"/>
              </w:rPr>
              <w:t>Designated Immigration counters for APEC Business Travel Card holders.</w:t>
            </w:r>
          </w:p>
        </w:tc>
        <w:tc>
          <w:tcPr>
            <w:tcW w:w="5471" w:type="dxa"/>
          </w:tcPr>
          <w:p w14:paraId="01195F89" w14:textId="77777777" w:rsidR="000E615D" w:rsidRPr="00FC4FEB" w:rsidRDefault="000E615D" w:rsidP="000A5925">
            <w:pPr>
              <w:spacing w:line="225" w:lineRule="exact"/>
              <w:ind w:right="191"/>
              <w:jc w:val="both"/>
              <w:rPr>
                <w:sz w:val="20"/>
              </w:rPr>
            </w:pPr>
            <w:r w:rsidRPr="00FC4FEB">
              <w:rPr>
                <w:sz w:val="20"/>
                <w:shd w:val="clear" w:color="auto" w:fill="FFFFFF"/>
              </w:rPr>
              <w:t xml:space="preserve"> </w:t>
            </w:r>
          </w:p>
        </w:tc>
      </w:tr>
      <w:tr w:rsidR="00FC4FEB" w:rsidRPr="00FC4FEB" w14:paraId="63D8F163" w14:textId="77777777" w:rsidTr="00810BCF">
        <w:tc>
          <w:tcPr>
            <w:tcW w:w="3520" w:type="dxa"/>
          </w:tcPr>
          <w:p w14:paraId="5EB42027" w14:textId="77777777" w:rsidR="00505176" w:rsidRPr="00FC4FEB" w:rsidRDefault="000E615D" w:rsidP="00CD4015">
            <w:pPr>
              <w:pStyle w:val="Heading5"/>
              <w:spacing w:after="0"/>
              <w:jc w:val="both"/>
              <w:rPr>
                <w:rFonts w:ascii="Times New Roman" w:hAnsi="Times New Roman"/>
                <w:i/>
              </w:rPr>
            </w:pPr>
            <w:r w:rsidRPr="00FC4FEB">
              <w:rPr>
                <w:rFonts w:ascii="Times New Roman" w:hAnsi="Times New Roman"/>
                <w:b w:val="0"/>
                <w:i/>
              </w:rPr>
              <w:t xml:space="preserve">Website for further information:  </w:t>
            </w:r>
          </w:p>
        </w:tc>
        <w:tc>
          <w:tcPr>
            <w:tcW w:w="5573" w:type="dxa"/>
            <w:vAlign w:val="bottom"/>
          </w:tcPr>
          <w:p w14:paraId="3F425DB2" w14:textId="77777777" w:rsidR="000E615D" w:rsidRPr="00FC4FEB" w:rsidRDefault="00B146C8" w:rsidP="000A5925">
            <w:pPr>
              <w:pStyle w:val="Default"/>
              <w:ind w:right="180"/>
              <w:jc w:val="both"/>
              <w:rPr>
                <w:rFonts w:ascii="Times New Roman" w:hAnsi="Times New Roman" w:cs="Times New Roman"/>
                <w:color w:val="auto"/>
                <w:sz w:val="20"/>
                <w:szCs w:val="20"/>
              </w:rPr>
            </w:pPr>
            <w:hyperlink r:id="rId42" w:history="1">
              <w:r w:rsidR="000E615D" w:rsidRPr="00FC4FEB">
                <w:rPr>
                  <w:rStyle w:val="Hyperlink"/>
                  <w:rFonts w:ascii="Times New Roman" w:hAnsi="Times New Roman" w:cs="Times New Roman"/>
                  <w:color w:val="auto"/>
                  <w:sz w:val="20"/>
                  <w:szCs w:val="20"/>
                </w:rPr>
                <w:t>http://www.immigration.gov.ph/</w:t>
              </w:r>
            </w:hyperlink>
          </w:p>
        </w:tc>
        <w:tc>
          <w:tcPr>
            <w:tcW w:w="5471" w:type="dxa"/>
          </w:tcPr>
          <w:p w14:paraId="70115439" w14:textId="77777777" w:rsidR="00505176" w:rsidRPr="00FC4FEB" w:rsidRDefault="00505176" w:rsidP="00CD4015">
            <w:pPr>
              <w:jc w:val="both"/>
              <w:rPr>
                <w:sz w:val="20"/>
              </w:rPr>
            </w:pPr>
          </w:p>
        </w:tc>
      </w:tr>
      <w:tr w:rsidR="00FC4FEB" w:rsidRPr="00FC4FEB" w14:paraId="3E255127" w14:textId="77777777" w:rsidTr="00810BCF">
        <w:tc>
          <w:tcPr>
            <w:tcW w:w="3520" w:type="dxa"/>
          </w:tcPr>
          <w:p w14:paraId="14B14559" w14:textId="77777777" w:rsidR="00505176" w:rsidRPr="00FC4FEB" w:rsidRDefault="000E615D" w:rsidP="00CD4015">
            <w:pPr>
              <w:pStyle w:val="Heading5"/>
              <w:spacing w:after="0"/>
              <w:jc w:val="both"/>
              <w:rPr>
                <w:rFonts w:ascii="Times New Roman" w:hAnsi="Times New Roman"/>
                <w:i/>
              </w:rPr>
            </w:pPr>
            <w:r w:rsidRPr="00FC4FEB">
              <w:rPr>
                <w:rFonts w:ascii="Times New Roman" w:hAnsi="Times New Roman"/>
                <w:b w:val="0"/>
                <w:i/>
              </w:rPr>
              <w:t>Contact point for further details:</w:t>
            </w:r>
          </w:p>
        </w:tc>
        <w:tc>
          <w:tcPr>
            <w:tcW w:w="5573" w:type="dxa"/>
            <w:vAlign w:val="bottom"/>
          </w:tcPr>
          <w:p w14:paraId="6FBE2DC3"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Commissioner Jaime H. </w:t>
            </w:r>
            <w:proofErr w:type="spellStart"/>
            <w:r w:rsidRPr="00FC4FEB">
              <w:rPr>
                <w:rFonts w:ascii="Times New Roman" w:hAnsi="Times New Roman" w:cs="Times New Roman"/>
                <w:color w:val="auto"/>
                <w:sz w:val="20"/>
                <w:szCs w:val="20"/>
              </w:rPr>
              <w:t>Morente</w:t>
            </w:r>
            <w:proofErr w:type="spellEnd"/>
          </w:p>
          <w:p w14:paraId="6DEE8826"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Bureau of Immigration</w:t>
            </w:r>
          </w:p>
          <w:p w14:paraId="72EA12D0"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2/F Bureau of Immigration Bldg.</w:t>
            </w:r>
          </w:p>
          <w:p w14:paraId="18E09CE4"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Magallanes Drive, Port Area</w:t>
            </w:r>
          </w:p>
          <w:p w14:paraId="7BEF9CE2" w14:textId="77777777" w:rsidR="000E615D" w:rsidRPr="00FC4FEB" w:rsidRDefault="000E615D"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Tel No: (632) 465-2400</w:t>
            </w:r>
          </w:p>
          <w:p w14:paraId="326283F0" w14:textId="77777777" w:rsidR="000E615D" w:rsidRPr="00FC4FEB" w:rsidRDefault="000E615D" w:rsidP="00993030">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Email: immigPH@gmail.com</w:t>
            </w:r>
          </w:p>
        </w:tc>
        <w:tc>
          <w:tcPr>
            <w:tcW w:w="5471" w:type="dxa"/>
          </w:tcPr>
          <w:p w14:paraId="086C4F27" w14:textId="77777777" w:rsidR="00505176" w:rsidRPr="00FC4FEB" w:rsidRDefault="00505176" w:rsidP="00CD4015">
            <w:pPr>
              <w:jc w:val="both"/>
              <w:rPr>
                <w:sz w:val="20"/>
              </w:rPr>
            </w:pPr>
          </w:p>
        </w:tc>
      </w:tr>
      <w:tr w:rsidR="00FC4FEB" w:rsidRPr="00FC4FEB" w14:paraId="203F6427" w14:textId="77777777" w:rsidTr="00810BCF">
        <w:tc>
          <w:tcPr>
            <w:tcW w:w="3520" w:type="dxa"/>
            <w:shd w:val="clear" w:color="auto" w:fill="auto"/>
          </w:tcPr>
          <w:p w14:paraId="38A711AC" w14:textId="77777777" w:rsidR="00505176" w:rsidRPr="00FC4FEB" w:rsidRDefault="000E615D" w:rsidP="00CD4015">
            <w:pPr>
              <w:pStyle w:val="Heading5"/>
              <w:spacing w:after="0"/>
              <w:jc w:val="both"/>
              <w:rPr>
                <w:rFonts w:ascii="Times New Roman" w:hAnsi="Times New Roman"/>
                <w:i/>
              </w:rPr>
            </w:pPr>
            <w:r w:rsidRPr="00FC4FEB">
              <w:rPr>
                <w:rFonts w:ascii="Times New Roman" w:hAnsi="Times New Roman"/>
                <w:i/>
              </w:rPr>
              <w:lastRenderedPageBreak/>
              <w:t>Official websites that gather economies’ information</w:t>
            </w:r>
          </w:p>
          <w:p w14:paraId="7C5DB86A" w14:textId="77777777" w:rsidR="00505176" w:rsidRPr="00FC4FEB" w:rsidRDefault="00505176" w:rsidP="00CD4015">
            <w:pPr>
              <w:jc w:val="both"/>
              <w:rPr>
                <w:b/>
                <w:i/>
                <w:sz w:val="20"/>
              </w:rPr>
            </w:pPr>
          </w:p>
        </w:tc>
        <w:tc>
          <w:tcPr>
            <w:tcW w:w="5573" w:type="dxa"/>
            <w:shd w:val="clear" w:color="auto" w:fill="auto"/>
          </w:tcPr>
          <w:p w14:paraId="3278BEE8" w14:textId="77777777" w:rsidR="003C68F6" w:rsidRPr="00FC4FEB" w:rsidRDefault="009876B6" w:rsidP="000A5925">
            <w:pPr>
              <w:contextualSpacing/>
              <w:jc w:val="both"/>
              <w:rPr>
                <w:rFonts w:eastAsia="Times New Roman"/>
                <w:sz w:val="20"/>
                <w:lang w:eastAsia="en-PH"/>
              </w:rPr>
            </w:pPr>
            <w:bookmarkStart w:id="38" w:name="Cell27"/>
            <w:bookmarkEnd w:id="38"/>
            <w:r w:rsidRPr="00FC4FEB">
              <w:rPr>
                <w:rFonts w:eastAsia="Times New Roman"/>
                <w:sz w:val="20"/>
                <w:lang w:eastAsia="en-PH"/>
              </w:rPr>
              <w:t>Official websites that gather economies’ information:</w:t>
            </w:r>
          </w:p>
          <w:p w14:paraId="5D40A29F" w14:textId="77777777" w:rsidR="00CD15CF" w:rsidRPr="00FC4FEB" w:rsidRDefault="00B146C8" w:rsidP="00CD4015">
            <w:pPr>
              <w:pStyle w:val="ListParagraph"/>
              <w:numPr>
                <w:ilvl w:val="0"/>
                <w:numId w:val="62"/>
              </w:numPr>
              <w:contextualSpacing/>
              <w:jc w:val="both"/>
              <w:rPr>
                <w:rFonts w:ascii="Times New Roman" w:eastAsia="Times New Roman" w:hAnsi="Times New Roman"/>
                <w:sz w:val="20"/>
                <w:szCs w:val="20"/>
                <w:lang w:eastAsia="en-PH"/>
              </w:rPr>
            </w:pPr>
            <w:hyperlink r:id="rId43" w:history="1">
              <w:r w:rsidR="00CD15CF" w:rsidRPr="00FC4FEB">
                <w:rPr>
                  <w:rStyle w:val="Hyperlink"/>
                  <w:rFonts w:ascii="Times New Roman" w:eastAsia="Times New Roman" w:hAnsi="Times New Roman"/>
                  <w:color w:val="auto"/>
                  <w:sz w:val="20"/>
                  <w:szCs w:val="20"/>
                  <w:lang w:eastAsia="en-PH"/>
                </w:rPr>
                <w:t>www.psa.gov.ph</w:t>
              </w:r>
            </w:hyperlink>
            <w:r w:rsidR="00CD15CF" w:rsidRPr="00FC4FEB">
              <w:rPr>
                <w:rFonts w:ascii="Times New Roman" w:eastAsia="Times New Roman" w:hAnsi="Times New Roman"/>
                <w:sz w:val="20"/>
                <w:szCs w:val="20"/>
                <w:lang w:eastAsia="en-PH"/>
              </w:rPr>
              <w:t xml:space="preserve"> (provides import and export data of the Philippines with top trading partners)</w:t>
            </w:r>
          </w:p>
          <w:p w14:paraId="13AB8D86" w14:textId="77777777" w:rsidR="009876B6" w:rsidRPr="00FC4FEB" w:rsidRDefault="009876B6" w:rsidP="000A5925">
            <w:pPr>
              <w:contextualSpacing/>
              <w:jc w:val="both"/>
              <w:rPr>
                <w:rFonts w:eastAsia="Times New Roman"/>
                <w:sz w:val="20"/>
                <w:lang w:eastAsia="en-PH"/>
              </w:rPr>
            </w:pPr>
          </w:p>
        </w:tc>
        <w:tc>
          <w:tcPr>
            <w:tcW w:w="5471" w:type="dxa"/>
            <w:shd w:val="clear" w:color="auto" w:fill="auto"/>
          </w:tcPr>
          <w:p w14:paraId="37610667" w14:textId="77777777" w:rsidR="00505176" w:rsidRPr="00FC4FEB" w:rsidRDefault="00505176" w:rsidP="00CD4015">
            <w:pPr>
              <w:jc w:val="both"/>
              <w:rPr>
                <w:sz w:val="20"/>
              </w:rPr>
            </w:pPr>
            <w:bookmarkStart w:id="39" w:name="Cell28"/>
            <w:bookmarkEnd w:id="39"/>
          </w:p>
        </w:tc>
      </w:tr>
      <w:tr w:rsidR="00FC4FEB" w:rsidRPr="00FC4FEB" w14:paraId="1C29B290" w14:textId="77777777" w:rsidTr="00810BCF">
        <w:tc>
          <w:tcPr>
            <w:tcW w:w="3520" w:type="dxa"/>
            <w:shd w:val="clear" w:color="auto" w:fill="auto"/>
          </w:tcPr>
          <w:p w14:paraId="3AF1F1A1"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 xml:space="preserve">Website for further information:  </w:t>
            </w:r>
          </w:p>
        </w:tc>
        <w:tc>
          <w:tcPr>
            <w:tcW w:w="5573" w:type="dxa"/>
            <w:shd w:val="clear" w:color="auto" w:fill="auto"/>
            <w:vAlign w:val="bottom"/>
          </w:tcPr>
          <w:p w14:paraId="6ECF6F93" w14:textId="77777777" w:rsidR="00505176" w:rsidRPr="00FC4FEB" w:rsidRDefault="00AC4F3B" w:rsidP="00AC4F3B">
            <w:pPr>
              <w:contextualSpacing/>
              <w:jc w:val="both"/>
              <w:rPr>
                <w:rFonts w:eastAsia="Times New Roman"/>
                <w:sz w:val="20"/>
                <w:lang w:eastAsia="en-PH"/>
              </w:rPr>
            </w:pPr>
            <w:r w:rsidRPr="00FC4FEB">
              <w:rPr>
                <w:rFonts w:eastAsia="Times New Roman"/>
                <w:sz w:val="20"/>
                <w:lang w:eastAsia="en-PH"/>
              </w:rPr>
              <w:t>www.psa.gov.ph</w:t>
            </w:r>
          </w:p>
        </w:tc>
        <w:tc>
          <w:tcPr>
            <w:tcW w:w="5471" w:type="dxa"/>
            <w:shd w:val="clear" w:color="auto" w:fill="auto"/>
          </w:tcPr>
          <w:p w14:paraId="26F83C30" w14:textId="77777777" w:rsidR="00505176" w:rsidRPr="00FC4FEB" w:rsidRDefault="00505176" w:rsidP="00CD4015">
            <w:pPr>
              <w:pStyle w:val="Heading9"/>
              <w:jc w:val="both"/>
              <w:rPr>
                <w:rFonts w:ascii="Times New Roman" w:hAnsi="Times New Roman"/>
                <w:b w:val="0"/>
              </w:rPr>
            </w:pPr>
          </w:p>
        </w:tc>
      </w:tr>
      <w:tr w:rsidR="00FC4FEB" w:rsidRPr="00FC4FEB" w14:paraId="6FB65594" w14:textId="77777777" w:rsidTr="00810BCF">
        <w:tc>
          <w:tcPr>
            <w:tcW w:w="3520" w:type="dxa"/>
            <w:shd w:val="clear" w:color="auto" w:fill="auto"/>
          </w:tcPr>
          <w:p w14:paraId="06B40FD7"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shd w:val="clear" w:color="auto" w:fill="auto"/>
            <w:vAlign w:val="bottom"/>
          </w:tcPr>
          <w:p w14:paraId="44D05032" w14:textId="77777777" w:rsidR="00505176" w:rsidRPr="00FC4FEB" w:rsidRDefault="000E615D" w:rsidP="00CD4015">
            <w:pPr>
              <w:autoSpaceDE w:val="0"/>
              <w:autoSpaceDN w:val="0"/>
              <w:adjustRightInd w:val="0"/>
              <w:jc w:val="both"/>
              <w:rPr>
                <w:sz w:val="20"/>
              </w:rPr>
            </w:pPr>
            <w:r w:rsidRPr="00FC4FEB">
              <w:rPr>
                <w:sz w:val="20"/>
              </w:rPr>
              <w:t xml:space="preserve"> </w:t>
            </w:r>
          </w:p>
          <w:p w14:paraId="06A164A3" w14:textId="77777777" w:rsidR="00505176" w:rsidRPr="00FC4FEB" w:rsidRDefault="00505176" w:rsidP="00CD4015">
            <w:pPr>
              <w:spacing w:line="0" w:lineRule="atLeast"/>
              <w:jc w:val="both"/>
              <w:rPr>
                <w:sz w:val="20"/>
              </w:rPr>
            </w:pPr>
          </w:p>
        </w:tc>
        <w:tc>
          <w:tcPr>
            <w:tcW w:w="5471" w:type="dxa"/>
            <w:shd w:val="clear" w:color="auto" w:fill="auto"/>
          </w:tcPr>
          <w:p w14:paraId="789E65DA" w14:textId="77777777" w:rsidR="00505176" w:rsidRPr="00FC4FEB" w:rsidRDefault="00505176" w:rsidP="00CD4015">
            <w:pPr>
              <w:pStyle w:val="Heading9"/>
              <w:jc w:val="both"/>
              <w:rPr>
                <w:rFonts w:ascii="Times New Roman" w:hAnsi="Times New Roman"/>
                <w:b w:val="0"/>
              </w:rPr>
            </w:pPr>
          </w:p>
        </w:tc>
      </w:tr>
      <w:tr w:rsidR="00FC4FEB" w:rsidRPr="00FC4FEB" w14:paraId="686BD9D7" w14:textId="77777777" w:rsidTr="00810BCF">
        <w:tc>
          <w:tcPr>
            <w:tcW w:w="3520" w:type="dxa"/>
            <w:shd w:val="clear" w:color="auto" w:fill="auto"/>
          </w:tcPr>
          <w:p w14:paraId="40FDF27F" w14:textId="77777777" w:rsidR="00505176" w:rsidRPr="00FC4FEB" w:rsidRDefault="000E615D" w:rsidP="00CD4015">
            <w:pPr>
              <w:jc w:val="both"/>
              <w:rPr>
                <w:b/>
                <w:i/>
                <w:sz w:val="20"/>
              </w:rPr>
            </w:pPr>
            <w:bookmarkStart w:id="40" w:name="Row16"/>
            <w:r w:rsidRPr="00FC4FEB">
              <w:rPr>
                <w:b/>
                <w:i/>
                <w:sz w:val="20"/>
              </w:rPr>
              <w:t>Transparency</w:t>
            </w:r>
            <w:bookmarkEnd w:id="40"/>
          </w:p>
          <w:p w14:paraId="694CC2FB" w14:textId="77777777" w:rsidR="00505176" w:rsidRPr="00FC4FEB" w:rsidRDefault="00505176" w:rsidP="00CD4015">
            <w:pPr>
              <w:jc w:val="both"/>
              <w:rPr>
                <w:b/>
                <w:i/>
                <w:sz w:val="20"/>
              </w:rPr>
            </w:pPr>
          </w:p>
        </w:tc>
        <w:tc>
          <w:tcPr>
            <w:tcW w:w="5573" w:type="dxa"/>
            <w:shd w:val="clear" w:color="auto" w:fill="auto"/>
          </w:tcPr>
          <w:p w14:paraId="40E11703" w14:textId="77777777" w:rsidR="000E615D" w:rsidRPr="00FC4FEB" w:rsidRDefault="006B3EEF" w:rsidP="000A5925">
            <w:pPr>
              <w:pStyle w:val="Normal1"/>
              <w:spacing w:line="240" w:lineRule="auto"/>
              <w:ind w:right="285"/>
              <w:jc w:val="both"/>
              <w:rPr>
                <w:rFonts w:ascii="Times New Roman" w:hAnsi="Times New Roman" w:cs="Times New Roman"/>
                <w:color w:val="auto"/>
                <w:sz w:val="20"/>
                <w:szCs w:val="20"/>
              </w:rPr>
            </w:pPr>
            <w:bookmarkStart w:id="41" w:name="Cell31"/>
            <w:bookmarkEnd w:id="41"/>
            <w:r w:rsidRPr="00FC4FEB">
              <w:rPr>
                <w:rFonts w:ascii="Times New Roman" w:hAnsi="Times New Roman" w:cs="Times New Roman"/>
                <w:color w:val="auto"/>
                <w:sz w:val="20"/>
                <w:szCs w:val="20"/>
              </w:rPr>
              <w:t xml:space="preserve">Open Data </w:t>
            </w:r>
            <w:r w:rsidR="000402E6" w:rsidRPr="00FC4FEB">
              <w:rPr>
                <w:rFonts w:ascii="Times New Roman" w:hAnsi="Times New Roman" w:cs="Times New Roman"/>
                <w:color w:val="auto"/>
                <w:sz w:val="20"/>
                <w:szCs w:val="20"/>
              </w:rPr>
              <w:t xml:space="preserve">(data.gov.ph), a Single Access Window for </w:t>
            </w:r>
            <w:proofErr w:type="gramStart"/>
            <w:r w:rsidR="000402E6" w:rsidRPr="00FC4FEB">
              <w:rPr>
                <w:rFonts w:ascii="Times New Roman" w:hAnsi="Times New Roman" w:cs="Times New Roman"/>
                <w:color w:val="auto"/>
                <w:sz w:val="20"/>
                <w:szCs w:val="20"/>
              </w:rPr>
              <w:t xml:space="preserve">data </w:t>
            </w:r>
            <w:r w:rsidRPr="00FC4FEB">
              <w:rPr>
                <w:rFonts w:ascii="Times New Roman" w:hAnsi="Times New Roman" w:cs="Times New Roman"/>
                <w:color w:val="auto"/>
                <w:sz w:val="20"/>
                <w:szCs w:val="20"/>
              </w:rPr>
              <w:t xml:space="preserve"> to</w:t>
            </w:r>
            <w:proofErr w:type="gramEnd"/>
            <w:r w:rsidRPr="00FC4FEB">
              <w:rPr>
                <w:rFonts w:ascii="Times New Roman" w:hAnsi="Times New Roman" w:cs="Times New Roman"/>
                <w:color w:val="auto"/>
                <w:sz w:val="20"/>
                <w:szCs w:val="20"/>
              </w:rPr>
              <w:t xml:space="preserve"> help create a transparent government by publishing collections of government data through one single portal.</w:t>
            </w:r>
          </w:p>
          <w:p w14:paraId="163CA349" w14:textId="77777777" w:rsidR="000402E6" w:rsidRPr="00FC4FEB" w:rsidRDefault="000402E6" w:rsidP="000A5925">
            <w:pPr>
              <w:pStyle w:val="Normal1"/>
              <w:spacing w:line="240" w:lineRule="auto"/>
              <w:ind w:right="285"/>
              <w:jc w:val="both"/>
              <w:rPr>
                <w:rFonts w:ascii="Times New Roman" w:hAnsi="Times New Roman" w:cs="Times New Roman"/>
                <w:color w:val="auto"/>
                <w:sz w:val="20"/>
                <w:szCs w:val="20"/>
              </w:rPr>
            </w:pPr>
          </w:p>
          <w:p w14:paraId="2F50EF27" w14:textId="77777777" w:rsidR="000402E6" w:rsidRPr="00FC4FEB" w:rsidRDefault="000402E6" w:rsidP="000A5925">
            <w:pPr>
              <w:pStyle w:val="Normal1"/>
              <w:spacing w:line="240" w:lineRule="auto"/>
              <w:ind w:right="285"/>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Citizen Services Portal of the P</w:t>
            </w:r>
            <w:r w:rsidR="00807563" w:rsidRPr="00FC4FEB">
              <w:rPr>
                <w:rFonts w:ascii="Times New Roman" w:hAnsi="Times New Roman" w:cs="Times New Roman"/>
                <w:color w:val="auto"/>
                <w:sz w:val="20"/>
                <w:szCs w:val="20"/>
              </w:rPr>
              <w:t>hilippines,</w:t>
            </w:r>
            <w:r w:rsidR="00171401" w:rsidRPr="00FC4FEB">
              <w:rPr>
                <w:rFonts w:ascii="Times New Roman" w:hAnsi="Times New Roman" w:cs="Times New Roman"/>
                <w:color w:val="auto"/>
                <w:sz w:val="20"/>
                <w:szCs w:val="20"/>
              </w:rPr>
              <w:t xml:space="preserve"> the goal of which</w:t>
            </w:r>
            <w:r w:rsidR="00807563" w:rsidRPr="00FC4FEB">
              <w:rPr>
                <w:rFonts w:ascii="Times New Roman" w:hAnsi="Times New Roman" w:cs="Times New Roman"/>
                <w:color w:val="auto"/>
                <w:sz w:val="20"/>
                <w:szCs w:val="20"/>
              </w:rPr>
              <w:t xml:space="preserve"> is to empower local government units (LGUs) to more efficiently and transparently serve their constituents. </w:t>
            </w:r>
          </w:p>
          <w:p w14:paraId="4EF37785" w14:textId="77777777" w:rsidR="00807563" w:rsidRPr="00FC4FEB" w:rsidRDefault="00807563" w:rsidP="000A5925">
            <w:pPr>
              <w:pStyle w:val="Normal1"/>
              <w:spacing w:line="240" w:lineRule="auto"/>
              <w:ind w:right="285"/>
              <w:jc w:val="both"/>
              <w:rPr>
                <w:rFonts w:ascii="Times New Roman" w:hAnsi="Times New Roman" w:cs="Times New Roman"/>
                <w:color w:val="auto"/>
                <w:sz w:val="20"/>
                <w:szCs w:val="20"/>
              </w:rPr>
            </w:pPr>
          </w:p>
          <w:p w14:paraId="6D3D06AD" w14:textId="77777777" w:rsidR="00881BD4" w:rsidRPr="00FC4FEB" w:rsidRDefault="00807563" w:rsidP="000A5925">
            <w:pPr>
              <w:pStyle w:val="Normal1"/>
              <w:spacing w:line="240" w:lineRule="auto"/>
              <w:ind w:right="285"/>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The Open Government Partnership </w:t>
            </w:r>
            <w:r w:rsidR="00881BD4" w:rsidRPr="00FC4FEB">
              <w:rPr>
                <w:rFonts w:ascii="Times New Roman" w:hAnsi="Times New Roman" w:cs="Times New Roman"/>
                <w:color w:val="auto"/>
                <w:sz w:val="20"/>
                <w:szCs w:val="20"/>
              </w:rPr>
              <w:t>(</w:t>
            </w:r>
            <w:hyperlink r:id="rId44" w:history="1">
              <w:r w:rsidR="00881BD4" w:rsidRPr="00FC4FEB">
                <w:rPr>
                  <w:rStyle w:val="Hyperlink"/>
                  <w:rFonts w:ascii="Times New Roman" w:hAnsi="Times New Roman" w:cs="Times New Roman"/>
                  <w:color w:val="auto"/>
                  <w:sz w:val="20"/>
                  <w:szCs w:val="20"/>
                </w:rPr>
                <w:t>www.opengovpartnership.org</w:t>
              </w:r>
            </w:hyperlink>
            <w:r w:rsidR="00881BD4" w:rsidRPr="00FC4FEB">
              <w:rPr>
                <w:rFonts w:ascii="Times New Roman" w:hAnsi="Times New Roman" w:cs="Times New Roman"/>
                <w:color w:val="auto"/>
                <w:sz w:val="20"/>
                <w:szCs w:val="20"/>
              </w:rPr>
              <w:t xml:space="preserve">) </w:t>
            </w:r>
            <w:r w:rsidRPr="00FC4FEB">
              <w:rPr>
                <w:rFonts w:ascii="Times New Roman" w:hAnsi="Times New Roman" w:cs="Times New Roman"/>
                <w:color w:val="auto"/>
                <w:sz w:val="20"/>
                <w:szCs w:val="20"/>
              </w:rPr>
              <w:t xml:space="preserve">is a multilateral </w:t>
            </w:r>
            <w:proofErr w:type="spellStart"/>
            <w:r w:rsidRPr="00FC4FEB">
              <w:rPr>
                <w:rFonts w:ascii="Times New Roman" w:hAnsi="Times New Roman" w:cs="Times New Roman"/>
                <w:color w:val="auto"/>
                <w:sz w:val="20"/>
                <w:szCs w:val="20"/>
              </w:rPr>
              <w:t>initiatve</w:t>
            </w:r>
            <w:proofErr w:type="spellEnd"/>
            <w:r w:rsidRPr="00FC4FEB">
              <w:rPr>
                <w:rFonts w:ascii="Times New Roman" w:hAnsi="Times New Roman" w:cs="Times New Roman"/>
                <w:color w:val="auto"/>
                <w:sz w:val="20"/>
                <w:szCs w:val="20"/>
              </w:rPr>
              <w:t xml:space="preserve"> </w:t>
            </w:r>
            <w:r w:rsidR="00881BD4" w:rsidRPr="00FC4FEB">
              <w:rPr>
                <w:rFonts w:ascii="Times New Roman" w:hAnsi="Times New Roman" w:cs="Times New Roman"/>
                <w:color w:val="auto"/>
                <w:sz w:val="20"/>
                <w:szCs w:val="20"/>
              </w:rPr>
              <w:t>that aims to secure concrete commitments from governments to promote transparency, empower citizens, fight corruption, and harness new technologies to strengthen governance.</w:t>
            </w:r>
          </w:p>
          <w:p w14:paraId="59360120" w14:textId="77777777" w:rsidR="00881BD4" w:rsidRPr="00FC4FEB" w:rsidRDefault="00881BD4" w:rsidP="000A5925">
            <w:pPr>
              <w:pStyle w:val="Normal1"/>
              <w:spacing w:line="240" w:lineRule="auto"/>
              <w:ind w:right="285"/>
              <w:jc w:val="both"/>
              <w:rPr>
                <w:rFonts w:ascii="Times New Roman" w:hAnsi="Times New Roman" w:cs="Times New Roman"/>
                <w:color w:val="auto"/>
                <w:sz w:val="20"/>
                <w:szCs w:val="20"/>
              </w:rPr>
            </w:pPr>
          </w:p>
          <w:p w14:paraId="07D60038" w14:textId="77777777" w:rsidR="006B3EEF" w:rsidRPr="00FC4FEB" w:rsidRDefault="00881BD4" w:rsidP="00171401">
            <w:pPr>
              <w:pStyle w:val="Normal1"/>
              <w:spacing w:line="240" w:lineRule="auto"/>
              <w:ind w:right="285"/>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Mapping of all Bottom-up-Budgeting (BUB) projects, tracking their implementation, allow citizen’s feedback (through the </w:t>
            </w:r>
            <w:proofErr w:type="spellStart"/>
            <w:r w:rsidRPr="00FC4FEB">
              <w:rPr>
                <w:rFonts w:ascii="Times New Roman" w:hAnsi="Times New Roman" w:cs="Times New Roman"/>
                <w:color w:val="auto"/>
                <w:sz w:val="20"/>
                <w:szCs w:val="20"/>
              </w:rPr>
              <w:t>OpenLGU</w:t>
            </w:r>
            <w:proofErr w:type="spellEnd"/>
            <w:r w:rsidRPr="00FC4FEB">
              <w:rPr>
                <w:rFonts w:ascii="Times New Roman" w:hAnsi="Times New Roman" w:cs="Times New Roman"/>
                <w:color w:val="auto"/>
                <w:sz w:val="20"/>
                <w:szCs w:val="20"/>
              </w:rPr>
              <w:t xml:space="preserve"> mapping platform), and monitor results</w:t>
            </w:r>
          </w:p>
        </w:tc>
        <w:tc>
          <w:tcPr>
            <w:tcW w:w="5471" w:type="dxa"/>
            <w:shd w:val="clear" w:color="auto" w:fill="auto"/>
            <w:vAlign w:val="bottom"/>
          </w:tcPr>
          <w:p w14:paraId="37D324C8" w14:textId="77777777" w:rsidR="000E615D" w:rsidRPr="00FC4FEB" w:rsidRDefault="000E615D" w:rsidP="000A5925">
            <w:pPr>
              <w:pStyle w:val="Normal1"/>
              <w:spacing w:line="240" w:lineRule="auto"/>
              <w:contextualSpacing/>
              <w:jc w:val="both"/>
              <w:rPr>
                <w:rFonts w:ascii="Times New Roman" w:hAnsi="Times New Roman" w:cs="Times New Roman"/>
                <w:color w:val="auto"/>
                <w:sz w:val="20"/>
                <w:szCs w:val="20"/>
              </w:rPr>
            </w:pPr>
          </w:p>
          <w:p w14:paraId="3A36EE97" w14:textId="77777777" w:rsidR="000E615D" w:rsidRPr="00FC4FEB" w:rsidRDefault="000E615D" w:rsidP="000A5925">
            <w:pPr>
              <w:spacing w:line="225" w:lineRule="exact"/>
              <w:ind w:right="191"/>
              <w:jc w:val="both"/>
              <w:rPr>
                <w:i/>
                <w:sz w:val="20"/>
              </w:rPr>
            </w:pPr>
          </w:p>
        </w:tc>
      </w:tr>
      <w:tr w:rsidR="00FC4FEB" w:rsidRPr="00FC4FEB" w14:paraId="291E1093" w14:textId="77777777" w:rsidTr="00810BCF">
        <w:tc>
          <w:tcPr>
            <w:tcW w:w="3520" w:type="dxa"/>
            <w:shd w:val="clear" w:color="auto" w:fill="auto"/>
          </w:tcPr>
          <w:p w14:paraId="0C90F5C9"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 xml:space="preserve">Website for further information:  </w:t>
            </w:r>
          </w:p>
        </w:tc>
        <w:tc>
          <w:tcPr>
            <w:tcW w:w="5573" w:type="dxa"/>
            <w:shd w:val="clear" w:color="auto" w:fill="auto"/>
            <w:vAlign w:val="bottom"/>
          </w:tcPr>
          <w:p w14:paraId="3031C9FB" w14:textId="77777777" w:rsidR="000E615D" w:rsidRPr="00FC4FEB" w:rsidRDefault="00881BD4"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data.gov.ph</w:t>
            </w:r>
          </w:p>
          <w:p w14:paraId="011E713D" w14:textId="77777777" w:rsidR="00881BD4" w:rsidRPr="00FC4FEB" w:rsidRDefault="00810BCF"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www.</w:t>
            </w:r>
            <w:r w:rsidR="00881BD4" w:rsidRPr="00FC4FEB">
              <w:rPr>
                <w:rFonts w:ascii="Times New Roman" w:hAnsi="Times New Roman" w:cs="Times New Roman"/>
                <w:color w:val="auto"/>
                <w:sz w:val="20"/>
                <w:szCs w:val="20"/>
              </w:rPr>
              <w:t>csp.ph</w:t>
            </w:r>
          </w:p>
          <w:p w14:paraId="07EAD67A" w14:textId="77777777" w:rsidR="00881BD4" w:rsidRPr="00FC4FEB" w:rsidRDefault="00B146C8" w:rsidP="000A5925">
            <w:pPr>
              <w:pStyle w:val="Default"/>
              <w:ind w:right="180"/>
              <w:jc w:val="both"/>
              <w:rPr>
                <w:rFonts w:ascii="Times New Roman" w:hAnsi="Times New Roman" w:cs="Times New Roman"/>
                <w:color w:val="auto"/>
                <w:sz w:val="20"/>
                <w:szCs w:val="20"/>
              </w:rPr>
            </w:pPr>
            <w:hyperlink r:id="rId45" w:history="1">
              <w:r w:rsidR="00881BD4" w:rsidRPr="00FC4FEB">
                <w:rPr>
                  <w:rStyle w:val="Hyperlink"/>
                  <w:rFonts w:ascii="Times New Roman" w:hAnsi="Times New Roman" w:cs="Times New Roman"/>
                  <w:color w:val="auto"/>
                  <w:sz w:val="20"/>
                  <w:szCs w:val="20"/>
                </w:rPr>
                <w:t>www.opengovpartnership.org</w:t>
              </w:r>
            </w:hyperlink>
          </w:p>
          <w:p w14:paraId="5732CB54" w14:textId="77777777" w:rsidR="00881BD4" w:rsidRPr="00FC4FEB" w:rsidRDefault="00881BD4"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openbub.gov.ph</w:t>
            </w:r>
          </w:p>
        </w:tc>
        <w:tc>
          <w:tcPr>
            <w:tcW w:w="5471" w:type="dxa"/>
            <w:shd w:val="clear" w:color="auto" w:fill="auto"/>
          </w:tcPr>
          <w:p w14:paraId="52AF4605" w14:textId="77777777" w:rsidR="00505176" w:rsidRPr="00FC4FEB" w:rsidRDefault="00505176" w:rsidP="00CD4015">
            <w:pPr>
              <w:pStyle w:val="Heading9"/>
              <w:jc w:val="both"/>
              <w:rPr>
                <w:rFonts w:ascii="Times New Roman" w:hAnsi="Times New Roman"/>
                <w:b w:val="0"/>
              </w:rPr>
            </w:pPr>
          </w:p>
        </w:tc>
      </w:tr>
      <w:tr w:rsidR="00FC4FEB" w:rsidRPr="00FC4FEB" w14:paraId="23705CF3" w14:textId="77777777" w:rsidTr="00810BCF">
        <w:tc>
          <w:tcPr>
            <w:tcW w:w="3520" w:type="dxa"/>
            <w:shd w:val="clear" w:color="auto" w:fill="auto"/>
          </w:tcPr>
          <w:p w14:paraId="016E9A51" w14:textId="77777777" w:rsidR="00505176" w:rsidRPr="00FC4FEB" w:rsidRDefault="000E615D"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573" w:type="dxa"/>
            <w:shd w:val="clear" w:color="auto" w:fill="auto"/>
            <w:vAlign w:val="bottom"/>
          </w:tcPr>
          <w:p w14:paraId="0B22D0C6" w14:textId="77777777" w:rsidR="000E615D" w:rsidRPr="00FC4FEB" w:rsidRDefault="00171401"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Undersecretary George </w:t>
            </w:r>
            <w:proofErr w:type="gramStart"/>
            <w:r w:rsidRPr="00FC4FEB">
              <w:rPr>
                <w:rFonts w:ascii="Times New Roman" w:hAnsi="Times New Roman" w:cs="Times New Roman"/>
                <w:color w:val="auto"/>
                <w:sz w:val="20"/>
                <w:szCs w:val="20"/>
              </w:rPr>
              <w:t>A</w:t>
            </w:r>
            <w:proofErr w:type="gramEnd"/>
            <w:r w:rsidRPr="00FC4FEB">
              <w:rPr>
                <w:rFonts w:ascii="Times New Roman" w:hAnsi="Times New Roman" w:cs="Times New Roman"/>
                <w:color w:val="auto"/>
                <w:sz w:val="20"/>
                <w:szCs w:val="20"/>
              </w:rPr>
              <w:t xml:space="preserve"> </w:t>
            </w:r>
            <w:proofErr w:type="spellStart"/>
            <w:r w:rsidRPr="00FC4FEB">
              <w:rPr>
                <w:rFonts w:ascii="Times New Roman" w:hAnsi="Times New Roman" w:cs="Times New Roman"/>
                <w:color w:val="auto"/>
                <w:sz w:val="20"/>
                <w:szCs w:val="20"/>
              </w:rPr>
              <w:t>Apacible</w:t>
            </w:r>
            <w:proofErr w:type="spellEnd"/>
          </w:p>
          <w:p w14:paraId="51AFEA03" w14:textId="77777777" w:rsidR="00171401" w:rsidRPr="00FC4FEB" w:rsidRDefault="00171401"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Presidential Communications Operations Office </w:t>
            </w:r>
          </w:p>
          <w:p w14:paraId="64B14F44" w14:textId="77777777" w:rsidR="00171401" w:rsidRPr="00FC4FEB" w:rsidRDefault="00171401" w:rsidP="000A5925">
            <w:pPr>
              <w:pStyle w:val="Default"/>
              <w:ind w:right="180"/>
              <w:jc w:val="both"/>
              <w:rPr>
                <w:rFonts w:ascii="Times New Roman" w:hAnsi="Times New Roman" w:cs="Times New Roman"/>
                <w:color w:val="auto"/>
                <w:sz w:val="20"/>
                <w:szCs w:val="20"/>
              </w:rPr>
            </w:pPr>
            <w:proofErr w:type="spellStart"/>
            <w:r w:rsidRPr="00FC4FEB">
              <w:rPr>
                <w:rFonts w:ascii="Times New Roman" w:hAnsi="Times New Roman" w:cs="Times New Roman"/>
                <w:color w:val="auto"/>
                <w:sz w:val="20"/>
                <w:szCs w:val="20"/>
              </w:rPr>
              <w:t>Undersecrtary</w:t>
            </w:r>
            <w:proofErr w:type="spellEnd"/>
            <w:r w:rsidRPr="00FC4FEB">
              <w:rPr>
                <w:rFonts w:ascii="Times New Roman" w:hAnsi="Times New Roman" w:cs="Times New Roman"/>
                <w:color w:val="auto"/>
                <w:sz w:val="20"/>
                <w:szCs w:val="20"/>
              </w:rPr>
              <w:t xml:space="preserve"> for Good Governance and GOCCs</w:t>
            </w:r>
          </w:p>
          <w:p w14:paraId="013AC184" w14:textId="77777777" w:rsidR="00171401" w:rsidRPr="00FC4FEB" w:rsidRDefault="00171401"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New Executive Building </w:t>
            </w:r>
          </w:p>
          <w:p w14:paraId="461EA850" w14:textId="77777777" w:rsidR="00171401" w:rsidRPr="00FC4FEB" w:rsidRDefault="00171401"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Jose P. Laurel St., </w:t>
            </w:r>
            <w:proofErr w:type="spellStart"/>
            <w:r w:rsidRPr="00FC4FEB">
              <w:rPr>
                <w:rFonts w:ascii="Times New Roman" w:hAnsi="Times New Roman" w:cs="Times New Roman"/>
                <w:color w:val="auto"/>
                <w:sz w:val="20"/>
                <w:szCs w:val="20"/>
              </w:rPr>
              <w:t>Malacanang</w:t>
            </w:r>
            <w:proofErr w:type="spellEnd"/>
            <w:r w:rsidRPr="00FC4FEB">
              <w:rPr>
                <w:rFonts w:ascii="Times New Roman" w:hAnsi="Times New Roman" w:cs="Times New Roman"/>
                <w:color w:val="auto"/>
                <w:sz w:val="20"/>
                <w:szCs w:val="20"/>
              </w:rPr>
              <w:t>, Manila</w:t>
            </w:r>
          </w:p>
          <w:p w14:paraId="212BEA38" w14:textId="77777777" w:rsidR="00171401" w:rsidRPr="00FC4FEB" w:rsidRDefault="00171401" w:rsidP="000A5925">
            <w:pPr>
              <w:pStyle w:val="Default"/>
              <w:ind w:right="180"/>
              <w:jc w:val="both"/>
              <w:rPr>
                <w:rFonts w:ascii="Times New Roman" w:hAnsi="Times New Roman" w:cs="Times New Roman"/>
                <w:color w:val="auto"/>
                <w:sz w:val="20"/>
                <w:szCs w:val="20"/>
              </w:rPr>
            </w:pPr>
            <w:r w:rsidRPr="00FC4FEB">
              <w:rPr>
                <w:rFonts w:ascii="Times New Roman" w:hAnsi="Times New Roman" w:cs="Times New Roman"/>
                <w:color w:val="auto"/>
                <w:sz w:val="20"/>
                <w:szCs w:val="20"/>
              </w:rPr>
              <w:t xml:space="preserve">Tel No. (632) 735-6192; Fax No. (632) 735-6192 </w:t>
            </w:r>
          </w:p>
        </w:tc>
        <w:tc>
          <w:tcPr>
            <w:tcW w:w="5471" w:type="dxa"/>
            <w:shd w:val="clear" w:color="auto" w:fill="auto"/>
          </w:tcPr>
          <w:p w14:paraId="2CC52D87" w14:textId="77777777" w:rsidR="00505176" w:rsidRPr="00FC4FEB" w:rsidRDefault="00505176" w:rsidP="00CD4015">
            <w:pPr>
              <w:pStyle w:val="Heading9"/>
              <w:jc w:val="both"/>
              <w:rPr>
                <w:rFonts w:ascii="Times New Roman" w:hAnsi="Times New Roman"/>
                <w:b w:val="0"/>
              </w:rPr>
            </w:pPr>
          </w:p>
        </w:tc>
      </w:tr>
    </w:tbl>
    <w:p w14:paraId="28AAA601" w14:textId="77777777" w:rsidR="00505176" w:rsidRPr="00FC4FEB" w:rsidRDefault="00505176" w:rsidP="00CD4015">
      <w:pPr>
        <w:jc w:val="both"/>
        <w:rPr>
          <w:sz w:val="20"/>
        </w:rPr>
      </w:pPr>
    </w:p>
    <w:p w14:paraId="35AF3208" w14:textId="77777777" w:rsidR="00505176" w:rsidRPr="00FC4FEB" w:rsidRDefault="00505176" w:rsidP="00CD4015">
      <w:pPr>
        <w:jc w:val="both"/>
        <w:rPr>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FC4FEB" w:rsidRPr="00FC4FEB" w14:paraId="012DC06A" w14:textId="77777777" w:rsidTr="00E92BBC">
        <w:trPr>
          <w:cantSplit/>
        </w:trPr>
        <w:tc>
          <w:tcPr>
            <w:tcW w:w="14581" w:type="dxa"/>
            <w:gridSpan w:val="4"/>
            <w:shd w:val="clear" w:color="auto" w:fill="DBE5F1"/>
          </w:tcPr>
          <w:p w14:paraId="1D1F2331" w14:textId="77777777" w:rsidR="0081130F" w:rsidRPr="00FC4FEB" w:rsidRDefault="0081130F" w:rsidP="000A5925">
            <w:pPr>
              <w:jc w:val="both"/>
              <w:rPr>
                <w:b/>
                <w:sz w:val="20"/>
              </w:rPr>
            </w:pPr>
          </w:p>
          <w:p w14:paraId="4E95D0D0" w14:textId="77777777" w:rsidR="0081130F" w:rsidRPr="00FC4FEB" w:rsidRDefault="0081130F" w:rsidP="000A5925">
            <w:pPr>
              <w:jc w:val="both"/>
              <w:rPr>
                <w:b/>
                <w:sz w:val="20"/>
                <w:vertAlign w:val="superscript"/>
                <w:lang w:eastAsia="zh-TW"/>
              </w:rPr>
            </w:pPr>
            <w:r w:rsidRPr="00FC4FEB">
              <w:rPr>
                <w:b/>
                <w:sz w:val="20"/>
              </w:rPr>
              <w:t xml:space="preserve">RTAs/FTAs </w:t>
            </w:r>
            <w:r w:rsidRPr="00FC4FEB">
              <w:rPr>
                <w:b/>
                <w:sz w:val="20"/>
                <w:vertAlign w:val="superscript"/>
                <w:lang w:eastAsia="zh-TW"/>
              </w:rPr>
              <w:t xml:space="preserve"> </w:t>
            </w:r>
          </w:p>
          <w:p w14:paraId="64789660" w14:textId="77777777" w:rsidR="0081130F" w:rsidRPr="00FC4FEB" w:rsidRDefault="0081130F" w:rsidP="000A5925">
            <w:pPr>
              <w:jc w:val="both"/>
              <w:rPr>
                <w:sz w:val="20"/>
                <w:lang w:val="en-US"/>
              </w:rPr>
            </w:pPr>
          </w:p>
        </w:tc>
      </w:tr>
      <w:tr w:rsidR="00FC4FEB" w:rsidRPr="00FC4FEB" w14:paraId="096DB40D" w14:textId="77777777" w:rsidTr="00E92BBC">
        <w:trPr>
          <w:gridAfter w:val="1"/>
          <w:wAfter w:w="17" w:type="dxa"/>
          <w:cantSplit/>
        </w:trPr>
        <w:tc>
          <w:tcPr>
            <w:tcW w:w="3524" w:type="dxa"/>
            <w:gridSpan w:val="2"/>
          </w:tcPr>
          <w:p w14:paraId="533B4653" w14:textId="77777777" w:rsidR="0081130F" w:rsidRPr="00FC4FEB" w:rsidRDefault="0081130F" w:rsidP="000A5925">
            <w:pPr>
              <w:spacing w:before="120"/>
              <w:jc w:val="both"/>
              <w:rPr>
                <w:b/>
                <w:i/>
                <w:sz w:val="20"/>
              </w:rPr>
            </w:pPr>
            <w:r w:rsidRPr="00FC4FEB">
              <w:rPr>
                <w:b/>
                <w:i/>
                <w:sz w:val="20"/>
              </w:rPr>
              <w:t xml:space="preserve">- </w:t>
            </w:r>
            <w:bookmarkStart w:id="42" w:name="Row17"/>
            <w:r w:rsidRPr="00FC4FEB">
              <w:rPr>
                <w:b/>
                <w:i/>
                <w:sz w:val="20"/>
              </w:rPr>
              <w:t>Description of current   agreements</w:t>
            </w:r>
            <w:bookmarkEnd w:id="42"/>
          </w:p>
        </w:tc>
        <w:tc>
          <w:tcPr>
            <w:tcW w:w="11040" w:type="dxa"/>
          </w:tcPr>
          <w:p w14:paraId="2405B140" w14:textId="77777777" w:rsidR="0081130F" w:rsidRPr="00FC4FEB" w:rsidRDefault="0081130F" w:rsidP="000A5925">
            <w:pPr>
              <w:spacing w:before="120"/>
              <w:jc w:val="both"/>
              <w:rPr>
                <w:i/>
                <w:sz w:val="20"/>
              </w:rPr>
            </w:pPr>
            <w:bookmarkStart w:id="43" w:name="Cell33"/>
            <w:bookmarkEnd w:id="43"/>
          </w:p>
        </w:tc>
      </w:tr>
      <w:tr w:rsidR="00FC4FEB" w:rsidRPr="00FC4FEB" w14:paraId="6DE55A98" w14:textId="77777777" w:rsidTr="00E92BBC">
        <w:trPr>
          <w:gridAfter w:val="1"/>
          <w:wAfter w:w="17" w:type="dxa"/>
          <w:cantSplit/>
        </w:trPr>
        <w:tc>
          <w:tcPr>
            <w:tcW w:w="3524" w:type="dxa"/>
            <w:gridSpan w:val="2"/>
          </w:tcPr>
          <w:p w14:paraId="50A11B5B" w14:textId="77777777" w:rsidR="00420DBC" w:rsidRPr="00FC4FEB" w:rsidRDefault="00420DBC" w:rsidP="000A5925">
            <w:pPr>
              <w:spacing w:before="120"/>
              <w:jc w:val="both"/>
              <w:rPr>
                <w:b/>
                <w:i/>
                <w:sz w:val="20"/>
              </w:rPr>
            </w:pPr>
            <w:r w:rsidRPr="00FC4FEB">
              <w:rPr>
                <w:b/>
                <w:i/>
                <w:sz w:val="20"/>
              </w:rPr>
              <w:lastRenderedPageBreak/>
              <w:t>Agreement #1</w:t>
            </w:r>
          </w:p>
        </w:tc>
        <w:tc>
          <w:tcPr>
            <w:tcW w:w="11040" w:type="dxa"/>
          </w:tcPr>
          <w:p w14:paraId="4FA35A95" w14:textId="77777777" w:rsidR="006A00DF" w:rsidRPr="00FC4FEB" w:rsidRDefault="006A00DF" w:rsidP="000A5925">
            <w:pPr>
              <w:jc w:val="both"/>
              <w:rPr>
                <w:b/>
                <w:sz w:val="20"/>
              </w:rPr>
            </w:pPr>
            <w:r w:rsidRPr="00FC4FEB">
              <w:rPr>
                <w:b/>
                <w:sz w:val="20"/>
              </w:rPr>
              <w:t>Philippines-Japan Economic Partnership Agreement</w:t>
            </w:r>
          </w:p>
          <w:p w14:paraId="48D6EEE1" w14:textId="77777777" w:rsidR="006A00DF" w:rsidRPr="00FC4FEB" w:rsidRDefault="006A00DF" w:rsidP="000A5925">
            <w:pPr>
              <w:jc w:val="both"/>
              <w:rPr>
                <w:sz w:val="20"/>
              </w:rPr>
            </w:pP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p>
          <w:p w14:paraId="78970507" w14:textId="77777777" w:rsidR="006A00DF" w:rsidRPr="00FC4FEB" w:rsidRDefault="006A00DF" w:rsidP="000A5925">
            <w:pPr>
              <w:jc w:val="both"/>
              <w:rPr>
                <w:sz w:val="20"/>
              </w:rPr>
            </w:pPr>
            <w:r w:rsidRPr="00FC4FEB">
              <w:rPr>
                <w:sz w:val="20"/>
              </w:rPr>
              <w:t xml:space="preserve">The Agreement was ratified and entered into force in December 2008. The General Review of the Agreement, following from PJEPA Article 161, is currently being undertaken. The Philippines and Japan agreed to </w:t>
            </w:r>
            <w:proofErr w:type="spellStart"/>
            <w:r w:rsidRPr="00FC4FEB">
              <w:rPr>
                <w:sz w:val="20"/>
              </w:rPr>
              <w:t>endeavor</w:t>
            </w:r>
            <w:proofErr w:type="spellEnd"/>
            <w:r w:rsidRPr="00FC4FEB">
              <w:rPr>
                <w:sz w:val="20"/>
              </w:rPr>
              <w:t xml:space="preserve"> to complete the said review by end of 2018.   </w:t>
            </w:r>
          </w:p>
          <w:p w14:paraId="54A8CED5" w14:textId="77777777" w:rsidR="006A00DF" w:rsidRPr="00FC4FEB" w:rsidRDefault="006A00DF" w:rsidP="000A5925">
            <w:pPr>
              <w:jc w:val="both"/>
              <w:rPr>
                <w:sz w:val="20"/>
              </w:rPr>
            </w:pPr>
          </w:p>
          <w:p w14:paraId="6B13B3CB" w14:textId="77777777" w:rsidR="006A00DF" w:rsidRPr="00FC4FEB" w:rsidRDefault="006A00DF" w:rsidP="00993030">
            <w:pPr>
              <w:jc w:val="both"/>
              <w:rPr>
                <w:sz w:val="20"/>
              </w:rPr>
            </w:pPr>
            <w:r w:rsidRPr="00FC4FEB">
              <w:rPr>
                <w:sz w:val="20"/>
              </w:rPr>
              <w:t xml:space="preserve">Copy of the agreement is available at </w:t>
            </w:r>
            <w:hyperlink r:id="rId46" w:history="1">
              <w:r w:rsidRPr="00FC4FEB">
                <w:rPr>
                  <w:rStyle w:val="Hyperlink"/>
                  <w:color w:val="auto"/>
                  <w:sz w:val="20"/>
                </w:rPr>
                <w:t>http://asean.org/asean-economic-community/asean-free-trade-area-afta-council/agreements-declarations/</w:t>
              </w:r>
            </w:hyperlink>
          </w:p>
        </w:tc>
      </w:tr>
      <w:tr w:rsidR="00FC4FEB" w:rsidRPr="00FC4FEB" w14:paraId="0464D38D" w14:textId="77777777" w:rsidTr="00E92BBC">
        <w:trPr>
          <w:gridAfter w:val="1"/>
          <w:wAfter w:w="17" w:type="dxa"/>
          <w:cantSplit/>
        </w:trPr>
        <w:tc>
          <w:tcPr>
            <w:tcW w:w="3524" w:type="dxa"/>
            <w:gridSpan w:val="2"/>
          </w:tcPr>
          <w:p w14:paraId="12D17022" w14:textId="77777777" w:rsidR="00420DBC" w:rsidRPr="00FC4FEB" w:rsidRDefault="00420DBC" w:rsidP="000A5925">
            <w:pPr>
              <w:spacing w:before="120"/>
              <w:jc w:val="both"/>
              <w:rPr>
                <w:b/>
                <w:i/>
                <w:sz w:val="20"/>
              </w:rPr>
            </w:pPr>
            <w:r w:rsidRPr="00FC4FEB">
              <w:rPr>
                <w:b/>
                <w:i/>
                <w:sz w:val="20"/>
              </w:rPr>
              <w:t>Agreement #2</w:t>
            </w:r>
          </w:p>
        </w:tc>
        <w:tc>
          <w:tcPr>
            <w:tcW w:w="11040" w:type="dxa"/>
          </w:tcPr>
          <w:p w14:paraId="07C78605" w14:textId="77777777" w:rsidR="006A00DF" w:rsidRPr="00FC4FEB" w:rsidRDefault="006A00DF" w:rsidP="000A5925">
            <w:pPr>
              <w:jc w:val="both"/>
              <w:rPr>
                <w:b/>
                <w:sz w:val="20"/>
              </w:rPr>
            </w:pPr>
            <w:r w:rsidRPr="00FC4FEB">
              <w:rPr>
                <w:b/>
                <w:sz w:val="20"/>
              </w:rPr>
              <w:t>ASEAN Free Trade Area</w:t>
            </w:r>
          </w:p>
          <w:p w14:paraId="0C6D341A" w14:textId="77777777" w:rsidR="006A00DF" w:rsidRPr="00FC4FEB" w:rsidRDefault="006A00DF" w:rsidP="000A5925">
            <w:pPr>
              <w:jc w:val="both"/>
              <w:rPr>
                <w:sz w:val="20"/>
              </w:rPr>
            </w:pP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r w:rsidRPr="00FC4FEB">
              <w:rPr>
                <w:sz w:val="20"/>
              </w:rPr>
              <w:tab/>
            </w:r>
          </w:p>
          <w:p w14:paraId="54748B75" w14:textId="77777777" w:rsidR="006A00DF" w:rsidRPr="00FC4FEB" w:rsidRDefault="006A00DF" w:rsidP="000A5925">
            <w:pPr>
              <w:jc w:val="both"/>
              <w:rPr>
                <w:sz w:val="20"/>
              </w:rPr>
            </w:pPr>
            <w:r w:rsidRPr="00FC4FEB">
              <w:rPr>
                <w:sz w:val="20"/>
              </w:rPr>
              <w:t>The ASEAN Free Trade Area (AFTA) is a trade bloc among the Member States of the Association of Southeast Asian Nations (ASEAN). This was signed on 28 January 1992 and entered into force on 01 January 1993.</w:t>
            </w:r>
          </w:p>
          <w:p w14:paraId="1616E252" w14:textId="77777777" w:rsidR="006A00DF" w:rsidRPr="00FC4FEB" w:rsidRDefault="006A00DF" w:rsidP="000A5925">
            <w:pPr>
              <w:jc w:val="both"/>
              <w:rPr>
                <w:sz w:val="20"/>
              </w:rPr>
            </w:pPr>
          </w:p>
          <w:p w14:paraId="06F51CF7" w14:textId="77777777" w:rsidR="00CE2920" w:rsidRPr="00FC4FEB" w:rsidRDefault="006A00DF" w:rsidP="00993030">
            <w:pPr>
              <w:jc w:val="both"/>
              <w:rPr>
                <w:sz w:val="20"/>
              </w:rPr>
            </w:pPr>
            <w:r w:rsidRPr="00FC4FEB">
              <w:rPr>
                <w:sz w:val="20"/>
              </w:rPr>
              <w:t>The ASEAN Trade in Goods Agreement (ATIGA) entered into force on 17 May 2010, to consolidate all commitments related to trade in goods.</w:t>
            </w:r>
          </w:p>
        </w:tc>
      </w:tr>
      <w:tr w:rsidR="00FC4FEB" w:rsidRPr="00FC4FEB" w14:paraId="6BDDCE31" w14:textId="77777777" w:rsidTr="006A00DF">
        <w:trPr>
          <w:gridAfter w:val="1"/>
          <w:wAfter w:w="17" w:type="dxa"/>
          <w:cantSplit/>
        </w:trPr>
        <w:tc>
          <w:tcPr>
            <w:tcW w:w="3524" w:type="dxa"/>
            <w:gridSpan w:val="2"/>
          </w:tcPr>
          <w:p w14:paraId="2B1474F5" w14:textId="77777777" w:rsidR="00420DBC" w:rsidRPr="00FC4FEB" w:rsidRDefault="00420DBC" w:rsidP="000A5925">
            <w:pPr>
              <w:spacing w:before="120"/>
              <w:jc w:val="both"/>
              <w:rPr>
                <w:b/>
                <w:i/>
                <w:sz w:val="20"/>
              </w:rPr>
            </w:pPr>
            <w:r w:rsidRPr="00FC4FEB">
              <w:rPr>
                <w:b/>
                <w:i/>
                <w:sz w:val="20"/>
              </w:rPr>
              <w:t>Agreement #3</w:t>
            </w:r>
          </w:p>
        </w:tc>
        <w:tc>
          <w:tcPr>
            <w:tcW w:w="11040" w:type="dxa"/>
          </w:tcPr>
          <w:p w14:paraId="4AD79F57" w14:textId="77777777" w:rsidR="00505176" w:rsidRPr="00FC4FEB" w:rsidRDefault="006A00DF" w:rsidP="00CD4015">
            <w:pPr>
              <w:jc w:val="both"/>
              <w:rPr>
                <w:b/>
                <w:sz w:val="20"/>
              </w:rPr>
            </w:pPr>
            <w:r w:rsidRPr="00FC4FEB">
              <w:rPr>
                <w:b/>
                <w:sz w:val="20"/>
              </w:rPr>
              <w:t xml:space="preserve">ASEAN – China FTA </w:t>
            </w:r>
          </w:p>
          <w:p w14:paraId="4D089942" w14:textId="77777777" w:rsidR="00505176" w:rsidRPr="00FC4FEB" w:rsidRDefault="00505176" w:rsidP="00CD4015">
            <w:pPr>
              <w:jc w:val="both"/>
              <w:rPr>
                <w:sz w:val="20"/>
              </w:rPr>
            </w:pPr>
          </w:p>
          <w:p w14:paraId="5DEC4BD9" w14:textId="77777777" w:rsidR="00505176" w:rsidRPr="00FC4FEB" w:rsidRDefault="006A00DF" w:rsidP="00CD4015">
            <w:pPr>
              <w:jc w:val="both"/>
              <w:rPr>
                <w:sz w:val="20"/>
              </w:rPr>
            </w:pPr>
            <w:r w:rsidRPr="00FC4FEB">
              <w:rPr>
                <w:sz w:val="20"/>
              </w:rPr>
              <w:t xml:space="preserve">The ASEAN-China FTA was realized on 1 January 2010 and took full effect on 01 January 2015. </w:t>
            </w:r>
          </w:p>
          <w:p w14:paraId="4D2699A0" w14:textId="77777777" w:rsidR="00505176" w:rsidRPr="00FC4FEB" w:rsidRDefault="00505176" w:rsidP="00CD4015">
            <w:pPr>
              <w:jc w:val="both"/>
              <w:rPr>
                <w:sz w:val="20"/>
              </w:rPr>
            </w:pPr>
          </w:p>
          <w:p w14:paraId="5CE06823" w14:textId="77777777" w:rsidR="00505176" w:rsidRPr="00FC4FEB" w:rsidRDefault="006A00DF" w:rsidP="00CD4015">
            <w:pPr>
              <w:jc w:val="both"/>
              <w:rPr>
                <w:sz w:val="20"/>
              </w:rPr>
            </w:pPr>
            <w:r w:rsidRPr="00FC4FEB">
              <w:rPr>
                <w:sz w:val="20"/>
              </w:rPr>
              <w:t>In line with the mandate given by the Leaders to upgrade the ACFTA, the “Protocol to Amend the Framework Agreement on Comprehensive Economic Co-operation and Certain Agreements thereunder between ASEAN and the People’s Republic of China” (ACFTA Upgrade Protocol) was signed on 21 November 2015 and entered into force on 1 July 2016.</w:t>
            </w:r>
          </w:p>
          <w:p w14:paraId="2807FED4" w14:textId="77777777" w:rsidR="00505176" w:rsidRPr="00FC4FEB" w:rsidRDefault="00505176" w:rsidP="00CD4015">
            <w:pPr>
              <w:jc w:val="both"/>
              <w:rPr>
                <w:sz w:val="20"/>
              </w:rPr>
            </w:pPr>
          </w:p>
          <w:p w14:paraId="55C7C502" w14:textId="77777777" w:rsidR="00505176" w:rsidRPr="00FC4FEB" w:rsidRDefault="00B146C8" w:rsidP="00CD4015">
            <w:pPr>
              <w:jc w:val="both"/>
              <w:rPr>
                <w:sz w:val="20"/>
              </w:rPr>
            </w:pPr>
            <w:hyperlink r:id="rId47" w:history="1">
              <w:r w:rsidR="006A00DF" w:rsidRPr="00FC4FEB">
                <w:rPr>
                  <w:rStyle w:val="Hyperlink"/>
                  <w:color w:val="auto"/>
                  <w:sz w:val="20"/>
                </w:rPr>
                <w:t>http://asean.org/?static_post=asean-china-free-trade-area-2</w:t>
              </w:r>
            </w:hyperlink>
          </w:p>
        </w:tc>
      </w:tr>
      <w:tr w:rsidR="00FC4FEB" w:rsidRPr="00FC4FEB" w14:paraId="2CC3FA14" w14:textId="77777777" w:rsidTr="006A00DF">
        <w:trPr>
          <w:gridAfter w:val="1"/>
          <w:wAfter w:w="17" w:type="dxa"/>
          <w:cantSplit/>
        </w:trPr>
        <w:tc>
          <w:tcPr>
            <w:tcW w:w="3524" w:type="dxa"/>
            <w:gridSpan w:val="2"/>
          </w:tcPr>
          <w:p w14:paraId="373C204B" w14:textId="77777777" w:rsidR="00420DBC" w:rsidRPr="00FC4FEB" w:rsidRDefault="00420DBC" w:rsidP="000A5925">
            <w:pPr>
              <w:spacing w:before="120"/>
              <w:jc w:val="both"/>
              <w:rPr>
                <w:b/>
                <w:i/>
                <w:sz w:val="20"/>
              </w:rPr>
            </w:pPr>
            <w:r w:rsidRPr="00FC4FEB">
              <w:rPr>
                <w:b/>
                <w:i/>
                <w:sz w:val="20"/>
              </w:rPr>
              <w:t>Agreement #4</w:t>
            </w:r>
          </w:p>
        </w:tc>
        <w:tc>
          <w:tcPr>
            <w:tcW w:w="11040" w:type="dxa"/>
          </w:tcPr>
          <w:p w14:paraId="18AFA5B4" w14:textId="77777777" w:rsidR="00505176" w:rsidRPr="00FC4FEB" w:rsidRDefault="006A00DF" w:rsidP="00CD4015">
            <w:pPr>
              <w:jc w:val="both"/>
              <w:rPr>
                <w:b/>
                <w:sz w:val="20"/>
              </w:rPr>
            </w:pPr>
            <w:r w:rsidRPr="00FC4FEB">
              <w:rPr>
                <w:b/>
                <w:sz w:val="20"/>
              </w:rPr>
              <w:t>ASEAN-Japan Comprehensive Partnership Agreement</w:t>
            </w:r>
          </w:p>
          <w:p w14:paraId="2574B6AB" w14:textId="77777777" w:rsidR="00505176" w:rsidRPr="00FC4FEB" w:rsidRDefault="00505176" w:rsidP="00CD4015">
            <w:pPr>
              <w:jc w:val="both"/>
              <w:rPr>
                <w:sz w:val="20"/>
              </w:rPr>
            </w:pPr>
          </w:p>
          <w:p w14:paraId="09909484" w14:textId="77777777" w:rsidR="00505176" w:rsidRPr="00FC4FEB" w:rsidRDefault="006A00DF" w:rsidP="00CD4015">
            <w:pPr>
              <w:jc w:val="both"/>
              <w:rPr>
                <w:sz w:val="20"/>
              </w:rPr>
            </w:pPr>
            <w:r w:rsidRPr="00FC4FEB">
              <w:rPr>
                <w:sz w:val="20"/>
              </w:rPr>
              <w:t>The ASEAN – Japan Comprehensive Economic Partnership Agreement (AJCEPA) provides for the establishment of a Free Trade Area (FTA) between ASEAN and Japan. Philippines signing the Agreement on 02 April 2008. The Philippines began implementation of the Agreement on 01 July 2010.</w:t>
            </w:r>
          </w:p>
          <w:p w14:paraId="0A9E4FFE" w14:textId="77777777" w:rsidR="00505176" w:rsidRPr="00FC4FEB" w:rsidRDefault="00505176" w:rsidP="00CD4015">
            <w:pPr>
              <w:jc w:val="both"/>
              <w:rPr>
                <w:sz w:val="20"/>
              </w:rPr>
            </w:pPr>
          </w:p>
          <w:p w14:paraId="766F740C" w14:textId="77777777" w:rsidR="00505176" w:rsidRPr="00FC4FEB" w:rsidRDefault="00B146C8" w:rsidP="00CD4015">
            <w:pPr>
              <w:jc w:val="both"/>
              <w:rPr>
                <w:i/>
                <w:sz w:val="20"/>
              </w:rPr>
            </w:pPr>
            <w:hyperlink r:id="rId48" w:history="1">
              <w:r w:rsidR="006A00DF" w:rsidRPr="00FC4FEB">
                <w:rPr>
                  <w:rStyle w:val="Hyperlink"/>
                  <w:color w:val="auto"/>
                  <w:sz w:val="20"/>
                </w:rPr>
                <w:t>http://asean.org/?static_post=asean-japan-free-trade-area-2</w:t>
              </w:r>
            </w:hyperlink>
          </w:p>
        </w:tc>
      </w:tr>
      <w:tr w:rsidR="00FC4FEB" w:rsidRPr="00FC4FEB" w14:paraId="23BE0746" w14:textId="77777777" w:rsidTr="006A00DF">
        <w:trPr>
          <w:gridAfter w:val="1"/>
          <w:wAfter w:w="17" w:type="dxa"/>
          <w:cantSplit/>
          <w:trHeight w:val="631"/>
        </w:trPr>
        <w:tc>
          <w:tcPr>
            <w:tcW w:w="3524" w:type="dxa"/>
            <w:gridSpan w:val="2"/>
          </w:tcPr>
          <w:p w14:paraId="755DA5B5" w14:textId="77777777" w:rsidR="00420DBC" w:rsidRPr="00FC4FEB" w:rsidRDefault="00420DBC" w:rsidP="000A5925">
            <w:pPr>
              <w:jc w:val="both"/>
              <w:rPr>
                <w:b/>
                <w:i/>
                <w:sz w:val="20"/>
              </w:rPr>
            </w:pPr>
            <w:r w:rsidRPr="00FC4FEB">
              <w:rPr>
                <w:b/>
                <w:i/>
                <w:sz w:val="20"/>
              </w:rPr>
              <w:t>Agreement #5</w:t>
            </w:r>
          </w:p>
        </w:tc>
        <w:tc>
          <w:tcPr>
            <w:tcW w:w="11040" w:type="dxa"/>
          </w:tcPr>
          <w:p w14:paraId="24AB05CB" w14:textId="77777777" w:rsidR="00505176" w:rsidRPr="00FC4FEB" w:rsidRDefault="00446384" w:rsidP="00CD4015">
            <w:pPr>
              <w:jc w:val="both"/>
              <w:rPr>
                <w:b/>
                <w:sz w:val="20"/>
              </w:rPr>
            </w:pPr>
            <w:r w:rsidRPr="00FC4FEB">
              <w:rPr>
                <w:sz w:val="20"/>
              </w:rPr>
              <w:t xml:space="preserve"> </w:t>
            </w:r>
            <w:r w:rsidR="006A00DF" w:rsidRPr="00FC4FEB">
              <w:rPr>
                <w:b/>
                <w:sz w:val="20"/>
              </w:rPr>
              <w:t>ASEAN-Korea Free Trade Agreement</w:t>
            </w:r>
          </w:p>
          <w:p w14:paraId="500A0C18" w14:textId="77777777" w:rsidR="00505176" w:rsidRPr="00FC4FEB" w:rsidRDefault="006A00DF" w:rsidP="00CD4015">
            <w:pPr>
              <w:jc w:val="both"/>
              <w:rPr>
                <w:sz w:val="20"/>
              </w:rPr>
            </w:pPr>
            <w:r w:rsidRPr="00FC4FEB">
              <w:rPr>
                <w:sz w:val="20"/>
              </w:rPr>
              <w:tab/>
            </w:r>
            <w:r w:rsidRPr="00FC4FEB">
              <w:rPr>
                <w:sz w:val="20"/>
              </w:rPr>
              <w:tab/>
            </w:r>
            <w:r w:rsidRPr="00FC4FEB">
              <w:rPr>
                <w:sz w:val="20"/>
              </w:rPr>
              <w:tab/>
            </w:r>
          </w:p>
          <w:p w14:paraId="2C7EDC45" w14:textId="77777777" w:rsidR="00505176" w:rsidRPr="00FC4FEB" w:rsidRDefault="006A00DF" w:rsidP="00CD4015">
            <w:pPr>
              <w:jc w:val="both"/>
              <w:rPr>
                <w:sz w:val="20"/>
              </w:rPr>
            </w:pPr>
            <w:r w:rsidRPr="00FC4FEB">
              <w:rPr>
                <w:sz w:val="20"/>
              </w:rPr>
              <w:t>The Framework Agreement on Comprehensive Economic Cooperation among ASEAN Member Countries and Korea was signed on 13 December 2005.</w:t>
            </w:r>
          </w:p>
          <w:p w14:paraId="19D51DF5" w14:textId="77777777" w:rsidR="00505176" w:rsidRPr="00FC4FEB" w:rsidRDefault="00505176" w:rsidP="00CD4015">
            <w:pPr>
              <w:jc w:val="both"/>
              <w:rPr>
                <w:sz w:val="20"/>
              </w:rPr>
            </w:pPr>
          </w:p>
          <w:p w14:paraId="1FEB0025" w14:textId="77777777" w:rsidR="00505176" w:rsidRPr="00FC4FEB" w:rsidRDefault="006A00DF" w:rsidP="00CD4015">
            <w:pPr>
              <w:jc w:val="both"/>
              <w:rPr>
                <w:sz w:val="20"/>
              </w:rPr>
            </w:pPr>
            <w:r w:rsidRPr="00FC4FEB">
              <w:rPr>
                <w:sz w:val="20"/>
              </w:rPr>
              <w:t>The ASEAN-Korea Trade in Goods (AKTIG) Agreement was signed on 24 August 2006 and took effect in 2007; meanwhile, the ASEAN-ROK Trade in Services Agreement was signed on 21 November and came into force on 1 May 2009; and the ASEAN-ROK Investment Agreement was signed on 2 June 2009 and entered into force on 1 September 2009. Subsequently, the ASEAN-ROK Free Trade Area (AKFTA) came into effect on 1 January 2010.</w:t>
            </w:r>
          </w:p>
          <w:p w14:paraId="15715181" w14:textId="77777777" w:rsidR="00505176" w:rsidRPr="00FC4FEB" w:rsidRDefault="00505176" w:rsidP="00CD4015">
            <w:pPr>
              <w:jc w:val="both"/>
              <w:rPr>
                <w:sz w:val="20"/>
              </w:rPr>
            </w:pPr>
          </w:p>
          <w:p w14:paraId="37506EF9" w14:textId="77777777" w:rsidR="00505176" w:rsidRPr="00FC4FEB" w:rsidRDefault="00B146C8" w:rsidP="00CD4015">
            <w:pPr>
              <w:jc w:val="both"/>
              <w:rPr>
                <w:sz w:val="20"/>
              </w:rPr>
            </w:pPr>
            <w:hyperlink r:id="rId49" w:history="1">
              <w:r w:rsidR="006A00DF" w:rsidRPr="00FC4FEB">
                <w:rPr>
                  <w:rStyle w:val="Hyperlink"/>
                  <w:color w:val="auto"/>
                  <w:sz w:val="20"/>
                </w:rPr>
                <w:t>http://asean.org/?static_post=asean-republic-of-korea-free-trade-area-2</w:t>
              </w:r>
            </w:hyperlink>
          </w:p>
        </w:tc>
      </w:tr>
      <w:tr w:rsidR="00FC4FEB" w:rsidRPr="00FC4FEB" w14:paraId="4CEE957D" w14:textId="77777777" w:rsidTr="006A00DF">
        <w:trPr>
          <w:gridAfter w:val="1"/>
          <w:wAfter w:w="17" w:type="dxa"/>
          <w:cantSplit/>
        </w:trPr>
        <w:tc>
          <w:tcPr>
            <w:tcW w:w="3524" w:type="dxa"/>
            <w:gridSpan w:val="2"/>
          </w:tcPr>
          <w:p w14:paraId="4C29C07A" w14:textId="77777777" w:rsidR="00420DBC" w:rsidRPr="00FC4FEB" w:rsidRDefault="00420DBC" w:rsidP="000A5925">
            <w:pPr>
              <w:spacing w:before="120"/>
              <w:jc w:val="both"/>
              <w:rPr>
                <w:b/>
                <w:i/>
                <w:sz w:val="20"/>
              </w:rPr>
            </w:pPr>
            <w:r w:rsidRPr="00FC4FEB">
              <w:rPr>
                <w:b/>
                <w:i/>
                <w:sz w:val="20"/>
              </w:rPr>
              <w:lastRenderedPageBreak/>
              <w:t>Agreement #6</w:t>
            </w:r>
          </w:p>
        </w:tc>
        <w:tc>
          <w:tcPr>
            <w:tcW w:w="11040" w:type="dxa"/>
          </w:tcPr>
          <w:p w14:paraId="78C9DD10" w14:textId="77777777" w:rsidR="00505176" w:rsidRPr="00FC4FEB" w:rsidRDefault="006A00DF" w:rsidP="00CD4015">
            <w:pPr>
              <w:jc w:val="both"/>
              <w:rPr>
                <w:b/>
                <w:sz w:val="20"/>
              </w:rPr>
            </w:pPr>
            <w:r w:rsidRPr="00FC4FEB">
              <w:rPr>
                <w:b/>
                <w:sz w:val="20"/>
              </w:rPr>
              <w:t>ASEAN-India Comprehensive Economic Partnership</w:t>
            </w:r>
          </w:p>
          <w:p w14:paraId="7332995C" w14:textId="77777777" w:rsidR="00505176" w:rsidRPr="00FC4FEB" w:rsidRDefault="006A00DF" w:rsidP="00CD4015">
            <w:pPr>
              <w:jc w:val="both"/>
              <w:rPr>
                <w:sz w:val="20"/>
              </w:rPr>
            </w:pPr>
            <w:r w:rsidRPr="00FC4FEB">
              <w:rPr>
                <w:sz w:val="20"/>
              </w:rPr>
              <w:tab/>
            </w:r>
            <w:r w:rsidRPr="00FC4FEB">
              <w:rPr>
                <w:sz w:val="20"/>
              </w:rPr>
              <w:tab/>
            </w:r>
            <w:r w:rsidRPr="00FC4FEB">
              <w:rPr>
                <w:sz w:val="20"/>
              </w:rPr>
              <w:tab/>
            </w:r>
          </w:p>
          <w:p w14:paraId="773243A6" w14:textId="77777777" w:rsidR="00505176" w:rsidRPr="00FC4FEB" w:rsidRDefault="006A00DF" w:rsidP="00CD4015">
            <w:pPr>
              <w:jc w:val="both"/>
              <w:rPr>
                <w:sz w:val="20"/>
              </w:rPr>
            </w:pPr>
            <w:r w:rsidRPr="00FC4FEB">
              <w:rPr>
                <w:sz w:val="20"/>
              </w:rPr>
              <w:t>The Agreement on Trade in Goods Under the Framework Agreement on Comprehensive Economic Cooperation Between the Association of Southeast Asian Nations and the Republic of India was signed on 13 August 2009 that entered into force on 1 January 2010.</w:t>
            </w:r>
          </w:p>
          <w:p w14:paraId="5E5A206D" w14:textId="77777777" w:rsidR="00505176" w:rsidRPr="00FC4FEB" w:rsidRDefault="00505176" w:rsidP="00CD4015">
            <w:pPr>
              <w:jc w:val="both"/>
              <w:rPr>
                <w:sz w:val="20"/>
              </w:rPr>
            </w:pPr>
          </w:p>
          <w:p w14:paraId="429AEFCE" w14:textId="77777777" w:rsidR="00505176" w:rsidRPr="00FC4FEB" w:rsidRDefault="00B146C8" w:rsidP="00CD4015">
            <w:pPr>
              <w:jc w:val="both"/>
              <w:rPr>
                <w:i/>
                <w:sz w:val="20"/>
              </w:rPr>
            </w:pPr>
            <w:hyperlink r:id="rId50" w:history="1">
              <w:r w:rsidR="006A00DF" w:rsidRPr="00FC4FEB">
                <w:rPr>
                  <w:rStyle w:val="Hyperlink"/>
                  <w:color w:val="auto"/>
                  <w:sz w:val="20"/>
                </w:rPr>
                <w:t>http://asean.org/?static_post=asean-india-free-trade-area-3</w:t>
              </w:r>
            </w:hyperlink>
          </w:p>
        </w:tc>
      </w:tr>
      <w:tr w:rsidR="00FC4FEB" w:rsidRPr="00FC4FEB" w14:paraId="022FE26E" w14:textId="77777777" w:rsidTr="006A00DF">
        <w:trPr>
          <w:gridAfter w:val="1"/>
          <w:wAfter w:w="17" w:type="dxa"/>
          <w:cantSplit/>
        </w:trPr>
        <w:tc>
          <w:tcPr>
            <w:tcW w:w="3524" w:type="dxa"/>
            <w:gridSpan w:val="2"/>
          </w:tcPr>
          <w:p w14:paraId="77E9CC93" w14:textId="77777777" w:rsidR="006A00DF" w:rsidRPr="00FC4FEB" w:rsidRDefault="006A00DF" w:rsidP="000A5925">
            <w:pPr>
              <w:jc w:val="both"/>
              <w:rPr>
                <w:b/>
                <w:i/>
                <w:sz w:val="20"/>
              </w:rPr>
            </w:pPr>
            <w:r w:rsidRPr="00FC4FEB">
              <w:rPr>
                <w:b/>
                <w:i/>
                <w:sz w:val="20"/>
              </w:rPr>
              <w:t>Agreement #7</w:t>
            </w:r>
          </w:p>
        </w:tc>
        <w:tc>
          <w:tcPr>
            <w:tcW w:w="11040" w:type="dxa"/>
          </w:tcPr>
          <w:p w14:paraId="5F5A2062" w14:textId="77777777" w:rsidR="00505176" w:rsidRPr="00FC4FEB" w:rsidRDefault="006A00DF" w:rsidP="00CD4015">
            <w:pPr>
              <w:jc w:val="both"/>
              <w:rPr>
                <w:b/>
                <w:sz w:val="20"/>
              </w:rPr>
            </w:pPr>
            <w:r w:rsidRPr="00FC4FEB">
              <w:rPr>
                <w:b/>
                <w:sz w:val="20"/>
              </w:rPr>
              <w:t>ASEAN-Australia-New Zealand Free Trade Agreement</w:t>
            </w:r>
          </w:p>
          <w:p w14:paraId="1F99288B" w14:textId="77777777" w:rsidR="00505176" w:rsidRPr="00FC4FEB" w:rsidRDefault="00505176" w:rsidP="00CD4015">
            <w:pPr>
              <w:jc w:val="both"/>
              <w:rPr>
                <w:sz w:val="20"/>
              </w:rPr>
            </w:pPr>
          </w:p>
          <w:p w14:paraId="51B52746" w14:textId="77777777" w:rsidR="00505176" w:rsidRPr="00FC4FEB" w:rsidRDefault="006A00DF" w:rsidP="00CD4015">
            <w:pPr>
              <w:jc w:val="both"/>
              <w:rPr>
                <w:sz w:val="20"/>
              </w:rPr>
            </w:pPr>
            <w:r w:rsidRPr="00FC4FEB">
              <w:rPr>
                <w:sz w:val="20"/>
              </w:rPr>
              <w:t xml:space="preserve">The Agreement Establishing the ASEAN-Australia-New Zealand Free Trade Area was signed on 27 February 2009. </w:t>
            </w:r>
          </w:p>
          <w:p w14:paraId="2DB08CE9" w14:textId="77777777" w:rsidR="00505176" w:rsidRPr="00FC4FEB" w:rsidRDefault="00505176" w:rsidP="00CD4015">
            <w:pPr>
              <w:jc w:val="both"/>
              <w:rPr>
                <w:sz w:val="20"/>
              </w:rPr>
            </w:pPr>
          </w:p>
          <w:p w14:paraId="691A905F" w14:textId="77777777" w:rsidR="00505176" w:rsidRPr="00FC4FEB" w:rsidRDefault="006A00DF" w:rsidP="00CD4015">
            <w:pPr>
              <w:jc w:val="both"/>
              <w:rPr>
                <w:sz w:val="20"/>
              </w:rPr>
            </w:pPr>
            <w:r w:rsidRPr="00FC4FEB">
              <w:rPr>
                <w:sz w:val="20"/>
              </w:rPr>
              <w:t>The first Protocol to Amend the AANZFTA, covering Chapters in Trade in Goods and Rules of Origins, was signed in August 2014 and entered into force for most Parties on 1 October 2015.</w:t>
            </w:r>
          </w:p>
          <w:p w14:paraId="3B218286" w14:textId="77777777" w:rsidR="00505176" w:rsidRPr="00FC4FEB" w:rsidRDefault="00505176" w:rsidP="00CD4015">
            <w:pPr>
              <w:jc w:val="both"/>
              <w:rPr>
                <w:sz w:val="20"/>
              </w:rPr>
            </w:pPr>
          </w:p>
          <w:p w14:paraId="0F992BBE" w14:textId="77777777" w:rsidR="00505176" w:rsidRPr="00FC4FEB" w:rsidRDefault="00B146C8" w:rsidP="00CD4015">
            <w:pPr>
              <w:jc w:val="both"/>
              <w:rPr>
                <w:sz w:val="20"/>
              </w:rPr>
            </w:pPr>
            <w:hyperlink r:id="rId51" w:history="1">
              <w:r w:rsidR="006A00DF" w:rsidRPr="00FC4FEB">
                <w:rPr>
                  <w:rStyle w:val="Hyperlink"/>
                  <w:color w:val="auto"/>
                  <w:sz w:val="20"/>
                </w:rPr>
                <w:t>http://asean.org/?static_post=asean-australia-new-zealand-free-trade-area</w:t>
              </w:r>
            </w:hyperlink>
          </w:p>
        </w:tc>
      </w:tr>
      <w:tr w:rsidR="00FC4FEB" w:rsidRPr="00FC4FEB" w14:paraId="0FD83F97" w14:textId="77777777" w:rsidTr="006A00DF">
        <w:trPr>
          <w:gridAfter w:val="1"/>
          <w:wAfter w:w="17" w:type="dxa"/>
          <w:cantSplit/>
        </w:trPr>
        <w:tc>
          <w:tcPr>
            <w:tcW w:w="3524" w:type="dxa"/>
            <w:gridSpan w:val="2"/>
          </w:tcPr>
          <w:p w14:paraId="020E579A" w14:textId="77777777" w:rsidR="006A00DF" w:rsidRPr="00FC4FEB" w:rsidRDefault="006A00DF" w:rsidP="000A5925">
            <w:pPr>
              <w:spacing w:before="120"/>
              <w:jc w:val="both"/>
              <w:rPr>
                <w:b/>
                <w:i/>
                <w:sz w:val="20"/>
              </w:rPr>
            </w:pPr>
            <w:r w:rsidRPr="00FC4FEB">
              <w:rPr>
                <w:b/>
                <w:i/>
                <w:sz w:val="20"/>
              </w:rPr>
              <w:t>Agreement #8</w:t>
            </w:r>
          </w:p>
        </w:tc>
        <w:tc>
          <w:tcPr>
            <w:tcW w:w="11040" w:type="dxa"/>
          </w:tcPr>
          <w:p w14:paraId="7B4366EA" w14:textId="77777777" w:rsidR="00505176" w:rsidRPr="00FC4FEB" w:rsidRDefault="006A00DF" w:rsidP="00CD4015">
            <w:pPr>
              <w:jc w:val="both"/>
              <w:rPr>
                <w:b/>
                <w:sz w:val="20"/>
              </w:rPr>
            </w:pPr>
            <w:r w:rsidRPr="00FC4FEB">
              <w:rPr>
                <w:b/>
                <w:sz w:val="20"/>
              </w:rPr>
              <w:t>ASEAN – Hong Kong Free Trade Agreement</w:t>
            </w:r>
          </w:p>
          <w:p w14:paraId="63D02A25" w14:textId="77777777" w:rsidR="00505176" w:rsidRPr="00FC4FEB" w:rsidRDefault="00505176" w:rsidP="00CD4015">
            <w:pPr>
              <w:jc w:val="both"/>
              <w:rPr>
                <w:sz w:val="20"/>
              </w:rPr>
            </w:pPr>
          </w:p>
          <w:p w14:paraId="43EDAB7A" w14:textId="77777777" w:rsidR="00505176" w:rsidRPr="00FC4FEB" w:rsidRDefault="006A00DF" w:rsidP="00CD4015">
            <w:pPr>
              <w:jc w:val="both"/>
              <w:rPr>
                <w:i/>
                <w:sz w:val="20"/>
              </w:rPr>
            </w:pPr>
            <w:r w:rsidRPr="00FC4FEB">
              <w:rPr>
                <w:sz w:val="20"/>
              </w:rPr>
              <w:t>The ASEAN – HKC Free Trade Agreement (AHKFTA) and the ASEAN – HKC Investment Agreement (AHKIA) was signed on 12 November 2017 at the sidelines of the 31st ASEAN Summit in Pasay City, the Philippines. The Agreements are expected to enter into force by 1 January 2019.</w:t>
            </w:r>
          </w:p>
        </w:tc>
      </w:tr>
      <w:tr w:rsidR="00FC4FEB" w:rsidRPr="00FC4FEB" w14:paraId="1887556D" w14:textId="77777777" w:rsidTr="006A00DF">
        <w:trPr>
          <w:gridAfter w:val="1"/>
          <w:wAfter w:w="17" w:type="dxa"/>
          <w:cantSplit/>
        </w:trPr>
        <w:tc>
          <w:tcPr>
            <w:tcW w:w="3524" w:type="dxa"/>
            <w:gridSpan w:val="2"/>
          </w:tcPr>
          <w:p w14:paraId="760C3647" w14:textId="77777777" w:rsidR="0081130F" w:rsidRPr="00FC4FEB" w:rsidRDefault="0081130F" w:rsidP="000A5925">
            <w:pPr>
              <w:spacing w:before="120"/>
              <w:jc w:val="both"/>
              <w:rPr>
                <w:b/>
                <w:i/>
                <w:sz w:val="20"/>
              </w:rPr>
            </w:pPr>
            <w:r w:rsidRPr="00FC4FEB">
              <w:rPr>
                <w:b/>
                <w:i/>
                <w:sz w:val="20"/>
              </w:rPr>
              <w:t>- Agreements under negotiation</w:t>
            </w:r>
          </w:p>
          <w:p w14:paraId="4D8B4B5C" w14:textId="77777777" w:rsidR="0081130F" w:rsidRPr="00FC4FEB" w:rsidRDefault="0081130F" w:rsidP="000A5925">
            <w:pPr>
              <w:spacing w:before="120"/>
              <w:jc w:val="both"/>
              <w:rPr>
                <w:b/>
                <w:i/>
                <w:sz w:val="20"/>
              </w:rPr>
            </w:pPr>
          </w:p>
        </w:tc>
        <w:tc>
          <w:tcPr>
            <w:tcW w:w="11040" w:type="dxa"/>
          </w:tcPr>
          <w:p w14:paraId="73D6F524" w14:textId="77777777" w:rsidR="00505176" w:rsidRPr="00FC4FEB" w:rsidRDefault="00505176" w:rsidP="00CD4015">
            <w:pPr>
              <w:spacing w:before="120"/>
              <w:jc w:val="both"/>
              <w:rPr>
                <w:i/>
                <w:sz w:val="20"/>
              </w:rPr>
            </w:pPr>
          </w:p>
        </w:tc>
      </w:tr>
      <w:tr w:rsidR="00FC4FEB" w:rsidRPr="00FC4FEB" w14:paraId="0EB80568" w14:textId="77777777" w:rsidTr="006A00DF">
        <w:trPr>
          <w:gridAfter w:val="1"/>
          <w:wAfter w:w="17" w:type="dxa"/>
          <w:cantSplit/>
        </w:trPr>
        <w:tc>
          <w:tcPr>
            <w:tcW w:w="764" w:type="dxa"/>
            <w:vMerge w:val="restart"/>
          </w:tcPr>
          <w:p w14:paraId="1AE4E714" w14:textId="77777777" w:rsidR="006A00DF" w:rsidRPr="00FC4FEB" w:rsidRDefault="006A00DF" w:rsidP="000A5925">
            <w:pPr>
              <w:jc w:val="both"/>
              <w:rPr>
                <w:b/>
                <w:i/>
                <w:sz w:val="20"/>
              </w:rPr>
            </w:pPr>
          </w:p>
        </w:tc>
        <w:tc>
          <w:tcPr>
            <w:tcW w:w="2760" w:type="dxa"/>
          </w:tcPr>
          <w:p w14:paraId="5A81B1BF" w14:textId="77777777" w:rsidR="006A00DF" w:rsidRPr="00FC4FEB" w:rsidRDefault="006A00DF" w:rsidP="000A5925">
            <w:pPr>
              <w:jc w:val="both"/>
              <w:rPr>
                <w:b/>
                <w:i/>
                <w:sz w:val="20"/>
              </w:rPr>
            </w:pPr>
            <w:bookmarkStart w:id="44" w:name="Agreement01"/>
          </w:p>
          <w:p w14:paraId="3C8CD12A" w14:textId="77777777" w:rsidR="006A00DF" w:rsidRPr="00FC4FEB" w:rsidRDefault="006A00DF" w:rsidP="000A5925">
            <w:pPr>
              <w:jc w:val="both"/>
              <w:rPr>
                <w:b/>
                <w:i/>
                <w:sz w:val="20"/>
              </w:rPr>
            </w:pPr>
            <w:r w:rsidRPr="00FC4FEB">
              <w:rPr>
                <w:b/>
                <w:i/>
                <w:sz w:val="20"/>
              </w:rPr>
              <w:t>Agreement #1</w:t>
            </w:r>
            <w:bookmarkEnd w:id="44"/>
          </w:p>
          <w:p w14:paraId="01411DDD" w14:textId="77777777" w:rsidR="006A00DF" w:rsidRPr="00FC4FEB" w:rsidRDefault="006A00DF" w:rsidP="000A5925">
            <w:pPr>
              <w:jc w:val="both"/>
              <w:rPr>
                <w:b/>
                <w:i/>
                <w:sz w:val="20"/>
              </w:rPr>
            </w:pPr>
          </w:p>
        </w:tc>
        <w:tc>
          <w:tcPr>
            <w:tcW w:w="11040" w:type="dxa"/>
          </w:tcPr>
          <w:p w14:paraId="3A236673" w14:textId="77777777" w:rsidR="00505176" w:rsidRPr="00FC4FEB" w:rsidRDefault="006A00DF" w:rsidP="00CD4015">
            <w:pPr>
              <w:jc w:val="both"/>
              <w:rPr>
                <w:b/>
                <w:sz w:val="20"/>
              </w:rPr>
            </w:pPr>
            <w:bookmarkStart w:id="45" w:name="A01"/>
            <w:bookmarkEnd w:id="45"/>
            <w:r w:rsidRPr="00FC4FEB">
              <w:rPr>
                <w:b/>
                <w:sz w:val="20"/>
              </w:rPr>
              <w:t>Regional Comprehensive Economic Partnership (RCEP)</w:t>
            </w:r>
          </w:p>
          <w:p w14:paraId="7B1E2856" w14:textId="77777777" w:rsidR="00505176" w:rsidRPr="00FC4FEB" w:rsidRDefault="00505176" w:rsidP="00CD4015">
            <w:pPr>
              <w:jc w:val="both"/>
              <w:rPr>
                <w:sz w:val="20"/>
              </w:rPr>
            </w:pPr>
          </w:p>
          <w:p w14:paraId="4EFE5963" w14:textId="77777777" w:rsidR="00505176" w:rsidRPr="00FC4FEB" w:rsidRDefault="006A00DF" w:rsidP="00CD4015">
            <w:pPr>
              <w:jc w:val="both"/>
              <w:rPr>
                <w:sz w:val="20"/>
              </w:rPr>
            </w:pPr>
            <w:proofErr w:type="gramStart"/>
            <w:r w:rsidRPr="00FC4FEB">
              <w:rPr>
                <w:sz w:val="20"/>
              </w:rPr>
              <w:t>Parties  have</w:t>
            </w:r>
            <w:proofErr w:type="gramEnd"/>
            <w:r w:rsidRPr="00FC4FEB">
              <w:rPr>
                <w:sz w:val="20"/>
              </w:rPr>
              <w:t xml:space="preserve">  adopted  a  set  of  Guiding  Principles  and  Objectives  in  negotiating  the  RCEP  that  aims  to  achieve  a  modern, comprehensive,  high-quality  and  mutually  beneficial  economic  partnership  agreement  among  the  ASEAN  Member  States  and ASEAN’s FTA Partners. Since the inaugural meeting in May 2013, there have been ten rounds of negotiations led by </w:t>
            </w:r>
            <w:proofErr w:type="gramStart"/>
            <w:r w:rsidRPr="00FC4FEB">
              <w:rPr>
                <w:sz w:val="20"/>
              </w:rPr>
              <w:t>the  RCEP</w:t>
            </w:r>
            <w:proofErr w:type="gramEnd"/>
            <w:r w:rsidRPr="00FC4FEB">
              <w:rPr>
                <w:sz w:val="20"/>
              </w:rPr>
              <w:t xml:space="preserve"> Trade Negotiating  Committee  (RCEP  TNC)  and  supported  by  sixteen  working  groups  and  sub-working  groups.  The 20th round of negotiations took place in October 2017  and the target is to conclude RCEP negotiations by 2018.</w:t>
            </w:r>
          </w:p>
        </w:tc>
      </w:tr>
      <w:tr w:rsidR="00FC4FEB" w:rsidRPr="00FC4FEB" w14:paraId="6BE3E594" w14:textId="77777777" w:rsidTr="006A00DF">
        <w:trPr>
          <w:gridAfter w:val="1"/>
          <w:wAfter w:w="17" w:type="dxa"/>
          <w:cantSplit/>
        </w:trPr>
        <w:tc>
          <w:tcPr>
            <w:tcW w:w="764" w:type="dxa"/>
            <w:vMerge/>
          </w:tcPr>
          <w:p w14:paraId="44B42379" w14:textId="77777777" w:rsidR="006A00DF" w:rsidRPr="00FC4FEB" w:rsidRDefault="006A00DF">
            <w:pPr>
              <w:jc w:val="both"/>
              <w:rPr>
                <w:b/>
                <w:i/>
                <w:sz w:val="20"/>
              </w:rPr>
            </w:pPr>
          </w:p>
        </w:tc>
        <w:tc>
          <w:tcPr>
            <w:tcW w:w="2760" w:type="dxa"/>
          </w:tcPr>
          <w:p w14:paraId="4DC1B7BE" w14:textId="77777777" w:rsidR="006A00DF" w:rsidRPr="00FC4FEB" w:rsidRDefault="006A00DF">
            <w:pPr>
              <w:jc w:val="both"/>
              <w:rPr>
                <w:b/>
                <w:i/>
                <w:sz w:val="20"/>
              </w:rPr>
            </w:pPr>
            <w:bookmarkStart w:id="46" w:name="Agreement02"/>
          </w:p>
          <w:p w14:paraId="1BB2C540" w14:textId="77777777" w:rsidR="006A00DF" w:rsidRPr="00FC4FEB" w:rsidRDefault="006A00DF">
            <w:pPr>
              <w:jc w:val="both"/>
              <w:rPr>
                <w:b/>
                <w:i/>
                <w:sz w:val="20"/>
              </w:rPr>
            </w:pPr>
            <w:r w:rsidRPr="00FC4FEB">
              <w:rPr>
                <w:b/>
                <w:i/>
                <w:sz w:val="20"/>
              </w:rPr>
              <w:t>Agreement #2</w:t>
            </w:r>
            <w:bookmarkEnd w:id="46"/>
          </w:p>
          <w:p w14:paraId="3445D7D5" w14:textId="77777777" w:rsidR="006A00DF" w:rsidRPr="00FC4FEB" w:rsidRDefault="006A00DF">
            <w:pPr>
              <w:jc w:val="both"/>
              <w:rPr>
                <w:b/>
                <w:i/>
                <w:sz w:val="20"/>
              </w:rPr>
            </w:pPr>
          </w:p>
        </w:tc>
        <w:tc>
          <w:tcPr>
            <w:tcW w:w="11040" w:type="dxa"/>
          </w:tcPr>
          <w:p w14:paraId="7675C6F7" w14:textId="77777777" w:rsidR="006A00DF" w:rsidRPr="00FC4FEB" w:rsidRDefault="006A00DF">
            <w:pPr>
              <w:jc w:val="both"/>
              <w:rPr>
                <w:b/>
                <w:sz w:val="20"/>
              </w:rPr>
            </w:pPr>
            <w:bookmarkStart w:id="47" w:name="A02"/>
            <w:bookmarkEnd w:id="47"/>
            <w:r w:rsidRPr="00FC4FEB">
              <w:rPr>
                <w:b/>
                <w:sz w:val="20"/>
              </w:rPr>
              <w:t>European Free Trade Association (EFTA)</w:t>
            </w:r>
          </w:p>
          <w:p w14:paraId="1F5EE19A" w14:textId="77777777" w:rsidR="006A00DF" w:rsidRPr="00FC4FEB" w:rsidRDefault="006A00DF">
            <w:pPr>
              <w:jc w:val="both"/>
              <w:rPr>
                <w:sz w:val="20"/>
              </w:rPr>
            </w:pPr>
          </w:p>
          <w:p w14:paraId="16018BC4" w14:textId="77777777" w:rsidR="006A00DF" w:rsidRPr="00FC4FEB" w:rsidRDefault="006A00DF">
            <w:pPr>
              <w:jc w:val="both"/>
              <w:rPr>
                <w:sz w:val="20"/>
              </w:rPr>
            </w:pPr>
            <w:r w:rsidRPr="00FC4FEB">
              <w:rPr>
                <w:sz w:val="20"/>
              </w:rPr>
              <w:t xml:space="preserve">The FTA covers, among others, trade in goods, rules of origin and customs cooperation, trade facilitation, sanitary and </w:t>
            </w:r>
            <w:proofErr w:type="spellStart"/>
            <w:r w:rsidRPr="00FC4FEB">
              <w:rPr>
                <w:sz w:val="20"/>
              </w:rPr>
              <w:t>phytosanitary</w:t>
            </w:r>
            <w:proofErr w:type="spellEnd"/>
            <w:r w:rsidRPr="00FC4FEB">
              <w:rPr>
                <w:sz w:val="20"/>
              </w:rPr>
              <w:t xml:space="preserve"> measures, technical barriers to trade, trade remedies, trade in services, investments, intellectual property rights, competition, government procurement and trade and sustainable development.</w:t>
            </w:r>
          </w:p>
          <w:p w14:paraId="545BA83B" w14:textId="77777777" w:rsidR="006A00DF" w:rsidRPr="00FC4FEB" w:rsidRDefault="006A00DF">
            <w:pPr>
              <w:jc w:val="both"/>
              <w:rPr>
                <w:sz w:val="20"/>
              </w:rPr>
            </w:pPr>
          </w:p>
          <w:p w14:paraId="5B51CAF4" w14:textId="77777777" w:rsidR="00505176" w:rsidRPr="00FC4FEB" w:rsidRDefault="006A00DF" w:rsidP="00CD4015">
            <w:pPr>
              <w:jc w:val="both"/>
              <w:rPr>
                <w:sz w:val="20"/>
              </w:rPr>
            </w:pPr>
            <w:r w:rsidRPr="00FC4FEB">
              <w:rPr>
                <w:sz w:val="20"/>
              </w:rPr>
              <w:t>After five (5) rounds of negotiations, the agreement was signed on 28 April 2016 in Bern, Switzerland. Currently, the agreement is undergoing the process of domestic ratification.</w:t>
            </w:r>
          </w:p>
        </w:tc>
      </w:tr>
      <w:tr w:rsidR="00FC4FEB" w:rsidRPr="00FC4FEB" w14:paraId="012274BE" w14:textId="77777777" w:rsidTr="006A00DF">
        <w:trPr>
          <w:gridAfter w:val="1"/>
          <w:wAfter w:w="17" w:type="dxa"/>
          <w:cantSplit/>
        </w:trPr>
        <w:tc>
          <w:tcPr>
            <w:tcW w:w="3524" w:type="dxa"/>
            <w:gridSpan w:val="2"/>
          </w:tcPr>
          <w:p w14:paraId="20EB5109" w14:textId="77777777" w:rsidR="006A00DF" w:rsidRPr="00FC4FEB" w:rsidRDefault="006A00DF" w:rsidP="000A5925">
            <w:pPr>
              <w:jc w:val="both"/>
              <w:rPr>
                <w:b/>
                <w:i/>
                <w:sz w:val="20"/>
              </w:rPr>
            </w:pPr>
          </w:p>
          <w:p w14:paraId="7E9079E4" w14:textId="77777777" w:rsidR="006A00DF" w:rsidRPr="00FC4FEB" w:rsidRDefault="006A00DF" w:rsidP="000A5925">
            <w:pPr>
              <w:jc w:val="both"/>
              <w:rPr>
                <w:b/>
                <w:i/>
                <w:sz w:val="20"/>
              </w:rPr>
            </w:pPr>
            <w:r w:rsidRPr="00FC4FEB">
              <w:rPr>
                <w:b/>
                <w:i/>
                <w:sz w:val="20"/>
              </w:rPr>
              <w:t xml:space="preserve">- </w:t>
            </w:r>
            <w:bookmarkStart w:id="48" w:name="future"/>
            <w:r w:rsidRPr="00FC4FEB">
              <w:rPr>
                <w:b/>
                <w:i/>
                <w:sz w:val="20"/>
              </w:rPr>
              <w:t>Future plans</w:t>
            </w:r>
            <w:bookmarkEnd w:id="48"/>
          </w:p>
          <w:p w14:paraId="07A125CE" w14:textId="77777777" w:rsidR="006A00DF" w:rsidRPr="00FC4FEB" w:rsidRDefault="006A00DF" w:rsidP="000A5925">
            <w:pPr>
              <w:jc w:val="both"/>
              <w:rPr>
                <w:b/>
                <w:i/>
                <w:sz w:val="20"/>
              </w:rPr>
            </w:pPr>
          </w:p>
        </w:tc>
        <w:tc>
          <w:tcPr>
            <w:tcW w:w="11040" w:type="dxa"/>
          </w:tcPr>
          <w:p w14:paraId="4C33FA9F" w14:textId="77777777" w:rsidR="00505176" w:rsidRPr="00FC4FEB" w:rsidRDefault="006A00DF" w:rsidP="00CD4015">
            <w:pPr>
              <w:jc w:val="both"/>
              <w:rPr>
                <w:sz w:val="20"/>
              </w:rPr>
            </w:pPr>
            <w:bookmarkStart w:id="49" w:name="cell34"/>
            <w:bookmarkEnd w:id="49"/>
            <w:r w:rsidRPr="00FC4FEB">
              <w:rPr>
                <w:sz w:val="20"/>
              </w:rPr>
              <w:t>The Philippines is firmly committed to fair and liberal trade and have upheld this position consistently in bilateral, regional and multilateral fora.  The Philippines also remains committed to the multilateral trading system of the WTO even as the country seeks to further expand trade particularly with possible dialogue partners</w:t>
            </w:r>
          </w:p>
        </w:tc>
      </w:tr>
      <w:tr w:rsidR="00FC4FEB" w:rsidRPr="00FC4FEB" w14:paraId="553EA7B5" w14:textId="77777777" w:rsidTr="00E92BBC">
        <w:trPr>
          <w:gridAfter w:val="1"/>
          <w:wAfter w:w="17" w:type="dxa"/>
          <w:cantSplit/>
        </w:trPr>
        <w:tc>
          <w:tcPr>
            <w:tcW w:w="3524" w:type="dxa"/>
            <w:gridSpan w:val="2"/>
          </w:tcPr>
          <w:p w14:paraId="21E53B5F" w14:textId="77777777" w:rsidR="006A00DF" w:rsidRPr="00FC4FEB" w:rsidRDefault="006A00DF" w:rsidP="000A592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11040" w:type="dxa"/>
          </w:tcPr>
          <w:p w14:paraId="722374A4" w14:textId="77777777" w:rsidR="006A00DF" w:rsidRPr="00FC4FEB" w:rsidRDefault="006A00DF" w:rsidP="000A5925">
            <w:pPr>
              <w:pStyle w:val="Heading9"/>
              <w:jc w:val="both"/>
              <w:rPr>
                <w:rFonts w:ascii="Times New Roman" w:hAnsi="Times New Roman"/>
                <w:b w:val="0"/>
                <w:i w:val="0"/>
              </w:rPr>
            </w:pPr>
            <w:r w:rsidRPr="00FC4FEB">
              <w:rPr>
                <w:rFonts w:ascii="Times New Roman" w:hAnsi="Times New Roman"/>
                <w:b w:val="0"/>
                <w:i w:val="0"/>
              </w:rPr>
              <w:t>www.dti.gov.ph</w:t>
            </w:r>
          </w:p>
        </w:tc>
      </w:tr>
      <w:tr w:rsidR="00FC4FEB" w:rsidRPr="00FC4FEB" w14:paraId="2755560E" w14:textId="77777777" w:rsidTr="00E92BBC">
        <w:trPr>
          <w:gridAfter w:val="1"/>
          <w:wAfter w:w="17" w:type="dxa"/>
          <w:cantSplit/>
        </w:trPr>
        <w:tc>
          <w:tcPr>
            <w:tcW w:w="3524" w:type="dxa"/>
            <w:gridSpan w:val="2"/>
          </w:tcPr>
          <w:p w14:paraId="5FB4B12E" w14:textId="77777777" w:rsidR="006A00DF" w:rsidRPr="00FC4FEB" w:rsidRDefault="006A00DF" w:rsidP="000A5925">
            <w:pPr>
              <w:pStyle w:val="Heading9"/>
              <w:jc w:val="both"/>
              <w:rPr>
                <w:rFonts w:ascii="Times New Roman" w:hAnsi="Times New Roman"/>
                <w:b w:val="0"/>
              </w:rPr>
            </w:pPr>
            <w:r w:rsidRPr="00FC4FEB">
              <w:rPr>
                <w:rFonts w:ascii="Times New Roman" w:hAnsi="Times New Roman"/>
                <w:b w:val="0"/>
              </w:rPr>
              <w:t>Contact point for further details:</w:t>
            </w:r>
          </w:p>
        </w:tc>
        <w:tc>
          <w:tcPr>
            <w:tcW w:w="11040" w:type="dxa"/>
          </w:tcPr>
          <w:p w14:paraId="31FE172A" w14:textId="77777777" w:rsidR="006A00DF" w:rsidRPr="00FC4FEB" w:rsidRDefault="006A00DF" w:rsidP="000A5925">
            <w:pPr>
              <w:jc w:val="both"/>
              <w:rPr>
                <w:noProof/>
                <w:sz w:val="20"/>
              </w:rPr>
            </w:pPr>
            <w:r w:rsidRPr="00FC4FEB">
              <w:rPr>
                <w:noProof/>
                <w:sz w:val="20"/>
              </w:rPr>
              <w:t xml:space="preserve">The Director </w:t>
            </w:r>
          </w:p>
          <w:p w14:paraId="7BCB7DD8" w14:textId="77777777" w:rsidR="006A00DF" w:rsidRPr="00FC4FEB" w:rsidRDefault="006A00DF" w:rsidP="000A5925">
            <w:pPr>
              <w:jc w:val="both"/>
              <w:rPr>
                <w:noProof/>
                <w:sz w:val="20"/>
              </w:rPr>
            </w:pPr>
            <w:r w:rsidRPr="00FC4FEB">
              <w:rPr>
                <w:noProof/>
                <w:sz w:val="20"/>
              </w:rPr>
              <w:t>Bureau of International Trade Relations</w:t>
            </w:r>
          </w:p>
          <w:p w14:paraId="48A7D4A2" w14:textId="77777777" w:rsidR="006A00DF" w:rsidRPr="00FC4FEB" w:rsidRDefault="006A00DF" w:rsidP="000A5925">
            <w:pPr>
              <w:jc w:val="both"/>
              <w:rPr>
                <w:noProof/>
                <w:sz w:val="20"/>
              </w:rPr>
            </w:pPr>
            <w:r w:rsidRPr="00FC4FEB">
              <w:rPr>
                <w:noProof/>
                <w:sz w:val="20"/>
              </w:rPr>
              <w:t>Department of Trade and Industry</w:t>
            </w:r>
          </w:p>
          <w:p w14:paraId="69952CC8" w14:textId="77777777" w:rsidR="006A00DF" w:rsidRPr="00FC4FEB" w:rsidRDefault="006A00DF" w:rsidP="000A5925">
            <w:pPr>
              <w:jc w:val="both"/>
              <w:rPr>
                <w:noProof/>
                <w:sz w:val="20"/>
              </w:rPr>
            </w:pPr>
            <w:r w:rsidRPr="00FC4FEB">
              <w:rPr>
                <w:noProof/>
                <w:sz w:val="20"/>
              </w:rPr>
              <w:t>361 Senator Gil J. Puyat Avenue</w:t>
            </w:r>
          </w:p>
          <w:p w14:paraId="1AE3DE02" w14:textId="77777777" w:rsidR="006A00DF" w:rsidRPr="00FC4FEB" w:rsidRDefault="006A00DF" w:rsidP="00993030">
            <w:pPr>
              <w:jc w:val="both"/>
              <w:rPr>
                <w:noProof/>
                <w:sz w:val="20"/>
              </w:rPr>
            </w:pPr>
            <w:r w:rsidRPr="00FC4FEB">
              <w:rPr>
                <w:noProof/>
                <w:sz w:val="20"/>
              </w:rPr>
              <w:t>Makati City 1200 Philippines</w:t>
            </w:r>
          </w:p>
          <w:p w14:paraId="32C8B50A" w14:textId="77777777" w:rsidR="006A00DF" w:rsidRPr="00FC4FEB" w:rsidRDefault="006A00DF" w:rsidP="00993030">
            <w:pPr>
              <w:jc w:val="both"/>
              <w:rPr>
                <w:noProof/>
                <w:sz w:val="20"/>
              </w:rPr>
            </w:pPr>
            <w:r w:rsidRPr="00FC4FEB">
              <w:rPr>
                <w:noProof/>
                <w:sz w:val="20"/>
              </w:rPr>
              <w:t>Tel: (632) 465-3300, 465-3356</w:t>
            </w:r>
          </w:p>
          <w:p w14:paraId="58D610F4" w14:textId="77777777" w:rsidR="006A00DF" w:rsidRPr="00FC4FEB" w:rsidRDefault="00810BCF" w:rsidP="00810BCF">
            <w:pPr>
              <w:pStyle w:val="Heading9"/>
              <w:jc w:val="both"/>
              <w:rPr>
                <w:rFonts w:ascii="Times New Roman" w:hAnsi="Times New Roman"/>
                <w:b w:val="0"/>
                <w:i w:val="0"/>
                <w:noProof/>
              </w:rPr>
            </w:pPr>
            <w:r w:rsidRPr="00FC4FEB">
              <w:rPr>
                <w:rFonts w:ascii="Times New Roman" w:hAnsi="Times New Roman"/>
                <w:b w:val="0"/>
                <w:i w:val="0"/>
                <w:noProof/>
              </w:rPr>
              <w:t>Fax: (632) 890-5149</w:t>
            </w:r>
          </w:p>
        </w:tc>
      </w:tr>
    </w:tbl>
    <w:p w14:paraId="0FD322C4" w14:textId="77777777" w:rsidR="00CB6A57" w:rsidRPr="00FC4FEB" w:rsidRDefault="00CB6A57" w:rsidP="000A5925">
      <w:pPr>
        <w:pStyle w:val="Title"/>
        <w:jc w:val="both"/>
        <w:rPr>
          <w:sz w:val="20"/>
          <w:lang w:val="en-AU"/>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FC4FEB" w:rsidRPr="00FC4FEB" w14:paraId="7C67BF31" w14:textId="77777777" w:rsidTr="008F223D">
        <w:tc>
          <w:tcPr>
            <w:tcW w:w="3524" w:type="dxa"/>
          </w:tcPr>
          <w:p w14:paraId="31E97E37" w14:textId="77777777" w:rsidR="00505176" w:rsidRPr="00FC4FEB" w:rsidRDefault="00505176" w:rsidP="00CD4015">
            <w:pPr>
              <w:jc w:val="both"/>
              <w:rPr>
                <w:b/>
                <w:i/>
                <w:sz w:val="20"/>
              </w:rPr>
            </w:pPr>
          </w:p>
          <w:p w14:paraId="659BC29E" w14:textId="77777777" w:rsidR="00505176" w:rsidRPr="00FC4FEB" w:rsidRDefault="0037726A" w:rsidP="00CD4015">
            <w:pPr>
              <w:jc w:val="both"/>
              <w:rPr>
                <w:b/>
                <w:i/>
                <w:sz w:val="20"/>
              </w:rPr>
            </w:pPr>
            <w:r w:rsidRPr="00FC4FEB">
              <w:rPr>
                <w:b/>
                <w:i/>
                <w:sz w:val="20"/>
              </w:rPr>
              <w:t>Other voluntary reporting areas:</w:t>
            </w:r>
          </w:p>
          <w:p w14:paraId="238621E9" w14:textId="77777777" w:rsidR="00505176" w:rsidRPr="00FC4FEB" w:rsidRDefault="00505176" w:rsidP="00CD4015">
            <w:pPr>
              <w:jc w:val="both"/>
              <w:rPr>
                <w:b/>
                <w:i/>
                <w:sz w:val="20"/>
              </w:rPr>
            </w:pPr>
          </w:p>
          <w:p w14:paraId="6BCF9A72" w14:textId="77777777" w:rsidR="00505176" w:rsidRPr="00FC4FEB" w:rsidRDefault="0037726A" w:rsidP="00CD4015">
            <w:pPr>
              <w:jc w:val="both"/>
              <w:rPr>
                <w:b/>
                <w:i/>
                <w:sz w:val="20"/>
              </w:rPr>
            </w:pPr>
            <w:r w:rsidRPr="00FC4FEB">
              <w:rPr>
                <w:b/>
                <w:i/>
                <w:sz w:val="20"/>
              </w:rPr>
              <w:t xml:space="preserve">Women and the Economy </w:t>
            </w:r>
          </w:p>
        </w:tc>
        <w:tc>
          <w:tcPr>
            <w:tcW w:w="5387" w:type="dxa"/>
          </w:tcPr>
          <w:p w14:paraId="1664E71A" w14:textId="4D92F160" w:rsidR="00505176" w:rsidRPr="00FC4FEB" w:rsidRDefault="00765113" w:rsidP="00CD4015">
            <w:pPr>
              <w:spacing w:line="229" w:lineRule="exact"/>
              <w:contextualSpacing/>
              <w:jc w:val="both"/>
              <w:rPr>
                <w:rFonts w:eastAsia="Times New Roman"/>
                <w:sz w:val="20"/>
              </w:rPr>
            </w:pPr>
            <w:r w:rsidRPr="00FC4FEB">
              <w:rPr>
                <w:rFonts w:eastAsia="Times New Roman"/>
                <w:sz w:val="20"/>
              </w:rPr>
              <w:t>I</w:t>
            </w:r>
            <w:r w:rsidR="00505176" w:rsidRPr="00FC4FEB">
              <w:rPr>
                <w:rFonts w:eastAsia="Times New Roman"/>
                <w:sz w:val="20"/>
              </w:rPr>
              <w:t xml:space="preserve">mplementation of the Phase-2 of Gender Responsive Economic Actions for the Transformation (GREAT) of Women Project (GWP-2) – a governance and capacity development project that aims to promote and support a gender responsive enabling environment for women’s economic empowerment. As of </w:t>
            </w:r>
            <w:r w:rsidR="00611404">
              <w:rPr>
                <w:rFonts w:eastAsia="Times New Roman"/>
                <w:sz w:val="20"/>
              </w:rPr>
              <w:t>end</w:t>
            </w:r>
            <w:r w:rsidR="00611404" w:rsidRPr="00FC4FEB">
              <w:rPr>
                <w:rFonts w:eastAsia="Times New Roman"/>
                <w:sz w:val="20"/>
              </w:rPr>
              <w:t xml:space="preserve"> </w:t>
            </w:r>
            <w:r w:rsidR="00505176" w:rsidRPr="00FC4FEB">
              <w:rPr>
                <w:rFonts w:eastAsia="Times New Roman"/>
                <w:sz w:val="20"/>
              </w:rPr>
              <w:t xml:space="preserve">2017, a total of 2,148 women </w:t>
            </w:r>
            <w:proofErr w:type="spellStart"/>
            <w:r w:rsidR="00505176" w:rsidRPr="00FC4FEB">
              <w:rPr>
                <w:rFonts w:eastAsia="Times New Roman"/>
                <w:sz w:val="20"/>
              </w:rPr>
              <w:t>microentrepreneurs</w:t>
            </w:r>
            <w:proofErr w:type="spellEnd"/>
            <w:r w:rsidR="00505176" w:rsidRPr="00FC4FEB">
              <w:rPr>
                <w:rFonts w:eastAsia="Times New Roman"/>
                <w:sz w:val="20"/>
              </w:rPr>
              <w:t xml:space="preserve"> (WMEs) from 15 regions were enrolled in the GWP-2. </w:t>
            </w:r>
          </w:p>
          <w:p w14:paraId="38028246" w14:textId="77777777" w:rsidR="00505176" w:rsidRPr="00FC4FEB" w:rsidRDefault="00505176" w:rsidP="00CD4015">
            <w:pPr>
              <w:spacing w:line="229" w:lineRule="exact"/>
              <w:contextualSpacing/>
              <w:jc w:val="both"/>
              <w:rPr>
                <w:rFonts w:eastAsia="Times New Roman"/>
                <w:sz w:val="20"/>
              </w:rPr>
            </w:pPr>
          </w:p>
          <w:p w14:paraId="534C8940" w14:textId="77777777" w:rsidR="00505176" w:rsidRPr="00A057C8" w:rsidRDefault="00765113" w:rsidP="00CD4015">
            <w:pPr>
              <w:spacing w:line="229" w:lineRule="exact"/>
              <w:contextualSpacing/>
              <w:jc w:val="both"/>
              <w:rPr>
                <w:rFonts w:eastAsia="Times New Roman"/>
                <w:sz w:val="20"/>
              </w:rPr>
            </w:pPr>
            <w:r w:rsidRPr="00FC4FEB">
              <w:rPr>
                <w:rFonts w:eastAsia="Times New Roman"/>
                <w:sz w:val="20"/>
              </w:rPr>
              <w:t xml:space="preserve">Implementation of </w:t>
            </w:r>
            <w:proofErr w:type="spellStart"/>
            <w:r w:rsidR="00505176" w:rsidRPr="00FC4FEB">
              <w:rPr>
                <w:rFonts w:eastAsia="Times New Roman"/>
                <w:sz w:val="20"/>
              </w:rPr>
              <w:t>PhilHealth’s</w:t>
            </w:r>
            <w:proofErr w:type="spellEnd"/>
            <w:r w:rsidR="00505176" w:rsidRPr="00FC4FEB">
              <w:rPr>
                <w:rFonts w:eastAsia="Times New Roman"/>
                <w:sz w:val="20"/>
              </w:rPr>
              <w:t xml:space="preserve"> Partial Subsidy Scheme is an </w:t>
            </w:r>
            <w:proofErr w:type="spellStart"/>
            <w:r w:rsidR="00505176" w:rsidRPr="00FC4FEB">
              <w:rPr>
                <w:rFonts w:eastAsia="Times New Roman"/>
                <w:sz w:val="20"/>
              </w:rPr>
              <w:t>enrollment</w:t>
            </w:r>
            <w:proofErr w:type="spellEnd"/>
            <w:r w:rsidR="00505176" w:rsidRPr="00FC4FEB">
              <w:rPr>
                <w:rFonts w:eastAsia="Times New Roman"/>
                <w:sz w:val="20"/>
              </w:rPr>
              <w:t xml:space="preserve"> mechanism in partnership with various Local Government Units (LGUs) nationwide for coverage of WMEs and other poor and/or low-income informal sectors under the Sponsored Program component of the National Health Insurance Program (NHIP).  As of March 2017, a total of 180,949 members have been covered under the program. Around 57% of the said </w:t>
            </w:r>
            <w:r w:rsidR="00505176" w:rsidRPr="00A057C8">
              <w:rPr>
                <w:rFonts w:eastAsia="Times New Roman"/>
                <w:sz w:val="20"/>
              </w:rPr>
              <w:t>members are female, and 43% are male;</w:t>
            </w:r>
          </w:p>
          <w:p w14:paraId="3A3A4394" w14:textId="354C47C4" w:rsidR="00505176" w:rsidRPr="00A057C8" w:rsidRDefault="00505176" w:rsidP="00CD4015">
            <w:pPr>
              <w:spacing w:line="229" w:lineRule="exact"/>
              <w:contextualSpacing/>
              <w:jc w:val="both"/>
              <w:rPr>
                <w:rFonts w:eastAsia="Times New Roman"/>
                <w:sz w:val="20"/>
              </w:rPr>
            </w:pPr>
          </w:p>
          <w:p w14:paraId="4A69EBEA" w14:textId="16539F51" w:rsidR="00853774" w:rsidRPr="00A057C8" w:rsidRDefault="00853774" w:rsidP="00CD4015">
            <w:pPr>
              <w:spacing w:line="229" w:lineRule="exact"/>
              <w:contextualSpacing/>
              <w:jc w:val="both"/>
              <w:rPr>
                <w:rFonts w:eastAsia="Times New Roman"/>
                <w:sz w:val="20"/>
              </w:rPr>
            </w:pPr>
            <w:r w:rsidRPr="00A057C8">
              <w:rPr>
                <w:rFonts w:eastAsia="Times New Roman"/>
                <w:sz w:val="20"/>
              </w:rPr>
              <w:t xml:space="preserve">Pilot Implementation of the Healthy Women Healthy Economies (HWHE) Policy Toolkit is through a scorecard. The Scorecard is the mechanism for the Philippines to implement the HWHE Policy Toolkit. The Scorecard, was designed to take the various components of HWHE, and enable entities to evaluate their own level of compliance with set targets for women’s participation and workplace health and safety. The pilot test in 2016 involved 12 industries comprised of mixed large, medium and small companies </w:t>
            </w:r>
            <w:proofErr w:type="gramStart"/>
            <w:r w:rsidRPr="00A057C8">
              <w:rPr>
                <w:rFonts w:eastAsia="Times New Roman"/>
                <w:sz w:val="20"/>
              </w:rPr>
              <w:t>in  Region</w:t>
            </w:r>
            <w:proofErr w:type="gramEnd"/>
            <w:r w:rsidRPr="00A057C8">
              <w:rPr>
                <w:rFonts w:eastAsia="Times New Roman"/>
                <w:sz w:val="20"/>
              </w:rPr>
              <w:t xml:space="preserve"> 3.</w:t>
            </w:r>
          </w:p>
          <w:p w14:paraId="0EB1A7B8" w14:textId="77777777" w:rsidR="00853774" w:rsidRPr="00A057C8" w:rsidRDefault="00853774" w:rsidP="00CD4015">
            <w:pPr>
              <w:spacing w:line="229" w:lineRule="exact"/>
              <w:contextualSpacing/>
              <w:jc w:val="both"/>
              <w:rPr>
                <w:rFonts w:eastAsia="Times New Roman"/>
                <w:sz w:val="20"/>
              </w:rPr>
            </w:pPr>
          </w:p>
          <w:p w14:paraId="683F4ABF" w14:textId="77777777" w:rsidR="00505176" w:rsidRPr="00FC4FEB" w:rsidRDefault="00AF69FD" w:rsidP="00CD4015">
            <w:pPr>
              <w:spacing w:line="229" w:lineRule="exact"/>
              <w:jc w:val="both"/>
              <w:rPr>
                <w:rFonts w:eastAsia="Times New Roman"/>
                <w:sz w:val="20"/>
              </w:rPr>
            </w:pPr>
            <w:r w:rsidRPr="00A057C8">
              <w:rPr>
                <w:rFonts w:eastAsia="Times New Roman"/>
                <w:sz w:val="20"/>
              </w:rPr>
              <w:t>Implementation of t</w:t>
            </w:r>
            <w:r w:rsidR="00505176" w:rsidRPr="00A057C8">
              <w:rPr>
                <w:rFonts w:eastAsia="Times New Roman"/>
                <w:sz w:val="20"/>
              </w:rPr>
              <w:t xml:space="preserve">he Harmonized </w:t>
            </w:r>
            <w:r w:rsidR="00505176" w:rsidRPr="00FC4FEB">
              <w:rPr>
                <w:rFonts w:eastAsia="Times New Roman"/>
                <w:sz w:val="20"/>
              </w:rPr>
              <w:t xml:space="preserve">Project on Gender Responsive Enterprise Development </w:t>
            </w:r>
            <w:r w:rsidRPr="00FC4FEB">
              <w:rPr>
                <w:rFonts w:eastAsia="Times New Roman"/>
                <w:sz w:val="20"/>
              </w:rPr>
              <w:t xml:space="preserve">which </w:t>
            </w:r>
            <w:r w:rsidR="00505176" w:rsidRPr="00FC4FEB">
              <w:rPr>
                <w:rFonts w:eastAsia="Times New Roman"/>
                <w:sz w:val="20"/>
              </w:rPr>
              <w:t xml:space="preserve">aims to enhance and effectively implement gender responsive activities on enterprise development. Eight (8) pilot areas have been identified wherein Gender Responsive Value Chain Approach (GRVCA) was used. GRVCA secures participation and meaningful outcomes for women in the value chain and avoids unintended negative </w:t>
            </w:r>
            <w:r w:rsidR="00505176" w:rsidRPr="00FC4FEB">
              <w:rPr>
                <w:rFonts w:eastAsia="Times New Roman"/>
                <w:sz w:val="20"/>
              </w:rPr>
              <w:lastRenderedPageBreak/>
              <w:t xml:space="preserve">consequences as differentiated from a generic value </w:t>
            </w:r>
            <w:proofErr w:type="spellStart"/>
            <w:proofErr w:type="gramStart"/>
            <w:r w:rsidR="00505176" w:rsidRPr="00FC4FEB">
              <w:rPr>
                <w:rFonts w:eastAsia="Times New Roman"/>
                <w:sz w:val="20"/>
              </w:rPr>
              <w:t>chain.For</w:t>
            </w:r>
            <w:proofErr w:type="spellEnd"/>
            <w:proofErr w:type="gramEnd"/>
            <w:r w:rsidR="00505176" w:rsidRPr="00FC4FEB">
              <w:rPr>
                <w:rFonts w:eastAsia="Times New Roman"/>
                <w:sz w:val="20"/>
              </w:rPr>
              <w:t xml:space="preserve"> 2016, the list of women targeted is around 1,900.  Each year, additional women entrepreneurs will be enrolled for assistance to help reach the project target of 12,000 women micro/small entrepreneurs by 2020. </w:t>
            </w:r>
          </w:p>
          <w:p w14:paraId="5F237440" w14:textId="77777777" w:rsidR="00505176" w:rsidRPr="00FC4FEB" w:rsidRDefault="0037726A" w:rsidP="00CD4015">
            <w:pPr>
              <w:pStyle w:val="ListParagraph"/>
              <w:spacing w:line="229" w:lineRule="exact"/>
              <w:jc w:val="both"/>
              <w:rPr>
                <w:rFonts w:ascii="Times New Roman" w:eastAsia="Times New Roman" w:hAnsi="Times New Roman"/>
                <w:sz w:val="20"/>
                <w:szCs w:val="20"/>
              </w:rPr>
            </w:pPr>
            <w:r w:rsidRPr="00FC4FEB">
              <w:rPr>
                <w:rFonts w:ascii="Times New Roman" w:eastAsia="Times New Roman" w:hAnsi="Times New Roman"/>
                <w:sz w:val="20"/>
                <w:szCs w:val="20"/>
              </w:rPr>
              <w:t>.</w:t>
            </w:r>
          </w:p>
          <w:p w14:paraId="6E2FA68B" w14:textId="77777777" w:rsidR="00505176" w:rsidRPr="00FC4FEB" w:rsidRDefault="00765113" w:rsidP="00CD4015">
            <w:pPr>
              <w:spacing w:line="229" w:lineRule="exact"/>
              <w:contextualSpacing/>
              <w:jc w:val="both"/>
              <w:rPr>
                <w:rFonts w:eastAsia="Times New Roman"/>
                <w:sz w:val="20"/>
              </w:rPr>
            </w:pPr>
            <w:r w:rsidRPr="00FC4FEB">
              <w:rPr>
                <w:rFonts w:eastAsia="Times New Roman"/>
                <w:sz w:val="20"/>
              </w:rPr>
              <w:t xml:space="preserve">Development of </w:t>
            </w:r>
            <w:r w:rsidR="00505176" w:rsidRPr="00FC4FEB">
              <w:rPr>
                <w:rFonts w:eastAsia="Times New Roman"/>
                <w:sz w:val="20"/>
              </w:rPr>
              <w:t>the 6-year MSMED Plan in consultation with private sector and which forms part of the Phil. Development Plan</w:t>
            </w:r>
            <w:r w:rsidRPr="00FC4FEB">
              <w:rPr>
                <w:rFonts w:eastAsia="Times New Roman"/>
                <w:sz w:val="20"/>
              </w:rPr>
              <w:t>, through the RA 9501 or the Magna Carta for Micro, Small and Medium Enterprises (MSMEs).</w:t>
            </w:r>
          </w:p>
          <w:p w14:paraId="351526E5" w14:textId="77777777" w:rsidR="00810BCF" w:rsidRPr="00FC4FEB" w:rsidRDefault="00810BCF" w:rsidP="00CD4015">
            <w:pPr>
              <w:spacing w:line="229" w:lineRule="exact"/>
              <w:contextualSpacing/>
              <w:jc w:val="both"/>
              <w:rPr>
                <w:rFonts w:eastAsia="Times New Roman"/>
                <w:sz w:val="20"/>
              </w:rPr>
            </w:pPr>
          </w:p>
          <w:p w14:paraId="0781F789" w14:textId="77777777" w:rsidR="00505176" w:rsidRPr="00FC4FEB" w:rsidRDefault="00AF69FD" w:rsidP="00CD4015">
            <w:pPr>
              <w:spacing w:line="229" w:lineRule="exact"/>
              <w:contextualSpacing/>
              <w:jc w:val="both"/>
              <w:rPr>
                <w:rFonts w:eastAsia="Times New Roman"/>
                <w:sz w:val="20"/>
              </w:rPr>
            </w:pPr>
            <w:r w:rsidRPr="00FC4FEB">
              <w:rPr>
                <w:rFonts w:eastAsia="Times New Roman"/>
                <w:sz w:val="20"/>
              </w:rPr>
              <w:t xml:space="preserve">Implementation of </w:t>
            </w:r>
            <w:r w:rsidR="00505176" w:rsidRPr="00FC4FEB">
              <w:rPr>
                <w:rFonts w:eastAsia="Times New Roman"/>
                <w:sz w:val="20"/>
              </w:rPr>
              <w:t xml:space="preserve">DOLE’s Integrated Livelihood Program (DILP) or </w:t>
            </w:r>
            <w:proofErr w:type="spellStart"/>
            <w:r w:rsidR="00505176" w:rsidRPr="00FC4FEB">
              <w:rPr>
                <w:rFonts w:eastAsia="Times New Roman"/>
                <w:i/>
                <w:sz w:val="20"/>
              </w:rPr>
              <w:t>Kabuhayan</w:t>
            </w:r>
            <w:proofErr w:type="spellEnd"/>
            <w:r w:rsidR="00505176" w:rsidRPr="00FC4FEB">
              <w:rPr>
                <w:rFonts w:eastAsia="Times New Roman"/>
                <w:i/>
                <w:sz w:val="20"/>
              </w:rPr>
              <w:t xml:space="preserve"> Program</w:t>
            </w:r>
            <w:r w:rsidR="00505176" w:rsidRPr="00FC4FEB">
              <w:rPr>
                <w:rFonts w:eastAsia="Times New Roman"/>
                <w:sz w:val="20"/>
              </w:rPr>
              <w:t xml:space="preserve"> </w:t>
            </w:r>
            <w:r w:rsidRPr="00FC4FEB">
              <w:rPr>
                <w:rFonts w:eastAsia="Times New Roman"/>
                <w:sz w:val="20"/>
              </w:rPr>
              <w:t xml:space="preserve">which </w:t>
            </w:r>
            <w:r w:rsidR="00505176" w:rsidRPr="00FC4FEB">
              <w:rPr>
                <w:rFonts w:eastAsia="Times New Roman"/>
                <w:sz w:val="20"/>
              </w:rPr>
              <w:t xml:space="preserve">provides its priority beneficiaries, including women, with access to productive resources such as working capital in the form of raw materials, equipment, tools and jigs which could help them either start, enhance, or restore their lost livelihood undertakings. Women beneficiaries are given equal footing with men under the DOLE Livelihood Program. </w:t>
            </w:r>
          </w:p>
          <w:p w14:paraId="2001FC2B" w14:textId="77777777" w:rsidR="00505176" w:rsidRPr="00FC4FEB" w:rsidRDefault="00505176" w:rsidP="00CD4015">
            <w:pPr>
              <w:spacing w:line="229" w:lineRule="exact"/>
              <w:contextualSpacing/>
              <w:jc w:val="both"/>
              <w:rPr>
                <w:rFonts w:eastAsia="Times New Roman"/>
                <w:sz w:val="20"/>
              </w:rPr>
            </w:pPr>
          </w:p>
          <w:p w14:paraId="0733B658" w14:textId="77777777" w:rsidR="0037726A" w:rsidRPr="00FC4FEB" w:rsidRDefault="00AF69FD" w:rsidP="00810BCF">
            <w:pPr>
              <w:spacing w:line="229" w:lineRule="exact"/>
              <w:contextualSpacing/>
              <w:jc w:val="both"/>
              <w:rPr>
                <w:sz w:val="20"/>
              </w:rPr>
            </w:pPr>
            <w:r w:rsidRPr="00FC4FEB">
              <w:rPr>
                <w:sz w:val="20"/>
              </w:rPr>
              <w:t xml:space="preserve">Implementation of </w:t>
            </w:r>
            <w:r w:rsidR="00B72735" w:rsidRPr="00FC4FEB">
              <w:rPr>
                <w:sz w:val="20"/>
              </w:rPr>
              <w:t>DOLE</w:t>
            </w:r>
            <w:r w:rsidR="00505176" w:rsidRPr="00FC4FEB">
              <w:rPr>
                <w:sz w:val="20"/>
              </w:rPr>
              <w:t xml:space="preserve">’s   </w:t>
            </w:r>
            <w:proofErr w:type="spellStart"/>
            <w:r w:rsidR="00505176" w:rsidRPr="00FC4FEB">
              <w:rPr>
                <w:sz w:val="20"/>
              </w:rPr>
              <w:t>Balik</w:t>
            </w:r>
            <w:proofErr w:type="spellEnd"/>
            <w:r w:rsidR="00505176" w:rsidRPr="00FC4FEB">
              <w:rPr>
                <w:sz w:val="20"/>
              </w:rPr>
              <w:t xml:space="preserve">   Pinay!   </w:t>
            </w:r>
            <w:proofErr w:type="spellStart"/>
            <w:r w:rsidR="00505176" w:rsidRPr="00FC4FEB">
              <w:rPr>
                <w:sz w:val="20"/>
              </w:rPr>
              <w:t>Balik</w:t>
            </w:r>
            <w:proofErr w:type="spellEnd"/>
            <w:r w:rsidR="00505176" w:rsidRPr="00FC4FEB">
              <w:rPr>
                <w:sz w:val="20"/>
              </w:rPr>
              <w:t xml:space="preserve">   </w:t>
            </w:r>
            <w:proofErr w:type="spellStart"/>
            <w:r w:rsidR="00505176" w:rsidRPr="00FC4FEB">
              <w:rPr>
                <w:sz w:val="20"/>
              </w:rPr>
              <w:t>Hanapbuhay</w:t>
            </w:r>
            <w:proofErr w:type="spellEnd"/>
            <w:r w:rsidR="00505176" w:rsidRPr="00FC4FEB">
              <w:rPr>
                <w:sz w:val="20"/>
              </w:rPr>
              <w:t>!</w:t>
            </w:r>
            <w:r w:rsidR="00505176" w:rsidRPr="00FC4FEB">
              <w:rPr>
                <w:rFonts w:eastAsia="Times New Roman"/>
                <w:sz w:val="20"/>
              </w:rPr>
              <w:t xml:space="preserve"> </w:t>
            </w:r>
            <w:r w:rsidR="00505176" w:rsidRPr="00FC4FEB">
              <w:rPr>
                <w:sz w:val="20"/>
              </w:rPr>
              <w:t>(</w:t>
            </w:r>
            <w:proofErr w:type="gramStart"/>
            <w:r w:rsidR="00505176" w:rsidRPr="00FC4FEB">
              <w:rPr>
                <w:sz w:val="20"/>
              </w:rPr>
              <w:t>Returning  Filipinas</w:t>
            </w:r>
            <w:proofErr w:type="gramEnd"/>
            <w:r w:rsidR="00505176" w:rsidRPr="00FC4FEB">
              <w:rPr>
                <w:sz w:val="20"/>
              </w:rPr>
              <w:t xml:space="preserve">! Returning  Employment!) </w:t>
            </w:r>
            <w:r w:rsidRPr="00FC4FEB">
              <w:rPr>
                <w:sz w:val="20"/>
              </w:rPr>
              <w:t>which</w:t>
            </w:r>
            <w:r w:rsidR="00B72735" w:rsidRPr="00FC4FEB">
              <w:rPr>
                <w:sz w:val="20"/>
              </w:rPr>
              <w:t xml:space="preserve"> provide</w:t>
            </w:r>
            <w:r w:rsidRPr="00FC4FEB">
              <w:rPr>
                <w:sz w:val="20"/>
              </w:rPr>
              <w:t>s</w:t>
            </w:r>
            <w:r w:rsidR="00B72735" w:rsidRPr="00FC4FEB">
              <w:rPr>
                <w:sz w:val="20"/>
              </w:rPr>
              <w:t xml:space="preserve"> aid to </w:t>
            </w:r>
            <w:r w:rsidR="00505176" w:rsidRPr="00FC4FEB">
              <w:rPr>
                <w:sz w:val="20"/>
              </w:rPr>
              <w:t>returning women overseas  workers,  particularly those displaced by the hostilities and conflicts  in their  host country, are provided with livelihood starter kits based on the training that they attended.</w:t>
            </w:r>
          </w:p>
        </w:tc>
        <w:tc>
          <w:tcPr>
            <w:tcW w:w="5670" w:type="dxa"/>
          </w:tcPr>
          <w:p w14:paraId="65E714B3" w14:textId="77777777" w:rsidR="00505176" w:rsidRPr="00FC4FEB" w:rsidRDefault="0037726A" w:rsidP="00CD4015">
            <w:pPr>
              <w:jc w:val="both"/>
              <w:rPr>
                <w:sz w:val="20"/>
              </w:rPr>
            </w:pPr>
            <w:r w:rsidRPr="00FC4FEB">
              <w:rPr>
                <w:sz w:val="20"/>
              </w:rPr>
              <w:lastRenderedPageBreak/>
              <w:t xml:space="preserve">Advance the </w:t>
            </w:r>
            <w:proofErr w:type="spellStart"/>
            <w:r w:rsidRPr="00FC4FEB">
              <w:rPr>
                <w:sz w:val="20"/>
              </w:rPr>
              <w:t>Boracay</w:t>
            </w:r>
            <w:proofErr w:type="spellEnd"/>
            <w:r w:rsidRPr="00FC4FEB">
              <w:rPr>
                <w:sz w:val="20"/>
              </w:rPr>
              <w:t xml:space="preserve"> Action Agenda to “strengthen focus on MSMEs led by women” by ensuring the following:</w:t>
            </w:r>
          </w:p>
          <w:p w14:paraId="6D1202D9" w14:textId="77777777" w:rsidR="00505176" w:rsidRPr="00FC4FEB" w:rsidRDefault="0037726A" w:rsidP="00CD4015">
            <w:pPr>
              <w:pStyle w:val="ListParagraph"/>
              <w:numPr>
                <w:ilvl w:val="0"/>
                <w:numId w:val="48"/>
              </w:numPr>
              <w:jc w:val="both"/>
              <w:rPr>
                <w:rFonts w:ascii="Times New Roman" w:hAnsi="Times New Roman"/>
                <w:sz w:val="20"/>
                <w:szCs w:val="20"/>
              </w:rPr>
            </w:pPr>
            <w:r w:rsidRPr="00FC4FEB">
              <w:rPr>
                <w:rFonts w:ascii="Times New Roman" w:hAnsi="Times New Roman"/>
                <w:sz w:val="20"/>
                <w:szCs w:val="20"/>
              </w:rPr>
              <w:t>Fostering the use of gender-disaggregated data in measuring economic and social impacts of MSMEs.</w:t>
            </w:r>
          </w:p>
          <w:p w14:paraId="67042748" w14:textId="77777777" w:rsidR="00505176" w:rsidRPr="00FC4FEB" w:rsidRDefault="0037726A" w:rsidP="00CD4015">
            <w:pPr>
              <w:pStyle w:val="ListParagraph"/>
              <w:numPr>
                <w:ilvl w:val="0"/>
                <w:numId w:val="48"/>
              </w:numPr>
              <w:jc w:val="both"/>
              <w:rPr>
                <w:rFonts w:ascii="Times New Roman" w:hAnsi="Times New Roman"/>
                <w:sz w:val="20"/>
                <w:szCs w:val="20"/>
              </w:rPr>
            </w:pPr>
            <w:r w:rsidRPr="00FC4FEB">
              <w:rPr>
                <w:rFonts w:ascii="Times New Roman" w:hAnsi="Times New Roman"/>
                <w:sz w:val="20"/>
                <w:szCs w:val="20"/>
              </w:rPr>
              <w:t>Promote an understanding of the divergent constraints faced by male and female-led MSMEs.</w:t>
            </w:r>
          </w:p>
          <w:p w14:paraId="2563D717" w14:textId="77777777" w:rsidR="00505176" w:rsidRPr="00FC4FEB" w:rsidRDefault="0037726A" w:rsidP="00CD4015">
            <w:pPr>
              <w:pStyle w:val="ListParagraph"/>
              <w:numPr>
                <w:ilvl w:val="0"/>
                <w:numId w:val="48"/>
              </w:numPr>
              <w:jc w:val="both"/>
              <w:rPr>
                <w:rFonts w:ascii="Times New Roman" w:hAnsi="Times New Roman"/>
                <w:sz w:val="20"/>
                <w:szCs w:val="20"/>
              </w:rPr>
            </w:pPr>
            <w:r w:rsidRPr="00FC4FEB">
              <w:rPr>
                <w:rFonts w:ascii="Times New Roman" w:hAnsi="Times New Roman"/>
                <w:sz w:val="20"/>
                <w:szCs w:val="20"/>
              </w:rPr>
              <w:t>Encourage exchange of best practices on women-friendly interfaces with customs and other border authorities.</w:t>
            </w:r>
          </w:p>
          <w:p w14:paraId="023F5058" w14:textId="77777777" w:rsidR="00505176" w:rsidRPr="00FC4FEB" w:rsidRDefault="00505176" w:rsidP="00CD4015">
            <w:pPr>
              <w:jc w:val="both"/>
              <w:rPr>
                <w:sz w:val="20"/>
              </w:rPr>
            </w:pPr>
          </w:p>
          <w:p w14:paraId="51FA0248" w14:textId="1AFD6A80" w:rsidR="00505176" w:rsidRPr="00A057C8" w:rsidRDefault="00E93E25" w:rsidP="00CD4015">
            <w:pPr>
              <w:jc w:val="both"/>
              <w:rPr>
                <w:sz w:val="20"/>
              </w:rPr>
            </w:pPr>
            <w:r w:rsidRPr="00FC4FEB">
              <w:rPr>
                <w:sz w:val="20"/>
              </w:rPr>
              <w:t>C</w:t>
            </w:r>
            <w:r w:rsidR="0037726A" w:rsidRPr="00FC4FEB">
              <w:rPr>
                <w:sz w:val="20"/>
              </w:rPr>
              <w:t xml:space="preserve">ontinue the implementation of the </w:t>
            </w:r>
            <w:r w:rsidR="00B72735" w:rsidRPr="00FC4FEB">
              <w:rPr>
                <w:sz w:val="20"/>
              </w:rPr>
              <w:t xml:space="preserve">Healthy Women, Healthy </w:t>
            </w:r>
            <w:r w:rsidR="00B72735" w:rsidRPr="00A057C8">
              <w:rPr>
                <w:sz w:val="20"/>
              </w:rPr>
              <w:t>Economies (</w:t>
            </w:r>
            <w:r w:rsidR="0037726A" w:rsidRPr="00A057C8">
              <w:rPr>
                <w:sz w:val="20"/>
              </w:rPr>
              <w:t>HWHE</w:t>
            </w:r>
            <w:r w:rsidR="00B72735" w:rsidRPr="00A057C8">
              <w:rPr>
                <w:sz w:val="20"/>
              </w:rPr>
              <w:t>)</w:t>
            </w:r>
            <w:r w:rsidR="0037726A" w:rsidRPr="00A057C8">
              <w:rPr>
                <w:sz w:val="20"/>
              </w:rPr>
              <w:t xml:space="preserve"> </w:t>
            </w:r>
            <w:r w:rsidR="00853774" w:rsidRPr="00A057C8">
              <w:rPr>
                <w:sz w:val="20"/>
              </w:rPr>
              <w:t>P</w:t>
            </w:r>
            <w:r w:rsidR="0037726A" w:rsidRPr="00A057C8">
              <w:rPr>
                <w:sz w:val="20"/>
              </w:rPr>
              <w:t xml:space="preserve">olicy </w:t>
            </w:r>
            <w:r w:rsidR="00853774" w:rsidRPr="00A057C8">
              <w:rPr>
                <w:sz w:val="20"/>
              </w:rPr>
              <w:t>T</w:t>
            </w:r>
            <w:r w:rsidR="0037726A" w:rsidRPr="00A057C8">
              <w:rPr>
                <w:sz w:val="20"/>
              </w:rPr>
              <w:t>oolkit</w:t>
            </w:r>
            <w:r w:rsidR="00853774" w:rsidRPr="00A057C8">
              <w:rPr>
                <w:sz w:val="20"/>
              </w:rPr>
              <w:t>.</w:t>
            </w:r>
            <w:r w:rsidR="0037726A" w:rsidRPr="00A057C8">
              <w:rPr>
                <w:sz w:val="20"/>
              </w:rPr>
              <w:t xml:space="preserve"> </w:t>
            </w:r>
            <w:r w:rsidR="00853774" w:rsidRPr="00A057C8">
              <w:rPr>
                <w:sz w:val="20"/>
              </w:rPr>
              <w:t xml:space="preserve"> The Technical Working Group has also identified gaps and areas for improvement in implementation, including engagement of government agencies, private sector, assessment of the Scorecard as well as possibility of expanding the HWHE implementation to other areas.</w:t>
            </w:r>
          </w:p>
          <w:p w14:paraId="7F36547A" w14:textId="77777777" w:rsidR="00505176" w:rsidRPr="00FC4FEB" w:rsidRDefault="00505176" w:rsidP="00CD4015">
            <w:pPr>
              <w:jc w:val="both"/>
              <w:rPr>
                <w:sz w:val="20"/>
              </w:rPr>
            </w:pPr>
          </w:p>
          <w:p w14:paraId="6253D8BC" w14:textId="77777777" w:rsidR="00505176" w:rsidRPr="00A057C8" w:rsidRDefault="0037726A" w:rsidP="00CD4015">
            <w:pPr>
              <w:jc w:val="both"/>
              <w:rPr>
                <w:sz w:val="20"/>
                <w:u w:val="single"/>
              </w:rPr>
            </w:pPr>
            <w:r w:rsidRPr="00A057C8">
              <w:rPr>
                <w:sz w:val="20"/>
                <w:u w:val="single"/>
              </w:rPr>
              <w:t>APEC Women as Prime Movers of Inclusive Business</w:t>
            </w:r>
          </w:p>
          <w:p w14:paraId="45AE8D6C" w14:textId="35748B1A" w:rsidR="00505176" w:rsidRPr="00FC4FEB" w:rsidRDefault="00611404" w:rsidP="00CD4015">
            <w:pPr>
              <w:jc w:val="both"/>
              <w:rPr>
                <w:sz w:val="20"/>
              </w:rPr>
            </w:pPr>
            <w:r w:rsidRPr="00611404">
              <w:rPr>
                <w:sz w:val="20"/>
              </w:rPr>
              <w:t xml:space="preserve">Preparation of Completion Report for submission (along with supporting documents) to APEC Secretariat in </w:t>
            </w:r>
            <w:proofErr w:type="spellStart"/>
            <w:r w:rsidRPr="00611404">
              <w:rPr>
                <w:sz w:val="20"/>
              </w:rPr>
              <w:t>Singaproe</w:t>
            </w:r>
            <w:proofErr w:type="spellEnd"/>
            <w:r w:rsidRPr="00611404">
              <w:rPr>
                <w:sz w:val="20"/>
              </w:rPr>
              <w:t xml:space="preserve"> by end January 2018.</w:t>
            </w:r>
            <w:r w:rsidR="00853774">
              <w:rPr>
                <w:sz w:val="20"/>
              </w:rPr>
              <w:t xml:space="preserve"> </w:t>
            </w:r>
            <w:r w:rsidR="0037726A" w:rsidRPr="00FC4FEB">
              <w:rPr>
                <w:sz w:val="20"/>
              </w:rPr>
              <w:t>Disseminat</w:t>
            </w:r>
            <w:r w:rsidR="00EF7659" w:rsidRPr="00FC4FEB">
              <w:rPr>
                <w:sz w:val="20"/>
              </w:rPr>
              <w:t>e</w:t>
            </w:r>
            <w:r w:rsidR="0037726A" w:rsidRPr="00FC4FEB">
              <w:rPr>
                <w:sz w:val="20"/>
              </w:rPr>
              <w:t xml:space="preserve"> the e-publication on APEC Women as Prime Movers of Inclusive Business to all relevant working groups and fora.  Advocate and encourage APEC to champion the inclusion of women in the Inclusive Business models and activities.</w:t>
            </w:r>
          </w:p>
          <w:p w14:paraId="54743C01" w14:textId="77777777" w:rsidR="00505176" w:rsidRPr="00FC4FEB" w:rsidRDefault="00505176" w:rsidP="00CD4015">
            <w:pPr>
              <w:jc w:val="both"/>
              <w:rPr>
                <w:sz w:val="20"/>
              </w:rPr>
            </w:pPr>
          </w:p>
          <w:p w14:paraId="0A2ECF0E" w14:textId="77777777" w:rsidR="00505176" w:rsidRPr="00FC4FEB" w:rsidRDefault="0037726A" w:rsidP="00CD4015">
            <w:pPr>
              <w:jc w:val="both"/>
              <w:rPr>
                <w:sz w:val="20"/>
              </w:rPr>
            </w:pPr>
            <w:r w:rsidRPr="00FC4FEB">
              <w:rPr>
                <w:sz w:val="20"/>
              </w:rPr>
              <w:t xml:space="preserve">Under the </w:t>
            </w:r>
            <w:proofErr w:type="spellStart"/>
            <w:r w:rsidRPr="00FC4FEB">
              <w:rPr>
                <w:sz w:val="20"/>
              </w:rPr>
              <w:t>Balik</w:t>
            </w:r>
            <w:proofErr w:type="spellEnd"/>
            <w:r w:rsidRPr="00FC4FEB">
              <w:rPr>
                <w:sz w:val="20"/>
              </w:rPr>
              <w:t xml:space="preserve"> Pinay! </w:t>
            </w:r>
            <w:proofErr w:type="spellStart"/>
            <w:r w:rsidRPr="00FC4FEB">
              <w:rPr>
                <w:sz w:val="20"/>
              </w:rPr>
              <w:t>Balik-Hanapbuhay</w:t>
            </w:r>
            <w:proofErr w:type="spellEnd"/>
            <w:r w:rsidRPr="00FC4FEB">
              <w:rPr>
                <w:sz w:val="20"/>
              </w:rPr>
              <w:t>! (BPBH) Project, among the next steps are:</w:t>
            </w:r>
          </w:p>
          <w:p w14:paraId="40C9F3A6" w14:textId="77777777" w:rsidR="00505176" w:rsidRPr="00FC4FEB" w:rsidRDefault="00505176" w:rsidP="00CD4015">
            <w:pPr>
              <w:jc w:val="both"/>
              <w:rPr>
                <w:sz w:val="20"/>
              </w:rPr>
            </w:pPr>
            <w:r w:rsidRPr="00FC4FEB">
              <w:rPr>
                <w:sz w:val="20"/>
              </w:rPr>
              <w:t>Increase in the per capital value of grant from Php10,000 to Php20,000 to cover the longer trainings and to provide the equipment necessary to start up the enterprise</w:t>
            </w:r>
          </w:p>
          <w:p w14:paraId="1E94FD8D" w14:textId="77777777" w:rsidR="00505176" w:rsidRPr="00FC4FEB" w:rsidRDefault="00505176" w:rsidP="00CD4015">
            <w:pPr>
              <w:jc w:val="both"/>
              <w:rPr>
                <w:sz w:val="20"/>
              </w:rPr>
            </w:pPr>
          </w:p>
          <w:p w14:paraId="54CFC052" w14:textId="77777777" w:rsidR="00505176" w:rsidRPr="00FC4FEB" w:rsidRDefault="00505176" w:rsidP="00CD4015">
            <w:pPr>
              <w:jc w:val="both"/>
              <w:rPr>
                <w:sz w:val="20"/>
              </w:rPr>
            </w:pPr>
            <w:r w:rsidRPr="00FC4FEB">
              <w:rPr>
                <w:sz w:val="20"/>
              </w:rPr>
              <w:t>Develop standardized entrepreneurship module (currently being undertaken in the Women REACH Project with Coca Cola Philippine</w:t>
            </w:r>
            <w:r w:rsidR="008B3385" w:rsidRPr="00FC4FEB">
              <w:rPr>
                <w:sz w:val="20"/>
              </w:rPr>
              <w:t>s</w:t>
            </w:r>
            <w:r w:rsidRPr="00FC4FEB">
              <w:rPr>
                <w:sz w:val="20"/>
              </w:rPr>
              <w:t>)</w:t>
            </w:r>
          </w:p>
          <w:p w14:paraId="4111E92C" w14:textId="77777777" w:rsidR="00505176" w:rsidRPr="00FC4FEB" w:rsidRDefault="00505176" w:rsidP="00CD4015">
            <w:pPr>
              <w:jc w:val="both"/>
              <w:rPr>
                <w:sz w:val="20"/>
              </w:rPr>
            </w:pPr>
          </w:p>
          <w:p w14:paraId="672B1F97" w14:textId="77777777" w:rsidR="00505176" w:rsidRPr="00FC4FEB" w:rsidRDefault="00505176" w:rsidP="00CD4015">
            <w:pPr>
              <w:jc w:val="both"/>
              <w:rPr>
                <w:sz w:val="20"/>
              </w:rPr>
            </w:pPr>
            <w:r w:rsidRPr="00FC4FEB">
              <w:rPr>
                <w:sz w:val="20"/>
              </w:rPr>
              <w:lastRenderedPageBreak/>
              <w:t>Strengthen convergence with other partners and government agencies</w:t>
            </w:r>
          </w:p>
        </w:tc>
      </w:tr>
      <w:tr w:rsidR="00FC4FEB" w:rsidRPr="00FC4FEB" w14:paraId="08472555" w14:textId="77777777" w:rsidTr="008F223D">
        <w:tc>
          <w:tcPr>
            <w:tcW w:w="3524" w:type="dxa"/>
          </w:tcPr>
          <w:p w14:paraId="331EA4C0" w14:textId="77777777" w:rsidR="00505176" w:rsidRPr="00FC4FEB" w:rsidRDefault="0037726A" w:rsidP="00CD4015">
            <w:pPr>
              <w:pStyle w:val="Heading9"/>
              <w:jc w:val="both"/>
              <w:rPr>
                <w:rFonts w:ascii="Times New Roman" w:hAnsi="Times New Roman"/>
                <w:b w:val="0"/>
              </w:rPr>
            </w:pPr>
            <w:r w:rsidRPr="00FC4FEB">
              <w:rPr>
                <w:rFonts w:ascii="Times New Roman" w:hAnsi="Times New Roman"/>
                <w:b w:val="0"/>
              </w:rPr>
              <w:lastRenderedPageBreak/>
              <w:t xml:space="preserve">Website for further information:  </w:t>
            </w:r>
          </w:p>
        </w:tc>
        <w:tc>
          <w:tcPr>
            <w:tcW w:w="5387" w:type="dxa"/>
          </w:tcPr>
          <w:p w14:paraId="39A32D98" w14:textId="77777777" w:rsidR="0037726A" w:rsidRPr="00FC4FEB" w:rsidRDefault="0037726A" w:rsidP="00810BCF">
            <w:pPr>
              <w:ind w:right="175"/>
              <w:jc w:val="both"/>
              <w:rPr>
                <w:sz w:val="20"/>
              </w:rPr>
            </w:pPr>
            <w:r w:rsidRPr="00FC4FEB">
              <w:rPr>
                <w:sz w:val="20"/>
              </w:rPr>
              <w:t>http</w:t>
            </w:r>
            <w:r w:rsidR="00810BCF" w:rsidRPr="00FC4FEB">
              <w:rPr>
                <w:sz w:val="20"/>
              </w:rPr>
              <w:t>://www.dti.gov.ph/international-</w:t>
            </w:r>
            <w:r w:rsidRPr="00FC4FEB">
              <w:rPr>
                <w:sz w:val="20"/>
              </w:rPr>
              <w:t>commitments/asean/women-related-events</w:t>
            </w:r>
          </w:p>
          <w:p w14:paraId="441903E0" w14:textId="77777777" w:rsidR="00505176" w:rsidRPr="00FC4FEB" w:rsidRDefault="0037726A" w:rsidP="00CD4015">
            <w:pPr>
              <w:spacing w:line="0" w:lineRule="atLeast"/>
              <w:ind w:right="175"/>
              <w:jc w:val="both"/>
              <w:rPr>
                <w:sz w:val="20"/>
              </w:rPr>
            </w:pPr>
            <w:r w:rsidRPr="00FC4FEB">
              <w:rPr>
                <w:sz w:val="20"/>
              </w:rPr>
              <w:t>http://pcw.gov.ph/international-commitments</w:t>
            </w:r>
          </w:p>
        </w:tc>
        <w:tc>
          <w:tcPr>
            <w:tcW w:w="5670" w:type="dxa"/>
          </w:tcPr>
          <w:p w14:paraId="0EB6722F" w14:textId="77777777" w:rsidR="00505176" w:rsidRPr="00FC4FEB" w:rsidRDefault="00505176" w:rsidP="00CD4015">
            <w:pPr>
              <w:pStyle w:val="Heading9"/>
              <w:jc w:val="both"/>
              <w:rPr>
                <w:rFonts w:ascii="Times New Roman" w:hAnsi="Times New Roman"/>
                <w:b w:val="0"/>
              </w:rPr>
            </w:pPr>
          </w:p>
        </w:tc>
      </w:tr>
      <w:tr w:rsidR="00FC4FEB" w:rsidRPr="00FC4FEB" w14:paraId="5D7811D1" w14:textId="77777777" w:rsidTr="008F223D">
        <w:tc>
          <w:tcPr>
            <w:tcW w:w="3524" w:type="dxa"/>
          </w:tcPr>
          <w:p w14:paraId="2C6FE075" w14:textId="77777777" w:rsidR="00505176" w:rsidRPr="00FC4FEB" w:rsidRDefault="0037726A" w:rsidP="00CD4015">
            <w:pPr>
              <w:pStyle w:val="Heading9"/>
              <w:jc w:val="both"/>
              <w:rPr>
                <w:rFonts w:ascii="Times New Roman" w:hAnsi="Times New Roman"/>
                <w:b w:val="0"/>
              </w:rPr>
            </w:pPr>
            <w:r w:rsidRPr="00FC4FEB">
              <w:rPr>
                <w:rFonts w:ascii="Times New Roman" w:hAnsi="Times New Roman"/>
                <w:b w:val="0"/>
              </w:rPr>
              <w:t>Contact point for further details:</w:t>
            </w:r>
          </w:p>
        </w:tc>
        <w:tc>
          <w:tcPr>
            <w:tcW w:w="5387" w:type="dxa"/>
          </w:tcPr>
          <w:p w14:paraId="5B02B348" w14:textId="77777777" w:rsidR="00611404" w:rsidRPr="00FC4FEB" w:rsidRDefault="00611404" w:rsidP="00611404">
            <w:pPr>
              <w:spacing w:line="0" w:lineRule="atLeast"/>
              <w:ind w:right="175"/>
              <w:jc w:val="both"/>
              <w:rPr>
                <w:sz w:val="20"/>
              </w:rPr>
            </w:pPr>
            <w:r w:rsidRPr="00FC4FEB">
              <w:rPr>
                <w:sz w:val="20"/>
              </w:rPr>
              <w:t>The Executive Director</w:t>
            </w:r>
          </w:p>
          <w:p w14:paraId="11A4B5A3" w14:textId="77777777" w:rsidR="00611404" w:rsidRPr="00FC4FEB" w:rsidRDefault="00611404" w:rsidP="00611404">
            <w:pPr>
              <w:spacing w:line="0" w:lineRule="atLeast"/>
              <w:ind w:right="175"/>
              <w:jc w:val="both"/>
              <w:rPr>
                <w:sz w:val="20"/>
              </w:rPr>
            </w:pPr>
            <w:r w:rsidRPr="00FC4FEB">
              <w:rPr>
                <w:sz w:val="20"/>
              </w:rPr>
              <w:t>Philippine Commission on Women</w:t>
            </w:r>
          </w:p>
          <w:p w14:paraId="76D8F7F1" w14:textId="77777777" w:rsidR="00611404" w:rsidRPr="00FC4FEB" w:rsidRDefault="00611404" w:rsidP="00611404">
            <w:pPr>
              <w:spacing w:line="0" w:lineRule="atLeast"/>
              <w:ind w:right="175"/>
              <w:jc w:val="both"/>
              <w:rPr>
                <w:sz w:val="20"/>
              </w:rPr>
            </w:pPr>
            <w:r w:rsidRPr="00FC4FEB">
              <w:rPr>
                <w:sz w:val="20"/>
              </w:rPr>
              <w:t>1145 J.P. Laurel St., San Miguel, Manila</w:t>
            </w:r>
          </w:p>
          <w:p w14:paraId="7CACCE8F" w14:textId="77777777" w:rsidR="00611404" w:rsidRPr="00FC4FEB" w:rsidRDefault="00611404" w:rsidP="00611404">
            <w:pPr>
              <w:spacing w:line="0" w:lineRule="atLeast"/>
              <w:ind w:right="175"/>
              <w:jc w:val="both"/>
              <w:rPr>
                <w:sz w:val="20"/>
              </w:rPr>
            </w:pPr>
            <w:r w:rsidRPr="00FC4FEB">
              <w:rPr>
                <w:sz w:val="20"/>
              </w:rPr>
              <w:t>Tel: (+632) 735-1654 loc. 125; 735-4955</w:t>
            </w:r>
          </w:p>
          <w:p w14:paraId="0C7D4774" w14:textId="77777777" w:rsidR="00611404" w:rsidRPr="00FC4FEB" w:rsidRDefault="00611404" w:rsidP="00611404">
            <w:pPr>
              <w:spacing w:line="0" w:lineRule="atLeast"/>
              <w:ind w:right="175"/>
              <w:jc w:val="both"/>
              <w:rPr>
                <w:sz w:val="20"/>
              </w:rPr>
            </w:pPr>
            <w:r w:rsidRPr="00FC4FEB">
              <w:rPr>
                <w:sz w:val="20"/>
              </w:rPr>
              <w:t>Fax: (+632) 736-4449</w:t>
            </w:r>
          </w:p>
          <w:p w14:paraId="3D2AD83A" w14:textId="77777777" w:rsidR="00611404" w:rsidRPr="00A057C8" w:rsidRDefault="00611404" w:rsidP="00611404">
            <w:pPr>
              <w:spacing w:line="0" w:lineRule="atLeast"/>
              <w:ind w:right="175"/>
              <w:jc w:val="both"/>
              <w:rPr>
                <w:sz w:val="20"/>
              </w:rPr>
            </w:pPr>
            <w:r w:rsidRPr="00A057C8">
              <w:rPr>
                <w:sz w:val="20"/>
              </w:rPr>
              <w:t>E-mail: edo@pcw.gov.ph</w:t>
            </w:r>
            <w:r w:rsidRPr="00611404">
              <w:rPr>
                <w:sz w:val="20"/>
              </w:rPr>
              <w:t>; internatonal.affairs@pcw.gov.ph</w:t>
            </w:r>
            <w:r w:rsidRPr="00A057C8">
              <w:rPr>
                <w:sz w:val="20"/>
              </w:rPr>
              <w:t xml:space="preserve"> </w:t>
            </w:r>
          </w:p>
          <w:p w14:paraId="2FB5ED8E" w14:textId="77777777" w:rsidR="00611404" w:rsidRDefault="00611404" w:rsidP="00611404">
            <w:pPr>
              <w:spacing w:line="0" w:lineRule="atLeast"/>
              <w:ind w:right="175"/>
              <w:jc w:val="both"/>
            </w:pPr>
          </w:p>
          <w:p w14:paraId="71673B2C" w14:textId="77777777" w:rsidR="00505176" w:rsidRPr="00FC4FEB" w:rsidRDefault="0037726A" w:rsidP="00611404">
            <w:pPr>
              <w:spacing w:line="0" w:lineRule="atLeast"/>
              <w:ind w:right="175"/>
              <w:jc w:val="both"/>
              <w:rPr>
                <w:sz w:val="20"/>
              </w:rPr>
            </w:pPr>
            <w:r w:rsidRPr="00FC4FEB">
              <w:rPr>
                <w:sz w:val="20"/>
              </w:rPr>
              <w:t>The Director</w:t>
            </w:r>
          </w:p>
          <w:p w14:paraId="2055F7FA" w14:textId="77777777" w:rsidR="00505176" w:rsidRPr="00FC4FEB" w:rsidRDefault="0037726A" w:rsidP="00CD4015">
            <w:pPr>
              <w:spacing w:line="0" w:lineRule="atLeast"/>
              <w:ind w:right="175"/>
              <w:jc w:val="both"/>
              <w:rPr>
                <w:sz w:val="20"/>
              </w:rPr>
            </w:pPr>
            <w:r w:rsidRPr="00FC4FEB">
              <w:rPr>
                <w:sz w:val="20"/>
              </w:rPr>
              <w:t>Resource Generation and Management Service</w:t>
            </w:r>
          </w:p>
          <w:p w14:paraId="1D17085D" w14:textId="77777777" w:rsidR="00505176" w:rsidRPr="00FC4FEB" w:rsidRDefault="0037726A" w:rsidP="00CD4015">
            <w:pPr>
              <w:spacing w:line="0" w:lineRule="atLeast"/>
              <w:ind w:right="175"/>
              <w:jc w:val="both"/>
              <w:rPr>
                <w:sz w:val="20"/>
              </w:rPr>
            </w:pPr>
            <w:r w:rsidRPr="00FC4FEB">
              <w:rPr>
                <w:sz w:val="20"/>
              </w:rPr>
              <w:t>Department of Trade and Industry</w:t>
            </w:r>
          </w:p>
          <w:p w14:paraId="17A8A9C2" w14:textId="77777777" w:rsidR="00505176" w:rsidRPr="00FC4FEB" w:rsidRDefault="0037726A" w:rsidP="00CD4015">
            <w:pPr>
              <w:spacing w:line="0" w:lineRule="atLeast"/>
              <w:ind w:right="175"/>
              <w:jc w:val="both"/>
              <w:rPr>
                <w:sz w:val="20"/>
              </w:rPr>
            </w:pPr>
            <w:r w:rsidRPr="00FC4FEB">
              <w:rPr>
                <w:sz w:val="20"/>
              </w:rPr>
              <w:t xml:space="preserve">4/F RGMS, Board of Investments Building, 385 Sen. Gil </w:t>
            </w:r>
            <w:proofErr w:type="spellStart"/>
            <w:r w:rsidRPr="00FC4FEB">
              <w:rPr>
                <w:sz w:val="20"/>
              </w:rPr>
              <w:t>Puyat</w:t>
            </w:r>
            <w:proofErr w:type="spellEnd"/>
            <w:r w:rsidRPr="00FC4FEB">
              <w:rPr>
                <w:sz w:val="20"/>
              </w:rPr>
              <w:t xml:space="preserve"> Avenue, Makati City</w:t>
            </w:r>
          </w:p>
          <w:p w14:paraId="3C854660" w14:textId="77777777" w:rsidR="00505176" w:rsidRPr="00FC4FEB" w:rsidRDefault="0037726A" w:rsidP="00CD4015">
            <w:pPr>
              <w:spacing w:line="0" w:lineRule="atLeast"/>
              <w:ind w:right="175"/>
              <w:jc w:val="both"/>
              <w:rPr>
                <w:sz w:val="20"/>
              </w:rPr>
            </w:pPr>
            <w:r w:rsidRPr="00FC4FEB">
              <w:rPr>
                <w:sz w:val="20"/>
              </w:rPr>
              <w:t>Tel: (+632) 976-5711 local 5311</w:t>
            </w:r>
          </w:p>
          <w:p w14:paraId="5FE9B4FA" w14:textId="77777777" w:rsidR="00505176" w:rsidRPr="00FC4FEB" w:rsidRDefault="0037726A" w:rsidP="00CD4015">
            <w:pPr>
              <w:spacing w:line="0" w:lineRule="atLeast"/>
              <w:ind w:right="175"/>
              <w:jc w:val="both"/>
              <w:rPr>
                <w:sz w:val="20"/>
              </w:rPr>
            </w:pPr>
            <w:r w:rsidRPr="00FC4FEB">
              <w:rPr>
                <w:sz w:val="20"/>
              </w:rPr>
              <w:t>Fax: (+632) 976-5702</w:t>
            </w:r>
          </w:p>
          <w:p w14:paraId="745F9233" w14:textId="65E60A79" w:rsidR="00505176" w:rsidRPr="00A057C8" w:rsidRDefault="0037726A" w:rsidP="00A057C8">
            <w:pPr>
              <w:spacing w:line="0" w:lineRule="atLeast"/>
              <w:ind w:right="175"/>
              <w:jc w:val="both"/>
              <w:rPr>
                <w:sz w:val="20"/>
              </w:rPr>
            </w:pPr>
            <w:r w:rsidRPr="00FC4FEB">
              <w:rPr>
                <w:sz w:val="20"/>
              </w:rPr>
              <w:t xml:space="preserve">E-mail: RGMS@dti.gov.ph </w:t>
            </w:r>
            <w:r w:rsidRPr="00FC4FEB">
              <w:rPr>
                <w:sz w:val="20"/>
              </w:rPr>
              <w:tab/>
            </w:r>
            <w:r w:rsidRPr="00FC4FEB">
              <w:t xml:space="preserve"> </w:t>
            </w:r>
          </w:p>
        </w:tc>
        <w:tc>
          <w:tcPr>
            <w:tcW w:w="5670" w:type="dxa"/>
          </w:tcPr>
          <w:p w14:paraId="1178AC56" w14:textId="77777777" w:rsidR="00505176" w:rsidRPr="00FC4FEB" w:rsidRDefault="00505176" w:rsidP="00CD4015">
            <w:pPr>
              <w:pStyle w:val="Heading9"/>
              <w:jc w:val="both"/>
              <w:rPr>
                <w:rFonts w:ascii="Times New Roman" w:hAnsi="Times New Roman"/>
                <w:b w:val="0"/>
              </w:rPr>
            </w:pPr>
          </w:p>
        </w:tc>
      </w:tr>
    </w:tbl>
    <w:p w14:paraId="62507011" w14:textId="77777777" w:rsidR="00CB6A57" w:rsidRPr="00FC4FEB" w:rsidRDefault="00CB6A57" w:rsidP="000A5925">
      <w:pPr>
        <w:pStyle w:val="Title"/>
        <w:jc w:val="both"/>
        <w:rPr>
          <w:b w:val="0"/>
          <w:i/>
          <w:sz w:val="20"/>
          <w:lang w:val="en-AU"/>
        </w:rPr>
      </w:pPr>
    </w:p>
    <w:sectPr w:rsidR="00CB6A57" w:rsidRPr="00FC4FEB" w:rsidSect="00FC4FEB">
      <w:headerReference w:type="default" r:id="rId52"/>
      <w:pgSz w:w="16834" w:h="11909" w:orient="landscape" w:code="9"/>
      <w:pgMar w:top="1440" w:right="1454" w:bottom="360" w:left="1440" w:header="720" w:footer="720" w:gutter="0"/>
      <w:paperSrc w:first="12337" w:other="1233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FEAEC" w14:textId="77777777" w:rsidR="00E70020" w:rsidRDefault="00E70020">
      <w:r>
        <w:separator/>
      </w:r>
    </w:p>
  </w:endnote>
  <w:endnote w:type="continuationSeparator" w:id="0">
    <w:p w14:paraId="29D6A1AD" w14:textId="77777777" w:rsidR="00E70020" w:rsidRDefault="00E7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E8CE" w14:textId="77777777" w:rsidR="00E70020" w:rsidRDefault="00E70020">
      <w:r>
        <w:separator/>
      </w:r>
    </w:p>
  </w:footnote>
  <w:footnote w:type="continuationSeparator" w:id="0">
    <w:p w14:paraId="4757AEFA" w14:textId="77777777" w:rsidR="00E70020" w:rsidRDefault="00E70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835F" w14:textId="77777777" w:rsidR="00A057C8" w:rsidRDefault="00A057C8" w:rsidP="00FC4FEB">
    <w:pPr>
      <w:pStyle w:val="Header"/>
      <w:jc w:val="right"/>
    </w:pPr>
  </w:p>
  <w:p w14:paraId="5A659359" w14:textId="77777777" w:rsidR="00A057C8" w:rsidRDefault="00A057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A5A"/>
    <w:multiLevelType w:val="hybridMultilevel"/>
    <w:tmpl w:val="CA7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A1B"/>
    <w:multiLevelType w:val="hybridMultilevel"/>
    <w:tmpl w:val="08F03FE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4BF3"/>
    <w:multiLevelType w:val="hybridMultilevel"/>
    <w:tmpl w:val="015EAE44"/>
    <w:lvl w:ilvl="0" w:tplc="11F41B18">
      <w:start w:val="1"/>
      <w:numFmt w:val="decimal"/>
      <w:lvlText w:val="%1."/>
      <w:lvlJc w:val="left"/>
      <w:pPr>
        <w:tabs>
          <w:tab w:val="num" w:pos="1980"/>
        </w:tabs>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6DD1"/>
    <w:multiLevelType w:val="hybridMultilevel"/>
    <w:tmpl w:val="56BE21A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5D7258"/>
    <w:multiLevelType w:val="hybridMultilevel"/>
    <w:tmpl w:val="E4DEC70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D2197B"/>
    <w:multiLevelType w:val="multilevel"/>
    <w:tmpl w:val="496AC6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sz w:val="14"/>
        <w:szCs w:val="1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47B83"/>
    <w:multiLevelType w:val="hybridMultilevel"/>
    <w:tmpl w:val="068C9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25915A9"/>
    <w:multiLevelType w:val="hybridMultilevel"/>
    <w:tmpl w:val="1710286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0" w15:restartNumberingAfterBreak="0">
    <w:nsid w:val="1A2F4336"/>
    <w:multiLevelType w:val="hybridMultilevel"/>
    <w:tmpl w:val="A904B26C"/>
    <w:lvl w:ilvl="0" w:tplc="3409000F">
      <w:start w:val="1"/>
      <w:numFmt w:val="decimal"/>
      <w:lvlText w:val="%1."/>
      <w:lvlJc w:val="left"/>
      <w:pPr>
        <w:ind w:left="360" w:hanging="360"/>
      </w:pPr>
      <w:rPr>
        <w:rFonts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1B0961C7"/>
    <w:multiLevelType w:val="hybridMultilevel"/>
    <w:tmpl w:val="C026236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B8C785D"/>
    <w:multiLevelType w:val="hybridMultilevel"/>
    <w:tmpl w:val="62D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97E92"/>
    <w:multiLevelType w:val="hybridMultilevel"/>
    <w:tmpl w:val="BA3A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2302"/>
    <w:multiLevelType w:val="hybridMultilevel"/>
    <w:tmpl w:val="80AA7B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3A82DF2"/>
    <w:multiLevelType w:val="hybridMultilevel"/>
    <w:tmpl w:val="74602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D44183"/>
    <w:multiLevelType w:val="hybridMultilevel"/>
    <w:tmpl w:val="EAB4840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6BE0C58"/>
    <w:multiLevelType w:val="hybridMultilevel"/>
    <w:tmpl w:val="E206BF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B7C9B"/>
    <w:multiLevelType w:val="hybridMultilevel"/>
    <w:tmpl w:val="324CEDEE"/>
    <w:lvl w:ilvl="0" w:tplc="04090005">
      <w:start w:val="1"/>
      <w:numFmt w:val="bullet"/>
      <w:lvlText w:val=""/>
      <w:lvlJc w:val="left"/>
      <w:pPr>
        <w:ind w:left="1984" w:hanging="360"/>
      </w:pPr>
      <w:rPr>
        <w:rFonts w:ascii="Wingdings" w:hAnsi="Wingdings"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9" w15:restartNumberingAfterBreak="0">
    <w:nsid w:val="2D555044"/>
    <w:multiLevelType w:val="hybridMultilevel"/>
    <w:tmpl w:val="B50AF602"/>
    <w:lvl w:ilvl="0" w:tplc="2F3686CC">
      <w:start w:val="5"/>
      <w:numFmt w:val="bullet"/>
      <w:lvlText w:val="-"/>
      <w:lvlJc w:val="left"/>
      <w:pPr>
        <w:ind w:left="505" w:hanging="360"/>
      </w:pPr>
      <w:rPr>
        <w:rFonts w:ascii="Times New Roman" w:hAnsi="Times New Roman" w:cs="Times New Roman" w:hint="default"/>
        <w:sz w:val="16"/>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20" w15:restartNumberingAfterBreak="0">
    <w:nsid w:val="2E2E5566"/>
    <w:multiLevelType w:val="hybridMultilevel"/>
    <w:tmpl w:val="86665E48"/>
    <w:lvl w:ilvl="0" w:tplc="470CF884">
      <w:start w:val="1"/>
      <w:numFmt w:val="upperRoman"/>
      <w:lvlText w:val="%1."/>
      <w:lvlJc w:val="left"/>
      <w:pPr>
        <w:tabs>
          <w:tab w:val="num" w:pos="720"/>
        </w:tabs>
        <w:ind w:left="720" w:hanging="720"/>
      </w:pPr>
    </w:lvl>
    <w:lvl w:ilvl="1" w:tplc="83087092">
      <w:start w:val="1"/>
      <w:numFmt w:val="decimal"/>
      <w:lvlText w:val="%2."/>
      <w:lvlJc w:val="left"/>
      <w:pPr>
        <w:tabs>
          <w:tab w:val="num" w:pos="1080"/>
        </w:tabs>
        <w:ind w:left="1080" w:hanging="360"/>
      </w:pPr>
      <w:rPr>
        <w:rFonts w:ascii="Times New Roman" w:eastAsia="PMingLiU" w:hAnsi="Times New Roman" w:cs="Times New Roman"/>
      </w:rPr>
    </w:lvl>
    <w:lvl w:ilvl="2" w:tplc="11F41B1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2F9065F7"/>
    <w:multiLevelType w:val="hybridMultilevel"/>
    <w:tmpl w:val="B69E7060"/>
    <w:lvl w:ilvl="0" w:tplc="4C500B52">
      <w:start w:val="357"/>
      <w:numFmt w:val="bullet"/>
      <w:lvlText w:val="-"/>
      <w:lvlJc w:val="left"/>
      <w:pPr>
        <w:ind w:left="792" w:hanging="360"/>
      </w:pPr>
      <w:rPr>
        <w:rFonts w:ascii="Calibri" w:eastAsiaTheme="minorHAnsi" w:hAnsi="Calibri"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303B776B"/>
    <w:multiLevelType w:val="hybridMultilevel"/>
    <w:tmpl w:val="37BCB634"/>
    <w:lvl w:ilvl="0" w:tplc="80304A50">
      <w:start w:val="1"/>
      <w:numFmt w:val="decimal"/>
      <w:lvlText w:val="%1."/>
      <w:lvlJc w:val="left"/>
      <w:pPr>
        <w:ind w:left="720" w:hanging="360"/>
      </w:pPr>
      <w:rPr>
        <w:rFonts w:ascii="Times New Roman" w:eastAsia="PMingLiU"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125D7"/>
    <w:multiLevelType w:val="hybridMultilevel"/>
    <w:tmpl w:val="AB9C2C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22B579A"/>
    <w:multiLevelType w:val="hybridMultilevel"/>
    <w:tmpl w:val="85326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1C1597"/>
    <w:multiLevelType w:val="hybridMultilevel"/>
    <w:tmpl w:val="E27A0F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7B14B04"/>
    <w:multiLevelType w:val="hybridMultilevel"/>
    <w:tmpl w:val="6BC4A8D4"/>
    <w:lvl w:ilvl="0" w:tplc="04090005">
      <w:start w:val="1"/>
      <w:numFmt w:val="bullet"/>
      <w:lvlText w:val=""/>
      <w:lvlJc w:val="left"/>
      <w:pPr>
        <w:ind w:left="720" w:hanging="360"/>
      </w:pPr>
      <w:rPr>
        <w:rFonts w:ascii="Wingdings" w:hAnsi="Wingdings" w:hint="default"/>
      </w:rPr>
    </w:lvl>
    <w:lvl w:ilvl="1" w:tplc="653E962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C41B4"/>
    <w:multiLevelType w:val="hybridMultilevel"/>
    <w:tmpl w:val="859E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1F6452"/>
    <w:multiLevelType w:val="multilevel"/>
    <w:tmpl w:val="CEA2D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E9C3012"/>
    <w:multiLevelType w:val="hybridMultilevel"/>
    <w:tmpl w:val="B44C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21120"/>
    <w:multiLevelType w:val="hybridMultilevel"/>
    <w:tmpl w:val="A1B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F715D"/>
    <w:multiLevelType w:val="hybridMultilevel"/>
    <w:tmpl w:val="B6FA1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8217B1"/>
    <w:multiLevelType w:val="hybridMultilevel"/>
    <w:tmpl w:val="4F8ADE5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56C0E31"/>
    <w:multiLevelType w:val="hybridMultilevel"/>
    <w:tmpl w:val="1A8CB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6031B5C"/>
    <w:multiLevelType w:val="hybridMultilevel"/>
    <w:tmpl w:val="0A223C5E"/>
    <w:lvl w:ilvl="0" w:tplc="7FA8C86A">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305146"/>
    <w:multiLevelType w:val="hybridMultilevel"/>
    <w:tmpl w:val="6CF8E2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4F54207D"/>
    <w:multiLevelType w:val="hybridMultilevel"/>
    <w:tmpl w:val="2E0C058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4D47E32"/>
    <w:multiLevelType w:val="multilevel"/>
    <w:tmpl w:val="1C28A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6C75B19"/>
    <w:multiLevelType w:val="hybridMultilevel"/>
    <w:tmpl w:val="214CC04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5B1159D9"/>
    <w:multiLevelType w:val="hybridMultilevel"/>
    <w:tmpl w:val="82EAB3B6"/>
    <w:lvl w:ilvl="0" w:tplc="F900161C">
      <w:start w:val="1"/>
      <w:numFmt w:val="decimal"/>
      <w:lvlText w:val="%1."/>
      <w:lvlJc w:val="left"/>
      <w:pPr>
        <w:tabs>
          <w:tab w:val="num" w:pos="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E7166C7"/>
    <w:multiLevelType w:val="hybridMultilevel"/>
    <w:tmpl w:val="29B8C974"/>
    <w:lvl w:ilvl="0" w:tplc="391674AE">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3E1D4D"/>
    <w:multiLevelType w:val="hybridMultilevel"/>
    <w:tmpl w:val="046E7068"/>
    <w:lvl w:ilvl="0" w:tplc="8FE0ED2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4" w15:restartNumberingAfterBreak="0">
    <w:nsid w:val="63D478A2"/>
    <w:multiLevelType w:val="hybridMultilevel"/>
    <w:tmpl w:val="719E5E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63F56C6B"/>
    <w:multiLevelType w:val="hybridMultilevel"/>
    <w:tmpl w:val="9CA037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4776829"/>
    <w:multiLevelType w:val="hybridMultilevel"/>
    <w:tmpl w:val="8B90A4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666926A5"/>
    <w:multiLevelType w:val="hybridMultilevel"/>
    <w:tmpl w:val="4FA49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9B5023"/>
    <w:multiLevelType w:val="hybridMultilevel"/>
    <w:tmpl w:val="0F3CD19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6A2F6353"/>
    <w:multiLevelType w:val="multilevel"/>
    <w:tmpl w:val="86F4A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6A6F7AC6"/>
    <w:multiLevelType w:val="hybridMultilevel"/>
    <w:tmpl w:val="0B203B58"/>
    <w:lvl w:ilvl="0" w:tplc="0598F11A">
      <w:start w:val="1"/>
      <w:numFmt w:val="bullet"/>
      <w:lvlText w:val="-"/>
      <w:lvlJc w:val="left"/>
      <w:pPr>
        <w:ind w:left="775" w:hanging="360"/>
      </w:pPr>
      <w:rPr>
        <w:rFonts w:ascii="Times New Roman" w:eastAsia="PMingLiU"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1" w15:restartNumberingAfterBreak="0">
    <w:nsid w:val="6AFF05D7"/>
    <w:multiLevelType w:val="hybridMultilevel"/>
    <w:tmpl w:val="5D145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C10319"/>
    <w:multiLevelType w:val="hybridMultilevel"/>
    <w:tmpl w:val="1A30F634"/>
    <w:lvl w:ilvl="0" w:tplc="0EB6D2BC">
      <w:start w:val="1"/>
      <w:numFmt w:val="decimal"/>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53" w15:restartNumberingAfterBreak="0">
    <w:nsid w:val="6E0E5494"/>
    <w:multiLevelType w:val="hybridMultilevel"/>
    <w:tmpl w:val="6E60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107AAD"/>
    <w:multiLevelType w:val="hybridMultilevel"/>
    <w:tmpl w:val="B91CDE18"/>
    <w:lvl w:ilvl="0" w:tplc="7884CC9A">
      <w:start w:val="18"/>
      <w:numFmt w:val="bullet"/>
      <w:lvlText w:val="-"/>
      <w:lvlJc w:val="left"/>
      <w:pPr>
        <w:ind w:left="720" w:hanging="360"/>
      </w:pPr>
      <w:rPr>
        <w:rFonts w:ascii="Times New Roman" w:eastAsia="PMingLiU" w:hAnsi="Times New Roman"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5" w15:restartNumberingAfterBreak="0">
    <w:nsid w:val="6F8331B9"/>
    <w:multiLevelType w:val="hybridMultilevel"/>
    <w:tmpl w:val="B8FAE6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6FB37D9D"/>
    <w:multiLevelType w:val="hybridMultilevel"/>
    <w:tmpl w:val="EDF4589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7" w15:restartNumberingAfterBreak="0">
    <w:nsid w:val="71911107"/>
    <w:multiLevelType w:val="hybridMultilevel"/>
    <w:tmpl w:val="7D5499E8"/>
    <w:lvl w:ilvl="0" w:tplc="0409000F">
      <w:start w:val="1"/>
      <w:numFmt w:val="decimal"/>
      <w:lvlText w:val="%1."/>
      <w:lvlJc w:val="left"/>
      <w:pPr>
        <w:ind w:left="36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C27128"/>
    <w:multiLevelType w:val="hybridMultilevel"/>
    <w:tmpl w:val="DD2A43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722C3FD3"/>
    <w:multiLevelType w:val="hybridMultilevel"/>
    <w:tmpl w:val="46EC3F5E"/>
    <w:lvl w:ilvl="0" w:tplc="3409000B">
      <w:start w:val="1"/>
      <w:numFmt w:val="bullet"/>
      <w:lvlText w:val=""/>
      <w:lvlJc w:val="left"/>
      <w:pPr>
        <w:ind w:left="360" w:hanging="360"/>
      </w:pPr>
      <w:rPr>
        <w:rFonts w:ascii="Wingdings" w:hAnsi="Wingdings"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0" w15:restartNumberingAfterBreak="0">
    <w:nsid w:val="76F44F9D"/>
    <w:multiLevelType w:val="hybridMultilevel"/>
    <w:tmpl w:val="E2B24C14"/>
    <w:lvl w:ilvl="0" w:tplc="51E8A5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7"/>
  </w:num>
  <w:num w:numId="4">
    <w:abstractNumId w:val="9"/>
  </w:num>
  <w:num w:numId="5">
    <w:abstractNumId w:val="33"/>
  </w:num>
  <w:num w:numId="6">
    <w:abstractNumId w:val="58"/>
  </w:num>
  <w:num w:numId="7">
    <w:abstractNumId w:val="5"/>
  </w:num>
  <w:num w:numId="8">
    <w:abstractNumId w:val="43"/>
  </w:num>
  <w:num w:numId="9">
    <w:abstractNumId w:val="31"/>
  </w:num>
  <w:num w:numId="10">
    <w:abstractNumId w:val="57"/>
  </w:num>
  <w:num w:numId="11">
    <w:abstractNumId w:val="2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9"/>
  </w:num>
  <w:num w:numId="17">
    <w:abstractNumId w:val="49"/>
  </w:num>
  <w:num w:numId="18">
    <w:abstractNumId w:val="37"/>
  </w:num>
  <w:num w:numId="19">
    <w:abstractNumId w:val="28"/>
  </w:num>
  <w:num w:numId="20">
    <w:abstractNumId w:val="55"/>
  </w:num>
  <w:num w:numId="21">
    <w:abstractNumId w:val="50"/>
  </w:num>
  <w:num w:numId="22">
    <w:abstractNumId w:val="34"/>
  </w:num>
  <w:num w:numId="23">
    <w:abstractNumId w:val="20"/>
  </w:num>
  <w:num w:numId="24">
    <w:abstractNumId w:val="2"/>
  </w:num>
  <w:num w:numId="25">
    <w:abstractNumId w:val="52"/>
  </w:num>
  <w:num w:numId="26">
    <w:abstractNumId w:val="60"/>
  </w:num>
  <w:num w:numId="27">
    <w:abstractNumId w:val="53"/>
  </w:num>
  <w:num w:numId="28">
    <w:abstractNumId w:val="24"/>
  </w:num>
  <w:num w:numId="29">
    <w:abstractNumId w:val="27"/>
  </w:num>
  <w:num w:numId="30">
    <w:abstractNumId w:val="15"/>
  </w:num>
  <w:num w:numId="31">
    <w:abstractNumId w:val="12"/>
  </w:num>
  <w:num w:numId="32">
    <w:abstractNumId w:val="41"/>
  </w:num>
  <w:num w:numId="33">
    <w:abstractNumId w:val="26"/>
  </w:num>
  <w:num w:numId="34">
    <w:abstractNumId w:val="18"/>
  </w:num>
  <w:num w:numId="35">
    <w:abstractNumId w:val="17"/>
  </w:num>
  <w:num w:numId="36">
    <w:abstractNumId w:val="13"/>
  </w:num>
  <w:num w:numId="37">
    <w:abstractNumId w:val="29"/>
  </w:num>
  <w:num w:numId="38">
    <w:abstractNumId w:val="30"/>
  </w:num>
  <w:num w:numId="39">
    <w:abstractNumId w:val="6"/>
  </w:num>
  <w:num w:numId="40">
    <w:abstractNumId w:val="11"/>
  </w:num>
  <w:num w:numId="41">
    <w:abstractNumId w:val="32"/>
  </w:num>
  <w:num w:numId="42">
    <w:abstractNumId w:val="16"/>
  </w:num>
  <w:num w:numId="43">
    <w:abstractNumId w:val="59"/>
  </w:num>
  <w:num w:numId="44">
    <w:abstractNumId w:val="10"/>
  </w:num>
  <w:num w:numId="45">
    <w:abstractNumId w:val="36"/>
  </w:num>
  <w:num w:numId="46">
    <w:abstractNumId w:val="47"/>
  </w:num>
  <w:num w:numId="47">
    <w:abstractNumId w:val="44"/>
  </w:num>
  <w:num w:numId="48">
    <w:abstractNumId w:val="3"/>
  </w:num>
  <w:num w:numId="49">
    <w:abstractNumId w:val="38"/>
  </w:num>
  <w:num w:numId="50">
    <w:abstractNumId w:val="25"/>
  </w:num>
  <w:num w:numId="51">
    <w:abstractNumId w:val="46"/>
  </w:num>
  <w:num w:numId="52">
    <w:abstractNumId w:val="14"/>
  </w:num>
  <w:num w:numId="53">
    <w:abstractNumId w:val="35"/>
  </w:num>
  <w:num w:numId="54">
    <w:abstractNumId w:val="54"/>
  </w:num>
  <w:num w:numId="55">
    <w:abstractNumId w:val="48"/>
  </w:num>
  <w:num w:numId="56">
    <w:abstractNumId w:val="23"/>
  </w:num>
  <w:num w:numId="57">
    <w:abstractNumId w:val="1"/>
  </w:num>
  <w:num w:numId="58">
    <w:abstractNumId w:val="56"/>
  </w:num>
  <w:num w:numId="59">
    <w:abstractNumId w:val="8"/>
  </w:num>
  <w:num w:numId="60">
    <w:abstractNumId w:val="4"/>
  </w:num>
  <w:num w:numId="61">
    <w:abstractNumId w:val="45"/>
  </w:num>
  <w:num w:numId="62">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0FD8"/>
    <w:rsid w:val="000020DF"/>
    <w:rsid w:val="00004DCF"/>
    <w:rsid w:val="00007A58"/>
    <w:rsid w:val="0001261C"/>
    <w:rsid w:val="000148D4"/>
    <w:rsid w:val="0001497F"/>
    <w:rsid w:val="00020AEC"/>
    <w:rsid w:val="0002370B"/>
    <w:rsid w:val="00030406"/>
    <w:rsid w:val="0003181E"/>
    <w:rsid w:val="00040024"/>
    <w:rsid w:val="000402E6"/>
    <w:rsid w:val="00043D17"/>
    <w:rsid w:val="000459BB"/>
    <w:rsid w:val="000462A2"/>
    <w:rsid w:val="00046AC3"/>
    <w:rsid w:val="00052286"/>
    <w:rsid w:val="00054229"/>
    <w:rsid w:val="00056762"/>
    <w:rsid w:val="000622DF"/>
    <w:rsid w:val="00066458"/>
    <w:rsid w:val="000720D2"/>
    <w:rsid w:val="00074CBD"/>
    <w:rsid w:val="00077E7D"/>
    <w:rsid w:val="00082315"/>
    <w:rsid w:val="000844A0"/>
    <w:rsid w:val="00084523"/>
    <w:rsid w:val="00090838"/>
    <w:rsid w:val="00096151"/>
    <w:rsid w:val="000A31A1"/>
    <w:rsid w:val="000A5197"/>
    <w:rsid w:val="000A5925"/>
    <w:rsid w:val="000A59D3"/>
    <w:rsid w:val="000B0A9C"/>
    <w:rsid w:val="000B6406"/>
    <w:rsid w:val="000B64CE"/>
    <w:rsid w:val="000B7980"/>
    <w:rsid w:val="000C2465"/>
    <w:rsid w:val="000D278A"/>
    <w:rsid w:val="000D3860"/>
    <w:rsid w:val="000D5A39"/>
    <w:rsid w:val="000E23CF"/>
    <w:rsid w:val="000E382B"/>
    <w:rsid w:val="000E396F"/>
    <w:rsid w:val="000E3982"/>
    <w:rsid w:val="000E3C21"/>
    <w:rsid w:val="000E615D"/>
    <w:rsid w:val="000F01AE"/>
    <w:rsid w:val="000F251F"/>
    <w:rsid w:val="001002C5"/>
    <w:rsid w:val="00100CF7"/>
    <w:rsid w:val="00113288"/>
    <w:rsid w:val="00123CF7"/>
    <w:rsid w:val="00133CFD"/>
    <w:rsid w:val="001453D6"/>
    <w:rsid w:val="00146CBD"/>
    <w:rsid w:val="00156489"/>
    <w:rsid w:val="00161671"/>
    <w:rsid w:val="00166B66"/>
    <w:rsid w:val="00171401"/>
    <w:rsid w:val="0017628B"/>
    <w:rsid w:val="00177A14"/>
    <w:rsid w:val="00177FE5"/>
    <w:rsid w:val="001805C3"/>
    <w:rsid w:val="00180967"/>
    <w:rsid w:val="0018333D"/>
    <w:rsid w:val="0019261F"/>
    <w:rsid w:val="001959DA"/>
    <w:rsid w:val="001A1859"/>
    <w:rsid w:val="001A5B8B"/>
    <w:rsid w:val="001C599C"/>
    <w:rsid w:val="001C6D60"/>
    <w:rsid w:val="001F1442"/>
    <w:rsid w:val="001F1D74"/>
    <w:rsid w:val="001F22A2"/>
    <w:rsid w:val="001F6DE7"/>
    <w:rsid w:val="00202A54"/>
    <w:rsid w:val="0020726A"/>
    <w:rsid w:val="002225DD"/>
    <w:rsid w:val="002232DA"/>
    <w:rsid w:val="00232A06"/>
    <w:rsid w:val="002376CB"/>
    <w:rsid w:val="002400F3"/>
    <w:rsid w:val="00241376"/>
    <w:rsid w:val="00241DA0"/>
    <w:rsid w:val="00246288"/>
    <w:rsid w:val="00246AB0"/>
    <w:rsid w:val="00253038"/>
    <w:rsid w:val="00253460"/>
    <w:rsid w:val="002572E7"/>
    <w:rsid w:val="00267768"/>
    <w:rsid w:val="002812C9"/>
    <w:rsid w:val="0028176B"/>
    <w:rsid w:val="00283111"/>
    <w:rsid w:val="00283360"/>
    <w:rsid w:val="00283609"/>
    <w:rsid w:val="0028796A"/>
    <w:rsid w:val="0029044A"/>
    <w:rsid w:val="00291CF3"/>
    <w:rsid w:val="00294CC0"/>
    <w:rsid w:val="002979A5"/>
    <w:rsid w:val="002A5674"/>
    <w:rsid w:val="002B0448"/>
    <w:rsid w:val="002B23BC"/>
    <w:rsid w:val="002B264F"/>
    <w:rsid w:val="002B32DF"/>
    <w:rsid w:val="002C62BF"/>
    <w:rsid w:val="002D5DBC"/>
    <w:rsid w:val="002E1612"/>
    <w:rsid w:val="002F3339"/>
    <w:rsid w:val="002F3968"/>
    <w:rsid w:val="002F7A75"/>
    <w:rsid w:val="0030754B"/>
    <w:rsid w:val="00315A2A"/>
    <w:rsid w:val="00332A16"/>
    <w:rsid w:val="003373CF"/>
    <w:rsid w:val="0034450E"/>
    <w:rsid w:val="00346666"/>
    <w:rsid w:val="00355C0F"/>
    <w:rsid w:val="00362042"/>
    <w:rsid w:val="0037726A"/>
    <w:rsid w:val="003776E5"/>
    <w:rsid w:val="003778E1"/>
    <w:rsid w:val="00384FA9"/>
    <w:rsid w:val="0038717D"/>
    <w:rsid w:val="00393382"/>
    <w:rsid w:val="003965A8"/>
    <w:rsid w:val="003A39C9"/>
    <w:rsid w:val="003A60C0"/>
    <w:rsid w:val="003A61B0"/>
    <w:rsid w:val="003B4408"/>
    <w:rsid w:val="003B6E47"/>
    <w:rsid w:val="003C68F6"/>
    <w:rsid w:val="003C7736"/>
    <w:rsid w:val="003D04A9"/>
    <w:rsid w:val="003D0732"/>
    <w:rsid w:val="003D2AB8"/>
    <w:rsid w:val="003D3123"/>
    <w:rsid w:val="003D6CB2"/>
    <w:rsid w:val="003E03DC"/>
    <w:rsid w:val="003E396F"/>
    <w:rsid w:val="003E4806"/>
    <w:rsid w:val="003E5CF1"/>
    <w:rsid w:val="003F0B12"/>
    <w:rsid w:val="003F27A4"/>
    <w:rsid w:val="00403112"/>
    <w:rsid w:val="00403465"/>
    <w:rsid w:val="00414054"/>
    <w:rsid w:val="00420DBC"/>
    <w:rsid w:val="00432161"/>
    <w:rsid w:val="004446CF"/>
    <w:rsid w:val="00446384"/>
    <w:rsid w:val="00450131"/>
    <w:rsid w:val="004625D7"/>
    <w:rsid w:val="00464FAD"/>
    <w:rsid w:val="00465765"/>
    <w:rsid w:val="004745F3"/>
    <w:rsid w:val="00474C86"/>
    <w:rsid w:val="00483A23"/>
    <w:rsid w:val="00493D9A"/>
    <w:rsid w:val="004A2508"/>
    <w:rsid w:val="004A3F7B"/>
    <w:rsid w:val="004A5A88"/>
    <w:rsid w:val="004D6240"/>
    <w:rsid w:val="004E11F1"/>
    <w:rsid w:val="004F600F"/>
    <w:rsid w:val="0050353E"/>
    <w:rsid w:val="00505176"/>
    <w:rsid w:val="005069D8"/>
    <w:rsid w:val="00511B32"/>
    <w:rsid w:val="005362D7"/>
    <w:rsid w:val="00540894"/>
    <w:rsid w:val="00545717"/>
    <w:rsid w:val="0055011F"/>
    <w:rsid w:val="00550B6F"/>
    <w:rsid w:val="005528A7"/>
    <w:rsid w:val="00564E7B"/>
    <w:rsid w:val="005702C8"/>
    <w:rsid w:val="00570482"/>
    <w:rsid w:val="0057088C"/>
    <w:rsid w:val="00573D55"/>
    <w:rsid w:val="00575FF4"/>
    <w:rsid w:val="00582733"/>
    <w:rsid w:val="005877F5"/>
    <w:rsid w:val="005A4AE5"/>
    <w:rsid w:val="005A6A9A"/>
    <w:rsid w:val="005B4A60"/>
    <w:rsid w:val="005B6093"/>
    <w:rsid w:val="005C5ACF"/>
    <w:rsid w:val="005D4DE3"/>
    <w:rsid w:val="005E0260"/>
    <w:rsid w:val="005E711B"/>
    <w:rsid w:val="005E7C3B"/>
    <w:rsid w:val="005E7FAE"/>
    <w:rsid w:val="005F2A6B"/>
    <w:rsid w:val="005F2AC8"/>
    <w:rsid w:val="005F40E5"/>
    <w:rsid w:val="00611404"/>
    <w:rsid w:val="00612940"/>
    <w:rsid w:val="006169F5"/>
    <w:rsid w:val="00621A4C"/>
    <w:rsid w:val="00632EE2"/>
    <w:rsid w:val="00635E8A"/>
    <w:rsid w:val="00646C05"/>
    <w:rsid w:val="00652550"/>
    <w:rsid w:val="00656261"/>
    <w:rsid w:val="00660697"/>
    <w:rsid w:val="0066528E"/>
    <w:rsid w:val="00672611"/>
    <w:rsid w:val="006744F3"/>
    <w:rsid w:val="006748F9"/>
    <w:rsid w:val="00684277"/>
    <w:rsid w:val="0069594E"/>
    <w:rsid w:val="006A00DF"/>
    <w:rsid w:val="006B1C2D"/>
    <w:rsid w:val="006B2702"/>
    <w:rsid w:val="006B3EEF"/>
    <w:rsid w:val="006B5967"/>
    <w:rsid w:val="006C1CAA"/>
    <w:rsid w:val="006C2F68"/>
    <w:rsid w:val="006D2359"/>
    <w:rsid w:val="006D2C47"/>
    <w:rsid w:val="006D5949"/>
    <w:rsid w:val="006D62AD"/>
    <w:rsid w:val="006E38A7"/>
    <w:rsid w:val="006E6160"/>
    <w:rsid w:val="006F2A9F"/>
    <w:rsid w:val="006F6E4E"/>
    <w:rsid w:val="00700F30"/>
    <w:rsid w:val="007037A5"/>
    <w:rsid w:val="007122D7"/>
    <w:rsid w:val="00713B55"/>
    <w:rsid w:val="0072305D"/>
    <w:rsid w:val="0073012A"/>
    <w:rsid w:val="00734D26"/>
    <w:rsid w:val="007443D7"/>
    <w:rsid w:val="00746D7C"/>
    <w:rsid w:val="00765113"/>
    <w:rsid w:val="007675A3"/>
    <w:rsid w:val="00771622"/>
    <w:rsid w:val="0078652D"/>
    <w:rsid w:val="00790477"/>
    <w:rsid w:val="0079077A"/>
    <w:rsid w:val="00790B67"/>
    <w:rsid w:val="007B4577"/>
    <w:rsid w:val="007B6A1B"/>
    <w:rsid w:val="007C21F7"/>
    <w:rsid w:val="007C5A14"/>
    <w:rsid w:val="007C71CF"/>
    <w:rsid w:val="007D2E6C"/>
    <w:rsid w:val="007E18A1"/>
    <w:rsid w:val="007E2A11"/>
    <w:rsid w:val="007E515E"/>
    <w:rsid w:val="008024A3"/>
    <w:rsid w:val="0080349D"/>
    <w:rsid w:val="00804AD1"/>
    <w:rsid w:val="00805407"/>
    <w:rsid w:val="00805BEA"/>
    <w:rsid w:val="008072D7"/>
    <w:rsid w:val="00807563"/>
    <w:rsid w:val="008076AB"/>
    <w:rsid w:val="00810B67"/>
    <w:rsid w:val="00810BCF"/>
    <w:rsid w:val="0081130F"/>
    <w:rsid w:val="008116B7"/>
    <w:rsid w:val="008144F7"/>
    <w:rsid w:val="008147F8"/>
    <w:rsid w:val="00814F5A"/>
    <w:rsid w:val="008243C0"/>
    <w:rsid w:val="008340AB"/>
    <w:rsid w:val="00845EB9"/>
    <w:rsid w:val="00851919"/>
    <w:rsid w:val="008521BF"/>
    <w:rsid w:val="00853774"/>
    <w:rsid w:val="008550B7"/>
    <w:rsid w:val="00865552"/>
    <w:rsid w:val="00866B89"/>
    <w:rsid w:val="00871221"/>
    <w:rsid w:val="00872650"/>
    <w:rsid w:val="00876AAA"/>
    <w:rsid w:val="00881BD4"/>
    <w:rsid w:val="00882469"/>
    <w:rsid w:val="008853CF"/>
    <w:rsid w:val="00887FD4"/>
    <w:rsid w:val="008A1102"/>
    <w:rsid w:val="008A67EC"/>
    <w:rsid w:val="008A734E"/>
    <w:rsid w:val="008B18D7"/>
    <w:rsid w:val="008B3385"/>
    <w:rsid w:val="008B47F6"/>
    <w:rsid w:val="008C134E"/>
    <w:rsid w:val="008C767A"/>
    <w:rsid w:val="008E0D59"/>
    <w:rsid w:val="008E1F62"/>
    <w:rsid w:val="008E4FBD"/>
    <w:rsid w:val="008F223D"/>
    <w:rsid w:val="0090632F"/>
    <w:rsid w:val="00914C2A"/>
    <w:rsid w:val="00930965"/>
    <w:rsid w:val="00932776"/>
    <w:rsid w:val="0093477A"/>
    <w:rsid w:val="00934AC0"/>
    <w:rsid w:val="00944970"/>
    <w:rsid w:val="00945A03"/>
    <w:rsid w:val="00950932"/>
    <w:rsid w:val="009510B2"/>
    <w:rsid w:val="00956A07"/>
    <w:rsid w:val="009625A5"/>
    <w:rsid w:val="00971E7A"/>
    <w:rsid w:val="00981606"/>
    <w:rsid w:val="00981B46"/>
    <w:rsid w:val="00982CA1"/>
    <w:rsid w:val="009876B6"/>
    <w:rsid w:val="00993030"/>
    <w:rsid w:val="0099359C"/>
    <w:rsid w:val="00996A66"/>
    <w:rsid w:val="009C193D"/>
    <w:rsid w:val="009C4900"/>
    <w:rsid w:val="009C6459"/>
    <w:rsid w:val="009D6F28"/>
    <w:rsid w:val="009E1689"/>
    <w:rsid w:val="009E28DA"/>
    <w:rsid w:val="009E31DD"/>
    <w:rsid w:val="009E7439"/>
    <w:rsid w:val="009F4B29"/>
    <w:rsid w:val="00A057C8"/>
    <w:rsid w:val="00A11988"/>
    <w:rsid w:val="00A11A25"/>
    <w:rsid w:val="00A171F2"/>
    <w:rsid w:val="00A225D5"/>
    <w:rsid w:val="00A250EF"/>
    <w:rsid w:val="00A26322"/>
    <w:rsid w:val="00A26389"/>
    <w:rsid w:val="00A26F4E"/>
    <w:rsid w:val="00A308CE"/>
    <w:rsid w:val="00A34AD9"/>
    <w:rsid w:val="00A35AAF"/>
    <w:rsid w:val="00A368DB"/>
    <w:rsid w:val="00A435AB"/>
    <w:rsid w:val="00A461D0"/>
    <w:rsid w:val="00A52F0A"/>
    <w:rsid w:val="00A57358"/>
    <w:rsid w:val="00A63671"/>
    <w:rsid w:val="00A705FA"/>
    <w:rsid w:val="00A718A4"/>
    <w:rsid w:val="00A753DC"/>
    <w:rsid w:val="00A758C1"/>
    <w:rsid w:val="00A91598"/>
    <w:rsid w:val="00A94F6A"/>
    <w:rsid w:val="00AC0D23"/>
    <w:rsid w:val="00AC30F7"/>
    <w:rsid w:val="00AC4F3B"/>
    <w:rsid w:val="00AC62A1"/>
    <w:rsid w:val="00AD2268"/>
    <w:rsid w:val="00AF4012"/>
    <w:rsid w:val="00AF69FD"/>
    <w:rsid w:val="00B146C8"/>
    <w:rsid w:val="00B37FC7"/>
    <w:rsid w:val="00B4552B"/>
    <w:rsid w:val="00B46957"/>
    <w:rsid w:val="00B57B9F"/>
    <w:rsid w:val="00B62385"/>
    <w:rsid w:val="00B67B37"/>
    <w:rsid w:val="00B72735"/>
    <w:rsid w:val="00B72C44"/>
    <w:rsid w:val="00B72FF6"/>
    <w:rsid w:val="00B74446"/>
    <w:rsid w:val="00B930DD"/>
    <w:rsid w:val="00BA10CC"/>
    <w:rsid w:val="00BB17DC"/>
    <w:rsid w:val="00BB230B"/>
    <w:rsid w:val="00BD0C28"/>
    <w:rsid w:val="00BE6DDD"/>
    <w:rsid w:val="00BF2879"/>
    <w:rsid w:val="00BF78F7"/>
    <w:rsid w:val="00C02EF2"/>
    <w:rsid w:val="00C031FE"/>
    <w:rsid w:val="00C03AC5"/>
    <w:rsid w:val="00C04368"/>
    <w:rsid w:val="00C17E69"/>
    <w:rsid w:val="00C20616"/>
    <w:rsid w:val="00C21AE7"/>
    <w:rsid w:val="00C22D21"/>
    <w:rsid w:val="00C2631D"/>
    <w:rsid w:val="00C30236"/>
    <w:rsid w:val="00C317DF"/>
    <w:rsid w:val="00C3286F"/>
    <w:rsid w:val="00C32DB7"/>
    <w:rsid w:val="00C4104A"/>
    <w:rsid w:val="00C45016"/>
    <w:rsid w:val="00C4605F"/>
    <w:rsid w:val="00C462FB"/>
    <w:rsid w:val="00C52482"/>
    <w:rsid w:val="00C56118"/>
    <w:rsid w:val="00C56E8E"/>
    <w:rsid w:val="00C64FEE"/>
    <w:rsid w:val="00C6530E"/>
    <w:rsid w:val="00C65AD1"/>
    <w:rsid w:val="00C663A3"/>
    <w:rsid w:val="00C70D55"/>
    <w:rsid w:val="00C70E9E"/>
    <w:rsid w:val="00C71601"/>
    <w:rsid w:val="00C8501B"/>
    <w:rsid w:val="00C94831"/>
    <w:rsid w:val="00CA09ED"/>
    <w:rsid w:val="00CB0EC3"/>
    <w:rsid w:val="00CB29C5"/>
    <w:rsid w:val="00CB5771"/>
    <w:rsid w:val="00CB5F19"/>
    <w:rsid w:val="00CB6A57"/>
    <w:rsid w:val="00CD15CF"/>
    <w:rsid w:val="00CD4015"/>
    <w:rsid w:val="00CD4FFE"/>
    <w:rsid w:val="00CE2920"/>
    <w:rsid w:val="00CE38E8"/>
    <w:rsid w:val="00CF73E1"/>
    <w:rsid w:val="00D013BC"/>
    <w:rsid w:val="00D01DC7"/>
    <w:rsid w:val="00D146B6"/>
    <w:rsid w:val="00D23A50"/>
    <w:rsid w:val="00D529E8"/>
    <w:rsid w:val="00D555D0"/>
    <w:rsid w:val="00D607A6"/>
    <w:rsid w:val="00D660B1"/>
    <w:rsid w:val="00D72ABC"/>
    <w:rsid w:val="00D84FB6"/>
    <w:rsid w:val="00D924AB"/>
    <w:rsid w:val="00DA0D2F"/>
    <w:rsid w:val="00DA2B5F"/>
    <w:rsid w:val="00DA5272"/>
    <w:rsid w:val="00DA5C5B"/>
    <w:rsid w:val="00DC3409"/>
    <w:rsid w:val="00DD2371"/>
    <w:rsid w:val="00DD3B23"/>
    <w:rsid w:val="00DD54DB"/>
    <w:rsid w:val="00DD7870"/>
    <w:rsid w:val="00DE6785"/>
    <w:rsid w:val="00DE6A09"/>
    <w:rsid w:val="00DF0C64"/>
    <w:rsid w:val="00DF5D68"/>
    <w:rsid w:val="00DF7EF7"/>
    <w:rsid w:val="00E005C4"/>
    <w:rsid w:val="00E06D2D"/>
    <w:rsid w:val="00E27DEB"/>
    <w:rsid w:val="00E30C67"/>
    <w:rsid w:val="00E3386B"/>
    <w:rsid w:val="00E43CFA"/>
    <w:rsid w:val="00E465C0"/>
    <w:rsid w:val="00E5602E"/>
    <w:rsid w:val="00E70020"/>
    <w:rsid w:val="00E713EB"/>
    <w:rsid w:val="00E80007"/>
    <w:rsid w:val="00E87613"/>
    <w:rsid w:val="00E92BBC"/>
    <w:rsid w:val="00E93E25"/>
    <w:rsid w:val="00EA02C7"/>
    <w:rsid w:val="00EA2EDD"/>
    <w:rsid w:val="00EA4235"/>
    <w:rsid w:val="00EA5C27"/>
    <w:rsid w:val="00EA71FB"/>
    <w:rsid w:val="00EA743E"/>
    <w:rsid w:val="00ED0700"/>
    <w:rsid w:val="00EF0A85"/>
    <w:rsid w:val="00EF25B7"/>
    <w:rsid w:val="00EF7659"/>
    <w:rsid w:val="00F0733A"/>
    <w:rsid w:val="00F07CA8"/>
    <w:rsid w:val="00F07CDB"/>
    <w:rsid w:val="00F10986"/>
    <w:rsid w:val="00F117AE"/>
    <w:rsid w:val="00F1230D"/>
    <w:rsid w:val="00F22A9E"/>
    <w:rsid w:val="00F22EE7"/>
    <w:rsid w:val="00F264A2"/>
    <w:rsid w:val="00F27A53"/>
    <w:rsid w:val="00F4378D"/>
    <w:rsid w:val="00F456E8"/>
    <w:rsid w:val="00F61896"/>
    <w:rsid w:val="00F6205C"/>
    <w:rsid w:val="00F74404"/>
    <w:rsid w:val="00F823D9"/>
    <w:rsid w:val="00F82A79"/>
    <w:rsid w:val="00F83517"/>
    <w:rsid w:val="00F97D11"/>
    <w:rsid w:val="00FB0BC0"/>
    <w:rsid w:val="00FB6C97"/>
    <w:rsid w:val="00FC2C62"/>
    <w:rsid w:val="00FC4FEB"/>
    <w:rsid w:val="00FD0432"/>
    <w:rsid w:val="00FD77B4"/>
    <w:rsid w:val="00FE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20A53"/>
  <w15:docId w15:val="{FEF4EC2A-F40A-46A9-AFCE-662907BD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C5"/>
    <w:rPr>
      <w:sz w:val="24"/>
      <w:lang w:val="en-AU"/>
    </w:rPr>
  </w:style>
  <w:style w:type="paragraph" w:styleId="Heading1">
    <w:name w:val="heading 1"/>
    <w:basedOn w:val="Normal"/>
    <w:next w:val="Normal"/>
    <w:qFormat/>
    <w:rsid w:val="001002C5"/>
    <w:pPr>
      <w:keepNext/>
      <w:jc w:val="center"/>
      <w:outlineLvl w:val="0"/>
    </w:pPr>
    <w:rPr>
      <w:rFonts w:ascii="Arial" w:hAnsi="Arial"/>
      <w:b/>
      <w:i/>
      <w:lang w:val="en-US"/>
    </w:rPr>
  </w:style>
  <w:style w:type="paragraph" w:styleId="Heading2">
    <w:name w:val="heading 2"/>
    <w:basedOn w:val="Normal"/>
    <w:next w:val="Normal"/>
    <w:qFormat/>
    <w:rsid w:val="001002C5"/>
    <w:pPr>
      <w:keepNext/>
      <w:outlineLvl w:val="1"/>
    </w:pPr>
    <w:rPr>
      <w:rFonts w:ascii="Arial" w:hAnsi="Arial"/>
      <w:b/>
      <w:i/>
      <w:lang w:val="en-US"/>
    </w:rPr>
  </w:style>
  <w:style w:type="paragraph" w:styleId="Heading3">
    <w:name w:val="heading 3"/>
    <w:basedOn w:val="Normal"/>
    <w:next w:val="Normal"/>
    <w:qFormat/>
    <w:rsid w:val="001002C5"/>
    <w:pPr>
      <w:keepNext/>
      <w:ind w:left="2160" w:hanging="2160"/>
      <w:jc w:val="center"/>
      <w:outlineLvl w:val="2"/>
    </w:pPr>
    <w:rPr>
      <w:b/>
      <w:i/>
      <w:lang w:val="en-US"/>
    </w:rPr>
  </w:style>
  <w:style w:type="paragraph" w:styleId="Heading4">
    <w:name w:val="heading 4"/>
    <w:basedOn w:val="Normal"/>
    <w:next w:val="Normal"/>
    <w:qFormat/>
    <w:rsid w:val="001002C5"/>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1002C5"/>
    <w:pPr>
      <w:keepNext/>
      <w:spacing w:after="120"/>
      <w:outlineLvl w:val="4"/>
    </w:pPr>
    <w:rPr>
      <w:rFonts w:ascii="Arial" w:hAnsi="Arial"/>
      <w:b/>
      <w:sz w:val="20"/>
    </w:rPr>
  </w:style>
  <w:style w:type="paragraph" w:styleId="Heading6">
    <w:name w:val="heading 6"/>
    <w:basedOn w:val="Normal"/>
    <w:next w:val="Normal"/>
    <w:qFormat/>
    <w:rsid w:val="001002C5"/>
    <w:pPr>
      <w:keepNext/>
      <w:jc w:val="center"/>
      <w:outlineLvl w:val="5"/>
    </w:pPr>
    <w:rPr>
      <w:rFonts w:ascii="Arial" w:hAnsi="Arial"/>
      <w:b/>
      <w:i/>
      <w:color w:val="FF0000"/>
      <w:lang w:val="en-US"/>
    </w:rPr>
  </w:style>
  <w:style w:type="paragraph" w:styleId="Heading7">
    <w:name w:val="heading 7"/>
    <w:basedOn w:val="Normal"/>
    <w:next w:val="Normal"/>
    <w:qFormat/>
    <w:rsid w:val="001002C5"/>
    <w:pPr>
      <w:keepNext/>
      <w:jc w:val="center"/>
      <w:outlineLvl w:val="6"/>
    </w:pPr>
    <w:rPr>
      <w:rFonts w:ascii="Arial" w:hAnsi="Arial"/>
      <w:i/>
      <w:sz w:val="28"/>
    </w:rPr>
  </w:style>
  <w:style w:type="paragraph" w:styleId="Heading8">
    <w:name w:val="heading 8"/>
    <w:basedOn w:val="Normal"/>
    <w:next w:val="Normal"/>
    <w:qFormat/>
    <w:rsid w:val="001002C5"/>
    <w:pPr>
      <w:keepNext/>
      <w:jc w:val="center"/>
      <w:outlineLvl w:val="7"/>
    </w:pPr>
    <w:rPr>
      <w:rFonts w:ascii="Arial" w:hAnsi="Arial"/>
      <w:b/>
      <w:i/>
      <w:sz w:val="20"/>
      <w:lang w:val="en-US"/>
    </w:rPr>
  </w:style>
  <w:style w:type="paragraph" w:styleId="Heading9">
    <w:name w:val="heading 9"/>
    <w:basedOn w:val="Normal"/>
    <w:next w:val="Normal"/>
    <w:link w:val="Heading9Char"/>
    <w:qFormat/>
    <w:rsid w:val="001002C5"/>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02C5"/>
    <w:pPr>
      <w:jc w:val="center"/>
    </w:pPr>
    <w:rPr>
      <w:b/>
      <w:lang w:val="en-US"/>
    </w:rPr>
  </w:style>
  <w:style w:type="paragraph" w:styleId="Header">
    <w:name w:val="header"/>
    <w:basedOn w:val="Normal"/>
    <w:link w:val="HeaderChar"/>
    <w:uiPriority w:val="99"/>
    <w:rsid w:val="001002C5"/>
    <w:pPr>
      <w:tabs>
        <w:tab w:val="center" w:pos="4153"/>
        <w:tab w:val="right" w:pos="8306"/>
      </w:tabs>
    </w:pPr>
  </w:style>
  <w:style w:type="paragraph" w:styleId="Footer">
    <w:name w:val="footer"/>
    <w:basedOn w:val="Normal"/>
    <w:semiHidden/>
    <w:rsid w:val="001002C5"/>
    <w:pPr>
      <w:tabs>
        <w:tab w:val="center" w:pos="4153"/>
        <w:tab w:val="right" w:pos="8306"/>
      </w:tabs>
    </w:pPr>
  </w:style>
  <w:style w:type="paragraph" w:styleId="BodyText">
    <w:name w:val="Body Text"/>
    <w:basedOn w:val="Normal"/>
    <w:semiHidden/>
    <w:rsid w:val="001002C5"/>
    <w:pPr>
      <w:jc w:val="both"/>
    </w:pPr>
    <w:rPr>
      <w:sz w:val="20"/>
      <w:lang w:val="en-US"/>
    </w:rPr>
  </w:style>
  <w:style w:type="paragraph" w:styleId="Subtitle">
    <w:name w:val="Subtitle"/>
    <w:basedOn w:val="Normal"/>
    <w:qFormat/>
    <w:rsid w:val="001002C5"/>
    <w:rPr>
      <w:b/>
      <w:lang w:val="en-US"/>
    </w:rPr>
  </w:style>
  <w:style w:type="paragraph" w:styleId="BodyTextIndent">
    <w:name w:val="Body Text Indent"/>
    <w:basedOn w:val="Normal"/>
    <w:semiHidden/>
    <w:rsid w:val="001002C5"/>
    <w:pPr>
      <w:tabs>
        <w:tab w:val="left" w:pos="2304"/>
      </w:tabs>
      <w:ind w:left="567"/>
      <w:jc w:val="center"/>
    </w:pPr>
    <w:rPr>
      <w:rFonts w:ascii="Arial" w:hAnsi="Arial"/>
      <w:b/>
    </w:rPr>
  </w:style>
  <w:style w:type="paragraph" w:styleId="BodyText2">
    <w:name w:val="Body Text 2"/>
    <w:basedOn w:val="Normal"/>
    <w:semiHidden/>
    <w:rsid w:val="001002C5"/>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1002C5"/>
  </w:style>
  <w:style w:type="paragraph" w:styleId="BodyText3">
    <w:name w:val="Body Text 3"/>
    <w:basedOn w:val="Normal"/>
    <w:semiHidden/>
    <w:rsid w:val="001002C5"/>
    <w:rPr>
      <w:rFonts w:ascii="Arial" w:hAnsi="Arial"/>
      <w:b/>
      <w:i/>
      <w:sz w:val="20"/>
      <w:lang w:val="en-US"/>
    </w:rPr>
  </w:style>
  <w:style w:type="character" w:styleId="Hyperlink">
    <w:name w:val="Hyperlink"/>
    <w:uiPriority w:val="99"/>
    <w:rsid w:val="001002C5"/>
    <w:rPr>
      <w:color w:val="0000FF"/>
      <w:u w:val="single"/>
    </w:rPr>
  </w:style>
  <w:style w:type="paragraph" w:styleId="NormalIndent">
    <w:name w:val="Normal Indent"/>
    <w:basedOn w:val="Normal"/>
    <w:semiHidden/>
    <w:rsid w:val="001002C5"/>
    <w:pPr>
      <w:ind w:left="851"/>
    </w:pPr>
    <w:rPr>
      <w:rFonts w:eastAsia="MS Mincho"/>
    </w:rPr>
  </w:style>
  <w:style w:type="paragraph" w:styleId="BlockText">
    <w:name w:val="Block Text"/>
    <w:basedOn w:val="Normal"/>
    <w:semiHidden/>
    <w:rsid w:val="001002C5"/>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1002C5"/>
    <w:pPr>
      <w:spacing w:before="100" w:after="100"/>
      <w:ind w:left="360" w:right="360"/>
    </w:pPr>
    <w:rPr>
      <w:rFonts w:eastAsia="MS Mincho"/>
      <w:snapToGrid w:val="0"/>
    </w:rPr>
  </w:style>
  <w:style w:type="paragraph" w:customStyle="1" w:styleId="ChartMainHeading">
    <w:name w:val="Chart Main Heading"/>
    <w:basedOn w:val="Normal"/>
    <w:next w:val="Normal"/>
    <w:rsid w:val="001002C5"/>
    <w:pPr>
      <w:jc w:val="center"/>
    </w:pPr>
    <w:rPr>
      <w:rFonts w:eastAsia="MS Mincho"/>
      <w:b/>
      <w:caps/>
    </w:rPr>
  </w:style>
  <w:style w:type="paragraph" w:styleId="FootnoteText">
    <w:name w:val="footnote text"/>
    <w:basedOn w:val="Normal"/>
    <w:link w:val="FootnoteTextChar"/>
    <w:uiPriority w:val="99"/>
    <w:semiHidden/>
    <w:rsid w:val="001002C5"/>
    <w:pPr>
      <w:spacing w:before="100"/>
      <w:ind w:left="113" w:hanging="113"/>
    </w:pPr>
    <w:rPr>
      <w:sz w:val="20"/>
    </w:rPr>
  </w:style>
  <w:style w:type="character" w:styleId="FootnoteReference">
    <w:name w:val="footnote reference"/>
    <w:uiPriority w:val="99"/>
    <w:semiHidden/>
    <w:rsid w:val="001002C5"/>
    <w:rPr>
      <w:vertAlign w:val="superscript"/>
    </w:rPr>
  </w:style>
  <w:style w:type="paragraph" w:styleId="BodyTextIndent2">
    <w:name w:val="Body Text Indent 2"/>
    <w:basedOn w:val="Normal"/>
    <w:semiHidden/>
    <w:rsid w:val="001002C5"/>
    <w:pPr>
      <w:ind w:left="720" w:hanging="720"/>
    </w:pPr>
    <w:rPr>
      <w:rFonts w:ascii="Arial" w:hAnsi="Arial" w:cs="Arial"/>
      <w:sz w:val="20"/>
    </w:rPr>
  </w:style>
  <w:style w:type="paragraph" w:styleId="BodyTextIndent3">
    <w:name w:val="Body Text Indent 3"/>
    <w:basedOn w:val="Normal"/>
    <w:semiHidden/>
    <w:rsid w:val="001002C5"/>
    <w:pPr>
      <w:ind w:left="35"/>
      <w:jc w:val="center"/>
    </w:pPr>
    <w:rPr>
      <w:rFonts w:ascii="Arial" w:hAnsi="Arial" w:cs="Arial"/>
      <w:vertAlign w:val="superscript"/>
      <w:lang w:eastAsia="zh-TW"/>
    </w:rPr>
  </w:style>
  <w:style w:type="paragraph" w:customStyle="1" w:styleId="BulletPoints">
    <w:name w:val="Bullet Points"/>
    <w:basedOn w:val="Normal"/>
    <w:rsid w:val="001002C5"/>
    <w:pPr>
      <w:spacing w:after="240"/>
      <w:ind w:left="720" w:hanging="720"/>
      <w:jc w:val="both"/>
    </w:pPr>
    <w:rPr>
      <w:rFonts w:ascii="Arial" w:hAnsi="Arial" w:cs="Arial"/>
      <w:sz w:val="20"/>
      <w:lang w:val="en-US"/>
    </w:rPr>
  </w:style>
  <w:style w:type="paragraph" w:customStyle="1" w:styleId="NormalVerdana">
    <w:name w:val="Normal + Verdana"/>
    <w:basedOn w:val="Normal"/>
    <w:rsid w:val="001002C5"/>
    <w:pPr>
      <w:ind w:left="720"/>
    </w:pPr>
    <w:rPr>
      <w:rFonts w:ascii="Verdana" w:hAnsi="Verdana"/>
      <w:sz w:val="20"/>
      <w:lang w:val="en-US"/>
    </w:rPr>
  </w:style>
  <w:style w:type="character" w:customStyle="1" w:styleId="msoins0">
    <w:name w:val="msoins"/>
    <w:rsid w:val="001002C5"/>
    <w:rPr>
      <w:u w:val="single"/>
    </w:rPr>
  </w:style>
  <w:style w:type="character" w:styleId="FollowedHyperlink">
    <w:name w:val="FollowedHyperlink"/>
    <w:semiHidden/>
    <w:rsid w:val="001002C5"/>
    <w:rPr>
      <w:color w:val="800080"/>
      <w:u w:val="single"/>
    </w:rPr>
  </w:style>
  <w:style w:type="paragraph" w:customStyle="1" w:styleId="BalloonText1">
    <w:name w:val="Balloon Text1"/>
    <w:basedOn w:val="Normal"/>
    <w:semiHidden/>
    <w:rsid w:val="001002C5"/>
    <w:rPr>
      <w:rFonts w:ascii="Arial" w:eastAsia="Dotum" w:hAnsi="Arial"/>
      <w:sz w:val="18"/>
      <w:szCs w:val="18"/>
    </w:rPr>
  </w:style>
  <w:style w:type="paragraph" w:styleId="Caption">
    <w:name w:val="caption"/>
    <w:basedOn w:val="Normal"/>
    <w:next w:val="Normal"/>
    <w:qFormat/>
    <w:rsid w:val="001002C5"/>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uiPriority w:val="99"/>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uiPriority w:val="99"/>
    <w:rsid w:val="00646C05"/>
    <w:rPr>
      <w:rFonts w:eastAsia="PMingLiU"/>
      <w:sz w:val="24"/>
      <w:lang w:val="en-AU" w:eastAsia="en-US" w:bidi="ar-SA"/>
    </w:rPr>
  </w:style>
  <w:style w:type="paragraph" w:styleId="ListParagraph">
    <w:name w:val="List Paragraph"/>
    <w:aliases w:val="List Paragraph1,Recommendation"/>
    <w:basedOn w:val="Normal"/>
    <w:link w:val="ListParagraphChar"/>
    <w:uiPriority w:val="34"/>
    <w:qFormat/>
    <w:rsid w:val="00646C05"/>
    <w:pPr>
      <w:ind w:left="708"/>
    </w:pPr>
    <w:rPr>
      <w:rFonts w:ascii="Calibri" w:eastAsia="SimSun" w:hAnsi="Calibri"/>
      <w:sz w:val="22"/>
      <w:szCs w:val="22"/>
      <w:lang w:val="en-US" w:eastAsia="zh-CN"/>
    </w:rPr>
  </w:style>
  <w:style w:type="character" w:customStyle="1" w:styleId="ListParagraphChar">
    <w:name w:val="List Paragraph Char"/>
    <w:aliases w:val="List Paragraph1 Char,Recommendation Char"/>
    <w:link w:val="ListParagraph"/>
    <w:uiPriority w:val="34"/>
    <w:locked/>
    <w:rsid w:val="0081130F"/>
    <w:rPr>
      <w:rFonts w:ascii="Calibri" w:eastAsia="SimSun" w:hAnsi="Calibri"/>
      <w:sz w:val="22"/>
      <w:szCs w:val="22"/>
      <w:lang w:val="en-US" w:eastAsia="zh-CN"/>
    </w:rPr>
  </w:style>
  <w:style w:type="character" w:styleId="CommentReference">
    <w:name w:val="annotation reference"/>
    <w:uiPriority w:val="99"/>
    <w:semiHidden/>
    <w:unhideWhenUsed/>
    <w:rsid w:val="0081130F"/>
    <w:rPr>
      <w:sz w:val="16"/>
      <w:szCs w:val="16"/>
    </w:rPr>
  </w:style>
  <w:style w:type="paragraph" w:styleId="CommentText">
    <w:name w:val="annotation text"/>
    <w:basedOn w:val="Normal"/>
    <w:link w:val="CommentTextChar"/>
    <w:uiPriority w:val="99"/>
    <w:semiHidden/>
    <w:unhideWhenUsed/>
    <w:rsid w:val="0081130F"/>
    <w:rPr>
      <w:sz w:val="20"/>
    </w:rPr>
  </w:style>
  <w:style w:type="character" w:customStyle="1" w:styleId="CommentTextChar">
    <w:name w:val="Comment Text Char"/>
    <w:link w:val="CommentText"/>
    <w:uiPriority w:val="99"/>
    <w:semiHidden/>
    <w:rsid w:val="0081130F"/>
    <w:rPr>
      <w:lang w:val="en-AU" w:eastAsia="en-US"/>
    </w:rPr>
  </w:style>
  <w:style w:type="paragraph" w:styleId="Revision">
    <w:name w:val="Revision"/>
    <w:hidden/>
    <w:uiPriority w:val="99"/>
    <w:semiHidden/>
    <w:rsid w:val="008072D7"/>
    <w:rPr>
      <w:sz w:val="24"/>
      <w:lang w:val="en-AU"/>
    </w:rPr>
  </w:style>
  <w:style w:type="paragraph" w:styleId="CommentSubject">
    <w:name w:val="annotation subject"/>
    <w:basedOn w:val="CommentText"/>
    <w:next w:val="CommentText"/>
    <w:link w:val="CommentSubjectChar"/>
    <w:uiPriority w:val="99"/>
    <w:semiHidden/>
    <w:unhideWhenUsed/>
    <w:rsid w:val="0090632F"/>
    <w:rPr>
      <w:b/>
      <w:bCs/>
    </w:rPr>
  </w:style>
  <w:style w:type="character" w:customStyle="1" w:styleId="CommentSubjectChar">
    <w:name w:val="Comment Subject Char"/>
    <w:link w:val="CommentSubject"/>
    <w:uiPriority w:val="99"/>
    <w:semiHidden/>
    <w:rsid w:val="0090632F"/>
    <w:rPr>
      <w:b/>
      <w:bCs/>
      <w:lang w:val="en-AU" w:eastAsia="en-US"/>
    </w:rPr>
  </w:style>
  <w:style w:type="paragraph" w:customStyle="1" w:styleId="Default">
    <w:name w:val="Default"/>
    <w:rsid w:val="00EA71FB"/>
    <w:pPr>
      <w:autoSpaceDE w:val="0"/>
      <w:autoSpaceDN w:val="0"/>
      <w:adjustRightInd w:val="0"/>
    </w:pPr>
    <w:rPr>
      <w:rFonts w:ascii="Candara" w:eastAsia="Calibri" w:hAnsi="Candara" w:cs="Candara"/>
      <w:color w:val="000000"/>
      <w:sz w:val="24"/>
      <w:szCs w:val="24"/>
    </w:rPr>
  </w:style>
  <w:style w:type="character" w:customStyle="1" w:styleId="Heading9Char">
    <w:name w:val="Heading 9 Char"/>
    <w:basedOn w:val="DefaultParagraphFont"/>
    <w:link w:val="Heading9"/>
    <w:rsid w:val="005E7C3B"/>
    <w:rPr>
      <w:rFonts w:ascii="Arial" w:hAnsi="Arial"/>
      <w:b/>
      <w:i/>
      <w:lang w:val="en-AU"/>
    </w:rPr>
  </w:style>
  <w:style w:type="character" w:customStyle="1" w:styleId="A5">
    <w:name w:val="A5"/>
    <w:uiPriority w:val="99"/>
    <w:rsid w:val="005E7C3B"/>
    <w:rPr>
      <w:rFonts w:cs="Calisto MT"/>
      <w:color w:val="000000"/>
      <w:sz w:val="22"/>
      <w:szCs w:val="22"/>
    </w:rPr>
  </w:style>
  <w:style w:type="paragraph" w:customStyle="1" w:styleId="Pa23">
    <w:name w:val="Pa23"/>
    <w:basedOn w:val="Default"/>
    <w:next w:val="Default"/>
    <w:uiPriority w:val="99"/>
    <w:rsid w:val="005E7C3B"/>
    <w:pPr>
      <w:spacing w:line="241" w:lineRule="atLeast"/>
    </w:pPr>
    <w:rPr>
      <w:rFonts w:ascii="Calisto MT" w:eastAsiaTheme="minorHAnsi" w:hAnsi="Calisto MT" w:cstheme="minorBidi"/>
      <w:color w:val="auto"/>
    </w:rPr>
  </w:style>
  <w:style w:type="paragraph" w:customStyle="1" w:styleId="Pa25">
    <w:name w:val="Pa25"/>
    <w:basedOn w:val="Default"/>
    <w:next w:val="Default"/>
    <w:uiPriority w:val="99"/>
    <w:rsid w:val="005E7C3B"/>
    <w:pPr>
      <w:spacing w:line="241" w:lineRule="atLeast"/>
    </w:pPr>
    <w:rPr>
      <w:rFonts w:ascii="Calisto MT" w:eastAsiaTheme="minorHAnsi" w:hAnsi="Calisto MT" w:cstheme="minorBidi"/>
      <w:color w:val="auto"/>
    </w:rPr>
  </w:style>
  <w:style w:type="paragraph" w:styleId="NoSpacing">
    <w:name w:val="No Spacing"/>
    <w:uiPriority w:val="1"/>
    <w:qFormat/>
    <w:rsid w:val="00BE6DDD"/>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C462FB"/>
    <w:pPr>
      <w:spacing w:before="100" w:beforeAutospacing="1" w:after="100" w:afterAutospacing="1"/>
    </w:pPr>
    <w:rPr>
      <w:rFonts w:eastAsia="Times New Roman"/>
      <w:szCs w:val="24"/>
      <w:lang w:val="en-PH" w:eastAsia="en-PH"/>
    </w:rPr>
  </w:style>
  <w:style w:type="paragraph" w:customStyle="1" w:styleId="Normal1">
    <w:name w:val="Normal1"/>
    <w:rsid w:val="00C462FB"/>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1453D6"/>
  </w:style>
  <w:style w:type="character" w:customStyle="1" w:styleId="s1">
    <w:name w:val="s1"/>
    <w:basedOn w:val="DefaultParagraphFont"/>
    <w:rsid w:val="00876AAA"/>
  </w:style>
  <w:style w:type="paragraph" w:customStyle="1" w:styleId="xmsonormal">
    <w:name w:val="x_msonormal"/>
    <w:basedOn w:val="Normal"/>
    <w:rsid w:val="00177A14"/>
    <w:pPr>
      <w:spacing w:before="100" w:beforeAutospacing="1" w:after="100" w:afterAutospacing="1"/>
    </w:pPr>
    <w:rPr>
      <w:rFonts w:eastAsia="Times New Roman"/>
      <w:szCs w:val="24"/>
      <w:lang w:val="en-US"/>
    </w:rPr>
  </w:style>
  <w:style w:type="character" w:customStyle="1" w:styleId="st">
    <w:name w:val="st"/>
    <w:basedOn w:val="DefaultParagraphFont"/>
    <w:rsid w:val="00DA2B5F"/>
  </w:style>
  <w:style w:type="character" w:customStyle="1" w:styleId="xbumpedfont15">
    <w:name w:val="x_bumpedfont15"/>
    <w:basedOn w:val="DefaultParagraphFont"/>
    <w:rsid w:val="005069D8"/>
  </w:style>
  <w:style w:type="table" w:styleId="TableGrid">
    <w:name w:val="Table Grid"/>
    <w:basedOn w:val="TableNormal"/>
    <w:uiPriority w:val="59"/>
    <w:rsid w:val="00133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3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11">
      <w:bodyDiv w:val="1"/>
      <w:marLeft w:val="0"/>
      <w:marRight w:val="0"/>
      <w:marTop w:val="0"/>
      <w:marBottom w:val="0"/>
      <w:divBdr>
        <w:top w:val="none" w:sz="0" w:space="0" w:color="auto"/>
        <w:left w:val="none" w:sz="0" w:space="0" w:color="auto"/>
        <w:bottom w:val="none" w:sz="0" w:space="0" w:color="auto"/>
        <w:right w:val="none" w:sz="0" w:space="0" w:color="auto"/>
      </w:divBdr>
      <w:divsChild>
        <w:div w:id="1476339348">
          <w:marLeft w:val="0"/>
          <w:marRight w:val="0"/>
          <w:marTop w:val="0"/>
          <w:marBottom w:val="0"/>
          <w:divBdr>
            <w:top w:val="none" w:sz="0" w:space="0" w:color="auto"/>
            <w:left w:val="none" w:sz="0" w:space="0" w:color="auto"/>
            <w:bottom w:val="none" w:sz="0" w:space="0" w:color="auto"/>
            <w:right w:val="none" w:sz="0" w:space="0" w:color="auto"/>
          </w:divBdr>
        </w:div>
        <w:div w:id="337274230">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649283885">
          <w:marLeft w:val="0"/>
          <w:marRight w:val="0"/>
          <w:marTop w:val="0"/>
          <w:marBottom w:val="0"/>
          <w:divBdr>
            <w:top w:val="none" w:sz="0" w:space="0" w:color="auto"/>
            <w:left w:val="none" w:sz="0" w:space="0" w:color="auto"/>
            <w:bottom w:val="none" w:sz="0" w:space="0" w:color="auto"/>
            <w:right w:val="none" w:sz="0" w:space="0" w:color="auto"/>
          </w:divBdr>
        </w:div>
        <w:div w:id="1034306997">
          <w:marLeft w:val="0"/>
          <w:marRight w:val="0"/>
          <w:marTop w:val="0"/>
          <w:marBottom w:val="0"/>
          <w:divBdr>
            <w:top w:val="none" w:sz="0" w:space="0" w:color="auto"/>
            <w:left w:val="none" w:sz="0" w:space="0" w:color="auto"/>
            <w:bottom w:val="none" w:sz="0" w:space="0" w:color="auto"/>
            <w:right w:val="none" w:sz="0" w:space="0" w:color="auto"/>
          </w:divBdr>
        </w:div>
        <w:div w:id="1328436680">
          <w:marLeft w:val="0"/>
          <w:marRight w:val="0"/>
          <w:marTop w:val="0"/>
          <w:marBottom w:val="0"/>
          <w:divBdr>
            <w:top w:val="none" w:sz="0" w:space="0" w:color="auto"/>
            <w:left w:val="none" w:sz="0" w:space="0" w:color="auto"/>
            <w:bottom w:val="none" w:sz="0" w:space="0" w:color="auto"/>
            <w:right w:val="none" w:sz="0" w:space="0" w:color="auto"/>
          </w:divBdr>
        </w:div>
        <w:div w:id="69499072">
          <w:marLeft w:val="0"/>
          <w:marRight w:val="0"/>
          <w:marTop w:val="0"/>
          <w:marBottom w:val="0"/>
          <w:divBdr>
            <w:top w:val="none" w:sz="0" w:space="0" w:color="auto"/>
            <w:left w:val="none" w:sz="0" w:space="0" w:color="auto"/>
            <w:bottom w:val="none" w:sz="0" w:space="0" w:color="auto"/>
            <w:right w:val="none" w:sz="0" w:space="0" w:color="auto"/>
          </w:divBdr>
        </w:div>
        <w:div w:id="118884797">
          <w:marLeft w:val="0"/>
          <w:marRight w:val="0"/>
          <w:marTop w:val="0"/>
          <w:marBottom w:val="0"/>
          <w:divBdr>
            <w:top w:val="none" w:sz="0" w:space="0" w:color="auto"/>
            <w:left w:val="none" w:sz="0" w:space="0" w:color="auto"/>
            <w:bottom w:val="none" w:sz="0" w:space="0" w:color="auto"/>
            <w:right w:val="none" w:sz="0" w:space="0" w:color="auto"/>
          </w:divBdr>
        </w:div>
        <w:div w:id="662515878">
          <w:marLeft w:val="0"/>
          <w:marRight w:val="0"/>
          <w:marTop w:val="0"/>
          <w:marBottom w:val="0"/>
          <w:divBdr>
            <w:top w:val="none" w:sz="0" w:space="0" w:color="auto"/>
            <w:left w:val="none" w:sz="0" w:space="0" w:color="auto"/>
            <w:bottom w:val="none" w:sz="0" w:space="0" w:color="auto"/>
            <w:right w:val="none" w:sz="0" w:space="0" w:color="auto"/>
          </w:divBdr>
        </w:div>
        <w:div w:id="1736319455">
          <w:marLeft w:val="0"/>
          <w:marRight w:val="0"/>
          <w:marTop w:val="0"/>
          <w:marBottom w:val="0"/>
          <w:divBdr>
            <w:top w:val="none" w:sz="0" w:space="0" w:color="auto"/>
            <w:left w:val="none" w:sz="0" w:space="0" w:color="auto"/>
            <w:bottom w:val="none" w:sz="0" w:space="0" w:color="auto"/>
            <w:right w:val="none" w:sz="0" w:space="0" w:color="auto"/>
          </w:divBdr>
        </w:div>
        <w:div w:id="1803494412">
          <w:marLeft w:val="0"/>
          <w:marRight w:val="0"/>
          <w:marTop w:val="0"/>
          <w:marBottom w:val="0"/>
          <w:divBdr>
            <w:top w:val="none" w:sz="0" w:space="0" w:color="auto"/>
            <w:left w:val="none" w:sz="0" w:space="0" w:color="auto"/>
            <w:bottom w:val="none" w:sz="0" w:space="0" w:color="auto"/>
            <w:right w:val="none" w:sz="0" w:space="0" w:color="auto"/>
          </w:divBdr>
        </w:div>
      </w:divsChild>
    </w:div>
    <w:div w:id="88934289">
      <w:bodyDiv w:val="1"/>
      <w:marLeft w:val="0"/>
      <w:marRight w:val="0"/>
      <w:marTop w:val="0"/>
      <w:marBottom w:val="0"/>
      <w:divBdr>
        <w:top w:val="none" w:sz="0" w:space="0" w:color="auto"/>
        <w:left w:val="none" w:sz="0" w:space="0" w:color="auto"/>
        <w:bottom w:val="none" w:sz="0" w:space="0" w:color="auto"/>
        <w:right w:val="none" w:sz="0" w:space="0" w:color="auto"/>
      </w:divBdr>
    </w:div>
    <w:div w:id="102118284">
      <w:bodyDiv w:val="1"/>
      <w:marLeft w:val="0"/>
      <w:marRight w:val="0"/>
      <w:marTop w:val="0"/>
      <w:marBottom w:val="0"/>
      <w:divBdr>
        <w:top w:val="none" w:sz="0" w:space="0" w:color="auto"/>
        <w:left w:val="none" w:sz="0" w:space="0" w:color="auto"/>
        <w:bottom w:val="none" w:sz="0" w:space="0" w:color="auto"/>
        <w:right w:val="none" w:sz="0" w:space="0" w:color="auto"/>
      </w:divBdr>
    </w:div>
    <w:div w:id="271593593">
      <w:bodyDiv w:val="1"/>
      <w:marLeft w:val="0"/>
      <w:marRight w:val="0"/>
      <w:marTop w:val="0"/>
      <w:marBottom w:val="0"/>
      <w:divBdr>
        <w:top w:val="none" w:sz="0" w:space="0" w:color="auto"/>
        <w:left w:val="none" w:sz="0" w:space="0" w:color="auto"/>
        <w:bottom w:val="none" w:sz="0" w:space="0" w:color="auto"/>
        <w:right w:val="none" w:sz="0" w:space="0" w:color="auto"/>
      </w:divBdr>
    </w:div>
    <w:div w:id="423258351">
      <w:bodyDiv w:val="1"/>
      <w:marLeft w:val="0"/>
      <w:marRight w:val="0"/>
      <w:marTop w:val="0"/>
      <w:marBottom w:val="0"/>
      <w:divBdr>
        <w:top w:val="none" w:sz="0" w:space="0" w:color="auto"/>
        <w:left w:val="none" w:sz="0" w:space="0" w:color="auto"/>
        <w:bottom w:val="none" w:sz="0" w:space="0" w:color="auto"/>
        <w:right w:val="none" w:sz="0" w:space="0" w:color="auto"/>
      </w:divBdr>
    </w:div>
    <w:div w:id="680276729">
      <w:bodyDiv w:val="1"/>
      <w:marLeft w:val="0"/>
      <w:marRight w:val="0"/>
      <w:marTop w:val="0"/>
      <w:marBottom w:val="0"/>
      <w:divBdr>
        <w:top w:val="none" w:sz="0" w:space="0" w:color="auto"/>
        <w:left w:val="none" w:sz="0" w:space="0" w:color="auto"/>
        <w:bottom w:val="none" w:sz="0" w:space="0" w:color="auto"/>
        <w:right w:val="none" w:sz="0" w:space="0" w:color="auto"/>
      </w:divBdr>
      <w:divsChild>
        <w:div w:id="1851411454">
          <w:marLeft w:val="0"/>
          <w:marRight w:val="0"/>
          <w:marTop w:val="0"/>
          <w:marBottom w:val="0"/>
          <w:divBdr>
            <w:top w:val="none" w:sz="0" w:space="0" w:color="auto"/>
            <w:left w:val="none" w:sz="0" w:space="0" w:color="auto"/>
            <w:bottom w:val="none" w:sz="0" w:space="0" w:color="auto"/>
            <w:right w:val="none" w:sz="0" w:space="0" w:color="auto"/>
          </w:divBdr>
        </w:div>
        <w:div w:id="1980304">
          <w:marLeft w:val="0"/>
          <w:marRight w:val="0"/>
          <w:marTop w:val="0"/>
          <w:marBottom w:val="0"/>
          <w:divBdr>
            <w:top w:val="none" w:sz="0" w:space="0" w:color="auto"/>
            <w:left w:val="none" w:sz="0" w:space="0" w:color="auto"/>
            <w:bottom w:val="none" w:sz="0" w:space="0" w:color="auto"/>
            <w:right w:val="none" w:sz="0" w:space="0" w:color="auto"/>
          </w:divBdr>
        </w:div>
      </w:divsChild>
    </w:div>
    <w:div w:id="771358855">
      <w:bodyDiv w:val="1"/>
      <w:marLeft w:val="0"/>
      <w:marRight w:val="0"/>
      <w:marTop w:val="0"/>
      <w:marBottom w:val="0"/>
      <w:divBdr>
        <w:top w:val="none" w:sz="0" w:space="0" w:color="auto"/>
        <w:left w:val="none" w:sz="0" w:space="0" w:color="auto"/>
        <w:bottom w:val="none" w:sz="0" w:space="0" w:color="auto"/>
        <w:right w:val="none" w:sz="0" w:space="0" w:color="auto"/>
      </w:divBdr>
    </w:div>
    <w:div w:id="965740731">
      <w:bodyDiv w:val="1"/>
      <w:marLeft w:val="0"/>
      <w:marRight w:val="0"/>
      <w:marTop w:val="0"/>
      <w:marBottom w:val="0"/>
      <w:divBdr>
        <w:top w:val="none" w:sz="0" w:space="0" w:color="auto"/>
        <w:left w:val="none" w:sz="0" w:space="0" w:color="auto"/>
        <w:bottom w:val="none" w:sz="0" w:space="0" w:color="auto"/>
        <w:right w:val="none" w:sz="0" w:space="0" w:color="auto"/>
      </w:divBdr>
    </w:div>
    <w:div w:id="1165783507">
      <w:bodyDiv w:val="1"/>
      <w:marLeft w:val="0"/>
      <w:marRight w:val="0"/>
      <w:marTop w:val="0"/>
      <w:marBottom w:val="0"/>
      <w:divBdr>
        <w:top w:val="none" w:sz="0" w:space="0" w:color="auto"/>
        <w:left w:val="none" w:sz="0" w:space="0" w:color="auto"/>
        <w:bottom w:val="none" w:sz="0" w:space="0" w:color="auto"/>
        <w:right w:val="none" w:sz="0" w:space="0" w:color="auto"/>
      </w:divBdr>
    </w:div>
    <w:div w:id="1287740244">
      <w:bodyDiv w:val="1"/>
      <w:marLeft w:val="0"/>
      <w:marRight w:val="0"/>
      <w:marTop w:val="0"/>
      <w:marBottom w:val="0"/>
      <w:divBdr>
        <w:top w:val="none" w:sz="0" w:space="0" w:color="auto"/>
        <w:left w:val="none" w:sz="0" w:space="0" w:color="auto"/>
        <w:bottom w:val="none" w:sz="0" w:space="0" w:color="auto"/>
        <w:right w:val="none" w:sz="0" w:space="0" w:color="auto"/>
      </w:divBdr>
    </w:div>
    <w:div w:id="1742944465">
      <w:bodyDiv w:val="1"/>
      <w:marLeft w:val="0"/>
      <w:marRight w:val="0"/>
      <w:marTop w:val="0"/>
      <w:marBottom w:val="0"/>
      <w:divBdr>
        <w:top w:val="none" w:sz="0" w:space="0" w:color="auto"/>
        <w:left w:val="none" w:sz="0" w:space="0" w:color="auto"/>
        <w:bottom w:val="none" w:sz="0" w:space="0" w:color="auto"/>
        <w:right w:val="none" w:sz="0" w:space="0" w:color="auto"/>
      </w:divBdr>
      <w:divsChild>
        <w:div w:id="947588379">
          <w:marLeft w:val="0"/>
          <w:marRight w:val="0"/>
          <w:marTop w:val="0"/>
          <w:marBottom w:val="0"/>
          <w:divBdr>
            <w:top w:val="none" w:sz="0" w:space="0" w:color="auto"/>
            <w:left w:val="none" w:sz="0" w:space="0" w:color="auto"/>
            <w:bottom w:val="none" w:sz="0" w:space="0" w:color="auto"/>
            <w:right w:val="none" w:sz="0" w:space="0" w:color="auto"/>
          </w:divBdr>
        </w:div>
        <w:div w:id="1157575809">
          <w:marLeft w:val="0"/>
          <w:marRight w:val="0"/>
          <w:marTop w:val="0"/>
          <w:marBottom w:val="0"/>
          <w:divBdr>
            <w:top w:val="none" w:sz="0" w:space="0" w:color="auto"/>
            <w:left w:val="none" w:sz="0" w:space="0" w:color="auto"/>
            <w:bottom w:val="none" w:sz="0" w:space="0" w:color="auto"/>
            <w:right w:val="none" w:sz="0" w:space="0" w:color="auto"/>
          </w:divBdr>
        </w:div>
        <w:div w:id="1038630645">
          <w:marLeft w:val="0"/>
          <w:marRight w:val="0"/>
          <w:marTop w:val="0"/>
          <w:marBottom w:val="0"/>
          <w:divBdr>
            <w:top w:val="none" w:sz="0" w:space="0" w:color="auto"/>
            <w:left w:val="none" w:sz="0" w:space="0" w:color="auto"/>
            <w:bottom w:val="none" w:sz="0" w:space="0" w:color="auto"/>
            <w:right w:val="none" w:sz="0" w:space="0" w:color="auto"/>
          </w:divBdr>
        </w:div>
      </w:divsChild>
    </w:div>
    <w:div w:id="1809198297">
      <w:bodyDiv w:val="1"/>
      <w:marLeft w:val="0"/>
      <w:marRight w:val="0"/>
      <w:marTop w:val="0"/>
      <w:marBottom w:val="0"/>
      <w:divBdr>
        <w:top w:val="none" w:sz="0" w:space="0" w:color="auto"/>
        <w:left w:val="none" w:sz="0" w:space="0" w:color="auto"/>
        <w:bottom w:val="none" w:sz="0" w:space="0" w:color="auto"/>
        <w:right w:val="none" w:sz="0" w:space="0" w:color="auto"/>
      </w:divBdr>
      <w:divsChild>
        <w:div w:id="308291272">
          <w:marLeft w:val="0"/>
          <w:marRight w:val="0"/>
          <w:marTop w:val="0"/>
          <w:marBottom w:val="0"/>
          <w:divBdr>
            <w:top w:val="none" w:sz="0" w:space="0" w:color="auto"/>
            <w:left w:val="none" w:sz="0" w:space="0" w:color="auto"/>
            <w:bottom w:val="none" w:sz="0" w:space="0" w:color="auto"/>
            <w:right w:val="none" w:sz="0" w:space="0" w:color="auto"/>
          </w:divBdr>
        </w:div>
        <w:div w:id="1688285166">
          <w:marLeft w:val="0"/>
          <w:marRight w:val="0"/>
          <w:marTop w:val="0"/>
          <w:marBottom w:val="0"/>
          <w:divBdr>
            <w:top w:val="none" w:sz="0" w:space="0" w:color="auto"/>
            <w:left w:val="none" w:sz="0" w:space="0" w:color="auto"/>
            <w:bottom w:val="none" w:sz="0" w:space="0" w:color="auto"/>
            <w:right w:val="none" w:sz="0" w:space="0" w:color="auto"/>
          </w:divBdr>
        </w:div>
        <w:div w:id="1860779119">
          <w:marLeft w:val="0"/>
          <w:marRight w:val="0"/>
          <w:marTop w:val="0"/>
          <w:marBottom w:val="0"/>
          <w:divBdr>
            <w:top w:val="none" w:sz="0" w:space="0" w:color="auto"/>
            <w:left w:val="none" w:sz="0" w:space="0" w:color="auto"/>
            <w:bottom w:val="none" w:sz="0" w:space="0" w:color="auto"/>
            <w:right w:val="none" w:sz="0" w:space="0" w:color="auto"/>
          </w:divBdr>
          <w:divsChild>
            <w:div w:id="1315137588">
              <w:marLeft w:val="0"/>
              <w:marRight w:val="0"/>
              <w:marTop w:val="0"/>
              <w:marBottom w:val="0"/>
              <w:divBdr>
                <w:top w:val="none" w:sz="0" w:space="0" w:color="auto"/>
                <w:left w:val="none" w:sz="0" w:space="0" w:color="auto"/>
                <w:bottom w:val="none" w:sz="0" w:space="0" w:color="auto"/>
                <w:right w:val="none" w:sz="0" w:space="0" w:color="auto"/>
              </w:divBdr>
            </w:div>
            <w:div w:id="947465054">
              <w:marLeft w:val="0"/>
              <w:marRight w:val="0"/>
              <w:marTop w:val="0"/>
              <w:marBottom w:val="0"/>
              <w:divBdr>
                <w:top w:val="none" w:sz="0" w:space="0" w:color="auto"/>
                <w:left w:val="none" w:sz="0" w:space="0" w:color="auto"/>
                <w:bottom w:val="none" w:sz="0" w:space="0" w:color="auto"/>
                <w:right w:val="none" w:sz="0" w:space="0" w:color="auto"/>
              </w:divBdr>
            </w:div>
            <w:div w:id="990600895">
              <w:marLeft w:val="0"/>
              <w:marRight w:val="0"/>
              <w:marTop w:val="0"/>
              <w:marBottom w:val="0"/>
              <w:divBdr>
                <w:top w:val="none" w:sz="0" w:space="0" w:color="auto"/>
                <w:left w:val="none" w:sz="0" w:space="0" w:color="auto"/>
                <w:bottom w:val="none" w:sz="0" w:space="0" w:color="auto"/>
                <w:right w:val="none" w:sz="0" w:space="0" w:color="auto"/>
              </w:divBdr>
            </w:div>
          </w:divsChild>
        </w:div>
        <w:div w:id="1991055143">
          <w:marLeft w:val="0"/>
          <w:marRight w:val="0"/>
          <w:marTop w:val="0"/>
          <w:marBottom w:val="0"/>
          <w:divBdr>
            <w:top w:val="none" w:sz="0" w:space="0" w:color="auto"/>
            <w:left w:val="none" w:sz="0" w:space="0" w:color="auto"/>
            <w:bottom w:val="none" w:sz="0" w:space="0" w:color="auto"/>
            <w:right w:val="none" w:sz="0" w:space="0" w:color="auto"/>
          </w:divBdr>
        </w:div>
        <w:div w:id="1303541712">
          <w:marLeft w:val="0"/>
          <w:marRight w:val="0"/>
          <w:marTop w:val="0"/>
          <w:marBottom w:val="0"/>
          <w:divBdr>
            <w:top w:val="none" w:sz="0" w:space="0" w:color="auto"/>
            <w:left w:val="none" w:sz="0" w:space="0" w:color="auto"/>
            <w:bottom w:val="none" w:sz="0" w:space="0" w:color="auto"/>
            <w:right w:val="none" w:sz="0" w:space="0" w:color="auto"/>
          </w:divBdr>
        </w:div>
        <w:div w:id="295643490">
          <w:marLeft w:val="0"/>
          <w:marRight w:val="0"/>
          <w:marTop w:val="0"/>
          <w:marBottom w:val="0"/>
          <w:divBdr>
            <w:top w:val="none" w:sz="0" w:space="0" w:color="auto"/>
            <w:left w:val="none" w:sz="0" w:space="0" w:color="auto"/>
            <w:bottom w:val="none" w:sz="0" w:space="0" w:color="auto"/>
            <w:right w:val="none" w:sz="0" w:space="0" w:color="auto"/>
          </w:divBdr>
        </w:div>
        <w:div w:id="557396549">
          <w:marLeft w:val="0"/>
          <w:marRight w:val="0"/>
          <w:marTop w:val="0"/>
          <w:marBottom w:val="0"/>
          <w:divBdr>
            <w:top w:val="none" w:sz="0" w:space="0" w:color="auto"/>
            <w:left w:val="none" w:sz="0" w:space="0" w:color="auto"/>
            <w:bottom w:val="none" w:sz="0" w:space="0" w:color="auto"/>
            <w:right w:val="none" w:sz="0" w:space="0" w:color="auto"/>
          </w:divBdr>
        </w:div>
        <w:div w:id="225067998">
          <w:marLeft w:val="0"/>
          <w:marRight w:val="0"/>
          <w:marTop w:val="0"/>
          <w:marBottom w:val="0"/>
          <w:divBdr>
            <w:top w:val="none" w:sz="0" w:space="0" w:color="auto"/>
            <w:left w:val="none" w:sz="0" w:space="0" w:color="auto"/>
            <w:bottom w:val="none" w:sz="0" w:space="0" w:color="auto"/>
            <w:right w:val="none" w:sz="0" w:space="0" w:color="auto"/>
          </w:divBdr>
        </w:div>
        <w:div w:id="216401372">
          <w:marLeft w:val="0"/>
          <w:marRight w:val="0"/>
          <w:marTop w:val="0"/>
          <w:marBottom w:val="0"/>
          <w:divBdr>
            <w:top w:val="none" w:sz="0" w:space="0" w:color="auto"/>
            <w:left w:val="none" w:sz="0" w:space="0" w:color="auto"/>
            <w:bottom w:val="none" w:sz="0" w:space="0" w:color="auto"/>
            <w:right w:val="none" w:sz="0" w:space="0" w:color="auto"/>
          </w:divBdr>
          <w:divsChild>
            <w:div w:id="1118837448">
              <w:marLeft w:val="0"/>
              <w:marRight w:val="0"/>
              <w:marTop w:val="0"/>
              <w:marBottom w:val="0"/>
              <w:divBdr>
                <w:top w:val="none" w:sz="0" w:space="0" w:color="auto"/>
                <w:left w:val="none" w:sz="0" w:space="0" w:color="auto"/>
                <w:bottom w:val="none" w:sz="0" w:space="0" w:color="auto"/>
                <w:right w:val="none" w:sz="0" w:space="0" w:color="auto"/>
              </w:divBdr>
              <w:divsChild>
                <w:div w:id="1101342685">
                  <w:marLeft w:val="0"/>
                  <w:marRight w:val="0"/>
                  <w:marTop w:val="0"/>
                  <w:marBottom w:val="0"/>
                  <w:divBdr>
                    <w:top w:val="none" w:sz="0" w:space="0" w:color="auto"/>
                    <w:left w:val="none" w:sz="0" w:space="0" w:color="auto"/>
                    <w:bottom w:val="none" w:sz="0" w:space="0" w:color="auto"/>
                    <w:right w:val="none" w:sz="0" w:space="0" w:color="auto"/>
                  </w:divBdr>
                </w:div>
                <w:div w:id="1249118327">
                  <w:marLeft w:val="0"/>
                  <w:marRight w:val="0"/>
                  <w:marTop w:val="0"/>
                  <w:marBottom w:val="0"/>
                  <w:divBdr>
                    <w:top w:val="none" w:sz="0" w:space="0" w:color="auto"/>
                    <w:left w:val="none" w:sz="0" w:space="0" w:color="auto"/>
                    <w:bottom w:val="none" w:sz="0" w:space="0" w:color="auto"/>
                    <w:right w:val="none" w:sz="0" w:space="0" w:color="auto"/>
                  </w:divBdr>
                </w:div>
                <w:div w:id="1047297221">
                  <w:marLeft w:val="0"/>
                  <w:marRight w:val="0"/>
                  <w:marTop w:val="0"/>
                  <w:marBottom w:val="0"/>
                  <w:divBdr>
                    <w:top w:val="none" w:sz="0" w:space="0" w:color="auto"/>
                    <w:left w:val="none" w:sz="0" w:space="0" w:color="auto"/>
                    <w:bottom w:val="none" w:sz="0" w:space="0" w:color="auto"/>
                    <w:right w:val="none" w:sz="0" w:space="0" w:color="auto"/>
                  </w:divBdr>
                </w:div>
              </w:divsChild>
            </w:div>
            <w:div w:id="2027292035">
              <w:marLeft w:val="0"/>
              <w:marRight w:val="0"/>
              <w:marTop w:val="0"/>
              <w:marBottom w:val="0"/>
              <w:divBdr>
                <w:top w:val="none" w:sz="0" w:space="0" w:color="auto"/>
                <w:left w:val="none" w:sz="0" w:space="0" w:color="auto"/>
                <w:bottom w:val="none" w:sz="0" w:space="0" w:color="auto"/>
                <w:right w:val="none" w:sz="0" w:space="0" w:color="auto"/>
              </w:divBdr>
            </w:div>
          </w:divsChild>
        </w:div>
        <w:div w:id="1198279639">
          <w:marLeft w:val="0"/>
          <w:marRight w:val="0"/>
          <w:marTop w:val="0"/>
          <w:marBottom w:val="0"/>
          <w:divBdr>
            <w:top w:val="none" w:sz="0" w:space="0" w:color="auto"/>
            <w:left w:val="none" w:sz="0" w:space="0" w:color="auto"/>
            <w:bottom w:val="none" w:sz="0" w:space="0" w:color="auto"/>
            <w:right w:val="none" w:sz="0" w:space="0" w:color="auto"/>
          </w:divBdr>
        </w:div>
        <w:div w:id="277684669">
          <w:marLeft w:val="0"/>
          <w:marRight w:val="0"/>
          <w:marTop w:val="0"/>
          <w:marBottom w:val="0"/>
          <w:divBdr>
            <w:top w:val="none" w:sz="0" w:space="0" w:color="auto"/>
            <w:left w:val="none" w:sz="0" w:space="0" w:color="auto"/>
            <w:bottom w:val="none" w:sz="0" w:space="0" w:color="auto"/>
            <w:right w:val="none" w:sz="0" w:space="0" w:color="auto"/>
          </w:divBdr>
        </w:div>
        <w:div w:id="1327710684">
          <w:marLeft w:val="0"/>
          <w:marRight w:val="0"/>
          <w:marTop w:val="0"/>
          <w:marBottom w:val="0"/>
          <w:divBdr>
            <w:top w:val="none" w:sz="0" w:space="0" w:color="auto"/>
            <w:left w:val="none" w:sz="0" w:space="0" w:color="auto"/>
            <w:bottom w:val="none" w:sz="0" w:space="0" w:color="auto"/>
            <w:right w:val="none" w:sz="0" w:space="0" w:color="auto"/>
          </w:divBdr>
        </w:div>
        <w:div w:id="820997571">
          <w:marLeft w:val="0"/>
          <w:marRight w:val="0"/>
          <w:marTop w:val="0"/>
          <w:marBottom w:val="0"/>
          <w:divBdr>
            <w:top w:val="none" w:sz="0" w:space="0" w:color="auto"/>
            <w:left w:val="none" w:sz="0" w:space="0" w:color="auto"/>
            <w:bottom w:val="none" w:sz="0" w:space="0" w:color="auto"/>
            <w:right w:val="none" w:sz="0" w:space="0" w:color="auto"/>
          </w:divBdr>
        </w:div>
        <w:div w:id="1608930219">
          <w:marLeft w:val="0"/>
          <w:marRight w:val="0"/>
          <w:marTop w:val="0"/>
          <w:marBottom w:val="0"/>
          <w:divBdr>
            <w:top w:val="none" w:sz="0" w:space="0" w:color="auto"/>
            <w:left w:val="none" w:sz="0" w:space="0" w:color="auto"/>
            <w:bottom w:val="none" w:sz="0" w:space="0" w:color="auto"/>
            <w:right w:val="none" w:sz="0" w:space="0" w:color="auto"/>
          </w:divBdr>
          <w:divsChild>
            <w:div w:id="1945072854">
              <w:marLeft w:val="0"/>
              <w:marRight w:val="0"/>
              <w:marTop w:val="0"/>
              <w:marBottom w:val="0"/>
              <w:divBdr>
                <w:top w:val="none" w:sz="0" w:space="0" w:color="auto"/>
                <w:left w:val="none" w:sz="0" w:space="0" w:color="auto"/>
                <w:bottom w:val="none" w:sz="0" w:space="0" w:color="auto"/>
                <w:right w:val="none" w:sz="0" w:space="0" w:color="auto"/>
              </w:divBdr>
              <w:divsChild>
                <w:div w:id="1803158606">
                  <w:marLeft w:val="0"/>
                  <w:marRight w:val="0"/>
                  <w:marTop w:val="0"/>
                  <w:marBottom w:val="0"/>
                  <w:divBdr>
                    <w:top w:val="none" w:sz="0" w:space="0" w:color="auto"/>
                    <w:left w:val="none" w:sz="0" w:space="0" w:color="auto"/>
                    <w:bottom w:val="none" w:sz="0" w:space="0" w:color="auto"/>
                    <w:right w:val="none" w:sz="0" w:space="0" w:color="auto"/>
                  </w:divBdr>
                </w:div>
                <w:div w:id="1035808308">
                  <w:marLeft w:val="0"/>
                  <w:marRight w:val="0"/>
                  <w:marTop w:val="0"/>
                  <w:marBottom w:val="0"/>
                  <w:divBdr>
                    <w:top w:val="none" w:sz="0" w:space="0" w:color="auto"/>
                    <w:left w:val="none" w:sz="0" w:space="0" w:color="auto"/>
                    <w:bottom w:val="none" w:sz="0" w:space="0" w:color="auto"/>
                    <w:right w:val="none" w:sz="0" w:space="0" w:color="auto"/>
                  </w:divBdr>
                </w:div>
                <w:div w:id="99377285">
                  <w:marLeft w:val="0"/>
                  <w:marRight w:val="0"/>
                  <w:marTop w:val="0"/>
                  <w:marBottom w:val="0"/>
                  <w:divBdr>
                    <w:top w:val="none" w:sz="0" w:space="0" w:color="auto"/>
                    <w:left w:val="none" w:sz="0" w:space="0" w:color="auto"/>
                    <w:bottom w:val="none" w:sz="0" w:space="0" w:color="auto"/>
                    <w:right w:val="none" w:sz="0" w:space="0" w:color="auto"/>
                  </w:divBdr>
                </w:div>
              </w:divsChild>
            </w:div>
            <w:div w:id="1888182004">
              <w:marLeft w:val="0"/>
              <w:marRight w:val="0"/>
              <w:marTop w:val="0"/>
              <w:marBottom w:val="0"/>
              <w:divBdr>
                <w:top w:val="none" w:sz="0" w:space="0" w:color="auto"/>
                <w:left w:val="none" w:sz="0" w:space="0" w:color="auto"/>
                <w:bottom w:val="none" w:sz="0" w:space="0" w:color="auto"/>
                <w:right w:val="none" w:sz="0" w:space="0" w:color="auto"/>
              </w:divBdr>
            </w:div>
          </w:divsChild>
        </w:div>
        <w:div w:id="1566990455">
          <w:marLeft w:val="0"/>
          <w:marRight w:val="0"/>
          <w:marTop w:val="0"/>
          <w:marBottom w:val="0"/>
          <w:divBdr>
            <w:top w:val="none" w:sz="0" w:space="0" w:color="auto"/>
            <w:left w:val="none" w:sz="0" w:space="0" w:color="auto"/>
            <w:bottom w:val="none" w:sz="0" w:space="0" w:color="auto"/>
            <w:right w:val="none" w:sz="0" w:space="0" w:color="auto"/>
          </w:divBdr>
        </w:div>
      </w:divsChild>
    </w:div>
    <w:div w:id="2072192580">
      <w:bodyDiv w:val="1"/>
      <w:marLeft w:val="0"/>
      <w:marRight w:val="0"/>
      <w:marTop w:val="0"/>
      <w:marBottom w:val="0"/>
      <w:divBdr>
        <w:top w:val="none" w:sz="0" w:space="0" w:color="auto"/>
        <w:left w:val="none" w:sz="0" w:space="0" w:color="auto"/>
        <w:bottom w:val="none" w:sz="0" w:space="0" w:color="auto"/>
        <w:right w:val="none" w:sz="0" w:space="0" w:color="auto"/>
      </w:divBdr>
    </w:div>
    <w:div w:id="2080592966">
      <w:bodyDiv w:val="1"/>
      <w:marLeft w:val="0"/>
      <w:marRight w:val="0"/>
      <w:marTop w:val="0"/>
      <w:marBottom w:val="0"/>
      <w:divBdr>
        <w:top w:val="none" w:sz="0" w:space="0" w:color="auto"/>
        <w:left w:val="none" w:sz="0" w:space="0" w:color="auto"/>
        <w:bottom w:val="none" w:sz="0" w:space="0" w:color="auto"/>
        <w:right w:val="none" w:sz="0" w:space="0" w:color="auto"/>
      </w:divBdr>
      <w:divsChild>
        <w:div w:id="188955411">
          <w:marLeft w:val="0"/>
          <w:marRight w:val="0"/>
          <w:marTop w:val="280"/>
          <w:marBottom w:val="280"/>
          <w:divBdr>
            <w:top w:val="none" w:sz="0" w:space="0" w:color="auto"/>
            <w:left w:val="none" w:sz="0" w:space="0" w:color="auto"/>
            <w:bottom w:val="none" w:sz="0" w:space="0" w:color="auto"/>
            <w:right w:val="none" w:sz="0" w:space="0" w:color="auto"/>
          </w:divBdr>
        </w:div>
        <w:div w:id="158009831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riffcommission.gov.ph/finder/" TargetMode="External"/><Relationship Id="rId18" Type="http://schemas.openxmlformats.org/officeDocument/2006/relationships/hyperlink" Target="http://www.boi.gov.ph/" TargetMode="External"/><Relationship Id="rId26" Type="http://schemas.openxmlformats.org/officeDocument/2006/relationships/hyperlink" Target="mailto:boc.commissioner@customs.gov.ph" TargetMode="External"/><Relationship Id="rId39" Type="http://schemas.openxmlformats.org/officeDocument/2006/relationships/hyperlink" Target="https://privacy.gov.ph/memorandum-circulars/npc-circular-16-04-rules-of-procedure/" TargetMode="External"/><Relationship Id="rId21" Type="http://schemas.openxmlformats.org/officeDocument/2006/relationships/hyperlink" Target="http://www.dti.gov.ph" TargetMode="External"/><Relationship Id="rId34" Type="http://schemas.openxmlformats.org/officeDocument/2006/relationships/hyperlink" Target="http://www.neda.gov.ph/wpcontent/uploads/2017/06/IRR_of_EO78.pdf" TargetMode="External"/><Relationship Id="rId42" Type="http://schemas.openxmlformats.org/officeDocument/2006/relationships/hyperlink" Target="http://www.immigration.gov.ph/" TargetMode="External"/><Relationship Id="rId47" Type="http://schemas.openxmlformats.org/officeDocument/2006/relationships/hyperlink" Target="http://asean.org/?static_post=asean-china-free-trade-area-2" TargetMode="External"/><Relationship Id="rId50" Type="http://schemas.openxmlformats.org/officeDocument/2006/relationships/hyperlink" Target="http://asean.org/?static_post=asean-india-free-trade-area-3"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arina.gov.ph/" TargetMode="External"/><Relationship Id="rId29" Type="http://schemas.openxmlformats.org/officeDocument/2006/relationships/hyperlink" Target="mailto:JLUy@neda.gov.ph" TargetMode="External"/><Relationship Id="rId11" Type="http://schemas.openxmlformats.org/officeDocument/2006/relationships/endnotes" Target="endnotes.xml"/><Relationship Id="rId24" Type="http://schemas.openxmlformats.org/officeDocument/2006/relationships/hyperlink" Target="mailto:bafs@da.gov.ph" TargetMode="External"/><Relationship Id="rId32" Type="http://schemas.openxmlformats.org/officeDocument/2006/relationships/hyperlink" Target="https://www.ipophil.gov.ph/images/2017Uploads/Announcements/mandatory_mediation_proposed_amended_rules_of_procedure.pdf" TargetMode="External"/><Relationship Id="rId37" Type="http://schemas.openxmlformats.org/officeDocument/2006/relationships/hyperlink" Target="http://server2.denr.gov.ph/uploads/rmdd/dao-2016-31.pdf" TargetMode="External"/><Relationship Id="rId40" Type="http://schemas.openxmlformats.org/officeDocument/2006/relationships/hyperlink" Target="http://www.officialgazette.gov.ph/2016/05/23/republic-act-no-10846/" TargetMode="External"/><Relationship Id="rId45" Type="http://schemas.openxmlformats.org/officeDocument/2006/relationships/hyperlink" Target="http://www.opengovpartnership.org"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bps.dti.gov.ph" TargetMode="External"/><Relationship Id="rId31" Type="http://schemas.openxmlformats.org/officeDocument/2006/relationships/hyperlink" Target="http://www.pdrci.com" TargetMode="External"/><Relationship Id="rId44" Type="http://schemas.openxmlformats.org/officeDocument/2006/relationships/hyperlink" Target="http://www.opengovpartnership.org"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marasigan@doe.gov.ph" TargetMode="External"/><Relationship Id="rId22" Type="http://schemas.openxmlformats.org/officeDocument/2006/relationships/hyperlink" Target="mailto:pab@dti.gov.ph" TargetMode="External"/><Relationship Id="rId27" Type="http://schemas.openxmlformats.org/officeDocument/2006/relationships/hyperlink" Target="mailto:boc.cares@customs.gov.ph" TargetMode="External"/><Relationship Id="rId30" Type="http://schemas.openxmlformats.org/officeDocument/2006/relationships/hyperlink" Target="mailto:RMPlanta@neda.gov.ph" TargetMode="External"/><Relationship Id="rId35" Type="http://schemas.openxmlformats.org/officeDocument/2006/relationships/hyperlink" Target="https://globalarbitrationnews.com/wp-content/uploads/2017/06/Philippines.pdf" TargetMode="External"/><Relationship Id="rId43" Type="http://schemas.openxmlformats.org/officeDocument/2006/relationships/hyperlink" Target="http://www.psa.gov.ph" TargetMode="External"/><Relationship Id="rId48" Type="http://schemas.openxmlformats.org/officeDocument/2006/relationships/hyperlink" Target="http://asean.org/?static_post=asean-japan-free-trade-area-2" TargetMode="External"/><Relationship Id="rId8" Type="http://schemas.openxmlformats.org/officeDocument/2006/relationships/settings" Target="settings.xml"/><Relationship Id="rId51" Type="http://schemas.openxmlformats.org/officeDocument/2006/relationships/hyperlink" Target="http://asean.org/?static_post=asean-australia-new-zealand-free-trade-area" TargetMode="External"/><Relationship Id="rId3" Type="http://schemas.openxmlformats.org/officeDocument/2006/relationships/customXml" Target="../customXml/item3.xml"/><Relationship Id="rId12" Type="http://schemas.openxmlformats.org/officeDocument/2006/relationships/hyperlink" Target="http://tariffcommission.gov.ph/" TargetMode="External"/><Relationship Id="rId17" Type="http://schemas.openxmlformats.org/officeDocument/2006/relationships/hyperlink" Target="http://web.tourism.gov.ph/" TargetMode="External"/><Relationship Id="rId25" Type="http://schemas.openxmlformats.org/officeDocument/2006/relationships/hyperlink" Target="http://customs.gov.ph" TargetMode="External"/><Relationship Id="rId33" Type="http://schemas.openxmlformats.org/officeDocument/2006/relationships/hyperlink" Target="http://www.mgb.gov.ph/2015-05-13-02-02-11/mgb-news/562-mgb-shifts-to-new-alternative-dispute-resolution-for-mining-cases" TargetMode="External"/><Relationship Id="rId38" Type="http://schemas.openxmlformats.org/officeDocument/2006/relationships/hyperlink" Target="http://server2.denr.gov.ph/uploads/rmdd/dao-2016-30.pdf" TargetMode="External"/><Relationship Id="rId46" Type="http://schemas.openxmlformats.org/officeDocument/2006/relationships/hyperlink" Target="http://asean.org/asean-economic-community/asean-free-trade-area-afta-council/agreements-declarations/" TargetMode="External"/><Relationship Id="rId20" Type="http://schemas.openxmlformats.org/officeDocument/2006/relationships/hyperlink" Target="http://www.spsissuances.da.gov.ph" TargetMode="External"/><Relationship Id="rId41" Type="http://schemas.openxmlformats.org/officeDocument/2006/relationships/hyperlink" Target="https://www.dole.gov.ph/files/Dept%20Order%20No_%20151-16.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cab.gov.ph/" TargetMode="External"/><Relationship Id="rId23" Type="http://schemas.openxmlformats.org/officeDocument/2006/relationships/hyperlink" Target="mailto:info@fda.gov.ph" TargetMode="External"/><Relationship Id="rId28" Type="http://schemas.openxmlformats.org/officeDocument/2006/relationships/hyperlink" Target="http://www.ipophil.gov.ph" TargetMode="External"/><Relationship Id="rId36" Type="http://schemas.openxmlformats.org/officeDocument/2006/relationships/hyperlink" Target="http://www.pdrci.org/web/wp-content/uploads/2016/05/2016-05-Philippine-ADR-Review.pdf" TargetMode="External"/><Relationship Id="rId49" Type="http://schemas.openxmlformats.org/officeDocument/2006/relationships/hyperlink" Target="http://asean.org/?static_post=asean-republic-of-korea-free-trade-are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492ceb5944b1b78589e79eb4f06ac627">
  <xsd:schema xmlns:xsd="http://www.w3.org/2001/XMLSchema" xmlns:p="http://schemas.microsoft.com/office/2006/metadata/properties" xmlns:ns2="21825695-5fbc-4f8f-8909-2f62151a4dcc" targetNamespace="http://schemas.microsoft.com/office/2006/metadata/properties" ma:root="true" ma:fieldsID="7204edf23488f5d0bb328f86a9ae3592"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DDBVenCity xmlns="21825695-5fbc-4f8f-8909-2f62151a4dcc" xsi:nil="true"/>
    <MDDBVenEco xmlns="21825695-5fbc-4f8f-8909-2f62151a4dcc" xsi:nil="true"/>
    <MDDBStatus xmlns="21825695-5fbc-4f8f-8909-2f62151a4dcc" xsi:nil="true"/>
    <MDDBDocNum xmlns="21825695-5fbc-4f8f-8909-2f62151a4dcc" xsi:nil="true"/>
    <MDDBEndDate xmlns="21825695-5fbc-4f8f-8909-2f62151a4dcc" xsi:nil="true"/>
    <MDDBSubEco xmlns="21825695-5fbc-4f8f-8909-2f62151a4dcc"/>
    <MDDBOrder xmlns="21825695-5fbc-4f8f-8909-2f62151a4dcc">99999</MDDBOrder>
    <MDDBClass xmlns="21825695-5fbc-4f8f-8909-2f62151a4dcc" xsi:nil="true"/>
    <MDDBDocType xmlns="21825695-5fbc-4f8f-8909-2f62151a4dcc" xsi:nil="true"/>
    <MDDBSubOrg xmlns="21825695-5fbc-4f8f-8909-2f62151a4dcc"/>
    <MDDBStartDate xmlns="21825695-5fbc-4f8f-8909-2f62151a4dcc" xsi:nil="true"/>
    <MDDBMeetingName xmlns="21825695-5fbc-4f8f-8909-2f62151a4dcc" xsi:nil="true"/>
    <MDDBSubGroup xmlns="21825695-5fbc-4f8f-8909-2f62151a4dcc">
      <Value xmlns="21825695-5fbc-4f8f-8909-2f62151a4dcc">Committee on Trade and Investment (CTI)</Value>
    </MDDBSubGroup>
    <MDDBTitle xmlns="21825695-5fbc-4f8f-8909-2f62151a4dcc" xsi:nil="true"/>
    <MDDBGroup xmlns="21825695-5fbc-4f8f-8909-2f62151a4dcc">
      <Value xmlns="21825695-5fbc-4f8f-8909-2f62151a4dcc">APEC Ministerial Meetings (AMM)</Value>
    </MDDBGrou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79F6-FE2C-472D-AF29-39FF0E0B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A00DA3-D696-4FC4-94F3-617D3BEC27AB}">
  <ds:schemaRefs>
    <ds:schemaRef ds:uri="http://schemas.microsoft.com/sharepoint/v3/contenttype/forms"/>
  </ds:schemaRefs>
</ds:datastoreItem>
</file>

<file path=customXml/itemProps3.xml><?xml version="1.0" encoding="utf-8"?>
<ds:datastoreItem xmlns:ds="http://schemas.openxmlformats.org/officeDocument/2006/customXml" ds:itemID="{9936E549-9834-4993-A3DC-32AD522B1E55}">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21825695-5fbc-4f8f-8909-2f62151a4dcc"/>
    <ds:schemaRef ds:uri="http://www.w3.org/XML/1998/namespace"/>
  </ds:schemaRefs>
</ds:datastoreItem>
</file>

<file path=customXml/itemProps4.xml><?xml version="1.0" encoding="utf-8"?>
<ds:datastoreItem xmlns:ds="http://schemas.openxmlformats.org/officeDocument/2006/customXml" ds:itemID="{309489E2-7E85-4910-8CC5-C12FB1FC75F5}">
  <ds:schemaRefs>
    <ds:schemaRef ds:uri="http://schemas.microsoft.com/office/2006/metadata/longProperties"/>
  </ds:schemaRefs>
</ds:datastoreItem>
</file>

<file path=customXml/itemProps5.xml><?xml version="1.0" encoding="utf-8"?>
<ds:datastoreItem xmlns:ds="http://schemas.openxmlformats.org/officeDocument/2006/customXml" ds:itemID="{BB8771F9-2094-4A20-9C4C-17BE31E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9311</Words>
  <Characters>60579</Characters>
  <Application>Microsoft Office Word</Application>
  <DocSecurity>0</DocSecurity>
  <Lines>504</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IAP Summary</vt:lpstr>
      <vt:lpstr>IAP Summary</vt:lpstr>
    </vt:vector>
  </TitlesOfParts>
  <Company>DFAT</Company>
  <LinksUpToDate>false</LinksUpToDate>
  <CharactersWithSpaces>69751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Philippines</cp:lastModifiedBy>
  <cp:revision>2</cp:revision>
  <cp:lastPrinted>2018-01-19T03:20:00Z</cp:lastPrinted>
  <dcterms:created xsi:type="dcterms:W3CDTF">2018-02-01T06:08:00Z</dcterms:created>
  <dcterms:modified xsi:type="dcterms:W3CDTF">2018-02-01T06:08:00Z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425800.000000000</vt:lpwstr>
  </property>
  <property fmtid="{D5CDD505-2E9C-101B-9397-08002B2CF9AE}" pid="3" name="Created">
    <vt:lpwstr>2011-11-12T22:12:26Z</vt:lpwstr>
  </property>
  <property fmtid="{D5CDD505-2E9C-101B-9397-08002B2CF9AE}" pid="4" name="Modified">
    <vt:lpwstr>2011-11-12T22:28:53Z</vt:lpwstr>
  </property>
</Properties>
</file>