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91" w:type="dxa"/>
        <w:tblLook w:val="04A0" w:firstRow="1" w:lastRow="0" w:firstColumn="1" w:lastColumn="0" w:noHBand="0" w:noVBand="1"/>
      </w:tblPr>
      <w:tblGrid>
        <w:gridCol w:w="674"/>
        <w:gridCol w:w="8788"/>
      </w:tblGrid>
      <w:tr w:rsidR="008B79B6" w:rsidRPr="001B3EEA" w14:paraId="47D239F8" w14:textId="77777777" w:rsidTr="00051D88">
        <w:trPr>
          <w:trHeight w:val="330"/>
        </w:trPr>
        <w:tc>
          <w:tcPr>
            <w:tcW w:w="6897" w:type="dxa"/>
            <w:gridSpan w:val="2"/>
            <w:tcBorders>
              <w:top w:val="nil"/>
              <w:left w:val="nil"/>
              <w:bottom w:val="nil"/>
              <w:right w:val="nil"/>
            </w:tcBorders>
            <w:shd w:val="clear" w:color="000000" w:fill="0070C0"/>
            <w:noWrap/>
            <w:vAlign w:val="bottom"/>
            <w:hideMark/>
          </w:tcPr>
          <w:p w14:paraId="0B86A770" w14:textId="1D22871B" w:rsidR="008B79B6" w:rsidRPr="004265A5" w:rsidRDefault="008B79B6" w:rsidP="00401800">
            <w:pPr>
              <w:spacing w:after="0" w:line="240" w:lineRule="auto"/>
              <w:jc w:val="both"/>
              <w:rPr>
                <w:rFonts w:ascii="Times New Roman" w:eastAsia="Times New Roman" w:hAnsi="Times New Roman"/>
                <w:b/>
                <w:bCs/>
                <w:color w:val="FFFFFF"/>
                <w:sz w:val="28"/>
                <w:szCs w:val="28"/>
              </w:rPr>
            </w:pPr>
            <w:r w:rsidRPr="008B79B6">
              <w:rPr>
                <w:rFonts w:ascii="Times New Roman" w:eastAsia="Times New Roman" w:hAnsi="Times New Roman"/>
                <w:b/>
                <w:bCs/>
                <w:color w:val="FFFFFF"/>
                <w:sz w:val="28"/>
                <w:szCs w:val="28"/>
              </w:rPr>
              <w:t xml:space="preserve">Viet Nam’s </w:t>
            </w:r>
            <w:r w:rsidR="0025460B">
              <w:rPr>
                <w:rFonts w:ascii="Times New Roman" w:eastAsia="Times New Roman" w:hAnsi="Times New Roman"/>
                <w:b/>
                <w:bCs/>
                <w:color w:val="FFFFFF"/>
                <w:sz w:val="28"/>
                <w:szCs w:val="28"/>
              </w:rPr>
              <w:t>Bogor Goals Progress Report</w:t>
            </w:r>
            <w:r w:rsidR="002C0EA1">
              <w:rPr>
                <w:rFonts w:ascii="Times New Roman" w:eastAsia="Times New Roman" w:hAnsi="Times New Roman"/>
                <w:b/>
                <w:bCs/>
                <w:color w:val="FFFFFF"/>
                <w:sz w:val="28"/>
                <w:szCs w:val="28"/>
              </w:rPr>
              <w:t xml:space="preserve"> (as at </w:t>
            </w:r>
            <w:r w:rsidR="00401800">
              <w:rPr>
                <w:rFonts w:ascii="Times New Roman" w:eastAsia="Times New Roman" w:hAnsi="Times New Roman"/>
                <w:b/>
                <w:bCs/>
                <w:color w:val="FFFFFF"/>
                <w:sz w:val="28"/>
                <w:szCs w:val="28"/>
              </w:rPr>
              <w:t xml:space="preserve">30 </w:t>
            </w:r>
            <w:r w:rsidR="007136E9" w:rsidRPr="007136E9">
              <w:rPr>
                <w:rFonts w:ascii="Times New Roman" w:eastAsia="Times New Roman" w:hAnsi="Times New Roman"/>
                <w:b/>
                <w:bCs/>
                <w:color w:val="FFFFFF"/>
                <w:sz w:val="28"/>
                <w:szCs w:val="28"/>
              </w:rPr>
              <w:t xml:space="preserve">September </w:t>
            </w:r>
            <w:r w:rsidR="00760F94">
              <w:rPr>
                <w:rFonts w:ascii="Times New Roman" w:eastAsia="Times New Roman" w:hAnsi="Times New Roman"/>
                <w:b/>
                <w:bCs/>
                <w:color w:val="FFFFFF"/>
                <w:sz w:val="28"/>
                <w:szCs w:val="28"/>
              </w:rPr>
              <w:t>2016</w:t>
            </w:r>
            <w:r w:rsidR="002C0EA1">
              <w:rPr>
                <w:rFonts w:ascii="Times New Roman" w:eastAsia="Times New Roman" w:hAnsi="Times New Roman"/>
                <w:b/>
                <w:bCs/>
                <w:color w:val="FFFFFF"/>
                <w:sz w:val="28"/>
                <w:szCs w:val="28"/>
              </w:rPr>
              <w:t>)</w:t>
            </w:r>
            <w:r w:rsidRPr="008B79B6">
              <w:rPr>
                <w:rFonts w:eastAsia="Times New Roman"/>
                <w:bCs/>
                <w:color w:val="FFFFFF"/>
                <w:sz w:val="28"/>
                <w:szCs w:val="28"/>
              </w:rPr>
              <w:footnoteReference w:customMarkFollows="1" w:id="1"/>
              <w:sym w:font="Symbol" w:char="F02A"/>
            </w:r>
          </w:p>
        </w:tc>
      </w:tr>
      <w:tr w:rsidR="008B79B6" w:rsidRPr="001B3EEA" w14:paraId="67517250" w14:textId="77777777" w:rsidTr="00051D88">
        <w:trPr>
          <w:trHeight w:val="315"/>
        </w:trPr>
        <w:tc>
          <w:tcPr>
            <w:tcW w:w="491" w:type="dxa"/>
            <w:tcBorders>
              <w:top w:val="nil"/>
              <w:left w:val="nil"/>
              <w:bottom w:val="nil"/>
              <w:right w:val="nil"/>
            </w:tcBorders>
            <w:shd w:val="clear" w:color="000000" w:fill="B6DDE8"/>
            <w:noWrap/>
            <w:vAlign w:val="bottom"/>
            <w:hideMark/>
          </w:tcPr>
          <w:p w14:paraId="6706C778" w14:textId="77777777" w:rsidR="008B79B6" w:rsidRPr="001B3EEA" w:rsidRDefault="008B79B6" w:rsidP="00051D88">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0A1F2169" w14:textId="77777777" w:rsidR="008B79B6" w:rsidRPr="001B3EEA" w:rsidRDefault="008B79B6" w:rsidP="00051D88">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Highlights of Achievements and Areas for Improvement</w:t>
            </w:r>
          </w:p>
        </w:tc>
      </w:tr>
    </w:tbl>
    <w:p w14:paraId="3A9B579B" w14:textId="77777777" w:rsidR="000073B0" w:rsidRDefault="000073B0" w:rsidP="00CD6615">
      <w:pPr>
        <w:spacing w:after="0" w:line="240" w:lineRule="auto"/>
        <w:jc w:val="both"/>
        <w:rPr>
          <w:rFonts w:ascii="Times New Roman" w:hAnsi="Times New Roman"/>
          <w:sz w:val="24"/>
          <w:szCs w:val="24"/>
        </w:rPr>
      </w:pPr>
    </w:p>
    <w:p w14:paraId="747CA867" w14:textId="77777777" w:rsidR="000073B0" w:rsidRPr="009F30B9" w:rsidRDefault="007134D3" w:rsidP="0047428B">
      <w:pPr>
        <w:pStyle w:val="ListParagraph"/>
        <w:numPr>
          <w:ilvl w:val="0"/>
          <w:numId w:val="3"/>
        </w:numPr>
        <w:spacing w:after="0" w:line="240" w:lineRule="auto"/>
        <w:jc w:val="both"/>
        <w:rPr>
          <w:rFonts w:ascii="Times New Roman" w:hAnsi="Times New Roman"/>
          <w:sz w:val="24"/>
          <w:szCs w:val="24"/>
        </w:rPr>
      </w:pPr>
      <w:r w:rsidRPr="009F30B9">
        <w:rPr>
          <w:rFonts w:ascii="Times New Roman" w:hAnsi="Times New Roman"/>
          <w:sz w:val="24"/>
          <w:szCs w:val="24"/>
        </w:rPr>
        <w:t>Average MFN tariffs have declined substantially in recent years, but high MFN tariffs still remain for some agricultural and industrial products.</w:t>
      </w:r>
    </w:p>
    <w:p w14:paraId="6D55621D" w14:textId="24B00CD6" w:rsidR="007134D3" w:rsidRPr="009F30B9" w:rsidRDefault="00010EE9" w:rsidP="0047428B">
      <w:pPr>
        <w:pStyle w:val="ListParagraph"/>
        <w:numPr>
          <w:ilvl w:val="0"/>
          <w:numId w:val="3"/>
        </w:numPr>
        <w:spacing w:after="0" w:line="240" w:lineRule="auto"/>
        <w:jc w:val="both"/>
        <w:rPr>
          <w:rFonts w:ascii="Times New Roman" w:hAnsi="Times New Roman"/>
          <w:sz w:val="24"/>
          <w:szCs w:val="24"/>
        </w:rPr>
      </w:pPr>
      <w:r w:rsidRPr="009F30B9">
        <w:rPr>
          <w:rFonts w:ascii="Times New Roman" w:hAnsi="Times New Roman"/>
          <w:sz w:val="24"/>
          <w:szCs w:val="24"/>
        </w:rPr>
        <w:t xml:space="preserve">Import prohibitions and licensing still are applicable for certain products. Same occurs for export </w:t>
      </w:r>
      <w:r w:rsidR="00EF457B">
        <w:rPr>
          <w:rFonts w:ascii="Times New Roman" w:hAnsi="Times New Roman"/>
          <w:sz w:val="24"/>
          <w:szCs w:val="24"/>
        </w:rPr>
        <w:t>prohibitions</w:t>
      </w:r>
      <w:r w:rsidRPr="009F30B9">
        <w:rPr>
          <w:rFonts w:ascii="Times New Roman" w:hAnsi="Times New Roman"/>
          <w:sz w:val="24"/>
          <w:szCs w:val="24"/>
        </w:rPr>
        <w:t>.</w:t>
      </w:r>
      <w:r w:rsidR="009F30B9">
        <w:rPr>
          <w:rFonts w:ascii="Times New Roman" w:hAnsi="Times New Roman"/>
          <w:sz w:val="24"/>
          <w:szCs w:val="24"/>
        </w:rPr>
        <w:t xml:space="preserve"> </w:t>
      </w:r>
      <w:bookmarkStart w:id="0" w:name="_GoBack"/>
      <w:bookmarkEnd w:id="0"/>
    </w:p>
    <w:p w14:paraId="7FA1E58C" w14:textId="160CD2AB" w:rsidR="00010EE9" w:rsidRPr="009F30B9" w:rsidRDefault="00010EE9" w:rsidP="0047428B">
      <w:pPr>
        <w:pStyle w:val="ListParagraph"/>
        <w:numPr>
          <w:ilvl w:val="0"/>
          <w:numId w:val="3"/>
        </w:numPr>
        <w:spacing w:after="0" w:line="240" w:lineRule="auto"/>
        <w:jc w:val="both"/>
        <w:rPr>
          <w:rFonts w:ascii="Times New Roman" w:hAnsi="Times New Roman"/>
          <w:sz w:val="24"/>
          <w:szCs w:val="24"/>
        </w:rPr>
      </w:pPr>
      <w:r w:rsidRPr="009F30B9">
        <w:rPr>
          <w:rFonts w:ascii="Times New Roman" w:hAnsi="Times New Roman"/>
          <w:sz w:val="24"/>
          <w:szCs w:val="24"/>
        </w:rPr>
        <w:t>Tariff-rate quotas are applied to a limited number of products.</w:t>
      </w:r>
      <w:r w:rsidR="009F30B9" w:rsidRPr="009F30B9">
        <w:rPr>
          <w:rFonts w:ascii="Times New Roman" w:hAnsi="Times New Roman"/>
          <w:sz w:val="24"/>
          <w:szCs w:val="24"/>
        </w:rPr>
        <w:t xml:space="preserve"> </w:t>
      </w:r>
      <w:r w:rsidR="009F30B9">
        <w:rPr>
          <w:rFonts w:ascii="Times New Roman" w:hAnsi="Times New Roman"/>
          <w:sz w:val="24"/>
          <w:szCs w:val="24"/>
        </w:rPr>
        <w:t xml:space="preserve">Direct price controls have also been imposed </w:t>
      </w:r>
      <w:r w:rsidR="00E069DF">
        <w:rPr>
          <w:rFonts w:ascii="Times New Roman" w:hAnsi="Times New Roman"/>
          <w:sz w:val="24"/>
          <w:szCs w:val="24"/>
        </w:rPr>
        <w:t xml:space="preserve">on </w:t>
      </w:r>
      <w:r w:rsidR="009F30B9">
        <w:rPr>
          <w:rFonts w:ascii="Times New Roman" w:hAnsi="Times New Roman"/>
          <w:sz w:val="24"/>
          <w:szCs w:val="24"/>
        </w:rPr>
        <w:t xml:space="preserve">milk </w:t>
      </w:r>
      <w:r w:rsidR="00ED3670">
        <w:rPr>
          <w:rFonts w:ascii="Times New Roman" w:hAnsi="Times New Roman"/>
          <w:sz w:val="24"/>
          <w:szCs w:val="24"/>
        </w:rPr>
        <w:t>products</w:t>
      </w:r>
      <w:r w:rsidR="009F30B9">
        <w:rPr>
          <w:rFonts w:ascii="Times New Roman" w:hAnsi="Times New Roman"/>
          <w:sz w:val="24"/>
          <w:szCs w:val="24"/>
        </w:rPr>
        <w:t>.</w:t>
      </w:r>
    </w:p>
    <w:p w14:paraId="00F0252C" w14:textId="37D5A76E" w:rsidR="009F30B9" w:rsidRDefault="00010EE9" w:rsidP="009F30B9">
      <w:pPr>
        <w:pStyle w:val="ListParagraph"/>
        <w:numPr>
          <w:ilvl w:val="0"/>
          <w:numId w:val="3"/>
        </w:numPr>
        <w:spacing w:after="0" w:line="240" w:lineRule="auto"/>
        <w:jc w:val="both"/>
        <w:rPr>
          <w:rFonts w:ascii="Times New Roman" w:hAnsi="Times New Roman"/>
          <w:sz w:val="24"/>
          <w:szCs w:val="24"/>
        </w:rPr>
      </w:pPr>
      <w:r w:rsidRPr="009F30B9">
        <w:rPr>
          <w:rFonts w:ascii="Times New Roman" w:hAnsi="Times New Roman"/>
          <w:sz w:val="24"/>
          <w:szCs w:val="24"/>
        </w:rPr>
        <w:t xml:space="preserve">Progress in services liberalization. Sectors such as </w:t>
      </w:r>
      <w:r w:rsidR="009F30B9">
        <w:rPr>
          <w:rFonts w:ascii="Times New Roman" w:hAnsi="Times New Roman"/>
          <w:sz w:val="24"/>
          <w:szCs w:val="24"/>
        </w:rPr>
        <w:t>construction</w:t>
      </w:r>
      <w:r w:rsidR="00EF457B">
        <w:rPr>
          <w:rFonts w:ascii="Times New Roman" w:hAnsi="Times New Roman"/>
          <w:sz w:val="24"/>
          <w:szCs w:val="24"/>
        </w:rPr>
        <w:t xml:space="preserve"> and </w:t>
      </w:r>
      <w:r w:rsidR="009F30B9">
        <w:rPr>
          <w:rFonts w:ascii="Times New Roman" w:hAnsi="Times New Roman"/>
          <w:sz w:val="24"/>
          <w:szCs w:val="24"/>
        </w:rPr>
        <w:t>finance have gradually been opened up</w:t>
      </w:r>
      <w:r w:rsidRPr="009F30B9">
        <w:rPr>
          <w:rFonts w:ascii="Times New Roman" w:hAnsi="Times New Roman"/>
          <w:sz w:val="24"/>
          <w:szCs w:val="24"/>
        </w:rPr>
        <w:t>.</w:t>
      </w:r>
      <w:r w:rsidR="009F30B9">
        <w:rPr>
          <w:rFonts w:ascii="Times New Roman" w:hAnsi="Times New Roman"/>
          <w:sz w:val="24"/>
          <w:szCs w:val="24"/>
        </w:rPr>
        <w:t xml:space="preserve"> </w:t>
      </w:r>
    </w:p>
    <w:p w14:paraId="34DD78D7" w14:textId="77777777" w:rsidR="00EF457B" w:rsidRPr="005C36D4" w:rsidRDefault="00EF457B" w:rsidP="00EF457B">
      <w:pPr>
        <w:pStyle w:val="ListParagraph"/>
        <w:numPr>
          <w:ilvl w:val="0"/>
          <w:numId w:val="3"/>
        </w:numPr>
        <w:spacing w:after="0" w:line="240" w:lineRule="auto"/>
        <w:jc w:val="both"/>
        <w:rPr>
          <w:rFonts w:ascii="Times New Roman" w:hAnsi="Times New Roman"/>
          <w:sz w:val="24"/>
          <w:szCs w:val="24"/>
        </w:rPr>
      </w:pPr>
      <w:r w:rsidRPr="005C36D4">
        <w:rPr>
          <w:rFonts w:ascii="Times New Roman" w:hAnsi="Times New Roman"/>
          <w:sz w:val="24"/>
          <w:szCs w:val="24"/>
        </w:rPr>
        <w:t xml:space="preserve">The Real Estate Law opened up the real estate industry to foreign investment. </w:t>
      </w:r>
    </w:p>
    <w:p w14:paraId="7038A2D9" w14:textId="7780180D" w:rsidR="00EF457B" w:rsidRDefault="009F30B9" w:rsidP="009F30B9">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The Investment Law changed the list of sectors for foreign investment from a positive list to a negative list. </w:t>
      </w:r>
    </w:p>
    <w:p w14:paraId="4D543AA6" w14:textId="77777777" w:rsidR="00C44E4C" w:rsidRDefault="006C579E"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Successful rollout</w:t>
      </w:r>
      <w:r w:rsidR="00C44E4C" w:rsidRPr="009F30B9">
        <w:rPr>
          <w:rFonts w:ascii="Times New Roman" w:hAnsi="Times New Roman"/>
          <w:sz w:val="24"/>
          <w:szCs w:val="24"/>
        </w:rPr>
        <w:t xml:space="preserve"> of </w:t>
      </w:r>
      <w:r>
        <w:rPr>
          <w:rFonts w:ascii="Times New Roman" w:hAnsi="Times New Roman"/>
          <w:sz w:val="24"/>
          <w:szCs w:val="24"/>
        </w:rPr>
        <w:t xml:space="preserve">the VNACCS/VCIS </w:t>
      </w:r>
      <w:r w:rsidR="00C44E4C" w:rsidRPr="009F30B9">
        <w:rPr>
          <w:rFonts w:ascii="Times New Roman" w:hAnsi="Times New Roman"/>
          <w:sz w:val="24"/>
          <w:szCs w:val="24"/>
        </w:rPr>
        <w:t xml:space="preserve">electronic system </w:t>
      </w:r>
      <w:r>
        <w:rPr>
          <w:rFonts w:ascii="Times New Roman" w:hAnsi="Times New Roman"/>
          <w:sz w:val="24"/>
          <w:szCs w:val="24"/>
        </w:rPr>
        <w:t>for</w:t>
      </w:r>
      <w:r w:rsidR="00C44E4C" w:rsidRPr="009F30B9">
        <w:rPr>
          <w:rFonts w:ascii="Times New Roman" w:hAnsi="Times New Roman"/>
          <w:sz w:val="24"/>
          <w:szCs w:val="24"/>
        </w:rPr>
        <w:t xml:space="preserve"> customs procedures</w:t>
      </w:r>
      <w:r>
        <w:rPr>
          <w:rFonts w:ascii="Times New Roman" w:hAnsi="Times New Roman"/>
          <w:sz w:val="24"/>
          <w:szCs w:val="24"/>
        </w:rPr>
        <w:t xml:space="preserve"> to facilitate cross-border transactions</w:t>
      </w:r>
      <w:r w:rsidR="00E8461C">
        <w:rPr>
          <w:rFonts w:ascii="Times New Roman" w:hAnsi="Times New Roman"/>
          <w:sz w:val="24"/>
          <w:szCs w:val="24"/>
        </w:rPr>
        <w:t>; 100 percent of customs agencies are using the system</w:t>
      </w:r>
      <w:r w:rsidR="00C44E4C" w:rsidRPr="009F30B9">
        <w:rPr>
          <w:rFonts w:ascii="Times New Roman" w:hAnsi="Times New Roman"/>
          <w:sz w:val="24"/>
          <w:szCs w:val="24"/>
        </w:rPr>
        <w:t>.</w:t>
      </w:r>
    </w:p>
    <w:p w14:paraId="335ADE47" w14:textId="77777777" w:rsidR="006C579E" w:rsidRDefault="006C579E"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Steps to strengthen rules and enforcement of intellectual property rights.</w:t>
      </w:r>
    </w:p>
    <w:p w14:paraId="400E19D1" w14:textId="77777777" w:rsidR="006C579E" w:rsidRDefault="00E8461C"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Enhanced</w:t>
      </w:r>
      <w:r w:rsidR="006C579E">
        <w:rPr>
          <w:rFonts w:ascii="Times New Roman" w:hAnsi="Times New Roman"/>
          <w:sz w:val="24"/>
          <w:szCs w:val="24"/>
        </w:rPr>
        <w:t xml:space="preserve"> the role of the Competition Council to monitor, investigate, and penalize anticompetitive behavior.</w:t>
      </w:r>
    </w:p>
    <w:p w14:paraId="6312F164" w14:textId="2AB9F2EC" w:rsidR="00FE32B3" w:rsidRDefault="006C579E"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Law on Immigration imposes limits on visa </w:t>
      </w:r>
      <w:r w:rsidR="005E2A4B">
        <w:rPr>
          <w:rFonts w:ascii="Times New Roman" w:hAnsi="Times New Roman"/>
          <w:sz w:val="24"/>
          <w:szCs w:val="24"/>
        </w:rPr>
        <w:t>purpose</w:t>
      </w:r>
      <w:r>
        <w:rPr>
          <w:rFonts w:ascii="Times New Roman" w:hAnsi="Times New Roman"/>
          <w:sz w:val="24"/>
          <w:szCs w:val="24"/>
        </w:rPr>
        <w:t xml:space="preserve"> </w:t>
      </w:r>
      <w:r w:rsidR="005E2A4B">
        <w:rPr>
          <w:rFonts w:ascii="Times New Roman" w:hAnsi="Times New Roman"/>
          <w:sz w:val="24"/>
          <w:szCs w:val="24"/>
        </w:rPr>
        <w:t>and length</w:t>
      </w:r>
      <w:r w:rsidR="00A261CF">
        <w:rPr>
          <w:rFonts w:ascii="Times New Roman" w:hAnsi="Times New Roman"/>
          <w:sz w:val="24"/>
          <w:szCs w:val="24"/>
        </w:rPr>
        <w:t>.</w:t>
      </w:r>
      <w:r w:rsidR="005E2A4B">
        <w:rPr>
          <w:rFonts w:ascii="Times New Roman" w:hAnsi="Times New Roman"/>
          <w:sz w:val="24"/>
          <w:szCs w:val="24"/>
        </w:rPr>
        <w:t xml:space="preserve"> </w:t>
      </w:r>
      <w:r w:rsidR="00A261CF">
        <w:rPr>
          <w:rFonts w:ascii="Times New Roman" w:hAnsi="Times New Roman"/>
          <w:sz w:val="24"/>
          <w:szCs w:val="24"/>
        </w:rPr>
        <w:t>R</w:t>
      </w:r>
      <w:r>
        <w:rPr>
          <w:rFonts w:ascii="Times New Roman" w:hAnsi="Times New Roman"/>
          <w:sz w:val="24"/>
          <w:szCs w:val="24"/>
        </w:rPr>
        <w:t xml:space="preserve">estrictions on reentry for visa-free </w:t>
      </w:r>
      <w:r w:rsidR="00AD03E3">
        <w:rPr>
          <w:rFonts w:ascii="Times New Roman" w:hAnsi="Times New Roman"/>
          <w:sz w:val="24"/>
          <w:szCs w:val="24"/>
        </w:rPr>
        <w:t>visitors</w:t>
      </w:r>
      <w:r>
        <w:rPr>
          <w:rFonts w:ascii="Times New Roman" w:hAnsi="Times New Roman"/>
          <w:sz w:val="24"/>
          <w:szCs w:val="24"/>
        </w:rPr>
        <w:t xml:space="preserve">. </w:t>
      </w:r>
    </w:p>
    <w:p w14:paraId="68C37359" w14:textId="77777777" w:rsidR="006C579E" w:rsidRDefault="006C579E"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ABTC validity is extended from three to five years.</w:t>
      </w:r>
    </w:p>
    <w:p w14:paraId="2D2D1E5C" w14:textId="77777777" w:rsidR="006C579E" w:rsidRPr="009F30B9" w:rsidRDefault="006C579E" w:rsidP="0047428B">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Viet Nam report</w:t>
      </w:r>
      <w:r w:rsidR="005A3CB6">
        <w:rPr>
          <w:rFonts w:ascii="Times New Roman" w:hAnsi="Times New Roman"/>
          <w:sz w:val="24"/>
          <w:szCs w:val="24"/>
        </w:rPr>
        <w:t>ed</w:t>
      </w:r>
      <w:r>
        <w:rPr>
          <w:rFonts w:ascii="Times New Roman" w:hAnsi="Times New Roman"/>
          <w:sz w:val="24"/>
          <w:szCs w:val="24"/>
        </w:rPr>
        <w:t xml:space="preserve"> nine </w:t>
      </w:r>
      <w:r w:rsidR="00663C93">
        <w:rPr>
          <w:rFonts w:ascii="Times New Roman" w:hAnsi="Times New Roman"/>
          <w:sz w:val="24"/>
          <w:szCs w:val="24"/>
        </w:rPr>
        <w:t>F</w:t>
      </w:r>
      <w:r>
        <w:rPr>
          <w:rFonts w:ascii="Times New Roman" w:hAnsi="Times New Roman"/>
          <w:sz w:val="24"/>
          <w:szCs w:val="24"/>
        </w:rPr>
        <w:t>TA/</w:t>
      </w:r>
      <w:r w:rsidR="00663C93">
        <w:rPr>
          <w:rFonts w:ascii="Times New Roman" w:hAnsi="Times New Roman"/>
          <w:sz w:val="24"/>
          <w:szCs w:val="24"/>
        </w:rPr>
        <w:t>R</w:t>
      </w:r>
      <w:r>
        <w:rPr>
          <w:rFonts w:ascii="Times New Roman" w:hAnsi="Times New Roman"/>
          <w:sz w:val="24"/>
          <w:szCs w:val="24"/>
        </w:rPr>
        <w:t>TAs in force and six under negotiation.</w:t>
      </w:r>
    </w:p>
    <w:p w14:paraId="36F28105" w14:textId="77777777" w:rsidR="00010EE9" w:rsidRPr="00C44E4C" w:rsidRDefault="00010EE9" w:rsidP="00C44E4C">
      <w:pPr>
        <w:spacing w:after="0" w:line="240" w:lineRule="auto"/>
        <w:jc w:val="both"/>
        <w:rPr>
          <w:rFonts w:ascii="Times New Roman" w:hAnsi="Times New Roman"/>
          <w:sz w:val="24"/>
          <w:szCs w:val="24"/>
        </w:rPr>
      </w:pPr>
      <w:r w:rsidRPr="00C44E4C">
        <w:rPr>
          <w:rFonts w:ascii="Times New Roman" w:hAnsi="Times New Roman"/>
          <w:sz w:val="24"/>
          <w:szCs w:val="24"/>
        </w:rPr>
        <w:t xml:space="preserve"> </w:t>
      </w:r>
    </w:p>
    <w:tbl>
      <w:tblPr>
        <w:tblW w:w="9462" w:type="dxa"/>
        <w:tblInd w:w="91" w:type="dxa"/>
        <w:tblLook w:val="04A0" w:firstRow="1" w:lastRow="0" w:firstColumn="1" w:lastColumn="0" w:noHBand="0" w:noVBand="1"/>
      </w:tblPr>
      <w:tblGrid>
        <w:gridCol w:w="674"/>
        <w:gridCol w:w="8788"/>
      </w:tblGrid>
      <w:tr w:rsidR="008B79B6" w:rsidRPr="001B3EEA" w14:paraId="3F94CB9B" w14:textId="77777777" w:rsidTr="00051D88">
        <w:trPr>
          <w:trHeight w:val="315"/>
        </w:trPr>
        <w:tc>
          <w:tcPr>
            <w:tcW w:w="491" w:type="dxa"/>
            <w:tcBorders>
              <w:top w:val="nil"/>
              <w:left w:val="nil"/>
              <w:bottom w:val="nil"/>
              <w:right w:val="nil"/>
            </w:tcBorders>
            <w:shd w:val="clear" w:color="000000" w:fill="B6DDE8"/>
            <w:noWrap/>
            <w:vAlign w:val="bottom"/>
            <w:hideMark/>
          </w:tcPr>
          <w:p w14:paraId="104C6F3E" w14:textId="77777777" w:rsidR="008B79B6" w:rsidRPr="001B3EEA" w:rsidRDefault="008B79B6" w:rsidP="00051D88">
            <w:pPr>
              <w:spacing w:after="0" w:line="240" w:lineRule="auto"/>
              <w:jc w:val="center"/>
              <w:rPr>
                <w:rFonts w:ascii="Times New Roman" w:eastAsia="Times New Roman" w:hAnsi="Times New Roman"/>
                <w:color w:val="000000"/>
              </w:rPr>
            </w:pPr>
            <w:r w:rsidRPr="001B3EEA">
              <w:rPr>
                <w:rFonts w:ascii="Times New Roman" w:eastAsia="Times New Roman" w:hAnsi="Times New Roman"/>
                <w:color w:val="000000"/>
              </w:rPr>
              <w:t> </w:t>
            </w:r>
          </w:p>
        </w:tc>
        <w:tc>
          <w:tcPr>
            <w:tcW w:w="6406" w:type="dxa"/>
            <w:tcBorders>
              <w:top w:val="nil"/>
              <w:left w:val="nil"/>
              <w:bottom w:val="nil"/>
              <w:right w:val="nil"/>
            </w:tcBorders>
            <w:shd w:val="clear" w:color="000000" w:fill="B6DDE8"/>
            <w:noWrap/>
            <w:vAlign w:val="bottom"/>
            <w:hideMark/>
          </w:tcPr>
          <w:p w14:paraId="5F544981" w14:textId="77777777" w:rsidR="008B79B6" w:rsidRPr="001B3EEA" w:rsidRDefault="008B79B6" w:rsidP="00DE26C8">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Summary of </w:t>
            </w:r>
            <w:r w:rsidR="00DE26C8">
              <w:rPr>
                <w:rFonts w:ascii="Times New Roman" w:eastAsia="Times New Roman" w:hAnsi="Times New Roman"/>
                <w:b/>
                <w:bCs/>
                <w:color w:val="000000"/>
                <w:sz w:val="24"/>
                <w:szCs w:val="24"/>
              </w:rPr>
              <w:t>Topics</w:t>
            </w:r>
          </w:p>
        </w:tc>
      </w:tr>
    </w:tbl>
    <w:p w14:paraId="4A53C8CF" w14:textId="77777777" w:rsidR="006F1F79" w:rsidRDefault="006F1F79" w:rsidP="00CD6615">
      <w:pPr>
        <w:spacing w:after="0" w:line="240" w:lineRule="auto"/>
        <w:jc w:val="both"/>
        <w:rPr>
          <w:rFonts w:ascii="Times New Roman" w:hAnsi="Times New Roman"/>
          <w:sz w:val="24"/>
          <w:szCs w:val="24"/>
          <w:u w:val="single"/>
        </w:rPr>
      </w:pPr>
    </w:p>
    <w:p w14:paraId="0B4B7C54" w14:textId="77777777" w:rsidR="008B79B6" w:rsidRDefault="000073B0" w:rsidP="00CD6615">
      <w:pPr>
        <w:spacing w:after="0" w:line="240" w:lineRule="auto"/>
        <w:jc w:val="both"/>
        <w:rPr>
          <w:rFonts w:ascii="Times New Roman" w:hAnsi="Times New Roman"/>
          <w:b/>
          <w:color w:val="0070C0"/>
          <w:sz w:val="24"/>
          <w:szCs w:val="24"/>
        </w:rPr>
      </w:pPr>
      <w:r w:rsidRPr="008B79B6">
        <w:rPr>
          <w:rFonts w:ascii="Times New Roman" w:hAnsi="Times New Roman"/>
          <w:b/>
          <w:color w:val="0070C0"/>
          <w:sz w:val="24"/>
          <w:szCs w:val="24"/>
        </w:rPr>
        <w:t>Tariffs</w:t>
      </w:r>
    </w:p>
    <w:p w14:paraId="69ED4ECC" w14:textId="53B2AD66" w:rsidR="000308BE" w:rsidRDefault="009E6543" w:rsidP="00CD6615">
      <w:pPr>
        <w:spacing w:after="0" w:line="240" w:lineRule="auto"/>
        <w:jc w:val="both"/>
        <w:rPr>
          <w:rFonts w:ascii="Times New Roman" w:hAnsi="Times New Roman"/>
          <w:sz w:val="24"/>
          <w:szCs w:val="24"/>
        </w:rPr>
      </w:pPr>
      <w:r>
        <w:rPr>
          <w:rFonts w:ascii="Times New Roman" w:hAnsi="Times New Roman"/>
          <w:sz w:val="24"/>
          <w:szCs w:val="24"/>
        </w:rPr>
        <w:t>Since Viet Nam’s accession to WTO, its average MFN tariffs have declined substantially from 18.5</w:t>
      </w:r>
      <w:r w:rsidR="0041340B">
        <w:rPr>
          <w:rFonts w:ascii="Times New Roman" w:hAnsi="Times New Roman"/>
          <w:sz w:val="24"/>
          <w:szCs w:val="24"/>
        </w:rPr>
        <w:t xml:space="preserve">% </w:t>
      </w:r>
      <w:r>
        <w:rPr>
          <w:rFonts w:ascii="Times New Roman" w:hAnsi="Times New Roman"/>
          <w:sz w:val="24"/>
          <w:szCs w:val="24"/>
        </w:rPr>
        <w:t xml:space="preserve">in 2007 to </w:t>
      </w:r>
      <w:r w:rsidR="000308BE">
        <w:rPr>
          <w:rFonts w:ascii="Times New Roman" w:hAnsi="Times New Roman"/>
          <w:sz w:val="24"/>
          <w:szCs w:val="24"/>
        </w:rPr>
        <w:t>9.5</w:t>
      </w:r>
      <w:r w:rsidR="0041340B">
        <w:rPr>
          <w:rFonts w:ascii="Times New Roman" w:hAnsi="Times New Roman"/>
          <w:sz w:val="24"/>
          <w:szCs w:val="24"/>
        </w:rPr>
        <w:t>%</w:t>
      </w:r>
      <w:r>
        <w:rPr>
          <w:rFonts w:ascii="Times New Roman" w:hAnsi="Times New Roman"/>
          <w:sz w:val="24"/>
          <w:szCs w:val="24"/>
        </w:rPr>
        <w:t xml:space="preserve"> in </w:t>
      </w:r>
      <w:r w:rsidR="000308BE">
        <w:rPr>
          <w:rFonts w:ascii="Times New Roman" w:hAnsi="Times New Roman"/>
          <w:sz w:val="24"/>
          <w:szCs w:val="24"/>
        </w:rPr>
        <w:t>2014</w:t>
      </w:r>
      <w:r>
        <w:rPr>
          <w:rFonts w:ascii="Times New Roman" w:hAnsi="Times New Roman"/>
          <w:sz w:val="24"/>
          <w:szCs w:val="24"/>
        </w:rPr>
        <w:t>.</w:t>
      </w:r>
      <w:r w:rsidR="003C0EB9">
        <w:rPr>
          <w:rFonts w:ascii="Times New Roman" w:hAnsi="Times New Roman"/>
          <w:sz w:val="24"/>
          <w:szCs w:val="24"/>
        </w:rPr>
        <w:t xml:space="preserve"> About one-third of the tariff lines </w:t>
      </w:r>
      <w:r w:rsidR="000308BE">
        <w:rPr>
          <w:rFonts w:ascii="Times New Roman" w:hAnsi="Times New Roman"/>
          <w:sz w:val="24"/>
          <w:szCs w:val="24"/>
        </w:rPr>
        <w:t>(35</w:t>
      </w:r>
      <w:r w:rsidR="00CE7F95">
        <w:rPr>
          <w:rFonts w:ascii="Times New Roman" w:hAnsi="Times New Roman"/>
          <w:sz w:val="24"/>
          <w:szCs w:val="24"/>
        </w:rPr>
        <w:t>.</w:t>
      </w:r>
      <w:r w:rsidR="000308BE">
        <w:rPr>
          <w:rFonts w:ascii="Times New Roman" w:hAnsi="Times New Roman"/>
          <w:sz w:val="24"/>
          <w:szCs w:val="24"/>
        </w:rPr>
        <w:t>1</w:t>
      </w:r>
      <w:r w:rsidR="0041340B">
        <w:rPr>
          <w:rFonts w:ascii="Times New Roman" w:hAnsi="Times New Roman"/>
          <w:sz w:val="24"/>
          <w:szCs w:val="24"/>
        </w:rPr>
        <w:t>%</w:t>
      </w:r>
      <w:r w:rsidR="000308BE">
        <w:rPr>
          <w:rFonts w:ascii="Times New Roman" w:hAnsi="Times New Roman"/>
          <w:sz w:val="24"/>
          <w:szCs w:val="24"/>
        </w:rPr>
        <w:t xml:space="preserve">) </w:t>
      </w:r>
      <w:r w:rsidR="003C0EB9">
        <w:rPr>
          <w:rFonts w:ascii="Times New Roman" w:hAnsi="Times New Roman"/>
          <w:sz w:val="24"/>
          <w:szCs w:val="24"/>
        </w:rPr>
        <w:t xml:space="preserve">are duty-free. </w:t>
      </w:r>
    </w:p>
    <w:p w14:paraId="4FF4CF5C" w14:textId="77777777" w:rsidR="000308BE" w:rsidRDefault="000308BE" w:rsidP="00CD6615">
      <w:pPr>
        <w:spacing w:after="0" w:line="240" w:lineRule="auto"/>
        <w:jc w:val="both"/>
        <w:rPr>
          <w:rFonts w:ascii="Times New Roman" w:hAnsi="Times New Roman"/>
          <w:sz w:val="24"/>
          <w:szCs w:val="24"/>
        </w:rPr>
      </w:pPr>
    </w:p>
    <w:p w14:paraId="7DC3E1CC" w14:textId="221487F0" w:rsidR="000302F2" w:rsidRDefault="003C0EB9" w:rsidP="00CD6615">
      <w:pPr>
        <w:spacing w:after="0" w:line="240" w:lineRule="auto"/>
        <w:jc w:val="both"/>
        <w:rPr>
          <w:rFonts w:ascii="Times New Roman" w:hAnsi="Times New Roman"/>
          <w:sz w:val="24"/>
          <w:szCs w:val="24"/>
        </w:rPr>
      </w:pPr>
      <w:r w:rsidRPr="00BF63FE">
        <w:rPr>
          <w:rFonts w:ascii="Times New Roman" w:hAnsi="Times New Roman"/>
          <w:sz w:val="24"/>
          <w:szCs w:val="24"/>
        </w:rPr>
        <w:t xml:space="preserve">However, high MFN tariff rates remain for some goods. For example, among the agricultural products, </w:t>
      </w:r>
      <w:r w:rsidR="00BF63FE">
        <w:rPr>
          <w:rFonts w:ascii="Times New Roman" w:hAnsi="Times New Roman"/>
          <w:sz w:val="24"/>
          <w:szCs w:val="24"/>
        </w:rPr>
        <w:t xml:space="preserve">average MFN tariffs are </w:t>
      </w:r>
      <w:r w:rsidR="0041340B">
        <w:rPr>
          <w:rFonts w:ascii="Times New Roman" w:hAnsi="Times New Roman"/>
          <w:sz w:val="24"/>
          <w:szCs w:val="24"/>
        </w:rPr>
        <w:t>still high</w:t>
      </w:r>
      <w:r w:rsidR="00BF63FE">
        <w:rPr>
          <w:rFonts w:ascii="Times New Roman" w:hAnsi="Times New Roman"/>
          <w:sz w:val="24"/>
          <w:szCs w:val="24"/>
        </w:rPr>
        <w:t xml:space="preserve"> for beverages and </w:t>
      </w:r>
      <w:r w:rsidR="00D059C5" w:rsidRPr="00BF63FE">
        <w:rPr>
          <w:rFonts w:ascii="Times New Roman" w:hAnsi="Times New Roman"/>
          <w:sz w:val="24"/>
          <w:szCs w:val="24"/>
        </w:rPr>
        <w:t>tobacco</w:t>
      </w:r>
      <w:r w:rsidR="00BF63FE">
        <w:rPr>
          <w:rFonts w:ascii="Times New Roman" w:hAnsi="Times New Roman"/>
          <w:sz w:val="24"/>
          <w:szCs w:val="24"/>
        </w:rPr>
        <w:t xml:space="preserve"> (</w:t>
      </w:r>
      <w:r w:rsidR="0041340B">
        <w:rPr>
          <w:rFonts w:ascii="Times New Roman" w:hAnsi="Times New Roman"/>
          <w:sz w:val="24"/>
          <w:szCs w:val="24"/>
        </w:rPr>
        <w:t>43%</w:t>
      </w:r>
      <w:r w:rsidR="00BF63FE">
        <w:rPr>
          <w:rFonts w:ascii="Times New Roman" w:hAnsi="Times New Roman"/>
          <w:sz w:val="24"/>
          <w:szCs w:val="24"/>
        </w:rPr>
        <w:t>)</w:t>
      </w:r>
      <w:r w:rsidR="0041340B">
        <w:rPr>
          <w:rFonts w:ascii="Times New Roman" w:hAnsi="Times New Roman"/>
          <w:sz w:val="24"/>
          <w:szCs w:val="24"/>
        </w:rPr>
        <w:t>, coffee and tea (26.8%), fruits, vegetables and plants (20.1%),</w:t>
      </w:r>
      <w:r w:rsidR="00BF63FE">
        <w:rPr>
          <w:rFonts w:ascii="Times New Roman" w:hAnsi="Times New Roman"/>
          <w:sz w:val="24"/>
          <w:szCs w:val="24"/>
        </w:rPr>
        <w:t xml:space="preserve"> sugars and confectionery (</w:t>
      </w:r>
      <w:r w:rsidR="0041340B">
        <w:rPr>
          <w:rFonts w:ascii="Times New Roman" w:hAnsi="Times New Roman"/>
          <w:sz w:val="24"/>
          <w:szCs w:val="24"/>
        </w:rPr>
        <w:t>17.8%) and cereals and preparations (17.3%</w:t>
      </w:r>
      <w:r w:rsidR="00BF63FE">
        <w:rPr>
          <w:rFonts w:ascii="Times New Roman" w:hAnsi="Times New Roman"/>
          <w:sz w:val="24"/>
          <w:szCs w:val="24"/>
        </w:rPr>
        <w:t>)</w:t>
      </w:r>
      <w:r w:rsidR="00D059C5" w:rsidRPr="00BF63FE">
        <w:rPr>
          <w:rFonts w:ascii="Times New Roman" w:hAnsi="Times New Roman"/>
          <w:sz w:val="24"/>
          <w:szCs w:val="24"/>
        </w:rPr>
        <w:t xml:space="preserve">. </w:t>
      </w:r>
      <w:r w:rsidR="000302F2" w:rsidRPr="00BF63FE">
        <w:rPr>
          <w:rFonts w:ascii="Times New Roman" w:hAnsi="Times New Roman"/>
          <w:sz w:val="24"/>
          <w:szCs w:val="24"/>
        </w:rPr>
        <w:t xml:space="preserve">As for industrial products, </w:t>
      </w:r>
      <w:r w:rsidR="00BF63FE">
        <w:rPr>
          <w:rFonts w:ascii="Times New Roman" w:hAnsi="Times New Roman"/>
          <w:sz w:val="24"/>
          <w:szCs w:val="24"/>
        </w:rPr>
        <w:t xml:space="preserve">high MFN tariffs are in place for </w:t>
      </w:r>
      <w:r w:rsidR="0041340B">
        <w:rPr>
          <w:rFonts w:ascii="Times New Roman" w:hAnsi="Times New Roman"/>
          <w:sz w:val="24"/>
          <w:szCs w:val="24"/>
        </w:rPr>
        <w:t>clothing (19.8%)</w:t>
      </w:r>
      <w:r w:rsidR="00BF63FE">
        <w:rPr>
          <w:rFonts w:ascii="Times New Roman" w:hAnsi="Times New Roman"/>
          <w:sz w:val="24"/>
          <w:szCs w:val="24"/>
        </w:rPr>
        <w:t xml:space="preserve"> transport equipment (</w:t>
      </w:r>
      <w:r w:rsidR="0041340B">
        <w:rPr>
          <w:rFonts w:ascii="Times New Roman" w:hAnsi="Times New Roman"/>
          <w:sz w:val="24"/>
          <w:szCs w:val="24"/>
        </w:rPr>
        <w:t>17.5%</w:t>
      </w:r>
      <w:r w:rsidR="00BF63FE">
        <w:rPr>
          <w:rFonts w:ascii="Times New Roman" w:hAnsi="Times New Roman"/>
          <w:sz w:val="24"/>
          <w:szCs w:val="24"/>
        </w:rPr>
        <w:t>)</w:t>
      </w:r>
      <w:r w:rsidR="0041340B">
        <w:rPr>
          <w:rFonts w:ascii="Times New Roman" w:hAnsi="Times New Roman"/>
          <w:sz w:val="24"/>
          <w:szCs w:val="24"/>
        </w:rPr>
        <w:t xml:space="preserve"> and fish and fish products (15.6%)</w:t>
      </w:r>
      <w:r w:rsidR="000302F2">
        <w:rPr>
          <w:rFonts w:ascii="Times New Roman" w:hAnsi="Times New Roman"/>
          <w:sz w:val="24"/>
          <w:szCs w:val="24"/>
        </w:rPr>
        <w:t>.</w:t>
      </w:r>
    </w:p>
    <w:p w14:paraId="5EBA4618" w14:textId="77777777" w:rsidR="000302F2" w:rsidRDefault="000302F2" w:rsidP="00CD6615">
      <w:pPr>
        <w:spacing w:after="0" w:line="240" w:lineRule="auto"/>
        <w:jc w:val="both"/>
        <w:rPr>
          <w:rFonts w:ascii="Times New Roman" w:hAnsi="Times New Roman"/>
          <w:sz w:val="24"/>
          <w:szCs w:val="24"/>
        </w:rPr>
      </w:pPr>
    </w:p>
    <w:p w14:paraId="2B1FF1A5" w14:textId="08AFC387" w:rsidR="000073B0" w:rsidRDefault="000302F2" w:rsidP="00CD6615">
      <w:pPr>
        <w:spacing w:after="0" w:line="240" w:lineRule="auto"/>
        <w:jc w:val="both"/>
        <w:rPr>
          <w:rFonts w:ascii="Times New Roman" w:hAnsi="Times New Roman"/>
          <w:sz w:val="24"/>
          <w:szCs w:val="24"/>
        </w:rPr>
      </w:pPr>
      <w:r>
        <w:rPr>
          <w:rFonts w:ascii="Times New Roman" w:hAnsi="Times New Roman"/>
          <w:sz w:val="24"/>
          <w:szCs w:val="24"/>
        </w:rPr>
        <w:t xml:space="preserve">Viet Nam has </w:t>
      </w:r>
      <w:r w:rsidR="00415611">
        <w:rPr>
          <w:rFonts w:ascii="Times New Roman" w:hAnsi="Times New Roman"/>
          <w:sz w:val="24"/>
          <w:szCs w:val="24"/>
        </w:rPr>
        <w:t>been reducing</w:t>
      </w:r>
      <w:r>
        <w:rPr>
          <w:rFonts w:ascii="Times New Roman" w:hAnsi="Times New Roman"/>
          <w:sz w:val="24"/>
          <w:szCs w:val="24"/>
        </w:rPr>
        <w:t xml:space="preserve"> tariffs through the implementation of</w:t>
      </w:r>
      <w:r w:rsidR="00BF63FE">
        <w:rPr>
          <w:rFonts w:ascii="Times New Roman" w:hAnsi="Times New Roman"/>
          <w:sz w:val="24"/>
          <w:szCs w:val="24"/>
        </w:rPr>
        <w:t xml:space="preserve"> </w:t>
      </w:r>
      <w:r w:rsidR="00CE7F95">
        <w:rPr>
          <w:rFonts w:ascii="Times New Roman" w:hAnsi="Times New Roman"/>
          <w:sz w:val="24"/>
          <w:szCs w:val="24"/>
        </w:rPr>
        <w:t>their</w:t>
      </w:r>
      <w:r w:rsidR="00BF63FE">
        <w:rPr>
          <w:rFonts w:ascii="Times New Roman" w:hAnsi="Times New Roman"/>
          <w:sz w:val="24"/>
          <w:szCs w:val="24"/>
        </w:rPr>
        <w:t xml:space="preserve"> </w:t>
      </w:r>
      <w:r>
        <w:rPr>
          <w:rFonts w:ascii="Times New Roman" w:hAnsi="Times New Roman"/>
          <w:sz w:val="24"/>
          <w:szCs w:val="24"/>
        </w:rPr>
        <w:t>RTA</w:t>
      </w:r>
      <w:r w:rsidR="009D69E3">
        <w:rPr>
          <w:rFonts w:ascii="Times New Roman" w:hAnsi="Times New Roman"/>
          <w:sz w:val="24"/>
          <w:szCs w:val="24"/>
        </w:rPr>
        <w:t>s</w:t>
      </w:r>
      <w:r>
        <w:rPr>
          <w:rFonts w:ascii="Times New Roman" w:hAnsi="Times New Roman"/>
          <w:sz w:val="24"/>
          <w:szCs w:val="24"/>
        </w:rPr>
        <w:t>/FTAs</w:t>
      </w:r>
      <w:r w:rsidR="00415611">
        <w:rPr>
          <w:rFonts w:ascii="Times New Roman" w:hAnsi="Times New Roman"/>
          <w:sz w:val="24"/>
          <w:szCs w:val="24"/>
        </w:rPr>
        <w:t xml:space="preserve"> in force</w:t>
      </w:r>
      <w:r>
        <w:rPr>
          <w:rFonts w:ascii="Times New Roman" w:hAnsi="Times New Roman"/>
          <w:sz w:val="24"/>
          <w:szCs w:val="24"/>
        </w:rPr>
        <w:t>.</w:t>
      </w:r>
      <w:r w:rsidR="00415611">
        <w:rPr>
          <w:rFonts w:ascii="Times New Roman" w:hAnsi="Times New Roman"/>
          <w:sz w:val="24"/>
          <w:szCs w:val="24"/>
        </w:rPr>
        <w:t xml:space="preserve"> </w:t>
      </w:r>
    </w:p>
    <w:p w14:paraId="03860224" w14:textId="77777777" w:rsidR="009E6543" w:rsidRDefault="009E6543" w:rsidP="00CD6615">
      <w:pPr>
        <w:spacing w:after="0" w:line="240" w:lineRule="auto"/>
        <w:jc w:val="both"/>
        <w:rPr>
          <w:rFonts w:ascii="Times New Roman" w:hAnsi="Times New Roman"/>
          <w:sz w:val="24"/>
          <w:szCs w:val="24"/>
        </w:rPr>
      </w:pPr>
    </w:p>
    <w:p w14:paraId="470CBF39" w14:textId="77777777" w:rsidR="00CC7119" w:rsidRDefault="000073B0"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Non-Tariff Measures</w:t>
      </w:r>
    </w:p>
    <w:p w14:paraId="4F10C4A0" w14:textId="33788A26" w:rsidR="00DB2D5B" w:rsidRDefault="004F7788" w:rsidP="00CD6615">
      <w:pPr>
        <w:spacing w:after="0" w:line="240" w:lineRule="auto"/>
        <w:jc w:val="both"/>
        <w:rPr>
          <w:rFonts w:ascii="Times New Roman" w:hAnsi="Times New Roman"/>
          <w:sz w:val="24"/>
          <w:szCs w:val="24"/>
        </w:rPr>
      </w:pPr>
      <w:r>
        <w:rPr>
          <w:rFonts w:ascii="Times New Roman" w:hAnsi="Times New Roman"/>
          <w:sz w:val="24"/>
          <w:szCs w:val="24"/>
        </w:rPr>
        <w:t xml:space="preserve">Viet Nam applies </w:t>
      </w:r>
      <w:r w:rsidR="000D6F4F">
        <w:rPr>
          <w:rFonts w:ascii="Times New Roman" w:hAnsi="Times New Roman"/>
          <w:sz w:val="24"/>
          <w:szCs w:val="24"/>
        </w:rPr>
        <w:t xml:space="preserve">trade </w:t>
      </w:r>
      <w:r>
        <w:rPr>
          <w:rFonts w:ascii="Times New Roman" w:hAnsi="Times New Roman"/>
          <w:sz w:val="24"/>
          <w:szCs w:val="24"/>
        </w:rPr>
        <w:t>restrict</w:t>
      </w:r>
      <w:r w:rsidR="006346F4">
        <w:rPr>
          <w:rFonts w:ascii="Times New Roman" w:hAnsi="Times New Roman"/>
          <w:sz w:val="24"/>
          <w:szCs w:val="24"/>
        </w:rPr>
        <w:t>ions to a list of products for public health, safety and security reasons; or for compliance with international commitments.</w:t>
      </w:r>
      <w:r w:rsidR="000D6F4F">
        <w:rPr>
          <w:rFonts w:ascii="Times New Roman" w:hAnsi="Times New Roman"/>
          <w:sz w:val="24"/>
          <w:szCs w:val="24"/>
        </w:rPr>
        <w:t xml:space="preserve"> Exports are prohibited for items such as weapons and ammunitions, antiques and national treasures, logs and timbre, and rare wild </w:t>
      </w:r>
      <w:r w:rsidR="000D6F4F">
        <w:rPr>
          <w:rFonts w:ascii="Times New Roman" w:hAnsi="Times New Roman"/>
          <w:sz w:val="24"/>
          <w:szCs w:val="24"/>
        </w:rPr>
        <w:lastRenderedPageBreak/>
        <w:t>animals.</w:t>
      </w:r>
      <w:r w:rsidR="0012612C">
        <w:rPr>
          <w:rFonts w:ascii="Times New Roman" w:hAnsi="Times New Roman"/>
          <w:sz w:val="24"/>
          <w:szCs w:val="24"/>
        </w:rPr>
        <w:t xml:space="preserve"> </w:t>
      </w:r>
      <w:r w:rsidR="000D6F4F">
        <w:rPr>
          <w:rFonts w:ascii="Times New Roman" w:hAnsi="Times New Roman"/>
          <w:sz w:val="24"/>
          <w:szCs w:val="24"/>
        </w:rPr>
        <w:t xml:space="preserve">Likewise, import bans and </w:t>
      </w:r>
      <w:r w:rsidR="0012612C">
        <w:rPr>
          <w:rFonts w:ascii="Times New Roman" w:hAnsi="Times New Roman"/>
          <w:sz w:val="24"/>
          <w:szCs w:val="24"/>
        </w:rPr>
        <w:t>licenses are required for certain goods. The purpose of the</w:t>
      </w:r>
      <w:r w:rsidR="000D6F4F">
        <w:rPr>
          <w:rFonts w:ascii="Times New Roman" w:hAnsi="Times New Roman"/>
          <w:sz w:val="24"/>
          <w:szCs w:val="24"/>
        </w:rPr>
        <w:t>se</w:t>
      </w:r>
      <w:r w:rsidR="0012612C">
        <w:rPr>
          <w:rFonts w:ascii="Times New Roman" w:hAnsi="Times New Roman"/>
          <w:sz w:val="24"/>
          <w:szCs w:val="24"/>
        </w:rPr>
        <w:t xml:space="preserve"> </w:t>
      </w:r>
      <w:r w:rsidR="000D6F4F">
        <w:rPr>
          <w:rFonts w:ascii="Times New Roman" w:hAnsi="Times New Roman"/>
          <w:sz w:val="24"/>
          <w:szCs w:val="24"/>
        </w:rPr>
        <w:t xml:space="preserve">restrictions </w:t>
      </w:r>
      <w:r w:rsidR="0012612C">
        <w:rPr>
          <w:rFonts w:ascii="Times New Roman" w:hAnsi="Times New Roman"/>
          <w:sz w:val="24"/>
          <w:szCs w:val="24"/>
        </w:rPr>
        <w:t>is to ensure minimum quality standards, local network compatibility, monetary security or cultural sensitivities.</w:t>
      </w:r>
      <w:r w:rsidR="00CE7F95">
        <w:rPr>
          <w:rFonts w:ascii="Times New Roman" w:hAnsi="Times New Roman"/>
          <w:sz w:val="24"/>
          <w:szCs w:val="24"/>
        </w:rPr>
        <w:t xml:space="preserve"> </w:t>
      </w:r>
      <w:r w:rsidR="00C12A3A">
        <w:rPr>
          <w:rFonts w:ascii="Times New Roman" w:hAnsi="Times New Roman"/>
          <w:sz w:val="24"/>
          <w:szCs w:val="24"/>
        </w:rPr>
        <w:t>Among the products facing import</w:t>
      </w:r>
      <w:r w:rsidR="00CE7F95">
        <w:rPr>
          <w:rFonts w:ascii="Times New Roman" w:hAnsi="Times New Roman"/>
          <w:sz w:val="24"/>
          <w:szCs w:val="24"/>
        </w:rPr>
        <w:t xml:space="preserve"> prohibit</w:t>
      </w:r>
      <w:r w:rsidR="00C12A3A">
        <w:rPr>
          <w:rFonts w:ascii="Times New Roman" w:hAnsi="Times New Roman"/>
          <w:sz w:val="24"/>
          <w:szCs w:val="24"/>
        </w:rPr>
        <w:t>ions</w:t>
      </w:r>
      <w:r w:rsidR="00CE7F95">
        <w:rPr>
          <w:rFonts w:ascii="Times New Roman" w:hAnsi="Times New Roman"/>
          <w:sz w:val="24"/>
          <w:szCs w:val="24"/>
        </w:rPr>
        <w:t xml:space="preserve"> </w:t>
      </w:r>
      <w:r w:rsidR="00C12A3A">
        <w:rPr>
          <w:rFonts w:ascii="Times New Roman" w:hAnsi="Times New Roman"/>
          <w:sz w:val="24"/>
          <w:szCs w:val="24"/>
        </w:rPr>
        <w:t>are</w:t>
      </w:r>
      <w:r w:rsidR="00CE7F95">
        <w:rPr>
          <w:rFonts w:ascii="Times New Roman" w:hAnsi="Times New Roman"/>
          <w:sz w:val="24"/>
          <w:szCs w:val="24"/>
        </w:rPr>
        <w:t xml:space="preserve"> certain household items, used vehicles, and medical equipment.</w:t>
      </w:r>
    </w:p>
    <w:p w14:paraId="5153FC93" w14:textId="77777777" w:rsidR="00DB2D5B" w:rsidRDefault="00DB2D5B" w:rsidP="00CD6615">
      <w:pPr>
        <w:spacing w:after="0" w:line="240" w:lineRule="auto"/>
        <w:jc w:val="both"/>
        <w:rPr>
          <w:rFonts w:ascii="Times New Roman" w:hAnsi="Times New Roman"/>
          <w:sz w:val="24"/>
          <w:szCs w:val="24"/>
        </w:rPr>
      </w:pPr>
    </w:p>
    <w:p w14:paraId="1E0D7410" w14:textId="047CADDF" w:rsidR="00EA4EE5" w:rsidRDefault="0012612C" w:rsidP="00CD6615">
      <w:pPr>
        <w:spacing w:after="0" w:line="240" w:lineRule="auto"/>
        <w:jc w:val="both"/>
        <w:rPr>
          <w:rFonts w:ascii="Times New Roman" w:hAnsi="Times New Roman"/>
          <w:sz w:val="24"/>
          <w:szCs w:val="24"/>
        </w:rPr>
      </w:pPr>
      <w:r>
        <w:rPr>
          <w:rFonts w:ascii="Times New Roman" w:hAnsi="Times New Roman"/>
          <w:sz w:val="24"/>
          <w:szCs w:val="24"/>
        </w:rPr>
        <w:t>The list of products subject to import licenses has been modified several times in recent years</w:t>
      </w:r>
      <w:r w:rsidR="001D34A5">
        <w:rPr>
          <w:rFonts w:ascii="Times New Roman" w:hAnsi="Times New Roman"/>
          <w:sz w:val="24"/>
          <w:szCs w:val="24"/>
        </w:rPr>
        <w:t>, adding mobile phones, radio transmitters, and radio transmitter receivers to the list in 2014</w:t>
      </w:r>
      <w:r>
        <w:rPr>
          <w:rFonts w:ascii="Times New Roman" w:hAnsi="Times New Roman"/>
          <w:sz w:val="24"/>
          <w:szCs w:val="24"/>
        </w:rPr>
        <w:t xml:space="preserve">. </w:t>
      </w:r>
      <w:r w:rsidR="00CE7F95">
        <w:rPr>
          <w:rFonts w:ascii="Times New Roman" w:hAnsi="Times New Roman"/>
          <w:sz w:val="24"/>
          <w:szCs w:val="24"/>
        </w:rPr>
        <w:t>In 2014 and 2015, it was stipulated an</w:t>
      </w:r>
      <w:r w:rsidR="001D34A5">
        <w:rPr>
          <w:rFonts w:ascii="Times New Roman" w:hAnsi="Times New Roman"/>
          <w:sz w:val="24"/>
          <w:szCs w:val="24"/>
        </w:rPr>
        <w:t xml:space="preserve"> auto-import licensing </w:t>
      </w:r>
      <w:r w:rsidR="00CE7F95">
        <w:rPr>
          <w:rFonts w:ascii="Times New Roman" w:hAnsi="Times New Roman"/>
          <w:sz w:val="24"/>
          <w:szCs w:val="24"/>
        </w:rPr>
        <w:t xml:space="preserve">scheme </w:t>
      </w:r>
      <w:r w:rsidR="001D34A5">
        <w:rPr>
          <w:rFonts w:ascii="Times New Roman" w:hAnsi="Times New Roman"/>
          <w:sz w:val="24"/>
          <w:szCs w:val="24"/>
        </w:rPr>
        <w:t xml:space="preserve">for specific types of fertilizer products and steel products. </w:t>
      </w:r>
    </w:p>
    <w:p w14:paraId="052A496E" w14:textId="77777777" w:rsidR="00DB2D5B" w:rsidRDefault="00DB2D5B" w:rsidP="00CD6615">
      <w:pPr>
        <w:spacing w:after="0" w:line="240" w:lineRule="auto"/>
        <w:jc w:val="both"/>
        <w:rPr>
          <w:rFonts w:ascii="Times New Roman" w:hAnsi="Times New Roman"/>
          <w:sz w:val="24"/>
          <w:szCs w:val="24"/>
        </w:rPr>
      </w:pPr>
    </w:p>
    <w:p w14:paraId="022AFEE6" w14:textId="339A7DC9" w:rsidR="00376F99" w:rsidRDefault="00C12A3A" w:rsidP="00C12A3A">
      <w:pPr>
        <w:spacing w:after="0" w:line="240" w:lineRule="auto"/>
        <w:jc w:val="both"/>
        <w:rPr>
          <w:rFonts w:ascii="Times New Roman" w:hAnsi="Times New Roman"/>
          <w:sz w:val="24"/>
          <w:szCs w:val="24"/>
        </w:rPr>
      </w:pPr>
      <w:r>
        <w:rPr>
          <w:rFonts w:ascii="Times New Roman" w:hAnsi="Times New Roman"/>
          <w:sz w:val="24"/>
          <w:szCs w:val="24"/>
        </w:rPr>
        <w:t>T</w:t>
      </w:r>
      <w:r w:rsidR="001D34A5" w:rsidRPr="00563F88">
        <w:rPr>
          <w:rFonts w:ascii="Times New Roman" w:hAnsi="Times New Roman"/>
          <w:sz w:val="24"/>
          <w:szCs w:val="24"/>
        </w:rPr>
        <w:t>ariff</w:t>
      </w:r>
      <w:r w:rsidR="001D34A5">
        <w:rPr>
          <w:rFonts w:ascii="Times New Roman" w:hAnsi="Times New Roman"/>
          <w:sz w:val="24"/>
          <w:szCs w:val="24"/>
        </w:rPr>
        <w:t xml:space="preserve"> </w:t>
      </w:r>
      <w:r w:rsidR="00563F88" w:rsidRPr="00563F88">
        <w:rPr>
          <w:rFonts w:ascii="Times New Roman" w:hAnsi="Times New Roman"/>
          <w:sz w:val="24"/>
          <w:szCs w:val="24"/>
        </w:rPr>
        <w:t xml:space="preserve">rate quotas </w:t>
      </w:r>
      <w:r w:rsidR="00563F88">
        <w:rPr>
          <w:rFonts w:ascii="Times New Roman" w:hAnsi="Times New Roman"/>
          <w:sz w:val="24"/>
          <w:szCs w:val="24"/>
        </w:rPr>
        <w:t xml:space="preserve">are applicable </w:t>
      </w:r>
      <w:r w:rsidR="00563F88" w:rsidRPr="00563F88">
        <w:rPr>
          <w:rFonts w:ascii="Times New Roman" w:hAnsi="Times New Roman"/>
          <w:sz w:val="24"/>
          <w:szCs w:val="24"/>
        </w:rPr>
        <w:t xml:space="preserve">for </w:t>
      </w:r>
      <w:r>
        <w:rPr>
          <w:rFonts w:ascii="Times New Roman" w:hAnsi="Times New Roman"/>
          <w:sz w:val="24"/>
          <w:szCs w:val="24"/>
        </w:rPr>
        <w:t xml:space="preserve">certain </w:t>
      </w:r>
      <w:r w:rsidR="00563F88" w:rsidRPr="00563F88">
        <w:rPr>
          <w:rFonts w:ascii="Times New Roman" w:hAnsi="Times New Roman"/>
          <w:sz w:val="24"/>
          <w:szCs w:val="24"/>
        </w:rPr>
        <w:t>imports</w:t>
      </w:r>
      <w:r>
        <w:rPr>
          <w:rFonts w:ascii="Times New Roman" w:hAnsi="Times New Roman"/>
          <w:sz w:val="24"/>
          <w:szCs w:val="24"/>
        </w:rPr>
        <w:t xml:space="preserve"> such as</w:t>
      </w:r>
      <w:r w:rsidR="00563F88">
        <w:rPr>
          <w:rFonts w:ascii="Times New Roman" w:hAnsi="Times New Roman"/>
          <w:sz w:val="24"/>
          <w:szCs w:val="24"/>
        </w:rPr>
        <w:t xml:space="preserve"> eggs, </w:t>
      </w:r>
      <w:r w:rsidR="001D34A5">
        <w:rPr>
          <w:rFonts w:ascii="Times New Roman" w:hAnsi="Times New Roman"/>
          <w:sz w:val="24"/>
          <w:szCs w:val="24"/>
        </w:rPr>
        <w:t xml:space="preserve">unrefined or raw </w:t>
      </w:r>
      <w:r w:rsidR="00563F88">
        <w:rPr>
          <w:rFonts w:ascii="Times New Roman" w:hAnsi="Times New Roman"/>
          <w:sz w:val="24"/>
          <w:szCs w:val="24"/>
        </w:rPr>
        <w:t xml:space="preserve">sugar, unmanufactured </w:t>
      </w:r>
      <w:r w:rsidR="00563F88" w:rsidRPr="00563F88">
        <w:rPr>
          <w:rFonts w:ascii="Times New Roman" w:hAnsi="Times New Roman"/>
          <w:sz w:val="24"/>
          <w:szCs w:val="24"/>
        </w:rPr>
        <w:t>tobacco, and salt</w:t>
      </w:r>
      <w:r w:rsidR="00563F88">
        <w:rPr>
          <w:rFonts w:ascii="Times New Roman" w:hAnsi="Times New Roman"/>
          <w:sz w:val="24"/>
          <w:szCs w:val="24"/>
        </w:rPr>
        <w:t xml:space="preserve">. </w:t>
      </w:r>
      <w:r>
        <w:rPr>
          <w:rFonts w:ascii="Times New Roman" w:hAnsi="Times New Roman"/>
          <w:sz w:val="24"/>
          <w:szCs w:val="24"/>
        </w:rPr>
        <w:t>P</w:t>
      </w:r>
      <w:r w:rsidR="00376F99">
        <w:rPr>
          <w:rFonts w:ascii="Times New Roman" w:hAnsi="Times New Roman"/>
          <w:sz w:val="24"/>
          <w:szCs w:val="24"/>
        </w:rPr>
        <w:t>rice stabilization measures for dairy products of children under six years old</w:t>
      </w:r>
      <w:r>
        <w:rPr>
          <w:rFonts w:ascii="Times New Roman" w:hAnsi="Times New Roman"/>
          <w:sz w:val="24"/>
          <w:szCs w:val="24"/>
        </w:rPr>
        <w:t xml:space="preserve"> are applicable</w:t>
      </w:r>
      <w:r w:rsidR="00376F99">
        <w:rPr>
          <w:rFonts w:ascii="Times New Roman" w:hAnsi="Times New Roman"/>
          <w:sz w:val="24"/>
          <w:szCs w:val="24"/>
        </w:rPr>
        <w:t xml:space="preserve">, </w:t>
      </w:r>
      <w:r>
        <w:rPr>
          <w:rFonts w:ascii="Times New Roman" w:hAnsi="Times New Roman"/>
          <w:sz w:val="24"/>
          <w:szCs w:val="24"/>
        </w:rPr>
        <w:t xml:space="preserve">such as </w:t>
      </w:r>
      <w:r w:rsidR="00376F99">
        <w:rPr>
          <w:rFonts w:ascii="Times New Roman" w:hAnsi="Times New Roman"/>
          <w:sz w:val="24"/>
          <w:szCs w:val="24"/>
        </w:rPr>
        <w:t>maximum prices</w:t>
      </w:r>
      <w:r>
        <w:rPr>
          <w:rFonts w:ascii="Times New Roman" w:hAnsi="Times New Roman"/>
          <w:sz w:val="24"/>
          <w:szCs w:val="24"/>
        </w:rPr>
        <w:t>,</w:t>
      </w:r>
      <w:r w:rsidR="00376F99">
        <w:rPr>
          <w:rFonts w:ascii="Times New Roman" w:hAnsi="Times New Roman"/>
          <w:sz w:val="24"/>
          <w:szCs w:val="24"/>
        </w:rPr>
        <w:t xml:space="preserve"> price reductions on milk formulas and setting a maximum retail mark-up of 15 percent.</w:t>
      </w:r>
      <w:r w:rsidR="005A3CB6">
        <w:rPr>
          <w:rFonts w:ascii="Times New Roman" w:hAnsi="Times New Roman"/>
          <w:sz w:val="24"/>
          <w:szCs w:val="24"/>
        </w:rPr>
        <w:t xml:space="preserve"> </w:t>
      </w:r>
    </w:p>
    <w:p w14:paraId="468167E4" w14:textId="77777777" w:rsidR="00415611" w:rsidRDefault="00415611" w:rsidP="00CD6615">
      <w:pPr>
        <w:spacing w:after="0" w:line="240" w:lineRule="auto"/>
        <w:jc w:val="both"/>
        <w:rPr>
          <w:rFonts w:ascii="Times New Roman" w:hAnsi="Times New Roman"/>
          <w:sz w:val="24"/>
          <w:szCs w:val="24"/>
        </w:rPr>
      </w:pPr>
    </w:p>
    <w:p w14:paraId="6D7B615B" w14:textId="77777777" w:rsidR="00CC7119" w:rsidRPr="008B79B6" w:rsidRDefault="00B37C34" w:rsidP="00CD6615">
      <w:pPr>
        <w:spacing w:after="0" w:line="240" w:lineRule="auto"/>
        <w:jc w:val="both"/>
        <w:rPr>
          <w:rFonts w:ascii="Times New Roman" w:hAnsi="Times New Roman"/>
          <w:b/>
          <w:color w:val="0070C0"/>
          <w:sz w:val="24"/>
          <w:szCs w:val="24"/>
        </w:rPr>
      </w:pPr>
      <w:r w:rsidRPr="008B79B6">
        <w:rPr>
          <w:rFonts w:ascii="Times New Roman" w:hAnsi="Times New Roman"/>
          <w:b/>
          <w:color w:val="0070C0"/>
          <w:sz w:val="24"/>
          <w:szCs w:val="24"/>
        </w:rPr>
        <w:t>Services</w:t>
      </w:r>
    </w:p>
    <w:p w14:paraId="2BFF0DE3" w14:textId="3AC815B8" w:rsidR="00654D89" w:rsidRDefault="00875609" w:rsidP="00654D89">
      <w:pPr>
        <w:spacing w:after="0" w:line="240" w:lineRule="auto"/>
        <w:jc w:val="both"/>
        <w:rPr>
          <w:rFonts w:ascii="Times New Roman" w:hAnsi="Times New Roman"/>
          <w:sz w:val="24"/>
          <w:szCs w:val="24"/>
        </w:rPr>
      </w:pPr>
      <w:r>
        <w:rPr>
          <w:rFonts w:ascii="Times New Roman" w:hAnsi="Times New Roman"/>
          <w:sz w:val="24"/>
          <w:szCs w:val="24"/>
        </w:rPr>
        <w:t>Several measures in a number of sectors have increased competi</w:t>
      </w:r>
      <w:r w:rsidR="00654D89">
        <w:rPr>
          <w:rFonts w:ascii="Times New Roman" w:hAnsi="Times New Roman"/>
          <w:sz w:val="24"/>
          <w:szCs w:val="24"/>
        </w:rPr>
        <w:t>ti</w:t>
      </w:r>
      <w:r>
        <w:rPr>
          <w:rFonts w:ascii="Times New Roman" w:hAnsi="Times New Roman"/>
          <w:sz w:val="24"/>
          <w:szCs w:val="24"/>
        </w:rPr>
        <w:t xml:space="preserve">on in the domestic market. </w:t>
      </w:r>
      <w:r w:rsidR="00714967">
        <w:rPr>
          <w:rFonts w:ascii="Times New Roman" w:hAnsi="Times New Roman"/>
          <w:sz w:val="24"/>
          <w:szCs w:val="24"/>
        </w:rPr>
        <w:t xml:space="preserve">In 2014, </w:t>
      </w:r>
      <w:r w:rsidR="00C12A3A">
        <w:rPr>
          <w:rFonts w:ascii="Times New Roman" w:hAnsi="Times New Roman"/>
          <w:sz w:val="24"/>
          <w:szCs w:val="24"/>
        </w:rPr>
        <w:t xml:space="preserve">the government issued </w:t>
      </w:r>
      <w:r w:rsidR="00714967">
        <w:rPr>
          <w:rFonts w:ascii="Times New Roman" w:hAnsi="Times New Roman"/>
          <w:sz w:val="24"/>
          <w:szCs w:val="24"/>
        </w:rPr>
        <w:t xml:space="preserve">regulations and procedures on the internal movement of foreign workers in 11 service sectors not subject to labor licensing. </w:t>
      </w:r>
      <w:r w:rsidR="00654D89">
        <w:rPr>
          <w:rFonts w:ascii="Times New Roman" w:hAnsi="Times New Roman"/>
          <w:sz w:val="24"/>
          <w:szCs w:val="24"/>
        </w:rPr>
        <w:t xml:space="preserve">In addition, Viet Nam opening up the banks and credit institutions market to foreign investment. The decree increases ownership limits for foreign organizations and foreign strategic investors (i.e., long-term investors) while maintaining limits for foreign individuals. Aggregate foreign ownership of banks and credit institutions is still pegged at 30 percent of charter capital. </w:t>
      </w:r>
      <w:r w:rsidR="00CA44F1">
        <w:rPr>
          <w:rFonts w:ascii="Times New Roman" w:hAnsi="Times New Roman"/>
          <w:sz w:val="24"/>
          <w:szCs w:val="24"/>
        </w:rPr>
        <w:t xml:space="preserve">In 2015, Viet Nam clarified rules covering foreign construction firms operating in the economy while simplifying procedures for obtaining construction permits. </w:t>
      </w:r>
    </w:p>
    <w:p w14:paraId="5DF898DB" w14:textId="77777777" w:rsidR="00DF14F0" w:rsidRDefault="00DF14F0" w:rsidP="00654D89">
      <w:pPr>
        <w:spacing w:after="0" w:line="240" w:lineRule="auto"/>
        <w:jc w:val="both"/>
        <w:rPr>
          <w:rFonts w:ascii="Times New Roman" w:hAnsi="Times New Roman"/>
          <w:sz w:val="24"/>
          <w:szCs w:val="24"/>
        </w:rPr>
      </w:pPr>
    </w:p>
    <w:p w14:paraId="250CE5DF" w14:textId="5C1EAF73" w:rsidR="00DF14F0" w:rsidRDefault="006109FE" w:rsidP="00CD6615">
      <w:pPr>
        <w:spacing w:after="0" w:line="240" w:lineRule="auto"/>
        <w:jc w:val="both"/>
        <w:rPr>
          <w:rFonts w:ascii="Times New Roman" w:hAnsi="Times New Roman"/>
          <w:sz w:val="24"/>
          <w:szCs w:val="24"/>
        </w:rPr>
      </w:pPr>
      <w:r>
        <w:rPr>
          <w:rFonts w:ascii="Times New Roman" w:hAnsi="Times New Roman"/>
          <w:sz w:val="24"/>
          <w:szCs w:val="24"/>
        </w:rPr>
        <w:t>However, restrictions were</w:t>
      </w:r>
      <w:r w:rsidR="00DF14F0">
        <w:rPr>
          <w:rFonts w:ascii="Times New Roman" w:hAnsi="Times New Roman"/>
          <w:sz w:val="24"/>
          <w:szCs w:val="24"/>
        </w:rPr>
        <w:t xml:space="preserve"> imposed </w:t>
      </w:r>
      <w:r>
        <w:rPr>
          <w:rFonts w:ascii="Times New Roman" w:hAnsi="Times New Roman"/>
          <w:sz w:val="24"/>
          <w:szCs w:val="24"/>
        </w:rPr>
        <w:t xml:space="preserve">in some services sectors. For example, </w:t>
      </w:r>
      <w:r w:rsidR="00DF14F0">
        <w:rPr>
          <w:rFonts w:ascii="Times New Roman" w:hAnsi="Times New Roman"/>
          <w:sz w:val="24"/>
          <w:szCs w:val="24"/>
        </w:rPr>
        <w:t>new regulations on websites and social networks</w:t>
      </w:r>
      <w:r>
        <w:rPr>
          <w:rFonts w:ascii="Times New Roman" w:hAnsi="Times New Roman"/>
          <w:sz w:val="24"/>
          <w:szCs w:val="24"/>
        </w:rPr>
        <w:t xml:space="preserve"> are </w:t>
      </w:r>
      <w:r w:rsidR="00DF14F0">
        <w:rPr>
          <w:rFonts w:ascii="Times New Roman" w:hAnsi="Times New Roman"/>
          <w:sz w:val="24"/>
          <w:szCs w:val="24"/>
        </w:rPr>
        <w:t xml:space="preserve">requiring </w:t>
      </w:r>
      <w:r>
        <w:rPr>
          <w:rFonts w:ascii="Times New Roman" w:hAnsi="Times New Roman"/>
          <w:sz w:val="24"/>
          <w:szCs w:val="24"/>
        </w:rPr>
        <w:t xml:space="preserve">sites </w:t>
      </w:r>
      <w:r w:rsidR="00DF14F0">
        <w:rPr>
          <w:rFonts w:ascii="Times New Roman" w:hAnsi="Times New Roman"/>
          <w:sz w:val="24"/>
          <w:szCs w:val="24"/>
        </w:rPr>
        <w:t xml:space="preserve">to locate a server within Viet Nam and to store posted information for 90 days and metadata up to two years. </w:t>
      </w:r>
    </w:p>
    <w:p w14:paraId="7ADB6D75" w14:textId="77777777" w:rsidR="000D6F4F" w:rsidRDefault="000D6F4F" w:rsidP="00CD6615">
      <w:pPr>
        <w:spacing w:after="0" w:line="240" w:lineRule="auto"/>
        <w:jc w:val="both"/>
        <w:rPr>
          <w:rFonts w:ascii="Times New Roman" w:hAnsi="Times New Roman"/>
          <w:sz w:val="24"/>
          <w:szCs w:val="24"/>
        </w:rPr>
      </w:pPr>
    </w:p>
    <w:p w14:paraId="4F030C5A" w14:textId="3ED17610" w:rsidR="000D6F4F" w:rsidRDefault="006109FE" w:rsidP="00CD6615">
      <w:pPr>
        <w:spacing w:after="0" w:line="240" w:lineRule="auto"/>
        <w:jc w:val="both"/>
        <w:rPr>
          <w:rFonts w:ascii="Times New Roman" w:hAnsi="Times New Roman"/>
          <w:sz w:val="24"/>
          <w:szCs w:val="24"/>
        </w:rPr>
      </w:pPr>
      <w:r>
        <w:rPr>
          <w:rFonts w:ascii="Times New Roman" w:hAnsi="Times New Roman"/>
          <w:sz w:val="24"/>
          <w:szCs w:val="24"/>
        </w:rPr>
        <w:t>In the transportation sector, the government has issued</w:t>
      </w:r>
      <w:r w:rsidR="00670B3C">
        <w:rPr>
          <w:rFonts w:ascii="Times New Roman" w:hAnsi="Times New Roman"/>
          <w:sz w:val="24"/>
          <w:szCs w:val="24"/>
        </w:rPr>
        <w:t xml:space="preserve"> measures to facilitate cross-border transportation in the Greater Mekong </w:t>
      </w:r>
      <w:proofErr w:type="spellStart"/>
      <w:r w:rsidR="00670B3C">
        <w:rPr>
          <w:rFonts w:ascii="Times New Roman" w:hAnsi="Times New Roman"/>
          <w:sz w:val="24"/>
          <w:szCs w:val="24"/>
        </w:rPr>
        <w:t>Subregion</w:t>
      </w:r>
      <w:proofErr w:type="spellEnd"/>
      <w:r>
        <w:rPr>
          <w:rFonts w:ascii="Times New Roman" w:hAnsi="Times New Roman"/>
          <w:sz w:val="24"/>
          <w:szCs w:val="24"/>
        </w:rPr>
        <w:t xml:space="preserve">; to </w:t>
      </w:r>
      <w:r w:rsidR="00670B3C">
        <w:rPr>
          <w:rFonts w:ascii="Times New Roman" w:hAnsi="Times New Roman"/>
          <w:sz w:val="24"/>
          <w:szCs w:val="24"/>
        </w:rPr>
        <w:t>regulating the quality of air and airport services and specifying compensations for air transport passengers</w:t>
      </w:r>
      <w:r>
        <w:rPr>
          <w:rFonts w:ascii="Times New Roman" w:hAnsi="Times New Roman"/>
          <w:sz w:val="24"/>
          <w:szCs w:val="24"/>
        </w:rPr>
        <w:t xml:space="preserve">; and to </w:t>
      </w:r>
      <w:r w:rsidR="009E717F">
        <w:rPr>
          <w:rFonts w:ascii="Times New Roman" w:hAnsi="Times New Roman"/>
          <w:sz w:val="24"/>
          <w:szCs w:val="24"/>
        </w:rPr>
        <w:t>improv</w:t>
      </w:r>
      <w:r>
        <w:rPr>
          <w:rFonts w:ascii="Times New Roman" w:hAnsi="Times New Roman"/>
          <w:sz w:val="24"/>
          <w:szCs w:val="24"/>
        </w:rPr>
        <w:t>e</w:t>
      </w:r>
      <w:r w:rsidR="009E717F">
        <w:rPr>
          <w:rFonts w:ascii="Times New Roman" w:hAnsi="Times New Roman"/>
          <w:sz w:val="24"/>
          <w:szCs w:val="24"/>
        </w:rPr>
        <w:t xml:space="preserve"> the quality of inland marine transport services in Viet Nam.</w:t>
      </w:r>
    </w:p>
    <w:p w14:paraId="42FDB36F" w14:textId="77777777" w:rsidR="00863E41" w:rsidRDefault="00863E41" w:rsidP="00CD6615">
      <w:pPr>
        <w:spacing w:after="0" w:line="240" w:lineRule="auto"/>
        <w:jc w:val="both"/>
        <w:rPr>
          <w:rFonts w:ascii="Times New Roman" w:hAnsi="Times New Roman"/>
          <w:sz w:val="24"/>
          <w:szCs w:val="24"/>
        </w:rPr>
      </w:pPr>
    </w:p>
    <w:p w14:paraId="5D1434B8" w14:textId="457E6CA3" w:rsidR="00CC7119" w:rsidRPr="008B79B6" w:rsidRDefault="00F906F1" w:rsidP="00CD6615">
      <w:pPr>
        <w:spacing w:after="0" w:line="240" w:lineRule="auto"/>
        <w:jc w:val="both"/>
        <w:rPr>
          <w:rFonts w:ascii="Times New Roman" w:hAnsi="Times New Roman"/>
          <w:b/>
          <w:color w:val="0070C0"/>
          <w:sz w:val="24"/>
          <w:szCs w:val="24"/>
        </w:rPr>
      </w:pPr>
      <w:r w:rsidRPr="008B79B6">
        <w:rPr>
          <w:rFonts w:ascii="Times New Roman" w:hAnsi="Times New Roman"/>
          <w:b/>
          <w:color w:val="0070C0"/>
          <w:sz w:val="24"/>
          <w:szCs w:val="24"/>
        </w:rPr>
        <w:t>Investment</w:t>
      </w:r>
    </w:p>
    <w:p w14:paraId="6B376A28" w14:textId="77777777" w:rsidR="007B533B" w:rsidRDefault="00CA18F9" w:rsidP="00CD6615">
      <w:pPr>
        <w:spacing w:after="0" w:line="240" w:lineRule="auto"/>
        <w:jc w:val="both"/>
        <w:rPr>
          <w:rFonts w:ascii="Times New Roman" w:hAnsi="Times New Roman"/>
          <w:sz w:val="24"/>
          <w:szCs w:val="24"/>
        </w:rPr>
      </w:pPr>
      <w:r>
        <w:rPr>
          <w:rFonts w:ascii="Times New Roman" w:hAnsi="Times New Roman"/>
          <w:sz w:val="24"/>
          <w:szCs w:val="24"/>
        </w:rPr>
        <w:t xml:space="preserve">The Law on Investment 2014 came into force in July 2015, changing the list of prohibited sectors for foreign investment from a positive list to a negative list. </w:t>
      </w:r>
      <w:r w:rsidR="006456D0">
        <w:rPr>
          <w:rFonts w:ascii="Times New Roman" w:hAnsi="Times New Roman"/>
          <w:sz w:val="24"/>
          <w:szCs w:val="24"/>
        </w:rPr>
        <w:t xml:space="preserve">The law states that foreigners can own an unlimited share of capital in companies except three cases specified in the law (e.g., state-owned enterprises or barred by other laws or treaties). The law also lists 267 sectors </w:t>
      </w:r>
      <w:r w:rsidR="00BE4FC1">
        <w:rPr>
          <w:rFonts w:ascii="Times New Roman" w:hAnsi="Times New Roman"/>
          <w:sz w:val="24"/>
          <w:szCs w:val="24"/>
        </w:rPr>
        <w:t>where foreign investments</w:t>
      </w:r>
      <w:r w:rsidR="006456D0">
        <w:rPr>
          <w:rFonts w:ascii="Times New Roman" w:hAnsi="Times New Roman"/>
          <w:sz w:val="24"/>
          <w:szCs w:val="24"/>
        </w:rPr>
        <w:t xml:space="preserve"> are subject to pre-approval by the government.</w:t>
      </w:r>
    </w:p>
    <w:p w14:paraId="47F06F46" w14:textId="77777777" w:rsidR="005F02CB" w:rsidRDefault="005F02CB" w:rsidP="00CD6615">
      <w:pPr>
        <w:spacing w:after="0" w:line="240" w:lineRule="auto"/>
        <w:jc w:val="both"/>
        <w:rPr>
          <w:rFonts w:ascii="Times New Roman" w:hAnsi="Times New Roman"/>
          <w:sz w:val="24"/>
          <w:szCs w:val="24"/>
        </w:rPr>
      </w:pPr>
    </w:p>
    <w:p w14:paraId="6DE9BC40" w14:textId="77777777" w:rsidR="005F02CB" w:rsidRDefault="006456D0" w:rsidP="00CD6615">
      <w:pPr>
        <w:spacing w:after="0" w:line="240" w:lineRule="auto"/>
        <w:jc w:val="both"/>
        <w:rPr>
          <w:rFonts w:ascii="Times New Roman" w:hAnsi="Times New Roman"/>
          <w:sz w:val="24"/>
          <w:szCs w:val="24"/>
        </w:rPr>
      </w:pPr>
      <w:r>
        <w:rPr>
          <w:rFonts w:ascii="Times New Roman" w:hAnsi="Times New Roman"/>
          <w:sz w:val="24"/>
          <w:szCs w:val="24"/>
        </w:rPr>
        <w:t xml:space="preserve">The Real Estate Law 2014 allows foreigners to </w:t>
      </w:r>
      <w:r w:rsidR="006351D0">
        <w:rPr>
          <w:rFonts w:ascii="Times New Roman" w:hAnsi="Times New Roman"/>
          <w:sz w:val="24"/>
          <w:szCs w:val="24"/>
        </w:rPr>
        <w:t xml:space="preserve">obtain a certificate of land rights use for 50 years with a possibility of extension. Foreign companies are also permitted to conduct a wider range of real estate services and activities under the new law. </w:t>
      </w:r>
    </w:p>
    <w:p w14:paraId="3AE7CBB3" w14:textId="77777777" w:rsidR="006351D0" w:rsidRDefault="006351D0" w:rsidP="00CD6615">
      <w:pPr>
        <w:spacing w:after="0" w:line="240" w:lineRule="auto"/>
        <w:jc w:val="both"/>
        <w:rPr>
          <w:rFonts w:ascii="Times New Roman" w:hAnsi="Times New Roman"/>
          <w:sz w:val="24"/>
          <w:szCs w:val="24"/>
        </w:rPr>
      </w:pPr>
    </w:p>
    <w:p w14:paraId="5610D05E" w14:textId="77777777" w:rsidR="00CC7119" w:rsidRDefault="00A25A26"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lastRenderedPageBreak/>
        <w:t>Standards and Conformance</w:t>
      </w:r>
    </w:p>
    <w:p w14:paraId="5E169CD5" w14:textId="052A5EBD" w:rsidR="007B533B" w:rsidRDefault="006B33EF" w:rsidP="00CD6615">
      <w:pPr>
        <w:spacing w:after="0" w:line="240" w:lineRule="auto"/>
        <w:jc w:val="both"/>
        <w:rPr>
          <w:rFonts w:ascii="Times New Roman" w:hAnsi="Times New Roman"/>
          <w:sz w:val="24"/>
          <w:szCs w:val="24"/>
        </w:rPr>
      </w:pPr>
      <w:r>
        <w:rPr>
          <w:rFonts w:ascii="Times New Roman" w:hAnsi="Times New Roman"/>
          <w:sz w:val="24"/>
          <w:szCs w:val="24"/>
        </w:rPr>
        <w:t>In its 2016 I</w:t>
      </w:r>
      <w:r w:rsidR="0048784C">
        <w:rPr>
          <w:rFonts w:ascii="Times New Roman" w:hAnsi="Times New Roman"/>
          <w:sz w:val="24"/>
          <w:szCs w:val="24"/>
        </w:rPr>
        <w:t xml:space="preserve">ndividual </w:t>
      </w:r>
      <w:r>
        <w:rPr>
          <w:rFonts w:ascii="Times New Roman" w:hAnsi="Times New Roman"/>
          <w:sz w:val="24"/>
          <w:szCs w:val="24"/>
        </w:rPr>
        <w:t>A</w:t>
      </w:r>
      <w:r w:rsidR="0048784C">
        <w:rPr>
          <w:rFonts w:ascii="Times New Roman" w:hAnsi="Times New Roman"/>
          <w:sz w:val="24"/>
          <w:szCs w:val="24"/>
        </w:rPr>
        <w:t xml:space="preserve">ction </w:t>
      </w:r>
      <w:r>
        <w:rPr>
          <w:rFonts w:ascii="Times New Roman" w:hAnsi="Times New Roman"/>
          <w:sz w:val="24"/>
          <w:szCs w:val="24"/>
        </w:rPr>
        <w:t>P</w:t>
      </w:r>
      <w:r w:rsidR="0048784C">
        <w:rPr>
          <w:rFonts w:ascii="Times New Roman" w:hAnsi="Times New Roman"/>
          <w:sz w:val="24"/>
          <w:szCs w:val="24"/>
        </w:rPr>
        <w:t>lan</w:t>
      </w:r>
      <w:r>
        <w:rPr>
          <w:rFonts w:ascii="Times New Roman" w:hAnsi="Times New Roman"/>
          <w:sz w:val="24"/>
          <w:szCs w:val="24"/>
        </w:rPr>
        <w:t xml:space="preserve"> submission</w:t>
      </w:r>
      <w:r w:rsidR="008F6F75">
        <w:rPr>
          <w:rFonts w:ascii="Times New Roman" w:hAnsi="Times New Roman"/>
          <w:sz w:val="24"/>
          <w:szCs w:val="24"/>
        </w:rPr>
        <w:t xml:space="preserve">, Viet Nam </w:t>
      </w:r>
      <w:r>
        <w:rPr>
          <w:rFonts w:ascii="Times New Roman" w:hAnsi="Times New Roman"/>
          <w:sz w:val="24"/>
          <w:szCs w:val="24"/>
        </w:rPr>
        <w:t>reported the publication of 842</w:t>
      </w:r>
      <w:r w:rsidR="008F6F75">
        <w:rPr>
          <w:rFonts w:ascii="Times New Roman" w:hAnsi="Times New Roman"/>
          <w:sz w:val="24"/>
          <w:szCs w:val="24"/>
        </w:rPr>
        <w:t xml:space="preserve"> technical standards</w:t>
      </w:r>
      <w:r>
        <w:rPr>
          <w:rFonts w:ascii="Times New Roman" w:hAnsi="Times New Roman"/>
          <w:sz w:val="24"/>
          <w:szCs w:val="24"/>
        </w:rPr>
        <w:t>, of which 65</w:t>
      </w:r>
      <w:r w:rsidR="008F6F75">
        <w:rPr>
          <w:rFonts w:ascii="Times New Roman" w:hAnsi="Times New Roman"/>
          <w:sz w:val="24"/>
          <w:szCs w:val="24"/>
        </w:rPr>
        <w:t xml:space="preserve"> </w:t>
      </w:r>
      <w:r w:rsidR="000308BE">
        <w:rPr>
          <w:rFonts w:ascii="Times New Roman" w:hAnsi="Times New Roman"/>
          <w:sz w:val="24"/>
          <w:szCs w:val="24"/>
        </w:rPr>
        <w:t>percent</w:t>
      </w:r>
      <w:r w:rsidR="008F6F75">
        <w:rPr>
          <w:rFonts w:ascii="Times New Roman" w:hAnsi="Times New Roman"/>
          <w:sz w:val="24"/>
          <w:szCs w:val="24"/>
        </w:rPr>
        <w:t xml:space="preserve"> were developed taking into account the standards by the International Standardization Organization, the International </w:t>
      </w:r>
      <w:proofErr w:type="spellStart"/>
      <w:r w:rsidR="008F6F75">
        <w:rPr>
          <w:rFonts w:ascii="Times New Roman" w:hAnsi="Times New Roman"/>
          <w:sz w:val="24"/>
          <w:szCs w:val="24"/>
        </w:rPr>
        <w:t>Electrotechnical</w:t>
      </w:r>
      <w:proofErr w:type="spellEnd"/>
      <w:r w:rsidR="008F6F75">
        <w:rPr>
          <w:rFonts w:ascii="Times New Roman" w:hAnsi="Times New Roman"/>
          <w:sz w:val="24"/>
          <w:szCs w:val="24"/>
        </w:rPr>
        <w:t xml:space="preserve"> Commission, </w:t>
      </w:r>
      <w:proofErr w:type="gramStart"/>
      <w:r w:rsidR="008F6F75">
        <w:rPr>
          <w:rFonts w:ascii="Times New Roman" w:hAnsi="Times New Roman"/>
          <w:sz w:val="24"/>
          <w:szCs w:val="24"/>
        </w:rPr>
        <w:t>the</w:t>
      </w:r>
      <w:proofErr w:type="gramEnd"/>
      <w:r w:rsidR="008F6F75">
        <w:rPr>
          <w:rFonts w:ascii="Times New Roman" w:hAnsi="Times New Roman"/>
          <w:sz w:val="24"/>
          <w:szCs w:val="24"/>
        </w:rPr>
        <w:t xml:space="preserve"> Codex </w:t>
      </w:r>
      <w:proofErr w:type="spellStart"/>
      <w:r w:rsidR="008F6F75">
        <w:rPr>
          <w:rFonts w:ascii="Times New Roman" w:hAnsi="Times New Roman"/>
          <w:sz w:val="24"/>
          <w:szCs w:val="24"/>
        </w:rPr>
        <w:t>Alimentarius</w:t>
      </w:r>
      <w:proofErr w:type="spellEnd"/>
      <w:r w:rsidR="008F6F75">
        <w:rPr>
          <w:rFonts w:ascii="Times New Roman" w:hAnsi="Times New Roman"/>
          <w:sz w:val="24"/>
          <w:szCs w:val="24"/>
        </w:rPr>
        <w:t xml:space="preserve">, among others. Viet Nam also </w:t>
      </w:r>
      <w:r>
        <w:rPr>
          <w:rFonts w:ascii="Times New Roman" w:hAnsi="Times New Roman"/>
          <w:sz w:val="24"/>
          <w:szCs w:val="24"/>
        </w:rPr>
        <w:t xml:space="preserve">reported publishing 105 </w:t>
      </w:r>
      <w:r w:rsidR="008F6F75">
        <w:rPr>
          <w:rFonts w:ascii="Times New Roman" w:hAnsi="Times New Roman"/>
          <w:sz w:val="24"/>
          <w:szCs w:val="24"/>
        </w:rPr>
        <w:t>technical regulations.</w:t>
      </w:r>
    </w:p>
    <w:p w14:paraId="1BE6241F" w14:textId="77777777" w:rsidR="00CA6EC0" w:rsidRDefault="00CA6EC0" w:rsidP="00CD6615">
      <w:pPr>
        <w:spacing w:after="0" w:line="240" w:lineRule="auto"/>
        <w:jc w:val="both"/>
        <w:rPr>
          <w:rFonts w:ascii="Times New Roman" w:hAnsi="Times New Roman"/>
          <w:sz w:val="24"/>
          <w:szCs w:val="24"/>
        </w:rPr>
      </w:pPr>
    </w:p>
    <w:p w14:paraId="670476DA" w14:textId="43C038B8" w:rsidR="00CA6EC0" w:rsidRDefault="00CA6EC0" w:rsidP="00CD6615">
      <w:pPr>
        <w:spacing w:after="0" w:line="240" w:lineRule="auto"/>
        <w:jc w:val="both"/>
        <w:rPr>
          <w:rFonts w:ascii="Times New Roman" w:hAnsi="Times New Roman"/>
          <w:sz w:val="24"/>
          <w:szCs w:val="24"/>
        </w:rPr>
      </w:pPr>
      <w:r w:rsidRPr="00CA6EC0">
        <w:rPr>
          <w:rFonts w:ascii="Times New Roman" w:hAnsi="Times New Roman"/>
          <w:sz w:val="24"/>
          <w:szCs w:val="24"/>
        </w:rPr>
        <w:t>By</w:t>
      </w:r>
      <w:r>
        <w:rPr>
          <w:rFonts w:ascii="Times New Roman" w:hAnsi="Times New Roman"/>
          <w:sz w:val="24"/>
          <w:szCs w:val="24"/>
        </w:rPr>
        <w:t xml:space="preserve"> the </w:t>
      </w:r>
      <w:r w:rsidRPr="00CA6EC0">
        <w:rPr>
          <w:rFonts w:ascii="Times New Roman" w:hAnsi="Times New Roman"/>
          <w:sz w:val="24"/>
          <w:szCs w:val="24"/>
        </w:rPr>
        <w:t>end of 2015, four specific trade concerns raised against Viet Nam at the WTO SPS Committee ha</w:t>
      </w:r>
      <w:r>
        <w:rPr>
          <w:rFonts w:ascii="Times New Roman" w:hAnsi="Times New Roman"/>
          <w:sz w:val="24"/>
          <w:szCs w:val="24"/>
        </w:rPr>
        <w:t>ve</w:t>
      </w:r>
      <w:r w:rsidRPr="00CA6EC0">
        <w:rPr>
          <w:rFonts w:ascii="Times New Roman" w:hAnsi="Times New Roman"/>
          <w:sz w:val="24"/>
          <w:szCs w:val="24"/>
        </w:rPr>
        <w:t xml:space="preserve"> not been resolved. These concerns relate to various food products such as fruits, dairy</w:t>
      </w:r>
      <w:r>
        <w:rPr>
          <w:rFonts w:ascii="Times New Roman" w:hAnsi="Times New Roman"/>
          <w:sz w:val="24"/>
          <w:szCs w:val="24"/>
        </w:rPr>
        <w:t>,</w:t>
      </w:r>
      <w:r w:rsidRPr="00CA6EC0">
        <w:rPr>
          <w:rFonts w:ascii="Times New Roman" w:hAnsi="Times New Roman"/>
          <w:sz w:val="24"/>
          <w:szCs w:val="24"/>
        </w:rPr>
        <w:t xml:space="preserve"> and meat products. With regard to TBT, four specific trade concerns raised at the WTO TBT Committee had not reached a resolution</w:t>
      </w:r>
      <w:r>
        <w:rPr>
          <w:rFonts w:ascii="Times New Roman" w:hAnsi="Times New Roman"/>
          <w:sz w:val="24"/>
          <w:szCs w:val="24"/>
        </w:rPr>
        <w:t>; affected</w:t>
      </w:r>
      <w:r w:rsidRPr="00CA6EC0">
        <w:rPr>
          <w:rFonts w:ascii="Times New Roman" w:hAnsi="Times New Roman"/>
          <w:sz w:val="24"/>
          <w:szCs w:val="24"/>
        </w:rPr>
        <w:t xml:space="preserve"> products include alcoholic beverages, cosmetics</w:t>
      </w:r>
      <w:r>
        <w:rPr>
          <w:rFonts w:ascii="Times New Roman" w:hAnsi="Times New Roman"/>
          <w:sz w:val="24"/>
          <w:szCs w:val="24"/>
        </w:rPr>
        <w:t>,</w:t>
      </w:r>
      <w:r w:rsidRPr="00CA6EC0">
        <w:rPr>
          <w:rFonts w:ascii="Times New Roman" w:hAnsi="Times New Roman"/>
          <w:sz w:val="24"/>
          <w:szCs w:val="24"/>
        </w:rPr>
        <w:t xml:space="preserve"> and mobile phones.</w:t>
      </w:r>
    </w:p>
    <w:p w14:paraId="248B8CCB" w14:textId="77777777" w:rsidR="008F6F75" w:rsidRDefault="008F6F75" w:rsidP="00CD6615">
      <w:pPr>
        <w:spacing w:after="0" w:line="240" w:lineRule="auto"/>
        <w:jc w:val="both"/>
        <w:rPr>
          <w:rFonts w:ascii="Times New Roman" w:hAnsi="Times New Roman"/>
          <w:sz w:val="24"/>
          <w:szCs w:val="24"/>
        </w:rPr>
      </w:pPr>
    </w:p>
    <w:p w14:paraId="2C357C50" w14:textId="77777777" w:rsidR="00CC7119" w:rsidRDefault="00DA788A"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Customs Procedures</w:t>
      </w:r>
    </w:p>
    <w:p w14:paraId="1AEEDD36" w14:textId="77777777" w:rsidR="00740F88" w:rsidRDefault="006B33EF" w:rsidP="006B33EF">
      <w:pPr>
        <w:spacing w:after="0" w:line="240" w:lineRule="auto"/>
        <w:jc w:val="both"/>
        <w:rPr>
          <w:rFonts w:ascii="Times New Roman" w:hAnsi="Times New Roman"/>
          <w:sz w:val="24"/>
          <w:szCs w:val="24"/>
        </w:rPr>
      </w:pPr>
      <w:r>
        <w:rPr>
          <w:rFonts w:ascii="Times New Roman" w:hAnsi="Times New Roman"/>
          <w:sz w:val="24"/>
          <w:szCs w:val="24"/>
        </w:rPr>
        <w:t xml:space="preserve">In 2014, Viet Nam rolled out the </w:t>
      </w:r>
      <w:r w:rsidRPr="006B33EF">
        <w:rPr>
          <w:rFonts w:ascii="Times New Roman" w:hAnsi="Times New Roman"/>
          <w:sz w:val="24"/>
          <w:szCs w:val="24"/>
        </w:rPr>
        <w:t>Viet</w:t>
      </w:r>
      <w:r w:rsidR="00592BBE">
        <w:rPr>
          <w:rFonts w:ascii="Times New Roman" w:hAnsi="Times New Roman"/>
          <w:sz w:val="24"/>
          <w:szCs w:val="24"/>
        </w:rPr>
        <w:t xml:space="preserve"> N</w:t>
      </w:r>
      <w:r w:rsidRPr="006B33EF">
        <w:rPr>
          <w:rFonts w:ascii="Times New Roman" w:hAnsi="Times New Roman"/>
          <w:sz w:val="24"/>
          <w:szCs w:val="24"/>
        </w:rPr>
        <w:t>am Automated Customs Clearance System</w:t>
      </w:r>
      <w:r>
        <w:rPr>
          <w:rFonts w:ascii="Times New Roman" w:hAnsi="Times New Roman"/>
          <w:sz w:val="24"/>
          <w:szCs w:val="24"/>
        </w:rPr>
        <w:t>/</w:t>
      </w:r>
      <w:r w:rsidRPr="006B33EF">
        <w:rPr>
          <w:rFonts w:ascii="Times New Roman" w:hAnsi="Times New Roman"/>
          <w:sz w:val="24"/>
          <w:szCs w:val="24"/>
        </w:rPr>
        <w:t>Viet</w:t>
      </w:r>
      <w:r w:rsidR="00592BBE">
        <w:rPr>
          <w:rFonts w:ascii="Times New Roman" w:hAnsi="Times New Roman"/>
          <w:sz w:val="24"/>
          <w:szCs w:val="24"/>
        </w:rPr>
        <w:t xml:space="preserve"> N</w:t>
      </w:r>
      <w:r w:rsidRPr="006B33EF">
        <w:rPr>
          <w:rFonts w:ascii="Times New Roman" w:hAnsi="Times New Roman"/>
          <w:sz w:val="24"/>
          <w:szCs w:val="24"/>
        </w:rPr>
        <w:t>am Customs Information</w:t>
      </w:r>
      <w:r>
        <w:rPr>
          <w:rFonts w:ascii="Times New Roman" w:hAnsi="Times New Roman"/>
          <w:sz w:val="24"/>
          <w:szCs w:val="24"/>
        </w:rPr>
        <w:t xml:space="preserve"> </w:t>
      </w:r>
      <w:r w:rsidRPr="006B33EF">
        <w:rPr>
          <w:rFonts w:ascii="Times New Roman" w:hAnsi="Times New Roman"/>
          <w:sz w:val="24"/>
          <w:szCs w:val="24"/>
        </w:rPr>
        <w:t>System</w:t>
      </w:r>
      <w:r>
        <w:rPr>
          <w:rFonts w:ascii="Times New Roman" w:hAnsi="Times New Roman"/>
          <w:sz w:val="24"/>
          <w:szCs w:val="24"/>
        </w:rPr>
        <w:t xml:space="preserve"> (VNACCS/VCIS), computerizing customs procedures and facilitating </w:t>
      </w:r>
      <w:r w:rsidR="00592BBE">
        <w:rPr>
          <w:rFonts w:ascii="Times New Roman" w:hAnsi="Times New Roman"/>
          <w:sz w:val="24"/>
          <w:szCs w:val="24"/>
        </w:rPr>
        <w:t xml:space="preserve">cross-border </w:t>
      </w:r>
      <w:r w:rsidR="007B4FD2">
        <w:rPr>
          <w:rFonts w:ascii="Times New Roman" w:hAnsi="Times New Roman"/>
          <w:sz w:val="24"/>
          <w:szCs w:val="24"/>
        </w:rPr>
        <w:t xml:space="preserve">transactions. VNACCS/VCIS is </w:t>
      </w:r>
      <w:r w:rsidR="00592BBE">
        <w:rPr>
          <w:rFonts w:ascii="Times New Roman" w:hAnsi="Times New Roman"/>
          <w:sz w:val="24"/>
          <w:szCs w:val="24"/>
        </w:rPr>
        <w:t xml:space="preserve">also </w:t>
      </w:r>
      <w:r w:rsidR="007B4FD2">
        <w:rPr>
          <w:rFonts w:ascii="Times New Roman" w:hAnsi="Times New Roman"/>
          <w:sz w:val="24"/>
          <w:szCs w:val="24"/>
        </w:rPr>
        <w:t>connected to the single window</w:t>
      </w:r>
      <w:r w:rsidR="00592BBE">
        <w:rPr>
          <w:rFonts w:ascii="Times New Roman" w:hAnsi="Times New Roman"/>
          <w:sz w:val="24"/>
          <w:szCs w:val="24"/>
        </w:rPr>
        <w:t xml:space="preserve"> </w:t>
      </w:r>
      <w:r w:rsidR="007B4FD2">
        <w:rPr>
          <w:rFonts w:ascii="Times New Roman" w:hAnsi="Times New Roman"/>
          <w:sz w:val="24"/>
          <w:szCs w:val="24"/>
        </w:rPr>
        <w:t>s</w:t>
      </w:r>
      <w:r w:rsidR="00592BBE">
        <w:rPr>
          <w:rFonts w:ascii="Times New Roman" w:hAnsi="Times New Roman"/>
          <w:sz w:val="24"/>
          <w:szCs w:val="24"/>
        </w:rPr>
        <w:t>ystem</w:t>
      </w:r>
      <w:r w:rsidR="007B4FD2">
        <w:rPr>
          <w:rFonts w:ascii="Times New Roman" w:hAnsi="Times New Roman"/>
          <w:sz w:val="24"/>
          <w:szCs w:val="24"/>
        </w:rPr>
        <w:t>, expediting administrative procedures for trade. As of 2015, all customs agencies in the economy are using VNACCS/VCIS.</w:t>
      </w:r>
    </w:p>
    <w:p w14:paraId="58A9136B" w14:textId="77777777" w:rsidR="007B4FD2" w:rsidRDefault="007B4FD2" w:rsidP="006B33EF">
      <w:pPr>
        <w:spacing w:after="0" w:line="240" w:lineRule="auto"/>
        <w:jc w:val="both"/>
        <w:rPr>
          <w:rFonts w:ascii="Times New Roman" w:hAnsi="Times New Roman"/>
          <w:sz w:val="24"/>
          <w:szCs w:val="24"/>
        </w:rPr>
      </w:pPr>
    </w:p>
    <w:p w14:paraId="695ACF8D" w14:textId="5F367539" w:rsidR="007B4FD2" w:rsidRDefault="007B4FD2" w:rsidP="006B33EF">
      <w:pPr>
        <w:spacing w:after="0" w:line="240" w:lineRule="auto"/>
        <w:jc w:val="both"/>
        <w:rPr>
          <w:rFonts w:ascii="Times New Roman" w:hAnsi="Times New Roman"/>
          <w:sz w:val="24"/>
          <w:szCs w:val="24"/>
        </w:rPr>
      </w:pPr>
      <w:r>
        <w:rPr>
          <w:rFonts w:ascii="Times New Roman" w:hAnsi="Times New Roman"/>
          <w:sz w:val="24"/>
          <w:szCs w:val="24"/>
        </w:rPr>
        <w:t xml:space="preserve">Viet Nam issued several circulars aimed at facilitating customs procedures and clarifying rules on handling, </w:t>
      </w:r>
      <w:r w:rsidR="00002695">
        <w:rPr>
          <w:rFonts w:ascii="Times New Roman" w:hAnsi="Times New Roman"/>
          <w:sz w:val="24"/>
          <w:szCs w:val="24"/>
        </w:rPr>
        <w:t xml:space="preserve">goods </w:t>
      </w:r>
      <w:r>
        <w:rPr>
          <w:rFonts w:ascii="Times New Roman" w:hAnsi="Times New Roman"/>
          <w:sz w:val="24"/>
          <w:szCs w:val="24"/>
        </w:rPr>
        <w:t xml:space="preserve">classification, </w:t>
      </w:r>
      <w:r w:rsidR="00E07838">
        <w:rPr>
          <w:rFonts w:ascii="Times New Roman" w:hAnsi="Times New Roman"/>
          <w:sz w:val="24"/>
          <w:szCs w:val="24"/>
        </w:rPr>
        <w:t xml:space="preserve">and </w:t>
      </w:r>
      <w:r>
        <w:rPr>
          <w:rFonts w:ascii="Times New Roman" w:hAnsi="Times New Roman"/>
          <w:sz w:val="24"/>
          <w:szCs w:val="24"/>
        </w:rPr>
        <w:t xml:space="preserve">inspection. </w:t>
      </w:r>
    </w:p>
    <w:p w14:paraId="5BD952B3" w14:textId="77777777" w:rsidR="00CB05B0" w:rsidRDefault="00CB05B0" w:rsidP="00CD6615">
      <w:pPr>
        <w:spacing w:after="0" w:line="240" w:lineRule="auto"/>
        <w:jc w:val="both"/>
        <w:rPr>
          <w:rFonts w:ascii="Times New Roman" w:hAnsi="Times New Roman"/>
          <w:sz w:val="24"/>
          <w:szCs w:val="24"/>
        </w:rPr>
      </w:pPr>
    </w:p>
    <w:p w14:paraId="3B468E3F" w14:textId="77777777" w:rsidR="00CC7119" w:rsidRDefault="00740F88"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Intellectual Property Rights</w:t>
      </w:r>
    </w:p>
    <w:p w14:paraId="1CCBCBF9" w14:textId="74072D55" w:rsidR="00EB44A7" w:rsidRDefault="00BD7DA0" w:rsidP="00CD6615">
      <w:pPr>
        <w:spacing w:after="0" w:line="240" w:lineRule="auto"/>
        <w:jc w:val="both"/>
        <w:rPr>
          <w:rFonts w:ascii="Times New Roman" w:hAnsi="Times New Roman"/>
          <w:sz w:val="24"/>
          <w:szCs w:val="24"/>
        </w:rPr>
      </w:pPr>
      <w:r>
        <w:rPr>
          <w:rFonts w:ascii="Times New Roman" w:hAnsi="Times New Roman"/>
          <w:sz w:val="24"/>
          <w:szCs w:val="24"/>
        </w:rPr>
        <w:t xml:space="preserve">Between </w:t>
      </w:r>
      <w:r w:rsidR="00863815">
        <w:rPr>
          <w:rFonts w:ascii="Times New Roman" w:hAnsi="Times New Roman"/>
          <w:sz w:val="24"/>
          <w:szCs w:val="24"/>
        </w:rPr>
        <w:t xml:space="preserve">2014 </w:t>
      </w:r>
      <w:r>
        <w:rPr>
          <w:rFonts w:ascii="Times New Roman" w:hAnsi="Times New Roman"/>
          <w:sz w:val="24"/>
          <w:szCs w:val="24"/>
        </w:rPr>
        <w:t xml:space="preserve">and </w:t>
      </w:r>
      <w:r w:rsidR="00863815">
        <w:rPr>
          <w:rFonts w:ascii="Times New Roman" w:hAnsi="Times New Roman"/>
          <w:sz w:val="24"/>
          <w:szCs w:val="24"/>
        </w:rPr>
        <w:t>2015</w:t>
      </w:r>
      <w:r>
        <w:rPr>
          <w:rFonts w:ascii="Times New Roman" w:hAnsi="Times New Roman"/>
          <w:sz w:val="24"/>
          <w:szCs w:val="24"/>
        </w:rPr>
        <w:t xml:space="preserve">, Viet Nam issued a number of </w:t>
      </w:r>
      <w:r w:rsidR="00F72B51">
        <w:rPr>
          <w:rFonts w:ascii="Times New Roman" w:hAnsi="Times New Roman"/>
          <w:sz w:val="24"/>
          <w:szCs w:val="24"/>
        </w:rPr>
        <w:t>laws and regulations to strengthen its IPR regime</w:t>
      </w:r>
      <w:r w:rsidR="00863815">
        <w:rPr>
          <w:rFonts w:ascii="Times New Roman" w:hAnsi="Times New Roman"/>
          <w:sz w:val="24"/>
          <w:szCs w:val="24"/>
        </w:rPr>
        <w:t xml:space="preserve"> and put them in line with WTO requirements</w:t>
      </w:r>
      <w:r w:rsidR="000D4567">
        <w:rPr>
          <w:rFonts w:ascii="Times New Roman" w:hAnsi="Times New Roman"/>
          <w:sz w:val="24"/>
          <w:szCs w:val="24"/>
        </w:rPr>
        <w:t>.</w:t>
      </w:r>
      <w:r w:rsidR="00863815">
        <w:rPr>
          <w:rFonts w:ascii="Times New Roman" w:hAnsi="Times New Roman"/>
          <w:sz w:val="24"/>
          <w:szCs w:val="24"/>
        </w:rPr>
        <w:t xml:space="preserve"> </w:t>
      </w:r>
      <w:r w:rsidR="000D4567">
        <w:rPr>
          <w:rFonts w:ascii="Times New Roman" w:hAnsi="Times New Roman"/>
          <w:sz w:val="24"/>
          <w:szCs w:val="24"/>
        </w:rPr>
        <w:t xml:space="preserve">These new regulations deal with </w:t>
      </w:r>
      <w:r w:rsidR="00863815">
        <w:rPr>
          <w:rFonts w:ascii="Times New Roman" w:hAnsi="Times New Roman"/>
          <w:sz w:val="24"/>
          <w:szCs w:val="24"/>
        </w:rPr>
        <w:t>loyalties and rewards for artistic works, trademark registration and sanctioning intellectual property violation in the industrial sector</w:t>
      </w:r>
      <w:r w:rsidR="00EB44A7">
        <w:rPr>
          <w:rFonts w:ascii="Times New Roman" w:hAnsi="Times New Roman"/>
          <w:sz w:val="24"/>
          <w:szCs w:val="24"/>
        </w:rPr>
        <w:t xml:space="preserve">. </w:t>
      </w:r>
    </w:p>
    <w:p w14:paraId="515CD511" w14:textId="77777777" w:rsidR="00EB44A7" w:rsidRDefault="00EB44A7" w:rsidP="00CD6615">
      <w:pPr>
        <w:spacing w:after="0" w:line="240" w:lineRule="auto"/>
        <w:jc w:val="both"/>
        <w:rPr>
          <w:rFonts w:ascii="Times New Roman" w:hAnsi="Times New Roman"/>
          <w:sz w:val="24"/>
          <w:szCs w:val="24"/>
        </w:rPr>
      </w:pPr>
    </w:p>
    <w:p w14:paraId="7166BD32" w14:textId="5263127C" w:rsidR="00816069" w:rsidRDefault="00863815" w:rsidP="00CD6615">
      <w:pPr>
        <w:spacing w:after="0" w:line="240" w:lineRule="auto"/>
        <w:jc w:val="both"/>
        <w:rPr>
          <w:rFonts w:ascii="Times New Roman" w:hAnsi="Times New Roman"/>
          <w:sz w:val="24"/>
          <w:szCs w:val="24"/>
        </w:rPr>
      </w:pPr>
      <w:r>
        <w:rPr>
          <w:rFonts w:ascii="Times New Roman" w:hAnsi="Times New Roman"/>
          <w:sz w:val="24"/>
          <w:szCs w:val="24"/>
        </w:rPr>
        <w:t xml:space="preserve">On </w:t>
      </w:r>
      <w:r w:rsidR="00EB44A7">
        <w:rPr>
          <w:rFonts w:ascii="Times New Roman" w:hAnsi="Times New Roman"/>
          <w:sz w:val="24"/>
          <w:szCs w:val="24"/>
        </w:rPr>
        <w:t xml:space="preserve">the </w:t>
      </w:r>
      <w:r>
        <w:rPr>
          <w:rFonts w:ascii="Times New Roman" w:hAnsi="Times New Roman"/>
          <w:sz w:val="24"/>
          <w:szCs w:val="24"/>
        </w:rPr>
        <w:t xml:space="preserve">enforcement </w:t>
      </w:r>
      <w:r w:rsidR="00EB44A7">
        <w:rPr>
          <w:rFonts w:ascii="Times New Roman" w:hAnsi="Times New Roman"/>
          <w:sz w:val="24"/>
          <w:szCs w:val="24"/>
        </w:rPr>
        <w:t xml:space="preserve">side, </w:t>
      </w:r>
      <w:r w:rsidR="000D4567">
        <w:rPr>
          <w:rFonts w:ascii="Times New Roman" w:hAnsi="Times New Roman"/>
          <w:sz w:val="24"/>
          <w:szCs w:val="24"/>
        </w:rPr>
        <w:t xml:space="preserve">in 2015, </w:t>
      </w:r>
      <w:r w:rsidR="00EB44A7">
        <w:rPr>
          <w:rFonts w:ascii="Times New Roman" w:hAnsi="Times New Roman"/>
          <w:sz w:val="24"/>
          <w:szCs w:val="24"/>
        </w:rPr>
        <w:t xml:space="preserve">Viet Nam </w:t>
      </w:r>
      <w:r w:rsidR="000D4567">
        <w:rPr>
          <w:rFonts w:ascii="Times New Roman" w:hAnsi="Times New Roman"/>
          <w:sz w:val="24"/>
          <w:szCs w:val="24"/>
        </w:rPr>
        <w:t>defined</w:t>
      </w:r>
      <w:r>
        <w:rPr>
          <w:rFonts w:ascii="Times New Roman" w:hAnsi="Times New Roman"/>
          <w:sz w:val="24"/>
          <w:szCs w:val="24"/>
        </w:rPr>
        <w:t xml:space="preserve"> inspection, supervision, and customs procedures covering trade in goods with intellectual property, as well as border control of counterfeit and pirated goods</w:t>
      </w:r>
      <w:r w:rsidR="00EB44A7">
        <w:rPr>
          <w:rFonts w:ascii="Times New Roman" w:hAnsi="Times New Roman"/>
          <w:sz w:val="24"/>
          <w:szCs w:val="24"/>
        </w:rPr>
        <w:t>.</w:t>
      </w:r>
    </w:p>
    <w:p w14:paraId="0D752712" w14:textId="77777777" w:rsidR="00F72B51" w:rsidRDefault="00F72B51" w:rsidP="00CD6615">
      <w:pPr>
        <w:spacing w:after="0" w:line="240" w:lineRule="auto"/>
        <w:jc w:val="both"/>
        <w:rPr>
          <w:rFonts w:ascii="Times New Roman" w:hAnsi="Times New Roman"/>
          <w:sz w:val="24"/>
          <w:szCs w:val="24"/>
        </w:rPr>
      </w:pPr>
    </w:p>
    <w:p w14:paraId="62689369" w14:textId="77777777" w:rsidR="00CC7119" w:rsidRDefault="00F16C31"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Competition Policy</w:t>
      </w:r>
    </w:p>
    <w:p w14:paraId="1359372B" w14:textId="6268697B" w:rsidR="00F16C31" w:rsidRDefault="00863815" w:rsidP="00CD6615">
      <w:pPr>
        <w:spacing w:after="0" w:line="240" w:lineRule="auto"/>
        <w:jc w:val="both"/>
        <w:rPr>
          <w:rFonts w:ascii="Times New Roman" w:hAnsi="Times New Roman"/>
          <w:sz w:val="24"/>
          <w:szCs w:val="24"/>
        </w:rPr>
      </w:pPr>
      <w:r>
        <w:rPr>
          <w:rFonts w:ascii="Times New Roman" w:hAnsi="Times New Roman"/>
          <w:sz w:val="24"/>
          <w:szCs w:val="24"/>
        </w:rPr>
        <w:t xml:space="preserve">In 2014, Viet Nam promulgated laws and regulations </w:t>
      </w:r>
      <w:r w:rsidR="00EA7334">
        <w:rPr>
          <w:rFonts w:ascii="Times New Roman" w:hAnsi="Times New Roman"/>
          <w:sz w:val="24"/>
          <w:szCs w:val="24"/>
        </w:rPr>
        <w:t>enhancing</w:t>
      </w:r>
      <w:r>
        <w:rPr>
          <w:rFonts w:ascii="Times New Roman" w:hAnsi="Times New Roman"/>
          <w:sz w:val="24"/>
          <w:szCs w:val="24"/>
        </w:rPr>
        <w:t xml:space="preserve"> </w:t>
      </w:r>
      <w:r w:rsidR="00EA7334">
        <w:rPr>
          <w:rFonts w:ascii="Times New Roman" w:hAnsi="Times New Roman"/>
          <w:sz w:val="24"/>
          <w:szCs w:val="24"/>
        </w:rPr>
        <w:t>enforcement of the Competition Law, including increasing fines for anticompetitive behaviors and clarifying legal bases to strengthen cases against violators. In 2015, the government defined the tasks, powers, and organization structure of the Competition Council, giving it quasi-judicial powers</w:t>
      </w:r>
      <w:r w:rsidR="005D5935">
        <w:rPr>
          <w:rFonts w:ascii="Times New Roman" w:hAnsi="Times New Roman"/>
          <w:sz w:val="24"/>
          <w:szCs w:val="24"/>
        </w:rPr>
        <w:t xml:space="preserve"> to enforce the Competition Law</w:t>
      </w:r>
      <w:r w:rsidR="00EA7334">
        <w:rPr>
          <w:rFonts w:ascii="Times New Roman" w:hAnsi="Times New Roman"/>
          <w:sz w:val="24"/>
          <w:szCs w:val="24"/>
        </w:rPr>
        <w:t xml:space="preserve"> as well as promoting research and international cooperation</w:t>
      </w:r>
      <w:r w:rsidR="005D5935">
        <w:rPr>
          <w:rFonts w:ascii="Times New Roman" w:hAnsi="Times New Roman"/>
          <w:sz w:val="24"/>
          <w:szCs w:val="24"/>
        </w:rPr>
        <w:t xml:space="preserve"> on competition</w:t>
      </w:r>
      <w:r w:rsidR="00EA7334">
        <w:rPr>
          <w:rFonts w:ascii="Times New Roman" w:hAnsi="Times New Roman"/>
          <w:sz w:val="24"/>
          <w:szCs w:val="24"/>
        </w:rPr>
        <w:t>.</w:t>
      </w:r>
    </w:p>
    <w:p w14:paraId="60A63AC5" w14:textId="77777777" w:rsidR="005D5935" w:rsidRDefault="005D5935" w:rsidP="00CD6615">
      <w:pPr>
        <w:spacing w:after="0" w:line="240" w:lineRule="auto"/>
        <w:jc w:val="both"/>
        <w:rPr>
          <w:rFonts w:ascii="Times New Roman" w:hAnsi="Times New Roman"/>
          <w:sz w:val="24"/>
          <w:szCs w:val="24"/>
        </w:rPr>
      </w:pPr>
    </w:p>
    <w:p w14:paraId="642982B6" w14:textId="77777777" w:rsidR="005D5935" w:rsidRDefault="005D5935" w:rsidP="00CD6615">
      <w:pPr>
        <w:spacing w:after="0" w:line="240" w:lineRule="auto"/>
        <w:jc w:val="both"/>
        <w:rPr>
          <w:rFonts w:ascii="Times New Roman" w:hAnsi="Times New Roman"/>
          <w:sz w:val="24"/>
          <w:szCs w:val="24"/>
        </w:rPr>
      </w:pPr>
      <w:r>
        <w:rPr>
          <w:rFonts w:ascii="Times New Roman" w:hAnsi="Times New Roman"/>
          <w:sz w:val="24"/>
          <w:szCs w:val="24"/>
        </w:rPr>
        <w:t>Competition policy is an integral part of the RTA/FTAs negotiated by Viet Nam in 2014-2015.</w:t>
      </w:r>
    </w:p>
    <w:p w14:paraId="27887695" w14:textId="77777777" w:rsidR="006C5CFD" w:rsidRDefault="006C5CFD" w:rsidP="00CD6615">
      <w:pPr>
        <w:spacing w:after="0" w:line="240" w:lineRule="auto"/>
        <w:jc w:val="both"/>
        <w:rPr>
          <w:rFonts w:ascii="Times New Roman" w:hAnsi="Times New Roman"/>
          <w:sz w:val="24"/>
          <w:szCs w:val="24"/>
        </w:rPr>
      </w:pPr>
    </w:p>
    <w:p w14:paraId="3939EC46" w14:textId="77777777" w:rsidR="00CC7119" w:rsidRDefault="001A1B03"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Government Procurement</w:t>
      </w:r>
    </w:p>
    <w:p w14:paraId="7E2A1178" w14:textId="77777777" w:rsidR="00BE664B" w:rsidRDefault="00A5329F" w:rsidP="00CD6615">
      <w:pPr>
        <w:spacing w:after="0" w:line="240" w:lineRule="auto"/>
        <w:jc w:val="both"/>
        <w:rPr>
          <w:rFonts w:ascii="Times New Roman" w:hAnsi="Times New Roman"/>
          <w:sz w:val="24"/>
          <w:szCs w:val="24"/>
        </w:rPr>
      </w:pPr>
      <w:r>
        <w:rPr>
          <w:rFonts w:ascii="Times New Roman" w:hAnsi="Times New Roman"/>
          <w:sz w:val="24"/>
          <w:szCs w:val="24"/>
        </w:rPr>
        <w:t>Viet Nam issued several laws and circulars strengthening government procurement processes, including those clarifying contractor selection and PPPs, guiding procurement administrative processes, and enhancing transparency through publication of tenders and selected suppliers.</w:t>
      </w:r>
    </w:p>
    <w:p w14:paraId="2EED12D8" w14:textId="77777777" w:rsidR="006C1C01" w:rsidRDefault="006C1C01" w:rsidP="00CD6615">
      <w:pPr>
        <w:spacing w:after="0" w:line="240" w:lineRule="auto"/>
        <w:jc w:val="both"/>
        <w:rPr>
          <w:rFonts w:ascii="Times New Roman" w:hAnsi="Times New Roman"/>
          <w:sz w:val="24"/>
          <w:szCs w:val="24"/>
        </w:rPr>
      </w:pPr>
    </w:p>
    <w:p w14:paraId="57F8B1D3" w14:textId="77777777" w:rsidR="00CC7119" w:rsidRPr="008B79B6" w:rsidRDefault="00BE664B" w:rsidP="00CD6615">
      <w:pPr>
        <w:spacing w:after="0" w:line="240" w:lineRule="auto"/>
        <w:jc w:val="both"/>
        <w:rPr>
          <w:rFonts w:ascii="Times New Roman" w:hAnsi="Times New Roman"/>
          <w:b/>
          <w:color w:val="0070C0"/>
          <w:sz w:val="24"/>
          <w:szCs w:val="24"/>
        </w:rPr>
      </w:pPr>
      <w:r w:rsidRPr="008B79B6">
        <w:rPr>
          <w:rFonts w:ascii="Times New Roman" w:hAnsi="Times New Roman"/>
          <w:b/>
          <w:color w:val="0070C0"/>
          <w:sz w:val="24"/>
          <w:szCs w:val="24"/>
        </w:rPr>
        <w:lastRenderedPageBreak/>
        <w:t>Deregulation/Regulatory Review</w:t>
      </w:r>
    </w:p>
    <w:p w14:paraId="7ACABED2" w14:textId="77777777" w:rsidR="003757D0" w:rsidRDefault="00557F11" w:rsidP="00CD6615">
      <w:pPr>
        <w:spacing w:after="0" w:line="240" w:lineRule="auto"/>
        <w:jc w:val="both"/>
        <w:rPr>
          <w:rFonts w:ascii="Times New Roman" w:hAnsi="Times New Roman"/>
          <w:sz w:val="24"/>
          <w:szCs w:val="24"/>
        </w:rPr>
      </w:pPr>
      <w:r>
        <w:rPr>
          <w:rFonts w:ascii="Times New Roman" w:hAnsi="Times New Roman"/>
          <w:sz w:val="24"/>
          <w:szCs w:val="24"/>
        </w:rPr>
        <w:t>Viet Nam continues to review existing regulations and promote deregulation. Recent laws and circulars have the aim of facilitating market entry, promoting competition, and liberalizing trade and foreign investment. Dialogues with the business community are ongoing to disseminate information, raise awareness, and address difficulties in doing business.</w:t>
      </w:r>
    </w:p>
    <w:p w14:paraId="4F076FF4" w14:textId="77777777" w:rsidR="00557F11" w:rsidRDefault="00557F11" w:rsidP="00CD6615">
      <w:pPr>
        <w:spacing w:after="0" w:line="240" w:lineRule="auto"/>
        <w:jc w:val="both"/>
        <w:rPr>
          <w:rFonts w:ascii="Times New Roman" w:hAnsi="Times New Roman"/>
          <w:sz w:val="24"/>
          <w:szCs w:val="24"/>
        </w:rPr>
      </w:pPr>
    </w:p>
    <w:p w14:paraId="6B5ED29B" w14:textId="77777777" w:rsidR="00557F11" w:rsidRPr="00AF3722" w:rsidRDefault="00557F11" w:rsidP="00CD6615">
      <w:pPr>
        <w:spacing w:after="0" w:line="240" w:lineRule="auto"/>
        <w:jc w:val="both"/>
        <w:rPr>
          <w:rFonts w:ascii="Times New Roman" w:hAnsi="Times New Roman"/>
          <w:b/>
          <w:color w:val="0070C0"/>
          <w:sz w:val="24"/>
          <w:szCs w:val="24"/>
        </w:rPr>
      </w:pPr>
      <w:r w:rsidRPr="00AF3722">
        <w:rPr>
          <w:rFonts w:ascii="Times New Roman" w:hAnsi="Times New Roman"/>
          <w:b/>
          <w:color w:val="0070C0"/>
          <w:sz w:val="24"/>
          <w:szCs w:val="24"/>
        </w:rPr>
        <w:t>Implementation of WTO Obli</w:t>
      </w:r>
      <w:r>
        <w:rPr>
          <w:rFonts w:ascii="Times New Roman" w:hAnsi="Times New Roman"/>
          <w:b/>
          <w:color w:val="0070C0"/>
          <w:sz w:val="24"/>
          <w:szCs w:val="24"/>
        </w:rPr>
        <w:t>g</w:t>
      </w:r>
      <w:r w:rsidRPr="00AF3722">
        <w:rPr>
          <w:rFonts w:ascii="Times New Roman" w:hAnsi="Times New Roman"/>
          <w:b/>
          <w:color w:val="0070C0"/>
          <w:sz w:val="24"/>
          <w:szCs w:val="24"/>
        </w:rPr>
        <w:t>ations/ROOs</w:t>
      </w:r>
    </w:p>
    <w:p w14:paraId="2FC284E3" w14:textId="77777777" w:rsidR="00557F11" w:rsidRDefault="00557F11" w:rsidP="00CD6615">
      <w:pPr>
        <w:spacing w:after="0" w:line="240" w:lineRule="auto"/>
        <w:jc w:val="both"/>
        <w:rPr>
          <w:rFonts w:ascii="Times New Roman" w:hAnsi="Times New Roman"/>
          <w:sz w:val="24"/>
          <w:szCs w:val="24"/>
        </w:rPr>
      </w:pPr>
      <w:r>
        <w:rPr>
          <w:rFonts w:ascii="Times New Roman" w:hAnsi="Times New Roman"/>
          <w:sz w:val="24"/>
          <w:szCs w:val="24"/>
        </w:rPr>
        <w:t>Viet Nam continues to provide necessary notifications to WTO regarding trade policies, including notices on subsidies and import licensing regimes.</w:t>
      </w:r>
    </w:p>
    <w:p w14:paraId="5470C69D" w14:textId="77777777" w:rsidR="00557F11" w:rsidRDefault="00557F11" w:rsidP="00CD6615">
      <w:pPr>
        <w:spacing w:after="0" w:line="240" w:lineRule="auto"/>
        <w:jc w:val="both"/>
        <w:rPr>
          <w:rFonts w:ascii="Times New Roman" w:hAnsi="Times New Roman"/>
          <w:sz w:val="24"/>
          <w:szCs w:val="24"/>
        </w:rPr>
      </w:pPr>
    </w:p>
    <w:p w14:paraId="05806030" w14:textId="77777777" w:rsidR="00557F11" w:rsidRDefault="00557F11" w:rsidP="00CD6615">
      <w:pPr>
        <w:spacing w:after="0" w:line="240" w:lineRule="auto"/>
        <w:jc w:val="both"/>
        <w:rPr>
          <w:rFonts w:ascii="Times New Roman" w:hAnsi="Times New Roman"/>
          <w:sz w:val="24"/>
          <w:szCs w:val="24"/>
        </w:rPr>
      </w:pPr>
      <w:r>
        <w:rPr>
          <w:rFonts w:ascii="Times New Roman" w:hAnsi="Times New Roman"/>
          <w:sz w:val="24"/>
          <w:szCs w:val="24"/>
        </w:rPr>
        <w:t xml:space="preserve">Issues regarding rules of origin are included in the RTA/FTAs Viet Nam negotiates with partner economies, including the recently-concluded FTA with Korea. </w:t>
      </w:r>
    </w:p>
    <w:p w14:paraId="28F6BB2D" w14:textId="77777777" w:rsidR="00557F11" w:rsidRDefault="00557F11" w:rsidP="00CD6615">
      <w:pPr>
        <w:spacing w:after="0" w:line="240" w:lineRule="auto"/>
        <w:jc w:val="both"/>
        <w:rPr>
          <w:rFonts w:ascii="Times New Roman" w:hAnsi="Times New Roman"/>
          <w:sz w:val="24"/>
          <w:szCs w:val="24"/>
        </w:rPr>
      </w:pPr>
    </w:p>
    <w:p w14:paraId="1C77677F" w14:textId="77777777" w:rsidR="00557F11" w:rsidRPr="00AF3722" w:rsidRDefault="00557F11" w:rsidP="00CD6615">
      <w:pPr>
        <w:spacing w:after="0" w:line="240" w:lineRule="auto"/>
        <w:jc w:val="both"/>
        <w:rPr>
          <w:rFonts w:ascii="Times New Roman" w:hAnsi="Times New Roman"/>
          <w:b/>
          <w:color w:val="0070C0"/>
          <w:sz w:val="24"/>
          <w:szCs w:val="24"/>
        </w:rPr>
      </w:pPr>
      <w:r w:rsidRPr="00AF3722">
        <w:rPr>
          <w:rFonts w:ascii="Times New Roman" w:hAnsi="Times New Roman"/>
          <w:b/>
          <w:color w:val="0070C0"/>
          <w:sz w:val="24"/>
          <w:szCs w:val="24"/>
        </w:rPr>
        <w:t>Dispute Resolution</w:t>
      </w:r>
    </w:p>
    <w:p w14:paraId="2BCA24D1" w14:textId="7F85CBF8" w:rsidR="00557F11" w:rsidRDefault="00557F11" w:rsidP="00CD6615">
      <w:pPr>
        <w:spacing w:after="0" w:line="240" w:lineRule="auto"/>
        <w:jc w:val="both"/>
        <w:rPr>
          <w:rFonts w:ascii="Times New Roman" w:hAnsi="Times New Roman"/>
          <w:sz w:val="24"/>
          <w:szCs w:val="24"/>
        </w:rPr>
      </w:pPr>
      <w:r>
        <w:rPr>
          <w:rFonts w:ascii="Times New Roman" w:hAnsi="Times New Roman"/>
          <w:sz w:val="24"/>
          <w:szCs w:val="24"/>
        </w:rPr>
        <w:t xml:space="preserve">In 2014, regarding </w:t>
      </w:r>
      <w:r w:rsidRPr="00557F11">
        <w:rPr>
          <w:rFonts w:ascii="Times New Roman" w:hAnsi="Times New Roman"/>
          <w:sz w:val="24"/>
          <w:szCs w:val="24"/>
        </w:rPr>
        <w:t xml:space="preserve">coordination in </w:t>
      </w:r>
      <w:r>
        <w:rPr>
          <w:rFonts w:ascii="Times New Roman" w:hAnsi="Times New Roman"/>
          <w:sz w:val="24"/>
          <w:szCs w:val="24"/>
        </w:rPr>
        <w:t xml:space="preserve">the </w:t>
      </w:r>
      <w:r w:rsidRPr="00557F11">
        <w:rPr>
          <w:rFonts w:ascii="Times New Roman" w:hAnsi="Times New Roman"/>
          <w:sz w:val="24"/>
          <w:szCs w:val="24"/>
        </w:rPr>
        <w:t>resolution of international investment disputes</w:t>
      </w:r>
      <w:r w:rsidR="00D86D22">
        <w:rPr>
          <w:rFonts w:ascii="Times New Roman" w:hAnsi="Times New Roman"/>
          <w:sz w:val="24"/>
          <w:szCs w:val="24"/>
        </w:rPr>
        <w:t>, Viet Na</w:t>
      </w:r>
      <w:r w:rsidR="006A49EE">
        <w:rPr>
          <w:rFonts w:ascii="Times New Roman" w:hAnsi="Times New Roman"/>
          <w:sz w:val="24"/>
          <w:szCs w:val="24"/>
        </w:rPr>
        <w:t>m</w:t>
      </w:r>
      <w:r w:rsidR="00D86D22">
        <w:rPr>
          <w:rFonts w:ascii="Times New Roman" w:hAnsi="Times New Roman"/>
          <w:sz w:val="24"/>
          <w:szCs w:val="24"/>
        </w:rPr>
        <w:t xml:space="preserve"> requested </w:t>
      </w:r>
      <w:r>
        <w:rPr>
          <w:rFonts w:ascii="Times New Roman" w:hAnsi="Times New Roman"/>
          <w:sz w:val="24"/>
          <w:szCs w:val="24"/>
        </w:rPr>
        <w:t>government agencies to coordinate international investment disputes “</w:t>
      </w:r>
      <w:r w:rsidRPr="00557F11">
        <w:rPr>
          <w:rFonts w:ascii="Times New Roman" w:hAnsi="Times New Roman"/>
          <w:sz w:val="24"/>
          <w:szCs w:val="24"/>
        </w:rPr>
        <w:t xml:space="preserve">proactively, adequately, timely, </w:t>
      </w:r>
      <w:proofErr w:type="gramStart"/>
      <w:r w:rsidRPr="00557F11">
        <w:rPr>
          <w:rFonts w:ascii="Times New Roman" w:hAnsi="Times New Roman"/>
          <w:sz w:val="24"/>
          <w:szCs w:val="24"/>
        </w:rPr>
        <w:t>efficiently</w:t>
      </w:r>
      <w:proofErr w:type="gramEnd"/>
      <w:r>
        <w:rPr>
          <w:rFonts w:ascii="Times New Roman" w:hAnsi="Times New Roman"/>
          <w:sz w:val="24"/>
          <w:szCs w:val="24"/>
        </w:rPr>
        <w:t xml:space="preserve">” and </w:t>
      </w:r>
      <w:r w:rsidR="00D86D22">
        <w:rPr>
          <w:rFonts w:ascii="Times New Roman" w:hAnsi="Times New Roman"/>
          <w:sz w:val="24"/>
          <w:szCs w:val="24"/>
        </w:rPr>
        <w:t xml:space="preserve">specified </w:t>
      </w:r>
      <w:r>
        <w:rPr>
          <w:rFonts w:ascii="Times New Roman" w:hAnsi="Times New Roman"/>
          <w:sz w:val="24"/>
          <w:szCs w:val="24"/>
        </w:rPr>
        <w:t xml:space="preserve">penalties for failure to do so. </w:t>
      </w:r>
    </w:p>
    <w:p w14:paraId="04F329D1" w14:textId="77777777" w:rsidR="004C64F7" w:rsidRDefault="004C64F7" w:rsidP="00CD6615">
      <w:pPr>
        <w:spacing w:after="0" w:line="240" w:lineRule="auto"/>
        <w:jc w:val="both"/>
        <w:rPr>
          <w:rFonts w:ascii="Times New Roman" w:hAnsi="Times New Roman"/>
          <w:sz w:val="24"/>
          <w:szCs w:val="24"/>
        </w:rPr>
      </w:pPr>
    </w:p>
    <w:p w14:paraId="7F97D9C4" w14:textId="77777777" w:rsidR="00CC7119" w:rsidRDefault="00680247" w:rsidP="00CD6615">
      <w:pPr>
        <w:spacing w:after="0" w:line="240" w:lineRule="auto"/>
        <w:jc w:val="both"/>
        <w:rPr>
          <w:rFonts w:ascii="Times New Roman" w:hAnsi="Times New Roman"/>
          <w:sz w:val="24"/>
          <w:szCs w:val="24"/>
          <w:u w:val="single"/>
        </w:rPr>
      </w:pPr>
      <w:r w:rsidRPr="008B79B6">
        <w:rPr>
          <w:rFonts w:ascii="Times New Roman" w:hAnsi="Times New Roman"/>
          <w:b/>
          <w:color w:val="0070C0"/>
          <w:sz w:val="24"/>
          <w:szCs w:val="24"/>
        </w:rPr>
        <w:t>Mobility of Business People</w:t>
      </w:r>
    </w:p>
    <w:p w14:paraId="7F8A1FCC" w14:textId="77777777" w:rsidR="00680247" w:rsidRDefault="00FE3C93" w:rsidP="00CD6615">
      <w:pPr>
        <w:spacing w:after="0" w:line="240" w:lineRule="auto"/>
        <w:jc w:val="both"/>
        <w:rPr>
          <w:rFonts w:ascii="Times New Roman" w:hAnsi="Times New Roman"/>
          <w:sz w:val="24"/>
          <w:szCs w:val="24"/>
        </w:rPr>
      </w:pPr>
      <w:r>
        <w:rPr>
          <w:rFonts w:ascii="Times New Roman" w:hAnsi="Times New Roman"/>
          <w:sz w:val="24"/>
          <w:szCs w:val="24"/>
        </w:rPr>
        <w:t xml:space="preserve">The new Law on Immigration came into force in 2015, regulating the entry, exit, transit, and residence of foreigners </w:t>
      </w:r>
      <w:r w:rsidR="00A06EBE">
        <w:rPr>
          <w:rFonts w:ascii="Times New Roman" w:hAnsi="Times New Roman"/>
          <w:sz w:val="24"/>
          <w:szCs w:val="24"/>
        </w:rPr>
        <w:t xml:space="preserve">in Viet Nam. Among other rules, the law forbids any changes to visa purpose (e.g., tourist to work visa), requires a 30-day period between entries for foreigners under the visa-free regime, and specifies instances where foreigners may be barred entry into or exit from Viet Nam. </w:t>
      </w:r>
      <w:r w:rsidR="009635B1">
        <w:rPr>
          <w:rFonts w:ascii="Times New Roman" w:hAnsi="Times New Roman"/>
          <w:sz w:val="24"/>
          <w:szCs w:val="24"/>
        </w:rPr>
        <w:t>The law also stipulates that working visas can have a maximum of two years while investor visas have a maximum of five years.</w:t>
      </w:r>
    </w:p>
    <w:p w14:paraId="70F2CF04" w14:textId="77777777" w:rsidR="00874065" w:rsidRDefault="00874065" w:rsidP="00CD6615">
      <w:pPr>
        <w:spacing w:after="0" w:line="240" w:lineRule="auto"/>
        <w:jc w:val="both"/>
        <w:rPr>
          <w:rFonts w:ascii="Times New Roman" w:hAnsi="Times New Roman"/>
          <w:sz w:val="24"/>
          <w:szCs w:val="24"/>
        </w:rPr>
      </w:pPr>
    </w:p>
    <w:p w14:paraId="2DFCBAAD" w14:textId="445D0104" w:rsidR="00874065" w:rsidRDefault="00874065" w:rsidP="00CD6615">
      <w:pPr>
        <w:spacing w:after="0" w:line="240" w:lineRule="auto"/>
        <w:jc w:val="both"/>
        <w:rPr>
          <w:rFonts w:ascii="Times New Roman" w:hAnsi="Times New Roman"/>
          <w:sz w:val="24"/>
          <w:szCs w:val="24"/>
        </w:rPr>
      </w:pPr>
      <w:r>
        <w:rPr>
          <w:rFonts w:ascii="Times New Roman" w:hAnsi="Times New Roman"/>
          <w:sz w:val="24"/>
          <w:szCs w:val="24"/>
        </w:rPr>
        <w:t xml:space="preserve">In October 2015, Viet Nam extended </w:t>
      </w:r>
      <w:r w:rsidR="00A261CF">
        <w:rPr>
          <w:rFonts w:ascii="Times New Roman" w:hAnsi="Times New Roman"/>
          <w:sz w:val="24"/>
          <w:szCs w:val="24"/>
        </w:rPr>
        <w:t xml:space="preserve">the </w:t>
      </w:r>
      <w:r>
        <w:rPr>
          <w:rFonts w:ascii="Times New Roman" w:hAnsi="Times New Roman"/>
          <w:sz w:val="24"/>
          <w:szCs w:val="24"/>
        </w:rPr>
        <w:t xml:space="preserve">ABTC validity from three to five years. </w:t>
      </w:r>
    </w:p>
    <w:p w14:paraId="539239D1" w14:textId="77777777" w:rsidR="00EB4EF2" w:rsidRDefault="00EB4EF2" w:rsidP="00CD6615">
      <w:pPr>
        <w:spacing w:after="0" w:line="240" w:lineRule="auto"/>
        <w:jc w:val="both"/>
        <w:rPr>
          <w:rFonts w:ascii="Times New Roman" w:hAnsi="Times New Roman"/>
          <w:sz w:val="24"/>
          <w:szCs w:val="24"/>
        </w:rPr>
      </w:pPr>
    </w:p>
    <w:p w14:paraId="2BC0DEE5" w14:textId="77777777" w:rsidR="00CC7119" w:rsidRDefault="00680247" w:rsidP="00CD6615">
      <w:pPr>
        <w:spacing w:after="0" w:line="240" w:lineRule="auto"/>
        <w:jc w:val="both"/>
        <w:rPr>
          <w:rFonts w:ascii="Times New Roman" w:hAnsi="Times New Roman"/>
          <w:b/>
          <w:color w:val="0070C0"/>
          <w:sz w:val="24"/>
          <w:szCs w:val="24"/>
        </w:rPr>
      </w:pPr>
      <w:r w:rsidRPr="008B79B6">
        <w:rPr>
          <w:rFonts w:ascii="Times New Roman" w:hAnsi="Times New Roman"/>
          <w:b/>
          <w:color w:val="0070C0"/>
          <w:sz w:val="24"/>
          <w:szCs w:val="24"/>
        </w:rPr>
        <w:t>RTA/FTAs</w:t>
      </w:r>
    </w:p>
    <w:p w14:paraId="2133B41C" w14:textId="77777777" w:rsidR="00EB4EF2" w:rsidRPr="00EB4EF2" w:rsidRDefault="00EB4EF2" w:rsidP="00CD6615">
      <w:pPr>
        <w:spacing w:after="0" w:line="240" w:lineRule="auto"/>
        <w:jc w:val="both"/>
        <w:rPr>
          <w:rFonts w:ascii="Times New Roman" w:hAnsi="Times New Roman"/>
          <w:sz w:val="24"/>
          <w:szCs w:val="24"/>
          <w:u w:val="single"/>
        </w:rPr>
      </w:pPr>
      <w:r w:rsidRPr="00EB4EF2">
        <w:rPr>
          <w:rFonts w:ascii="Times New Roman" w:hAnsi="Times New Roman"/>
          <w:sz w:val="24"/>
          <w:szCs w:val="24"/>
        </w:rPr>
        <w:t xml:space="preserve">Viet Nam reported </w:t>
      </w:r>
      <w:r w:rsidR="005778A5">
        <w:rPr>
          <w:rFonts w:ascii="Times New Roman" w:hAnsi="Times New Roman"/>
          <w:sz w:val="24"/>
          <w:szCs w:val="24"/>
        </w:rPr>
        <w:t xml:space="preserve">nine </w:t>
      </w:r>
      <w:r>
        <w:rPr>
          <w:rFonts w:ascii="Times New Roman" w:hAnsi="Times New Roman"/>
          <w:sz w:val="24"/>
          <w:szCs w:val="24"/>
        </w:rPr>
        <w:t>FTA/RTAs in force</w:t>
      </w:r>
      <w:r w:rsidR="00E71B68">
        <w:rPr>
          <w:rStyle w:val="FootnoteReference"/>
          <w:szCs w:val="24"/>
        </w:rPr>
        <w:footnoteReference w:id="2"/>
      </w:r>
      <w:r>
        <w:rPr>
          <w:rFonts w:ascii="Times New Roman" w:hAnsi="Times New Roman"/>
          <w:sz w:val="24"/>
          <w:szCs w:val="24"/>
        </w:rPr>
        <w:t xml:space="preserve"> and </w:t>
      </w:r>
      <w:r w:rsidR="005778A5">
        <w:rPr>
          <w:rFonts w:ascii="Times New Roman" w:hAnsi="Times New Roman"/>
          <w:sz w:val="24"/>
          <w:szCs w:val="24"/>
        </w:rPr>
        <w:t xml:space="preserve">six </w:t>
      </w:r>
      <w:r>
        <w:rPr>
          <w:rFonts w:ascii="Times New Roman" w:hAnsi="Times New Roman"/>
          <w:sz w:val="24"/>
          <w:szCs w:val="24"/>
        </w:rPr>
        <w:t>agreements under negotiation, including the Trans Pacific Partnership Agreement and the Regional Comprehensive Economic Partnership.</w:t>
      </w:r>
    </w:p>
    <w:sectPr w:rsidR="00EB4EF2" w:rsidRPr="00EB4EF2" w:rsidSect="005042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08E81" w14:textId="77777777" w:rsidR="00CE74EF" w:rsidRDefault="00CE74EF" w:rsidP="006F1F79">
      <w:pPr>
        <w:spacing w:after="0" w:line="240" w:lineRule="auto"/>
      </w:pPr>
      <w:r>
        <w:separator/>
      </w:r>
    </w:p>
  </w:endnote>
  <w:endnote w:type="continuationSeparator" w:id="0">
    <w:p w14:paraId="0CE6C1CC" w14:textId="77777777" w:rsidR="00CE74EF" w:rsidRDefault="00CE74EF" w:rsidP="006F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BF71" w14:textId="77777777" w:rsidR="00CE74EF" w:rsidRDefault="00CE74EF" w:rsidP="006F1F79">
      <w:pPr>
        <w:spacing w:after="0" w:line="240" w:lineRule="auto"/>
      </w:pPr>
      <w:r>
        <w:separator/>
      </w:r>
    </w:p>
  </w:footnote>
  <w:footnote w:type="continuationSeparator" w:id="0">
    <w:p w14:paraId="2C04B55E" w14:textId="77777777" w:rsidR="00CE74EF" w:rsidRDefault="00CE74EF" w:rsidP="006F1F79">
      <w:pPr>
        <w:spacing w:after="0" w:line="240" w:lineRule="auto"/>
      </w:pPr>
      <w:r>
        <w:continuationSeparator/>
      </w:r>
    </w:p>
  </w:footnote>
  <w:footnote w:id="1">
    <w:p w14:paraId="6DFE2A61" w14:textId="3A17D314" w:rsidR="008B79B6" w:rsidRPr="006F1F79" w:rsidRDefault="008B79B6" w:rsidP="00760F94">
      <w:pPr>
        <w:pStyle w:val="FootnoteText"/>
        <w:jc w:val="both"/>
        <w:rPr>
          <w:rStyle w:val="FootnoteReference"/>
        </w:rPr>
      </w:pPr>
      <w:r w:rsidRPr="006F1F79">
        <w:rPr>
          <w:rStyle w:val="FootnoteReference"/>
        </w:rPr>
        <w:sym w:font="Symbol" w:char="F02A"/>
      </w:r>
      <w:r>
        <w:rPr>
          <w:rFonts w:ascii="Times New Roman" w:hAnsi="Times New Roman"/>
        </w:rPr>
        <w:t>This brief</w:t>
      </w:r>
      <w:r w:rsidRPr="003D28CC">
        <w:rPr>
          <w:rFonts w:ascii="Times New Roman" w:hAnsi="Times New Roman"/>
        </w:rPr>
        <w:t xml:space="preserve"> </w:t>
      </w:r>
      <w:r w:rsidRPr="009C2C79">
        <w:rPr>
          <w:rFonts w:ascii="Times New Roman" w:hAnsi="Times New Roman"/>
        </w:rPr>
        <w:t xml:space="preserve">report was prepared with information from </w:t>
      </w:r>
      <w:r>
        <w:rPr>
          <w:rFonts w:ascii="Times New Roman" w:hAnsi="Times New Roman"/>
        </w:rPr>
        <w:t xml:space="preserve">Viet Nam’s </w:t>
      </w:r>
      <w:r w:rsidRPr="009C2C79">
        <w:rPr>
          <w:rFonts w:ascii="Times New Roman" w:hAnsi="Times New Roman"/>
        </w:rPr>
        <w:t>submission of 201</w:t>
      </w:r>
      <w:r w:rsidR="007D3A04">
        <w:rPr>
          <w:rFonts w:ascii="Times New Roman" w:hAnsi="Times New Roman"/>
        </w:rPr>
        <w:t>6</w:t>
      </w:r>
      <w:r w:rsidRPr="009C2C79">
        <w:rPr>
          <w:rFonts w:ascii="Times New Roman" w:hAnsi="Times New Roman"/>
        </w:rPr>
        <w:t xml:space="preserve"> APEC Individual Action Plan (IAP) template</w:t>
      </w:r>
      <w:r w:rsidR="00662EA2">
        <w:rPr>
          <w:rFonts w:ascii="Times New Roman" w:hAnsi="Times New Roman"/>
        </w:rPr>
        <w:t>;</w:t>
      </w:r>
      <w:r w:rsidR="00760F94">
        <w:rPr>
          <w:rFonts w:ascii="Times New Roman" w:hAnsi="Times New Roman"/>
        </w:rPr>
        <w:t xml:space="preserve"> </w:t>
      </w:r>
      <w:r w:rsidR="00036656">
        <w:rPr>
          <w:rFonts w:ascii="Times New Roman" w:hAnsi="Times New Roman"/>
        </w:rPr>
        <w:t xml:space="preserve">the 2015 WTO </w:t>
      </w:r>
      <w:r w:rsidR="007D3A04">
        <w:rPr>
          <w:rFonts w:ascii="Times New Roman" w:hAnsi="Times New Roman"/>
        </w:rPr>
        <w:t>World T</w:t>
      </w:r>
      <w:r w:rsidR="00036656">
        <w:rPr>
          <w:rFonts w:ascii="Times New Roman" w:hAnsi="Times New Roman"/>
        </w:rPr>
        <w:t>ariff Profile</w:t>
      </w:r>
      <w:r w:rsidR="00760F94">
        <w:rPr>
          <w:rFonts w:ascii="Times New Roman" w:hAnsi="Times New Roman"/>
        </w:rPr>
        <w:t>s  and i</w:t>
      </w:r>
      <w:r w:rsidR="00036656">
        <w:rPr>
          <w:rFonts w:ascii="Times New Roman" w:hAnsi="Times New Roman"/>
        </w:rPr>
        <w:t xml:space="preserve">nformation from </w:t>
      </w:r>
      <w:r w:rsidR="00F45BA8">
        <w:rPr>
          <w:rFonts w:ascii="Times New Roman" w:hAnsi="Times New Roman"/>
        </w:rPr>
        <w:t xml:space="preserve">the Ministries of Education and Training; Finance; Foreign Affairs; Industry and Trade; Information and Communication; Justice; and Planning and Investment </w:t>
      </w:r>
      <w:r w:rsidR="00760F94">
        <w:rPr>
          <w:rFonts w:ascii="Times New Roman" w:hAnsi="Times New Roman"/>
        </w:rPr>
        <w:t xml:space="preserve">websites </w:t>
      </w:r>
      <w:r w:rsidR="007D3A04">
        <w:rPr>
          <w:rFonts w:ascii="Times New Roman" w:hAnsi="Times New Roman"/>
        </w:rPr>
        <w:t>(laws, decrees, circulars, and decisions)</w:t>
      </w:r>
      <w:r w:rsidR="00662EA2">
        <w:rPr>
          <w:rFonts w:ascii="Times New Roman" w:hAnsi="Times New Roman"/>
        </w:rPr>
        <w:t>.</w:t>
      </w:r>
      <w:r w:rsidR="00036656">
        <w:rPr>
          <w:rFonts w:ascii="Times New Roman" w:hAnsi="Times New Roman"/>
        </w:rPr>
        <w:t xml:space="preserve"> </w:t>
      </w:r>
    </w:p>
  </w:footnote>
  <w:footnote w:id="2">
    <w:p w14:paraId="4AACBC3B" w14:textId="77777777" w:rsidR="00E71B68" w:rsidRPr="002C0EA1" w:rsidRDefault="00E71B68" w:rsidP="002C0EA1">
      <w:pPr>
        <w:pStyle w:val="FootnoteText"/>
        <w:jc w:val="both"/>
        <w:rPr>
          <w:rFonts w:ascii="Times New Roman" w:hAnsi="Times New Roman"/>
        </w:rPr>
      </w:pPr>
      <w:r w:rsidRPr="002C0EA1">
        <w:rPr>
          <w:rStyle w:val="FootnoteReference"/>
        </w:rPr>
        <w:footnoteRef/>
      </w:r>
      <w:r w:rsidRPr="002C0EA1">
        <w:rPr>
          <w:rFonts w:ascii="Times New Roman" w:hAnsi="Times New Roman"/>
        </w:rPr>
        <w:t xml:space="preserve"> </w:t>
      </w:r>
      <w:r w:rsidR="002C0EA1" w:rsidRPr="002C0EA1">
        <w:rPr>
          <w:rFonts w:ascii="Times New Roman" w:hAnsi="Times New Roman"/>
        </w:rPr>
        <w:t>Viet Nam’s RTA/FTAs in force are the</w:t>
      </w:r>
      <w:r w:rsidRPr="002C0EA1">
        <w:rPr>
          <w:rFonts w:ascii="Times New Roman" w:hAnsi="Times New Roman"/>
        </w:rPr>
        <w:t xml:space="preserve"> following</w:t>
      </w:r>
      <w:r w:rsidR="002C0EA1" w:rsidRPr="002C0EA1">
        <w:rPr>
          <w:rFonts w:ascii="Times New Roman" w:hAnsi="Times New Roman"/>
        </w:rPr>
        <w:t xml:space="preserve"> ones</w:t>
      </w:r>
      <w:r w:rsidRPr="002C0EA1">
        <w:rPr>
          <w:rFonts w:ascii="Times New Roman" w:hAnsi="Times New Roman"/>
        </w:rPr>
        <w:t>: ASEAN (1992), ASEAN-China (2005), ASEAN-Korea (2007), Viet Nam- Japan (2009), ASEAN-Japan (2009), ASEAN-Australia-New Zealand (2010), ASEAN-India (2010), Viet Nam-Chile (2012)</w:t>
      </w:r>
      <w:r w:rsidR="005778A5">
        <w:rPr>
          <w:rFonts w:ascii="Times New Roman" w:hAnsi="Times New Roman"/>
        </w:rPr>
        <w:t>, and Viet Nam-Korea (2015)</w:t>
      </w:r>
      <w:r w:rsidRPr="002C0EA1">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C6FA" w14:textId="77777777" w:rsidR="0099641E" w:rsidRPr="006B34A0" w:rsidRDefault="0099641E" w:rsidP="0099641E">
    <w:pPr>
      <w:pStyle w:val="Header"/>
      <w:tabs>
        <w:tab w:val="clear" w:pos="4680"/>
        <w:tab w:val="clear" w:pos="9360"/>
        <w:tab w:val="right" w:pos="8280"/>
        <w:tab w:val="right" w:pos="9000"/>
      </w:tabs>
      <w:jc w:val="right"/>
      <w:rPr>
        <w:rFonts w:ascii="Times New Roman" w:hAnsi="Times New Roman"/>
        <w:b/>
        <w:i/>
      </w:rPr>
    </w:pPr>
    <w:r w:rsidRPr="006B34A0">
      <w:rPr>
        <w:b/>
      </w:rPr>
      <w:tab/>
    </w:r>
    <w:r w:rsidRPr="006B34A0">
      <w:rPr>
        <w:rFonts w:ascii="Times New Roman" w:eastAsia="Times New Roman" w:hAnsi="Times New Roman"/>
        <w:i/>
      </w:rPr>
      <w:t>Progress</w:t>
    </w:r>
    <w:r w:rsidRPr="006B34A0">
      <w:rPr>
        <w:rFonts w:ascii="Times New Roman" w:hAnsi="Times New Roman"/>
        <w:i/>
      </w:rPr>
      <w:t xml:space="preserve"> Report </w:t>
    </w:r>
    <w:r>
      <w:rPr>
        <w:rFonts w:ascii="Times New Roman" w:hAnsi="Times New Roman"/>
        <w:i/>
      </w:rPr>
      <w:t>–</w:t>
    </w:r>
    <w:r w:rsidRPr="006B34A0">
      <w:rPr>
        <w:rFonts w:ascii="Times New Roman" w:hAnsi="Times New Roman"/>
        <w:i/>
      </w:rPr>
      <w:t xml:space="preserve"> </w:t>
    </w:r>
    <w:r>
      <w:rPr>
        <w:rFonts w:ascii="Times New Roman" w:hAnsi="Times New Roman"/>
        <w:i/>
      </w:rPr>
      <w:t>Viet Nam</w:t>
    </w:r>
    <w:r w:rsidRPr="006B34A0">
      <w:rPr>
        <w:rFonts w:ascii="Times New Roman" w:hAnsi="Times New Roman"/>
        <w:b/>
        <w:i/>
      </w:rPr>
      <w:tab/>
    </w:r>
    <w:r w:rsidRPr="006B34A0">
      <w:rPr>
        <w:rFonts w:ascii="Times New Roman" w:hAnsi="Times New Roman"/>
        <w:i/>
      </w:rPr>
      <w:fldChar w:fldCharType="begin"/>
    </w:r>
    <w:r w:rsidRPr="006B34A0">
      <w:rPr>
        <w:rFonts w:ascii="Times New Roman" w:hAnsi="Times New Roman"/>
        <w:i/>
      </w:rPr>
      <w:instrText xml:space="preserve"> PAGE   \* MERGEFORMAT </w:instrText>
    </w:r>
    <w:r w:rsidRPr="006B34A0">
      <w:rPr>
        <w:rFonts w:ascii="Times New Roman" w:hAnsi="Times New Roman"/>
        <w:i/>
      </w:rPr>
      <w:fldChar w:fldCharType="separate"/>
    </w:r>
    <w:r w:rsidR="007136E9">
      <w:rPr>
        <w:rFonts w:ascii="Times New Roman" w:hAnsi="Times New Roman"/>
        <w:i/>
        <w:noProof/>
      </w:rPr>
      <w:t>2</w:t>
    </w:r>
    <w:r w:rsidRPr="006B34A0">
      <w:rPr>
        <w:rFonts w:ascii="Times New Roman" w:hAnsi="Times New Roman"/>
        <w:i/>
      </w:rPr>
      <w:fldChar w:fldCharType="end"/>
    </w:r>
  </w:p>
  <w:p w14:paraId="787D3A89" w14:textId="77777777" w:rsidR="0099641E" w:rsidRDefault="00996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E2"/>
    <w:multiLevelType w:val="hybridMultilevel"/>
    <w:tmpl w:val="469C2AD8"/>
    <w:lvl w:ilvl="0" w:tplc="95D219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6CA5"/>
    <w:multiLevelType w:val="hybridMultilevel"/>
    <w:tmpl w:val="9F8E8D74"/>
    <w:lvl w:ilvl="0" w:tplc="992257BE">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843566E"/>
    <w:multiLevelType w:val="hybridMultilevel"/>
    <w:tmpl w:val="A808B0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B0"/>
    <w:rsid w:val="00002695"/>
    <w:rsid w:val="000073B0"/>
    <w:rsid w:val="00010EE9"/>
    <w:rsid w:val="00013107"/>
    <w:rsid w:val="000302F2"/>
    <w:rsid w:val="000308BE"/>
    <w:rsid w:val="00036656"/>
    <w:rsid w:val="0004224A"/>
    <w:rsid w:val="00054F7B"/>
    <w:rsid w:val="000713F4"/>
    <w:rsid w:val="0007345D"/>
    <w:rsid w:val="0007506F"/>
    <w:rsid w:val="000819E5"/>
    <w:rsid w:val="00097180"/>
    <w:rsid w:val="000C0DD0"/>
    <w:rsid w:val="000D0216"/>
    <w:rsid w:val="000D4567"/>
    <w:rsid w:val="000D6F4F"/>
    <w:rsid w:val="001238A0"/>
    <w:rsid w:val="0012612C"/>
    <w:rsid w:val="0013244A"/>
    <w:rsid w:val="00132F4F"/>
    <w:rsid w:val="0014766B"/>
    <w:rsid w:val="00155D60"/>
    <w:rsid w:val="0016671D"/>
    <w:rsid w:val="00181ED7"/>
    <w:rsid w:val="001A1B03"/>
    <w:rsid w:val="001A6D28"/>
    <w:rsid w:val="001C1EBE"/>
    <w:rsid w:val="001D34A5"/>
    <w:rsid w:val="001E35D3"/>
    <w:rsid w:val="001F2447"/>
    <w:rsid w:val="00201E87"/>
    <w:rsid w:val="002051EF"/>
    <w:rsid w:val="00231529"/>
    <w:rsid w:val="0024198F"/>
    <w:rsid w:val="002517ED"/>
    <w:rsid w:val="0025460B"/>
    <w:rsid w:val="002B5EDF"/>
    <w:rsid w:val="002C0EA1"/>
    <w:rsid w:val="002D0D2F"/>
    <w:rsid w:val="002E1795"/>
    <w:rsid w:val="002F2D2F"/>
    <w:rsid w:val="00313BC8"/>
    <w:rsid w:val="003372C8"/>
    <w:rsid w:val="00365E61"/>
    <w:rsid w:val="0037451F"/>
    <w:rsid w:val="003757D0"/>
    <w:rsid w:val="00376F99"/>
    <w:rsid w:val="00385325"/>
    <w:rsid w:val="003B25C2"/>
    <w:rsid w:val="003B3BEE"/>
    <w:rsid w:val="003C0EB9"/>
    <w:rsid w:val="003D7B1A"/>
    <w:rsid w:val="00401800"/>
    <w:rsid w:val="004109D7"/>
    <w:rsid w:val="0041340B"/>
    <w:rsid w:val="00415611"/>
    <w:rsid w:val="00421207"/>
    <w:rsid w:val="004379EF"/>
    <w:rsid w:val="0047428B"/>
    <w:rsid w:val="00475D84"/>
    <w:rsid w:val="0048665A"/>
    <w:rsid w:val="0048784C"/>
    <w:rsid w:val="004959F5"/>
    <w:rsid w:val="004C43B9"/>
    <w:rsid w:val="004C630F"/>
    <w:rsid w:val="004C64F7"/>
    <w:rsid w:val="004D1DBD"/>
    <w:rsid w:val="004E008C"/>
    <w:rsid w:val="004F2823"/>
    <w:rsid w:val="004F7788"/>
    <w:rsid w:val="005042B8"/>
    <w:rsid w:val="0051242F"/>
    <w:rsid w:val="00551CBF"/>
    <w:rsid w:val="0055573E"/>
    <w:rsid w:val="00557F11"/>
    <w:rsid w:val="00563F88"/>
    <w:rsid w:val="005778A5"/>
    <w:rsid w:val="005817E3"/>
    <w:rsid w:val="00581947"/>
    <w:rsid w:val="0058495E"/>
    <w:rsid w:val="00592BBE"/>
    <w:rsid w:val="005A3CB6"/>
    <w:rsid w:val="005C7C37"/>
    <w:rsid w:val="005D0FCF"/>
    <w:rsid w:val="005D5935"/>
    <w:rsid w:val="005E2A4B"/>
    <w:rsid w:val="005F02CB"/>
    <w:rsid w:val="005F2D58"/>
    <w:rsid w:val="00601E46"/>
    <w:rsid w:val="00603D3A"/>
    <w:rsid w:val="006109FE"/>
    <w:rsid w:val="006346F4"/>
    <w:rsid w:val="006351D0"/>
    <w:rsid w:val="006456D0"/>
    <w:rsid w:val="00654D89"/>
    <w:rsid w:val="00662EA2"/>
    <w:rsid w:val="00663C93"/>
    <w:rsid w:val="006655BD"/>
    <w:rsid w:val="00670B3C"/>
    <w:rsid w:val="006748A5"/>
    <w:rsid w:val="00676945"/>
    <w:rsid w:val="00680247"/>
    <w:rsid w:val="006A49EE"/>
    <w:rsid w:val="006B2631"/>
    <w:rsid w:val="006B33EF"/>
    <w:rsid w:val="006B73A6"/>
    <w:rsid w:val="006C1C01"/>
    <w:rsid w:val="006C579E"/>
    <w:rsid w:val="006C5CFD"/>
    <w:rsid w:val="006D1A61"/>
    <w:rsid w:val="006D315D"/>
    <w:rsid w:val="006E5B52"/>
    <w:rsid w:val="006F1F79"/>
    <w:rsid w:val="006F3407"/>
    <w:rsid w:val="00702091"/>
    <w:rsid w:val="007134D3"/>
    <w:rsid w:val="007136E9"/>
    <w:rsid w:val="00714967"/>
    <w:rsid w:val="00740F88"/>
    <w:rsid w:val="00752787"/>
    <w:rsid w:val="00760F94"/>
    <w:rsid w:val="007824A9"/>
    <w:rsid w:val="007857F2"/>
    <w:rsid w:val="00785CAF"/>
    <w:rsid w:val="00791346"/>
    <w:rsid w:val="007923B9"/>
    <w:rsid w:val="007B4FD2"/>
    <w:rsid w:val="007B533B"/>
    <w:rsid w:val="007D3A04"/>
    <w:rsid w:val="00816069"/>
    <w:rsid w:val="00820133"/>
    <w:rsid w:val="00846298"/>
    <w:rsid w:val="00863815"/>
    <w:rsid w:val="00863E41"/>
    <w:rsid w:val="00874065"/>
    <w:rsid w:val="00875609"/>
    <w:rsid w:val="008B79B6"/>
    <w:rsid w:val="008C4F2C"/>
    <w:rsid w:val="008D05EC"/>
    <w:rsid w:val="008D11FD"/>
    <w:rsid w:val="008E1C52"/>
    <w:rsid w:val="008F60FE"/>
    <w:rsid w:val="008F6F75"/>
    <w:rsid w:val="0092105B"/>
    <w:rsid w:val="00922A17"/>
    <w:rsid w:val="009262AB"/>
    <w:rsid w:val="00930672"/>
    <w:rsid w:val="00937C51"/>
    <w:rsid w:val="00950EA4"/>
    <w:rsid w:val="009568BC"/>
    <w:rsid w:val="009635B1"/>
    <w:rsid w:val="00985A2B"/>
    <w:rsid w:val="0099641E"/>
    <w:rsid w:val="009D69E3"/>
    <w:rsid w:val="009E6543"/>
    <w:rsid w:val="009E717F"/>
    <w:rsid w:val="009F30B9"/>
    <w:rsid w:val="00A06EBE"/>
    <w:rsid w:val="00A25A26"/>
    <w:rsid w:val="00A261CF"/>
    <w:rsid w:val="00A44833"/>
    <w:rsid w:val="00A5329F"/>
    <w:rsid w:val="00A92A0C"/>
    <w:rsid w:val="00AC01A2"/>
    <w:rsid w:val="00AC790F"/>
    <w:rsid w:val="00AD03E3"/>
    <w:rsid w:val="00AE068B"/>
    <w:rsid w:val="00AF3722"/>
    <w:rsid w:val="00B25ABC"/>
    <w:rsid w:val="00B37C34"/>
    <w:rsid w:val="00B40F7E"/>
    <w:rsid w:val="00B85260"/>
    <w:rsid w:val="00B85E49"/>
    <w:rsid w:val="00B9749A"/>
    <w:rsid w:val="00BA4766"/>
    <w:rsid w:val="00BB4AFF"/>
    <w:rsid w:val="00BC6218"/>
    <w:rsid w:val="00BD7DA0"/>
    <w:rsid w:val="00BE2F44"/>
    <w:rsid w:val="00BE4FC1"/>
    <w:rsid w:val="00BE664B"/>
    <w:rsid w:val="00BF63FE"/>
    <w:rsid w:val="00C12A3A"/>
    <w:rsid w:val="00C20F51"/>
    <w:rsid w:val="00C24FD5"/>
    <w:rsid w:val="00C37B89"/>
    <w:rsid w:val="00C4051B"/>
    <w:rsid w:val="00C44E4C"/>
    <w:rsid w:val="00C520FC"/>
    <w:rsid w:val="00CA18F9"/>
    <w:rsid w:val="00CA44F1"/>
    <w:rsid w:val="00CA5B6D"/>
    <w:rsid w:val="00CA6EC0"/>
    <w:rsid w:val="00CB05B0"/>
    <w:rsid w:val="00CB50FF"/>
    <w:rsid w:val="00CC7119"/>
    <w:rsid w:val="00CD2527"/>
    <w:rsid w:val="00CD6615"/>
    <w:rsid w:val="00CE74EF"/>
    <w:rsid w:val="00CE7F95"/>
    <w:rsid w:val="00D059C5"/>
    <w:rsid w:val="00D22017"/>
    <w:rsid w:val="00D34D23"/>
    <w:rsid w:val="00D404DA"/>
    <w:rsid w:val="00D62631"/>
    <w:rsid w:val="00D86D22"/>
    <w:rsid w:val="00DA788A"/>
    <w:rsid w:val="00DB2D5B"/>
    <w:rsid w:val="00DB4B71"/>
    <w:rsid w:val="00DC7E23"/>
    <w:rsid w:val="00DD2B40"/>
    <w:rsid w:val="00DE26C8"/>
    <w:rsid w:val="00DF08EA"/>
    <w:rsid w:val="00DF14F0"/>
    <w:rsid w:val="00E069DF"/>
    <w:rsid w:val="00E0777C"/>
    <w:rsid w:val="00E07838"/>
    <w:rsid w:val="00E1537C"/>
    <w:rsid w:val="00E35D03"/>
    <w:rsid w:val="00E36DE5"/>
    <w:rsid w:val="00E50F35"/>
    <w:rsid w:val="00E66D01"/>
    <w:rsid w:val="00E71B68"/>
    <w:rsid w:val="00E72917"/>
    <w:rsid w:val="00E8461C"/>
    <w:rsid w:val="00E914C4"/>
    <w:rsid w:val="00EA0787"/>
    <w:rsid w:val="00EA4EE5"/>
    <w:rsid w:val="00EA7334"/>
    <w:rsid w:val="00EB44A7"/>
    <w:rsid w:val="00EB4EF2"/>
    <w:rsid w:val="00EC4DF8"/>
    <w:rsid w:val="00EC65CC"/>
    <w:rsid w:val="00ED3670"/>
    <w:rsid w:val="00EE5B92"/>
    <w:rsid w:val="00EF457B"/>
    <w:rsid w:val="00F16C31"/>
    <w:rsid w:val="00F43FE8"/>
    <w:rsid w:val="00F45BA8"/>
    <w:rsid w:val="00F47C0C"/>
    <w:rsid w:val="00F6533B"/>
    <w:rsid w:val="00F707BE"/>
    <w:rsid w:val="00F72B51"/>
    <w:rsid w:val="00F906F1"/>
    <w:rsid w:val="00FA28B2"/>
    <w:rsid w:val="00FE32B3"/>
    <w:rsid w:val="00FE3C93"/>
    <w:rsid w:val="00FE4EB7"/>
    <w:rsid w:val="00FF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3A6"/>
  <w15:docId w15:val="{F1CAA5E2-8D94-4217-8075-34DDB68E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1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F79"/>
    <w:rPr>
      <w:rFonts w:ascii="Calibri" w:eastAsia="Calibri" w:hAnsi="Calibri" w:cs="Times New Roman"/>
      <w:sz w:val="20"/>
      <w:szCs w:val="20"/>
    </w:rPr>
  </w:style>
  <w:style w:type="character" w:styleId="FootnoteReference">
    <w:name w:val="footnote reference"/>
    <w:basedOn w:val="DefaultParagraphFont"/>
    <w:uiPriority w:val="99"/>
    <w:unhideWhenUsed/>
    <w:rsid w:val="006F1F79"/>
    <w:rPr>
      <w:rFonts w:ascii="Times New Roman" w:hAnsi="Times New Roman"/>
      <w:sz w:val="20"/>
      <w:vertAlign w:val="superscript"/>
    </w:rPr>
  </w:style>
  <w:style w:type="paragraph" w:styleId="ListParagraph">
    <w:name w:val="List Paragraph"/>
    <w:basedOn w:val="Normal"/>
    <w:uiPriority w:val="34"/>
    <w:qFormat/>
    <w:rsid w:val="00D62631"/>
    <w:pPr>
      <w:ind w:left="720"/>
      <w:contextualSpacing/>
    </w:pPr>
    <w:rPr>
      <w:rFonts w:asciiTheme="minorHAnsi" w:eastAsiaTheme="minorEastAsia" w:hAnsiTheme="minorHAnsi" w:cstheme="minorBidi"/>
      <w:lang w:eastAsia="zh-CN"/>
    </w:rPr>
  </w:style>
  <w:style w:type="paragraph" w:styleId="Header">
    <w:name w:val="header"/>
    <w:basedOn w:val="Normal"/>
    <w:link w:val="HeaderChar"/>
    <w:uiPriority w:val="99"/>
    <w:unhideWhenUsed/>
    <w:rsid w:val="00996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41E"/>
    <w:rPr>
      <w:rFonts w:ascii="Calibri" w:eastAsia="Calibri" w:hAnsi="Calibri" w:cs="Times New Roman"/>
    </w:rPr>
  </w:style>
  <w:style w:type="paragraph" w:styleId="Footer">
    <w:name w:val="footer"/>
    <w:basedOn w:val="Normal"/>
    <w:link w:val="FooterChar"/>
    <w:uiPriority w:val="99"/>
    <w:semiHidden/>
    <w:unhideWhenUsed/>
    <w:rsid w:val="009964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41E"/>
    <w:rPr>
      <w:rFonts w:ascii="Calibri" w:eastAsia="Calibri" w:hAnsi="Calibri" w:cs="Times New Roman"/>
    </w:rPr>
  </w:style>
  <w:style w:type="paragraph" w:styleId="BalloonText">
    <w:name w:val="Balloon Text"/>
    <w:basedOn w:val="Normal"/>
    <w:link w:val="BalloonTextChar"/>
    <w:uiPriority w:val="99"/>
    <w:semiHidden/>
    <w:unhideWhenUsed/>
    <w:rsid w:val="002C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EA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1340B"/>
    <w:rPr>
      <w:sz w:val="16"/>
      <w:szCs w:val="16"/>
    </w:rPr>
  </w:style>
  <w:style w:type="paragraph" w:styleId="CommentText">
    <w:name w:val="annotation text"/>
    <w:basedOn w:val="Normal"/>
    <w:link w:val="CommentTextChar"/>
    <w:uiPriority w:val="99"/>
    <w:semiHidden/>
    <w:unhideWhenUsed/>
    <w:rsid w:val="0041340B"/>
    <w:pPr>
      <w:spacing w:line="240" w:lineRule="auto"/>
    </w:pPr>
    <w:rPr>
      <w:sz w:val="20"/>
      <w:szCs w:val="20"/>
    </w:rPr>
  </w:style>
  <w:style w:type="character" w:customStyle="1" w:styleId="CommentTextChar">
    <w:name w:val="Comment Text Char"/>
    <w:basedOn w:val="DefaultParagraphFont"/>
    <w:link w:val="CommentText"/>
    <w:uiPriority w:val="99"/>
    <w:semiHidden/>
    <w:rsid w:val="004134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1340B"/>
    <w:rPr>
      <w:b/>
      <w:bCs/>
    </w:rPr>
  </w:style>
  <w:style w:type="character" w:customStyle="1" w:styleId="CommentSubjectChar">
    <w:name w:val="Comment Subject Char"/>
    <w:basedOn w:val="CommentTextChar"/>
    <w:link w:val="CommentSubject"/>
    <w:uiPriority w:val="99"/>
    <w:semiHidden/>
    <w:rsid w:val="0041340B"/>
    <w:rPr>
      <w:rFonts w:ascii="Calibri" w:eastAsia="Calibri" w:hAnsi="Calibri" w:cs="Times New Roman"/>
      <w:b/>
      <w:bCs/>
      <w:sz w:val="20"/>
      <w:szCs w:val="20"/>
    </w:rPr>
  </w:style>
  <w:style w:type="paragraph" w:styleId="Revision">
    <w:name w:val="Revision"/>
    <w:hidden/>
    <w:uiPriority w:val="99"/>
    <w:semiHidden/>
    <w:rsid w:val="00CA44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2156">
      <w:bodyDiv w:val="1"/>
      <w:marLeft w:val="0"/>
      <w:marRight w:val="0"/>
      <w:marTop w:val="0"/>
      <w:marBottom w:val="0"/>
      <w:divBdr>
        <w:top w:val="none" w:sz="0" w:space="0" w:color="auto"/>
        <w:left w:val="none" w:sz="0" w:space="0" w:color="auto"/>
        <w:bottom w:val="none" w:sz="0" w:space="0" w:color="auto"/>
        <w:right w:val="none" w:sz="0" w:space="0" w:color="auto"/>
      </w:divBdr>
    </w:div>
    <w:div w:id="19090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95873-C3BF-4126-9FC1-D4FF4D32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Kuriyama</dc:creator>
  <cp:keywords/>
  <dc:description/>
  <cp:lastModifiedBy>Denise Cheok Jia Yuan</cp:lastModifiedBy>
  <cp:revision>3</cp:revision>
  <cp:lastPrinted>2016-05-03T08:03:00Z</cp:lastPrinted>
  <dcterms:created xsi:type="dcterms:W3CDTF">2016-08-03T03:45:00Z</dcterms:created>
  <dcterms:modified xsi:type="dcterms:W3CDTF">2016-10-14T08:15:00Z</dcterms:modified>
</cp:coreProperties>
</file>