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tblInd w:w="91" w:type="dxa"/>
        <w:tblLook w:val="04A0" w:firstRow="1" w:lastRow="0" w:firstColumn="1" w:lastColumn="0" w:noHBand="0" w:noVBand="1"/>
      </w:tblPr>
      <w:tblGrid>
        <w:gridCol w:w="674"/>
        <w:gridCol w:w="8788"/>
      </w:tblGrid>
      <w:tr w:rsidR="00562F3D" w:rsidRPr="001B3EEA" w14:paraId="665243D5" w14:textId="77777777" w:rsidTr="00235A93">
        <w:trPr>
          <w:trHeight w:val="330"/>
        </w:trPr>
        <w:tc>
          <w:tcPr>
            <w:tcW w:w="6897" w:type="dxa"/>
            <w:gridSpan w:val="2"/>
            <w:tcBorders>
              <w:top w:val="nil"/>
              <w:left w:val="nil"/>
              <w:bottom w:val="nil"/>
              <w:right w:val="nil"/>
            </w:tcBorders>
            <w:shd w:val="clear" w:color="000000" w:fill="0070C0"/>
            <w:noWrap/>
            <w:vAlign w:val="bottom"/>
            <w:hideMark/>
          </w:tcPr>
          <w:p w14:paraId="53044830" w14:textId="4D13D90A" w:rsidR="00562F3D" w:rsidRPr="004265A5" w:rsidRDefault="00562F3D" w:rsidP="0084595C">
            <w:pPr>
              <w:spacing w:after="0"/>
              <w:jc w:val="both"/>
              <w:rPr>
                <w:rFonts w:ascii="Times New Roman" w:eastAsia="Times New Roman" w:hAnsi="Times New Roman"/>
                <w:b/>
                <w:bCs/>
                <w:color w:val="FFFFFF"/>
                <w:sz w:val="28"/>
                <w:szCs w:val="28"/>
              </w:rPr>
            </w:pPr>
            <w:r w:rsidRPr="00562F3D">
              <w:rPr>
                <w:rFonts w:ascii="Times New Roman" w:eastAsia="Times New Roman" w:hAnsi="Times New Roman"/>
                <w:b/>
                <w:bCs/>
                <w:color w:val="FFFFFF"/>
                <w:sz w:val="28"/>
                <w:szCs w:val="28"/>
              </w:rPr>
              <w:t xml:space="preserve">Peru’s </w:t>
            </w:r>
            <w:r w:rsidR="00C36B8C">
              <w:rPr>
                <w:rFonts w:ascii="Times New Roman" w:eastAsia="Times New Roman" w:hAnsi="Times New Roman"/>
                <w:b/>
                <w:bCs/>
                <w:color w:val="FFFFFF"/>
                <w:sz w:val="28"/>
                <w:szCs w:val="28"/>
              </w:rPr>
              <w:t>Bogor Goals Progress Report</w:t>
            </w:r>
            <w:r w:rsidR="008B0561">
              <w:rPr>
                <w:rFonts w:ascii="Times New Roman" w:eastAsia="Times New Roman" w:hAnsi="Times New Roman"/>
                <w:b/>
                <w:bCs/>
                <w:color w:val="FFFFFF"/>
                <w:sz w:val="28"/>
                <w:szCs w:val="28"/>
              </w:rPr>
              <w:t xml:space="preserve"> (as at </w:t>
            </w:r>
            <w:r w:rsidR="0084595C">
              <w:rPr>
                <w:rFonts w:ascii="Times New Roman" w:eastAsia="Times New Roman" w:hAnsi="Times New Roman"/>
                <w:b/>
                <w:bCs/>
                <w:color w:val="FFFFFF"/>
                <w:sz w:val="28"/>
                <w:szCs w:val="28"/>
              </w:rPr>
              <w:t xml:space="preserve">30 </w:t>
            </w:r>
            <w:r w:rsidR="008C483F" w:rsidRPr="008C483F">
              <w:rPr>
                <w:rFonts w:ascii="Times New Roman" w:eastAsia="Times New Roman" w:hAnsi="Times New Roman"/>
                <w:b/>
                <w:bCs/>
                <w:color w:val="FFFFFF"/>
                <w:sz w:val="28"/>
                <w:szCs w:val="28"/>
              </w:rPr>
              <w:t xml:space="preserve">September </w:t>
            </w:r>
            <w:bookmarkStart w:id="0" w:name="_GoBack"/>
            <w:bookmarkEnd w:id="0"/>
            <w:r w:rsidR="008B0561">
              <w:rPr>
                <w:rFonts w:ascii="Times New Roman" w:eastAsia="Times New Roman" w:hAnsi="Times New Roman"/>
                <w:b/>
                <w:bCs/>
                <w:color w:val="FFFFFF"/>
                <w:sz w:val="28"/>
                <w:szCs w:val="28"/>
              </w:rPr>
              <w:t>201</w:t>
            </w:r>
            <w:r w:rsidR="00685826">
              <w:rPr>
                <w:rFonts w:ascii="Times New Roman" w:eastAsia="Times New Roman" w:hAnsi="Times New Roman"/>
                <w:b/>
                <w:bCs/>
                <w:color w:val="FFFFFF"/>
                <w:sz w:val="28"/>
                <w:szCs w:val="28"/>
              </w:rPr>
              <w:t>6</w:t>
            </w:r>
            <w:r w:rsidR="008B0561">
              <w:rPr>
                <w:rFonts w:ascii="Times New Roman" w:eastAsia="Times New Roman" w:hAnsi="Times New Roman"/>
                <w:b/>
                <w:bCs/>
                <w:color w:val="FFFFFF"/>
                <w:sz w:val="28"/>
                <w:szCs w:val="28"/>
              </w:rPr>
              <w:t>)</w:t>
            </w:r>
            <w:r w:rsidRPr="00562F3D">
              <w:rPr>
                <w:rFonts w:eastAsia="Times New Roman"/>
                <w:bCs/>
                <w:color w:val="FFFFFF"/>
                <w:sz w:val="28"/>
                <w:szCs w:val="28"/>
              </w:rPr>
              <w:footnoteReference w:customMarkFollows="1" w:id="1"/>
              <w:sym w:font="Symbol" w:char="F02A"/>
            </w:r>
          </w:p>
        </w:tc>
      </w:tr>
      <w:tr w:rsidR="00562F3D" w:rsidRPr="001B3EEA" w14:paraId="7E3DF0F2" w14:textId="77777777" w:rsidTr="00235A93">
        <w:trPr>
          <w:trHeight w:val="315"/>
        </w:trPr>
        <w:tc>
          <w:tcPr>
            <w:tcW w:w="491" w:type="dxa"/>
            <w:tcBorders>
              <w:top w:val="nil"/>
              <w:left w:val="nil"/>
              <w:bottom w:val="nil"/>
              <w:right w:val="nil"/>
            </w:tcBorders>
            <w:shd w:val="clear" w:color="000000" w:fill="B6DDE8"/>
            <w:noWrap/>
            <w:vAlign w:val="bottom"/>
            <w:hideMark/>
          </w:tcPr>
          <w:p w14:paraId="7D013FE1" w14:textId="77777777" w:rsidR="00562F3D" w:rsidRPr="001B3EEA" w:rsidRDefault="00562F3D" w:rsidP="00235A93">
            <w:pPr>
              <w:spacing w:after="0" w:line="240" w:lineRule="auto"/>
              <w:jc w:val="center"/>
              <w:rPr>
                <w:rFonts w:ascii="Times New Roman" w:eastAsia="Times New Roman" w:hAnsi="Times New Roman"/>
                <w:color w:val="000000"/>
              </w:rPr>
            </w:pPr>
            <w:r w:rsidRPr="001B3EEA">
              <w:rPr>
                <w:rFonts w:ascii="Times New Roman" w:eastAsia="Times New Roman" w:hAnsi="Times New Roman"/>
                <w:color w:val="000000"/>
              </w:rPr>
              <w:t> </w:t>
            </w:r>
          </w:p>
        </w:tc>
        <w:tc>
          <w:tcPr>
            <w:tcW w:w="6406" w:type="dxa"/>
            <w:tcBorders>
              <w:top w:val="nil"/>
              <w:left w:val="nil"/>
              <w:bottom w:val="nil"/>
              <w:right w:val="nil"/>
            </w:tcBorders>
            <w:shd w:val="clear" w:color="000000" w:fill="B6DDE8"/>
            <w:noWrap/>
            <w:vAlign w:val="bottom"/>
            <w:hideMark/>
          </w:tcPr>
          <w:p w14:paraId="33FCA475" w14:textId="77777777" w:rsidR="00562F3D" w:rsidRPr="001B3EEA" w:rsidRDefault="00562F3D" w:rsidP="00235A93">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Highlights of Achievements and Areas for Improvement</w:t>
            </w:r>
          </w:p>
        </w:tc>
      </w:tr>
    </w:tbl>
    <w:p w14:paraId="1A86638B" w14:textId="77777777" w:rsidR="00685826" w:rsidRDefault="00685826" w:rsidP="005C027E">
      <w:pPr>
        <w:pStyle w:val="ListParagraph"/>
        <w:spacing w:after="0" w:line="240" w:lineRule="auto"/>
        <w:jc w:val="both"/>
        <w:rPr>
          <w:rFonts w:ascii="Times New Roman" w:eastAsia="Times New Roman" w:hAnsi="Times New Roman"/>
          <w:sz w:val="24"/>
          <w:szCs w:val="24"/>
        </w:rPr>
      </w:pPr>
    </w:p>
    <w:p w14:paraId="073EF18B" w14:textId="5EB34D0B" w:rsidR="00685826" w:rsidRDefault="00E226FD" w:rsidP="00E226FD">
      <w:pPr>
        <w:pStyle w:val="ListParagraph"/>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Low average MFN tariffs at HS 10-digit level equivalent to 2.2%. Average for both agricultural and non-agricultural products is low.</w:t>
      </w:r>
    </w:p>
    <w:p w14:paraId="5F125E2A" w14:textId="29B4605D" w:rsidR="00E226FD" w:rsidRDefault="00E226FD" w:rsidP="00E226FD">
      <w:pPr>
        <w:pStyle w:val="ListParagraph"/>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 quantitative import restrictions, import licensing and export subsidies. Some prohibitions and restrictions apply for very specific products.</w:t>
      </w:r>
    </w:p>
    <w:p w14:paraId="46D9B9A9" w14:textId="604D4DC2" w:rsidR="00E226FD" w:rsidRDefault="00E226FD" w:rsidP="00E226FD">
      <w:pPr>
        <w:pStyle w:val="ListParagraph"/>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Drawback rate to restitute import tariffs paid by exporters of specific products are being gradually reduced.</w:t>
      </w:r>
    </w:p>
    <w:p w14:paraId="1FE99D89" w14:textId="58D12D74" w:rsidR="00E226FD" w:rsidRDefault="00E226FD" w:rsidP="00E226FD">
      <w:pPr>
        <w:pStyle w:val="ListParagraph"/>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Some additional flexibility to hire foreign managers of local investment funds.</w:t>
      </w:r>
    </w:p>
    <w:p w14:paraId="10AD0623" w14:textId="34E7BB6D" w:rsidR="00E226FD" w:rsidRDefault="00E226FD" w:rsidP="00E226FD">
      <w:pPr>
        <w:pStyle w:val="ListParagraph"/>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 investment screening mechanisms. Some restrictions on foreign investments remain on certain sectors and ownership of natural resources in border areas.</w:t>
      </w:r>
    </w:p>
    <w:p w14:paraId="17125230" w14:textId="1E06C070" w:rsidR="00E226FD" w:rsidRDefault="00E226FD" w:rsidP="00E226FD">
      <w:pPr>
        <w:pStyle w:val="ListParagraph"/>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Improvements in the Foreign Trade Single Window.</w:t>
      </w:r>
    </w:p>
    <w:p w14:paraId="2900C809" w14:textId="24F300C9" w:rsidR="00E226FD" w:rsidRDefault="00E226FD" w:rsidP="00E226FD">
      <w:pPr>
        <w:pStyle w:val="ListParagraph"/>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Reduced times to register trademarks.</w:t>
      </w:r>
    </w:p>
    <w:p w14:paraId="041140E3" w14:textId="2935F6FF" w:rsidR="00E226FD" w:rsidRDefault="00E226FD" w:rsidP="00E226FD">
      <w:pPr>
        <w:pStyle w:val="ListParagraph"/>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New legislation on government procurement aims to increase efficiency.</w:t>
      </w:r>
    </w:p>
    <w:p w14:paraId="0D70533D" w14:textId="7680E18E" w:rsidR="00E226FD" w:rsidRDefault="00E226FD" w:rsidP="00E226FD">
      <w:pPr>
        <w:pStyle w:val="ListParagraph"/>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Changes in the Immigration Law to facilitate movement of natural persons.   </w:t>
      </w:r>
    </w:p>
    <w:p w14:paraId="6743EBD1" w14:textId="77777777" w:rsidR="00685826" w:rsidRPr="00EF3499" w:rsidRDefault="00685826" w:rsidP="005C027E">
      <w:pPr>
        <w:pStyle w:val="ListParagraph"/>
        <w:spacing w:after="0" w:line="240" w:lineRule="auto"/>
        <w:jc w:val="both"/>
        <w:rPr>
          <w:rFonts w:ascii="Times New Roman" w:eastAsia="Times New Roman" w:hAnsi="Times New Roman"/>
          <w:sz w:val="24"/>
          <w:szCs w:val="24"/>
        </w:rPr>
      </w:pPr>
    </w:p>
    <w:tbl>
      <w:tblPr>
        <w:tblW w:w="9462" w:type="dxa"/>
        <w:tblInd w:w="91" w:type="dxa"/>
        <w:tblLook w:val="04A0" w:firstRow="1" w:lastRow="0" w:firstColumn="1" w:lastColumn="0" w:noHBand="0" w:noVBand="1"/>
      </w:tblPr>
      <w:tblGrid>
        <w:gridCol w:w="674"/>
        <w:gridCol w:w="8788"/>
      </w:tblGrid>
      <w:tr w:rsidR="00160E98" w:rsidRPr="00160E98" w14:paraId="7A96AC3E" w14:textId="77777777" w:rsidTr="00235A93">
        <w:trPr>
          <w:trHeight w:val="315"/>
        </w:trPr>
        <w:tc>
          <w:tcPr>
            <w:tcW w:w="491" w:type="dxa"/>
            <w:tcBorders>
              <w:top w:val="nil"/>
              <w:left w:val="nil"/>
              <w:bottom w:val="nil"/>
              <w:right w:val="nil"/>
            </w:tcBorders>
            <w:shd w:val="clear" w:color="000000" w:fill="B6DDE8"/>
            <w:noWrap/>
            <w:vAlign w:val="bottom"/>
            <w:hideMark/>
          </w:tcPr>
          <w:p w14:paraId="528AC41D" w14:textId="77777777" w:rsidR="00160E98" w:rsidRPr="00160E98" w:rsidRDefault="00160E98" w:rsidP="00160E98">
            <w:pPr>
              <w:spacing w:after="0" w:line="240" w:lineRule="auto"/>
              <w:jc w:val="center"/>
              <w:rPr>
                <w:rFonts w:ascii="Times New Roman" w:eastAsia="Times New Roman" w:hAnsi="Times New Roman"/>
                <w:color w:val="000000"/>
                <w:sz w:val="24"/>
                <w:szCs w:val="24"/>
              </w:rPr>
            </w:pPr>
            <w:r w:rsidRPr="00160E98">
              <w:rPr>
                <w:rFonts w:ascii="Times New Roman" w:eastAsia="Times New Roman" w:hAnsi="Times New Roman"/>
                <w:color w:val="000000"/>
                <w:sz w:val="24"/>
                <w:szCs w:val="24"/>
              </w:rPr>
              <w:t> </w:t>
            </w:r>
          </w:p>
        </w:tc>
        <w:tc>
          <w:tcPr>
            <w:tcW w:w="6406" w:type="dxa"/>
            <w:tcBorders>
              <w:top w:val="nil"/>
              <w:left w:val="nil"/>
              <w:bottom w:val="nil"/>
              <w:right w:val="nil"/>
            </w:tcBorders>
            <w:shd w:val="clear" w:color="000000" w:fill="B6DDE8"/>
            <w:noWrap/>
            <w:vAlign w:val="bottom"/>
            <w:hideMark/>
          </w:tcPr>
          <w:p w14:paraId="309260C1" w14:textId="0AD1FCC5" w:rsidR="00160E98" w:rsidRPr="00160E98" w:rsidRDefault="00160E98" w:rsidP="00E4051C">
            <w:pPr>
              <w:spacing w:after="0" w:line="240" w:lineRule="auto"/>
              <w:jc w:val="both"/>
              <w:rPr>
                <w:rFonts w:ascii="Times New Roman" w:eastAsia="Times New Roman" w:hAnsi="Times New Roman"/>
                <w:b/>
                <w:bCs/>
                <w:color w:val="000000"/>
                <w:sz w:val="24"/>
                <w:szCs w:val="24"/>
              </w:rPr>
            </w:pPr>
            <w:r w:rsidRPr="00160E98">
              <w:rPr>
                <w:rFonts w:ascii="Times New Roman" w:eastAsia="Times New Roman" w:hAnsi="Times New Roman"/>
                <w:b/>
                <w:bCs/>
                <w:color w:val="000000"/>
                <w:sz w:val="24"/>
                <w:szCs w:val="24"/>
              </w:rPr>
              <w:t xml:space="preserve">Summary </w:t>
            </w:r>
            <w:r w:rsidR="00E4051C">
              <w:rPr>
                <w:rFonts w:ascii="Times New Roman" w:eastAsia="Times New Roman" w:hAnsi="Times New Roman"/>
                <w:b/>
                <w:bCs/>
                <w:color w:val="000000"/>
                <w:sz w:val="24"/>
                <w:szCs w:val="24"/>
              </w:rPr>
              <w:t>of</w:t>
            </w:r>
            <w:r w:rsidR="000415F8">
              <w:rPr>
                <w:rFonts w:ascii="Times New Roman" w:eastAsia="Times New Roman" w:hAnsi="Times New Roman"/>
                <w:b/>
                <w:bCs/>
                <w:color w:val="000000"/>
                <w:sz w:val="24"/>
                <w:szCs w:val="24"/>
              </w:rPr>
              <w:t xml:space="preserve"> Topic</w:t>
            </w:r>
            <w:r w:rsidR="00E4051C">
              <w:rPr>
                <w:rFonts w:ascii="Times New Roman" w:eastAsia="Times New Roman" w:hAnsi="Times New Roman"/>
                <w:b/>
                <w:bCs/>
                <w:color w:val="000000"/>
                <w:sz w:val="24"/>
                <w:szCs w:val="24"/>
              </w:rPr>
              <w:t>s</w:t>
            </w:r>
          </w:p>
        </w:tc>
      </w:tr>
    </w:tbl>
    <w:p w14:paraId="015AC874" w14:textId="77777777" w:rsidR="00160E98" w:rsidRPr="00160E98" w:rsidRDefault="00160E98" w:rsidP="00160E98">
      <w:pPr>
        <w:spacing w:after="0" w:line="240" w:lineRule="auto"/>
        <w:jc w:val="both"/>
        <w:rPr>
          <w:rFonts w:ascii="Times New Roman" w:eastAsia="Times New Roman" w:hAnsi="Times New Roman"/>
          <w:sz w:val="24"/>
          <w:szCs w:val="24"/>
          <w:u w:val="single"/>
        </w:rPr>
      </w:pPr>
    </w:p>
    <w:p w14:paraId="12C8BC6C" w14:textId="77777777" w:rsidR="00160E98" w:rsidRDefault="00160E98" w:rsidP="00B5423F">
      <w:pPr>
        <w:spacing w:after="0" w:line="240" w:lineRule="auto"/>
        <w:jc w:val="both"/>
        <w:rPr>
          <w:rFonts w:ascii="Times New Roman" w:eastAsia="Times New Roman" w:hAnsi="Times New Roman"/>
          <w:b/>
          <w:color w:val="0070C0"/>
          <w:sz w:val="24"/>
          <w:szCs w:val="24"/>
        </w:rPr>
      </w:pPr>
      <w:r w:rsidRPr="00160E98">
        <w:rPr>
          <w:rFonts w:ascii="Times New Roman" w:eastAsia="Times New Roman" w:hAnsi="Times New Roman"/>
          <w:b/>
          <w:color w:val="0070C0"/>
          <w:sz w:val="24"/>
          <w:szCs w:val="24"/>
        </w:rPr>
        <w:t>Tariffs</w:t>
      </w:r>
    </w:p>
    <w:p w14:paraId="426E26F0" w14:textId="4AB59A51" w:rsidR="00B5423F" w:rsidRDefault="006A68FC" w:rsidP="00B5423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Peru’s tariff structure is comprised of three levels: 0%, 6% and 11%. In early 2016, the current MFN simple average tariff was equivalent to 2.2% (measured at the HS 10-digit level). MFN average tariffs are low for both agricultural and non-agricultural products, reaching 2.8% and 1.5% respectively.</w:t>
      </w:r>
    </w:p>
    <w:p w14:paraId="4FD21D29" w14:textId="77777777" w:rsidR="006A68FC" w:rsidRDefault="006A68FC" w:rsidP="00B5423F">
      <w:pPr>
        <w:spacing w:after="0" w:line="240" w:lineRule="auto"/>
        <w:jc w:val="both"/>
        <w:rPr>
          <w:rFonts w:ascii="Times New Roman" w:eastAsia="Times New Roman" w:hAnsi="Times New Roman"/>
          <w:sz w:val="24"/>
          <w:szCs w:val="24"/>
        </w:rPr>
      </w:pPr>
    </w:p>
    <w:p w14:paraId="33EDE8E6" w14:textId="1DC6547A" w:rsidR="006A68FC" w:rsidRPr="006A68FC" w:rsidRDefault="006A68FC" w:rsidP="00B5423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70.</w:t>
      </w:r>
      <w:r w:rsidR="005B65FB">
        <w:rPr>
          <w:rFonts w:ascii="Times New Roman" w:eastAsia="Times New Roman" w:hAnsi="Times New Roman"/>
          <w:sz w:val="24"/>
          <w:szCs w:val="24"/>
        </w:rPr>
        <w:t xml:space="preserve">3% of the tariff lines are equal to zero and they represented 73.3% of the imports in 2015. Only 9% of the tariff lines are equivalent to 11% and 0.6% of the tariff lines were subject to non-ad </w:t>
      </w:r>
      <w:proofErr w:type="gramStart"/>
      <w:r w:rsidR="005B65FB">
        <w:rPr>
          <w:rFonts w:ascii="Times New Roman" w:eastAsia="Times New Roman" w:hAnsi="Times New Roman"/>
          <w:sz w:val="24"/>
          <w:szCs w:val="24"/>
        </w:rPr>
        <w:t>valorem</w:t>
      </w:r>
      <w:proofErr w:type="gramEnd"/>
      <w:r w:rsidR="005B65FB">
        <w:rPr>
          <w:rFonts w:ascii="Times New Roman" w:eastAsia="Times New Roman" w:hAnsi="Times New Roman"/>
          <w:sz w:val="24"/>
          <w:szCs w:val="24"/>
        </w:rPr>
        <w:t xml:space="preserve"> duties.</w:t>
      </w:r>
    </w:p>
    <w:p w14:paraId="272583DD" w14:textId="77777777" w:rsidR="006A68FC" w:rsidRPr="00B5423F" w:rsidRDefault="006A68FC" w:rsidP="00B5423F">
      <w:pPr>
        <w:spacing w:after="0" w:line="240" w:lineRule="auto"/>
        <w:jc w:val="both"/>
        <w:rPr>
          <w:rFonts w:ascii="Times New Roman" w:eastAsia="Times New Roman" w:hAnsi="Times New Roman"/>
          <w:b/>
          <w:color w:val="0070C0"/>
          <w:sz w:val="24"/>
          <w:szCs w:val="24"/>
        </w:rPr>
      </w:pPr>
    </w:p>
    <w:p w14:paraId="16D8A5D9" w14:textId="77777777" w:rsidR="00160E98" w:rsidRPr="00160E98" w:rsidRDefault="00160E98" w:rsidP="00160E98">
      <w:pPr>
        <w:spacing w:after="0" w:line="240" w:lineRule="auto"/>
        <w:jc w:val="both"/>
        <w:rPr>
          <w:rFonts w:ascii="Times New Roman" w:eastAsia="Times New Roman" w:hAnsi="Times New Roman"/>
          <w:sz w:val="24"/>
          <w:szCs w:val="24"/>
          <w:u w:val="single"/>
        </w:rPr>
      </w:pPr>
      <w:r w:rsidRPr="00160E98">
        <w:rPr>
          <w:rFonts w:ascii="Times New Roman" w:eastAsia="Times New Roman" w:hAnsi="Times New Roman"/>
          <w:b/>
          <w:color w:val="0070C0"/>
          <w:sz w:val="24"/>
          <w:szCs w:val="24"/>
        </w:rPr>
        <w:t>Non-Tariff Measures</w:t>
      </w:r>
    </w:p>
    <w:p w14:paraId="1BF5910E" w14:textId="2E5E3B31" w:rsidR="002F5CB2" w:rsidRDefault="00DD0EA0" w:rsidP="00160E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 import licensing</w:t>
      </w:r>
      <w:r w:rsidR="00F77A48">
        <w:rPr>
          <w:rFonts w:ascii="Times New Roman" w:eastAsia="Times New Roman" w:hAnsi="Times New Roman"/>
          <w:sz w:val="24"/>
          <w:szCs w:val="24"/>
        </w:rPr>
        <w:t xml:space="preserve">, quantitative import restrictions and exports subsidies are applied. However, some restrictions apply to the </w:t>
      </w:r>
      <w:r w:rsidR="008006FD">
        <w:rPr>
          <w:rFonts w:ascii="Times New Roman" w:eastAsia="Times New Roman" w:hAnsi="Times New Roman"/>
          <w:sz w:val="24"/>
          <w:szCs w:val="24"/>
        </w:rPr>
        <w:t xml:space="preserve">import </w:t>
      </w:r>
      <w:r w:rsidR="00F77A48">
        <w:rPr>
          <w:rFonts w:ascii="Times New Roman" w:eastAsia="Times New Roman" w:hAnsi="Times New Roman"/>
          <w:sz w:val="24"/>
          <w:szCs w:val="24"/>
        </w:rPr>
        <w:t>of used road motor vehicles for cargo and passenger transportation, used engines, components and spare parts for road vehicles, used tires, used clothing and footwear for commercial purposes and used goods, machinery and equipment using radioactive sources.</w:t>
      </w:r>
    </w:p>
    <w:p w14:paraId="39F6366E" w14:textId="77777777" w:rsidR="00DD0EA0" w:rsidRDefault="00DD0EA0" w:rsidP="00160E98">
      <w:pPr>
        <w:spacing w:after="0" w:line="240" w:lineRule="auto"/>
        <w:jc w:val="both"/>
        <w:rPr>
          <w:rFonts w:ascii="Times New Roman" w:eastAsia="Times New Roman" w:hAnsi="Times New Roman"/>
          <w:sz w:val="24"/>
          <w:szCs w:val="24"/>
        </w:rPr>
      </w:pPr>
    </w:p>
    <w:p w14:paraId="4C5305C4" w14:textId="0F79A169" w:rsidR="00ED74F6" w:rsidRDefault="00ED74F6" w:rsidP="00160E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drawback rate to restitute import tariffs paid for inputs to exporters of specific products went down from 5% to 4% on 1 January 2015 and from 4% to 3% on 1 January 2016.</w:t>
      </w:r>
    </w:p>
    <w:p w14:paraId="308A3BDE" w14:textId="77777777" w:rsidR="00ED74F6" w:rsidRDefault="00ED74F6" w:rsidP="00160E98">
      <w:pPr>
        <w:spacing w:after="0" w:line="240" w:lineRule="auto"/>
        <w:jc w:val="both"/>
        <w:rPr>
          <w:rFonts w:ascii="Times New Roman" w:eastAsia="Times New Roman" w:hAnsi="Times New Roman"/>
          <w:sz w:val="24"/>
          <w:szCs w:val="24"/>
        </w:rPr>
      </w:pPr>
    </w:p>
    <w:p w14:paraId="75B1C9D3" w14:textId="77777777" w:rsidR="00630F21" w:rsidRDefault="00630F21" w:rsidP="00160E98">
      <w:pPr>
        <w:spacing w:after="0" w:line="240" w:lineRule="auto"/>
        <w:jc w:val="both"/>
        <w:rPr>
          <w:rFonts w:ascii="Times New Roman" w:eastAsia="Times New Roman" w:hAnsi="Times New Roman"/>
          <w:sz w:val="24"/>
          <w:szCs w:val="24"/>
        </w:rPr>
      </w:pPr>
    </w:p>
    <w:p w14:paraId="4098953E" w14:textId="77777777" w:rsidR="00630F21" w:rsidRDefault="00630F21" w:rsidP="00160E98">
      <w:pPr>
        <w:spacing w:after="0" w:line="240" w:lineRule="auto"/>
        <w:jc w:val="both"/>
        <w:rPr>
          <w:rFonts w:ascii="Times New Roman" w:eastAsia="Times New Roman" w:hAnsi="Times New Roman"/>
          <w:sz w:val="24"/>
          <w:szCs w:val="24"/>
        </w:rPr>
      </w:pPr>
    </w:p>
    <w:p w14:paraId="63DAD9FB" w14:textId="281108C5" w:rsidR="00160E98" w:rsidRPr="00160E98" w:rsidRDefault="00160E98" w:rsidP="00160E98">
      <w:pPr>
        <w:spacing w:after="0" w:line="240" w:lineRule="auto"/>
        <w:jc w:val="both"/>
        <w:rPr>
          <w:rFonts w:ascii="Times New Roman" w:eastAsia="Times New Roman" w:hAnsi="Times New Roman"/>
          <w:sz w:val="24"/>
          <w:szCs w:val="24"/>
          <w:u w:val="single"/>
        </w:rPr>
      </w:pPr>
      <w:r w:rsidRPr="00160E98">
        <w:rPr>
          <w:rFonts w:ascii="Times New Roman" w:eastAsia="Times New Roman" w:hAnsi="Times New Roman"/>
          <w:b/>
          <w:color w:val="0070C0"/>
          <w:sz w:val="24"/>
          <w:szCs w:val="24"/>
        </w:rPr>
        <w:lastRenderedPageBreak/>
        <w:t>Services</w:t>
      </w:r>
    </w:p>
    <w:p w14:paraId="36478C3C" w14:textId="284D94A1" w:rsidR="000B507B" w:rsidRDefault="002F5942" w:rsidP="00160E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Some flexibility was given to investment funds. Since December 2014, international managers can be hired to manage local investment funds.  In 2015, the cross listing of foreign exchange trade funds was allowed, giving investors with more options.</w:t>
      </w:r>
    </w:p>
    <w:p w14:paraId="4960F96D" w14:textId="77777777" w:rsidR="002F5942" w:rsidRDefault="002F5942" w:rsidP="00160E98">
      <w:pPr>
        <w:spacing w:after="0" w:line="240" w:lineRule="auto"/>
        <w:jc w:val="both"/>
        <w:rPr>
          <w:rFonts w:ascii="Times New Roman" w:eastAsia="Times New Roman" w:hAnsi="Times New Roman"/>
          <w:sz w:val="24"/>
          <w:szCs w:val="24"/>
        </w:rPr>
      </w:pPr>
    </w:p>
    <w:p w14:paraId="434BA9A6" w14:textId="6B4D334A" w:rsidR="002F5942" w:rsidRDefault="002F5942" w:rsidP="00160E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 the telecommunications sector, agreements with Bolivia and Colombia were endorsed to reduce roaming charges. In order to encourage competition, the regulation for fixed and mobile telephon</w:t>
      </w:r>
      <w:r w:rsidR="008006FD">
        <w:rPr>
          <w:rFonts w:ascii="Times New Roman" w:eastAsia="Times New Roman" w:hAnsi="Times New Roman"/>
          <w:sz w:val="24"/>
          <w:szCs w:val="24"/>
        </w:rPr>
        <w:t>e</w:t>
      </w:r>
      <w:r>
        <w:rPr>
          <w:rFonts w:ascii="Times New Roman" w:eastAsia="Times New Roman" w:hAnsi="Times New Roman"/>
          <w:sz w:val="24"/>
          <w:szCs w:val="24"/>
        </w:rPr>
        <w:t xml:space="preserve"> number portability was modified. Moreover, in </w:t>
      </w:r>
      <w:r w:rsidR="008006FD">
        <w:rPr>
          <w:rFonts w:ascii="Times New Roman" w:eastAsia="Times New Roman" w:hAnsi="Times New Roman"/>
          <w:sz w:val="24"/>
          <w:szCs w:val="24"/>
        </w:rPr>
        <w:t xml:space="preserve">the </w:t>
      </w:r>
      <w:r>
        <w:rPr>
          <w:rFonts w:ascii="Times New Roman" w:eastAsia="Times New Roman" w:hAnsi="Times New Roman"/>
          <w:sz w:val="24"/>
          <w:szCs w:val="24"/>
        </w:rPr>
        <w:t>mobile telephon</w:t>
      </w:r>
      <w:r w:rsidR="008006FD">
        <w:rPr>
          <w:rFonts w:ascii="Times New Roman" w:eastAsia="Times New Roman" w:hAnsi="Times New Roman"/>
          <w:sz w:val="24"/>
          <w:szCs w:val="24"/>
        </w:rPr>
        <w:t>e market,</w:t>
      </w:r>
      <w:r>
        <w:rPr>
          <w:rFonts w:ascii="Times New Roman" w:eastAsia="Times New Roman" w:hAnsi="Times New Roman"/>
          <w:sz w:val="24"/>
          <w:szCs w:val="24"/>
        </w:rPr>
        <w:t xml:space="preserve"> more competition is expected through the participation of mobile virtual network operators in the Peruvian market.</w:t>
      </w:r>
    </w:p>
    <w:p w14:paraId="5CFC58C7" w14:textId="77777777" w:rsidR="002F5942" w:rsidRDefault="002F5942" w:rsidP="00160E98">
      <w:pPr>
        <w:spacing w:after="0" w:line="240" w:lineRule="auto"/>
        <w:jc w:val="both"/>
        <w:rPr>
          <w:rFonts w:ascii="Times New Roman" w:eastAsia="Times New Roman" w:hAnsi="Times New Roman"/>
          <w:sz w:val="24"/>
          <w:szCs w:val="24"/>
        </w:rPr>
      </w:pPr>
    </w:p>
    <w:p w14:paraId="327CBCE9" w14:textId="77777777" w:rsidR="00160E98" w:rsidRPr="00160E98" w:rsidRDefault="00160E98" w:rsidP="00160E98">
      <w:pPr>
        <w:spacing w:after="0" w:line="240" w:lineRule="auto"/>
        <w:jc w:val="both"/>
        <w:rPr>
          <w:rFonts w:ascii="Times New Roman" w:eastAsia="Times New Roman" w:hAnsi="Times New Roman"/>
          <w:sz w:val="24"/>
          <w:szCs w:val="24"/>
          <w:u w:val="single"/>
        </w:rPr>
      </w:pPr>
      <w:r w:rsidRPr="00160E98">
        <w:rPr>
          <w:rFonts w:ascii="Times New Roman" w:eastAsia="Times New Roman" w:hAnsi="Times New Roman"/>
          <w:b/>
          <w:color w:val="0070C0"/>
          <w:sz w:val="24"/>
          <w:szCs w:val="24"/>
        </w:rPr>
        <w:t>Investment</w:t>
      </w:r>
    </w:p>
    <w:p w14:paraId="71A3EF20" w14:textId="07A88A2D" w:rsidR="003F4B6A" w:rsidRDefault="002F5942" w:rsidP="00160E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No changes in investment </w:t>
      </w:r>
      <w:r w:rsidR="005B1EB2">
        <w:rPr>
          <w:rFonts w:ascii="Times New Roman" w:eastAsia="Times New Roman" w:hAnsi="Times New Roman"/>
          <w:sz w:val="24"/>
          <w:szCs w:val="24"/>
        </w:rPr>
        <w:t xml:space="preserve">policies since 2011. </w:t>
      </w:r>
      <w:r w:rsidR="005B1EB2" w:rsidRPr="003F4B6A">
        <w:rPr>
          <w:rFonts w:ascii="Times New Roman" w:eastAsia="Times New Roman" w:hAnsi="Times New Roman"/>
          <w:sz w:val="24"/>
          <w:szCs w:val="24"/>
        </w:rPr>
        <w:t>No screening mechanism, no performance requirement</w:t>
      </w:r>
      <w:r w:rsidR="005B1EB2">
        <w:rPr>
          <w:rFonts w:ascii="Times New Roman" w:eastAsia="Times New Roman" w:hAnsi="Times New Roman"/>
          <w:sz w:val="24"/>
          <w:szCs w:val="24"/>
        </w:rPr>
        <w:t>s</w:t>
      </w:r>
      <w:r w:rsidR="005B1EB2" w:rsidRPr="003F4B6A">
        <w:rPr>
          <w:rFonts w:ascii="Times New Roman" w:eastAsia="Times New Roman" w:hAnsi="Times New Roman"/>
          <w:sz w:val="24"/>
          <w:szCs w:val="24"/>
        </w:rPr>
        <w:t xml:space="preserve"> are applied. Certain limitations on foreign investments in broadcasting, air and water transport and ownership of </w:t>
      </w:r>
      <w:r w:rsidR="005B1EB2">
        <w:rPr>
          <w:rFonts w:ascii="Times New Roman" w:eastAsia="Times New Roman" w:hAnsi="Times New Roman"/>
          <w:sz w:val="24"/>
          <w:szCs w:val="24"/>
        </w:rPr>
        <w:t>natural</w:t>
      </w:r>
      <w:r w:rsidR="005B1EB2" w:rsidRPr="003F4B6A">
        <w:rPr>
          <w:rFonts w:ascii="Times New Roman" w:eastAsia="Times New Roman" w:hAnsi="Times New Roman"/>
          <w:sz w:val="24"/>
          <w:szCs w:val="24"/>
        </w:rPr>
        <w:t xml:space="preserve"> resources within </w:t>
      </w:r>
      <w:r w:rsidR="005B1EB2">
        <w:rPr>
          <w:rFonts w:ascii="Times New Roman" w:eastAsia="Times New Roman" w:hAnsi="Times New Roman"/>
          <w:sz w:val="24"/>
          <w:szCs w:val="24"/>
        </w:rPr>
        <w:t>50</w:t>
      </w:r>
      <w:r w:rsidR="005B1EB2" w:rsidRPr="003F4B6A">
        <w:rPr>
          <w:rFonts w:ascii="Times New Roman" w:eastAsia="Times New Roman" w:hAnsi="Times New Roman"/>
          <w:sz w:val="24"/>
          <w:szCs w:val="24"/>
        </w:rPr>
        <w:t xml:space="preserve"> kilometers of Peru’s international borders are applied. However, the limitation</w:t>
      </w:r>
      <w:r w:rsidR="005B1EB2">
        <w:rPr>
          <w:rFonts w:ascii="Times New Roman" w:eastAsia="Times New Roman" w:hAnsi="Times New Roman"/>
          <w:sz w:val="24"/>
          <w:szCs w:val="24"/>
        </w:rPr>
        <w:t xml:space="preserve"> in border areas</w:t>
      </w:r>
      <w:r w:rsidR="005B1EB2" w:rsidRPr="003F4B6A">
        <w:rPr>
          <w:rFonts w:ascii="Times New Roman" w:eastAsia="Times New Roman" w:hAnsi="Times New Roman"/>
          <w:sz w:val="24"/>
          <w:szCs w:val="24"/>
        </w:rPr>
        <w:t xml:space="preserve"> can be waived by decree on a case by case basis.</w:t>
      </w:r>
    </w:p>
    <w:p w14:paraId="67C9A49B" w14:textId="77777777" w:rsidR="005B1EB2" w:rsidRDefault="005B1EB2" w:rsidP="00160E98">
      <w:pPr>
        <w:spacing w:after="0" w:line="240" w:lineRule="auto"/>
        <w:jc w:val="both"/>
        <w:rPr>
          <w:rFonts w:ascii="Times New Roman" w:eastAsia="Times New Roman" w:hAnsi="Times New Roman"/>
          <w:sz w:val="24"/>
          <w:szCs w:val="24"/>
        </w:rPr>
      </w:pPr>
    </w:p>
    <w:p w14:paraId="3DBCBA5B" w14:textId="76492423" w:rsidR="005B1EB2" w:rsidRDefault="005B1EB2" w:rsidP="00160E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Two recent agreements concluded, the Pacific Alliance and the Trans-Pacific Partnership include an investment chapter with a liberal framework providing guarantees for non-discriminatory treatment to foreign investors and their investments.</w:t>
      </w:r>
    </w:p>
    <w:p w14:paraId="2A2E71CD" w14:textId="77777777" w:rsidR="002F5942" w:rsidRDefault="002F5942" w:rsidP="00160E98">
      <w:pPr>
        <w:spacing w:after="0" w:line="240" w:lineRule="auto"/>
        <w:jc w:val="both"/>
        <w:rPr>
          <w:rFonts w:ascii="Times New Roman" w:eastAsia="Times New Roman" w:hAnsi="Times New Roman"/>
          <w:sz w:val="24"/>
          <w:szCs w:val="24"/>
        </w:rPr>
      </w:pPr>
    </w:p>
    <w:p w14:paraId="39199457" w14:textId="77777777" w:rsidR="00160E98" w:rsidRPr="00160E98" w:rsidRDefault="00160E98" w:rsidP="00160E98">
      <w:pPr>
        <w:spacing w:after="0" w:line="240" w:lineRule="auto"/>
        <w:jc w:val="both"/>
        <w:rPr>
          <w:rFonts w:ascii="Times New Roman" w:eastAsia="Times New Roman" w:hAnsi="Times New Roman"/>
          <w:sz w:val="24"/>
          <w:szCs w:val="24"/>
          <w:u w:val="single"/>
        </w:rPr>
      </w:pPr>
      <w:r w:rsidRPr="00160E98">
        <w:rPr>
          <w:rFonts w:ascii="Times New Roman" w:eastAsia="Times New Roman" w:hAnsi="Times New Roman"/>
          <w:b/>
          <w:color w:val="0070C0"/>
          <w:sz w:val="24"/>
          <w:szCs w:val="24"/>
        </w:rPr>
        <w:t>Standards and Conformance</w:t>
      </w:r>
    </w:p>
    <w:p w14:paraId="373DCF94" w14:textId="0C0F69F3" w:rsidR="005E7EAE" w:rsidRDefault="00AE7A49" w:rsidP="00160E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2015, 766 Peruvian Technical Standards were in place. 41% of them correspond to the adoption of international standards, such as the International Organization for Standardization (ISO), the International </w:t>
      </w:r>
      <w:proofErr w:type="spellStart"/>
      <w:r>
        <w:rPr>
          <w:rFonts w:ascii="Times New Roman" w:eastAsia="Times New Roman" w:hAnsi="Times New Roman"/>
          <w:sz w:val="24"/>
          <w:szCs w:val="24"/>
        </w:rPr>
        <w:t>Electrotechnical</w:t>
      </w:r>
      <w:proofErr w:type="spellEnd"/>
      <w:r>
        <w:rPr>
          <w:rFonts w:ascii="Times New Roman" w:eastAsia="Times New Roman" w:hAnsi="Times New Roman"/>
          <w:sz w:val="24"/>
          <w:szCs w:val="24"/>
        </w:rPr>
        <w:t xml:space="preserve"> Commission (IEC) and the Codex </w:t>
      </w:r>
      <w:proofErr w:type="spellStart"/>
      <w:r>
        <w:rPr>
          <w:rFonts w:ascii="Times New Roman" w:eastAsia="Times New Roman" w:hAnsi="Times New Roman"/>
          <w:sz w:val="24"/>
          <w:szCs w:val="24"/>
        </w:rPr>
        <w:t>Alimentarius</w:t>
      </w:r>
      <w:proofErr w:type="spellEnd"/>
      <w:r>
        <w:rPr>
          <w:rFonts w:ascii="Times New Roman" w:eastAsia="Times New Roman" w:hAnsi="Times New Roman"/>
          <w:sz w:val="24"/>
          <w:szCs w:val="24"/>
        </w:rPr>
        <w:t>.</w:t>
      </w:r>
      <w:r w:rsidR="005F5B51">
        <w:rPr>
          <w:rFonts w:ascii="Times New Roman" w:eastAsia="Times New Roman" w:hAnsi="Times New Roman"/>
          <w:sz w:val="24"/>
          <w:szCs w:val="24"/>
        </w:rPr>
        <w:t xml:space="preserve"> INACAL, the institution in charge of standardization, accreditation and metrology activities, was created in July 2014 and has developed a Peruvian Catalogue of Standards.</w:t>
      </w:r>
    </w:p>
    <w:p w14:paraId="3CA47453" w14:textId="77777777" w:rsidR="005F5B51" w:rsidRDefault="005F5B51" w:rsidP="00160E98">
      <w:pPr>
        <w:spacing w:after="0" w:line="240" w:lineRule="auto"/>
        <w:jc w:val="both"/>
        <w:rPr>
          <w:rFonts w:ascii="Times New Roman" w:eastAsia="Times New Roman" w:hAnsi="Times New Roman"/>
          <w:sz w:val="24"/>
          <w:szCs w:val="24"/>
        </w:rPr>
      </w:pPr>
    </w:p>
    <w:p w14:paraId="11C50964" w14:textId="77777777" w:rsidR="0072603A" w:rsidRDefault="0072603A" w:rsidP="0072603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Six</w:t>
      </w:r>
      <w:r w:rsidRPr="00383E8F">
        <w:rPr>
          <w:rFonts w:ascii="Times New Roman" w:eastAsia="Times New Roman" w:hAnsi="Times New Roman"/>
          <w:sz w:val="24"/>
          <w:szCs w:val="24"/>
        </w:rPr>
        <w:t xml:space="preserve"> specific trade concerns against </w:t>
      </w:r>
      <w:r>
        <w:rPr>
          <w:rFonts w:ascii="Times New Roman" w:eastAsia="Times New Roman" w:hAnsi="Times New Roman"/>
          <w:sz w:val="24"/>
          <w:szCs w:val="24"/>
        </w:rPr>
        <w:t>Peru</w:t>
      </w:r>
      <w:r w:rsidRPr="00383E8F">
        <w:rPr>
          <w:rFonts w:ascii="Times New Roman" w:eastAsia="Times New Roman" w:hAnsi="Times New Roman"/>
          <w:sz w:val="24"/>
          <w:szCs w:val="24"/>
        </w:rPr>
        <w:t xml:space="preserve"> raised at the WTO TBT Committee ha</w:t>
      </w:r>
      <w:r>
        <w:rPr>
          <w:rFonts w:ascii="Times New Roman" w:eastAsia="Times New Roman" w:hAnsi="Times New Roman"/>
          <w:sz w:val="24"/>
          <w:szCs w:val="24"/>
        </w:rPr>
        <w:t>ve</w:t>
      </w:r>
      <w:r w:rsidRPr="00383E8F">
        <w:rPr>
          <w:rFonts w:ascii="Times New Roman" w:eastAsia="Times New Roman" w:hAnsi="Times New Roman"/>
          <w:sz w:val="24"/>
          <w:szCs w:val="24"/>
        </w:rPr>
        <w:t xml:space="preserve"> not reported a resolution. The most recent concern</w:t>
      </w:r>
      <w:r>
        <w:rPr>
          <w:rFonts w:ascii="Times New Roman" w:eastAsia="Times New Roman" w:hAnsi="Times New Roman"/>
          <w:sz w:val="24"/>
          <w:szCs w:val="24"/>
        </w:rPr>
        <w:t>s</w:t>
      </w:r>
      <w:r w:rsidRPr="00383E8F">
        <w:rPr>
          <w:rFonts w:ascii="Times New Roman" w:eastAsia="Times New Roman" w:hAnsi="Times New Roman"/>
          <w:sz w:val="24"/>
          <w:szCs w:val="24"/>
        </w:rPr>
        <w:t xml:space="preserve"> w</w:t>
      </w:r>
      <w:r>
        <w:rPr>
          <w:rFonts w:ascii="Times New Roman" w:eastAsia="Times New Roman" w:hAnsi="Times New Roman"/>
          <w:sz w:val="24"/>
          <w:szCs w:val="24"/>
        </w:rPr>
        <w:t>ere</w:t>
      </w:r>
      <w:r w:rsidRPr="00383E8F">
        <w:rPr>
          <w:rFonts w:ascii="Times New Roman" w:eastAsia="Times New Roman" w:hAnsi="Times New Roman"/>
          <w:sz w:val="24"/>
          <w:szCs w:val="24"/>
        </w:rPr>
        <w:t xml:space="preserve"> raised in 201</w:t>
      </w:r>
      <w:r>
        <w:rPr>
          <w:rFonts w:ascii="Times New Roman" w:eastAsia="Times New Roman" w:hAnsi="Times New Roman"/>
          <w:sz w:val="24"/>
          <w:szCs w:val="24"/>
        </w:rPr>
        <w:t>3</w:t>
      </w:r>
      <w:r w:rsidRPr="00383E8F">
        <w:rPr>
          <w:rFonts w:ascii="Times New Roman" w:eastAsia="Times New Roman" w:hAnsi="Times New Roman"/>
          <w:sz w:val="24"/>
          <w:szCs w:val="24"/>
        </w:rPr>
        <w:t xml:space="preserve"> and involved </w:t>
      </w:r>
      <w:r>
        <w:rPr>
          <w:rFonts w:ascii="Times New Roman" w:eastAsia="Times New Roman" w:hAnsi="Times New Roman"/>
          <w:sz w:val="24"/>
          <w:szCs w:val="24"/>
        </w:rPr>
        <w:t>a moratorium on planting genetically engineered crops and an act to promote healthy eating among children and adolescents that might be including elements restricting trade.</w:t>
      </w:r>
    </w:p>
    <w:p w14:paraId="466041EE" w14:textId="77777777" w:rsidR="005F5B51" w:rsidRDefault="005F5B51" w:rsidP="00160E98">
      <w:pPr>
        <w:spacing w:after="0" w:line="240" w:lineRule="auto"/>
        <w:jc w:val="both"/>
        <w:rPr>
          <w:rFonts w:ascii="Times New Roman" w:eastAsia="Times New Roman" w:hAnsi="Times New Roman"/>
          <w:sz w:val="24"/>
          <w:szCs w:val="24"/>
        </w:rPr>
      </w:pPr>
    </w:p>
    <w:p w14:paraId="5951385B" w14:textId="77777777" w:rsidR="00160E98" w:rsidRPr="00160E98" w:rsidRDefault="00160E98" w:rsidP="00160E98">
      <w:pPr>
        <w:spacing w:after="0" w:line="240" w:lineRule="auto"/>
        <w:jc w:val="both"/>
        <w:rPr>
          <w:rFonts w:ascii="Times New Roman" w:eastAsia="Times New Roman" w:hAnsi="Times New Roman"/>
          <w:sz w:val="24"/>
          <w:szCs w:val="24"/>
          <w:u w:val="single"/>
        </w:rPr>
      </w:pPr>
      <w:r w:rsidRPr="00160E98">
        <w:rPr>
          <w:rFonts w:ascii="Times New Roman" w:eastAsia="Times New Roman" w:hAnsi="Times New Roman"/>
          <w:b/>
          <w:color w:val="0070C0"/>
          <w:sz w:val="24"/>
          <w:szCs w:val="24"/>
        </w:rPr>
        <w:t>Customs Procedures</w:t>
      </w:r>
    </w:p>
    <w:p w14:paraId="1C40472C" w14:textId="4D17B66F" w:rsidR="00004EE6" w:rsidRDefault="00C1411F" w:rsidP="00160E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Customs declarations are submitted electronically and data on cargo manifest has to be sent prior to the arrival of the cargo. Administrative procedures and institutions have been gradually added to the Single Window for Foreign Trade. Currently, 187 administrative procedures from 8 government agencies are included. For the next stage, 79 additional procedures and 7 agencies</w:t>
      </w:r>
      <w:r w:rsidR="006E3249">
        <w:rPr>
          <w:rFonts w:ascii="Times New Roman" w:eastAsia="Times New Roman" w:hAnsi="Times New Roman"/>
          <w:sz w:val="24"/>
          <w:szCs w:val="24"/>
        </w:rPr>
        <w:t xml:space="preserve"> are expected to be added</w:t>
      </w:r>
      <w:r>
        <w:rPr>
          <w:rFonts w:ascii="Times New Roman" w:eastAsia="Times New Roman" w:hAnsi="Times New Roman"/>
          <w:sz w:val="24"/>
          <w:szCs w:val="24"/>
        </w:rPr>
        <w:t>.</w:t>
      </w:r>
    </w:p>
    <w:p w14:paraId="2A9D9EF1" w14:textId="77777777" w:rsidR="00C1411F" w:rsidRDefault="00C1411F" w:rsidP="00160E98">
      <w:pPr>
        <w:spacing w:after="0" w:line="240" w:lineRule="auto"/>
        <w:jc w:val="both"/>
        <w:rPr>
          <w:rFonts w:ascii="Times New Roman" w:eastAsia="Times New Roman" w:hAnsi="Times New Roman"/>
          <w:sz w:val="24"/>
          <w:szCs w:val="24"/>
        </w:rPr>
      </w:pPr>
    </w:p>
    <w:p w14:paraId="68F7334E" w14:textId="77777777" w:rsidR="00160E98" w:rsidRPr="00160E98" w:rsidRDefault="00160E98" w:rsidP="00160E98">
      <w:pPr>
        <w:keepNext/>
        <w:spacing w:after="0" w:line="240" w:lineRule="auto"/>
        <w:jc w:val="both"/>
        <w:rPr>
          <w:rFonts w:ascii="Times New Roman" w:eastAsia="Times New Roman" w:hAnsi="Times New Roman"/>
          <w:sz w:val="24"/>
          <w:szCs w:val="24"/>
          <w:u w:val="single"/>
        </w:rPr>
      </w:pPr>
      <w:r w:rsidRPr="00160E98">
        <w:rPr>
          <w:rFonts w:ascii="Times New Roman" w:eastAsia="Times New Roman" w:hAnsi="Times New Roman"/>
          <w:b/>
          <w:color w:val="0070C0"/>
          <w:sz w:val="24"/>
          <w:szCs w:val="24"/>
        </w:rPr>
        <w:t>Intellectual Property Rights</w:t>
      </w:r>
    </w:p>
    <w:p w14:paraId="084A6F5A" w14:textId="42FF8278" w:rsidR="007D365D" w:rsidRDefault="00DA6B26" w:rsidP="00160E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 fast track procedure to register a trademark was introduced. This new system has reduced the average time to register a trademark from 150 to 75 business days. Moreover, to facilitate the registration of trademarks, INDECOPI has implemented a free advisory services focusing on entrepreneurs. Similarly, INDECOPI has introduced a software tool for users to apply for a copyright online.</w:t>
      </w:r>
    </w:p>
    <w:p w14:paraId="318802AA" w14:textId="77777777" w:rsidR="00DA6B26" w:rsidRDefault="00DA6B26" w:rsidP="00160E98">
      <w:pPr>
        <w:spacing w:after="0" w:line="240" w:lineRule="auto"/>
        <w:jc w:val="both"/>
        <w:rPr>
          <w:rFonts w:ascii="Times New Roman" w:eastAsia="Times New Roman" w:hAnsi="Times New Roman"/>
          <w:sz w:val="24"/>
          <w:szCs w:val="24"/>
        </w:rPr>
      </w:pPr>
    </w:p>
    <w:p w14:paraId="49DB0DE5" w14:textId="63E2DE09" w:rsidR="00DA6B26" w:rsidRDefault="00DA6B26" w:rsidP="00160E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 December 2014, a new appellation of origin, “</w:t>
      </w:r>
      <w:proofErr w:type="spellStart"/>
      <w:r>
        <w:rPr>
          <w:rFonts w:ascii="Times New Roman" w:eastAsia="Times New Roman" w:hAnsi="Times New Roman"/>
          <w:sz w:val="24"/>
          <w:szCs w:val="24"/>
        </w:rPr>
        <w:t>Aceituna</w:t>
      </w:r>
      <w:proofErr w:type="spellEnd"/>
      <w:r>
        <w:rPr>
          <w:rFonts w:ascii="Times New Roman" w:eastAsia="Times New Roman" w:hAnsi="Times New Roman"/>
          <w:sz w:val="24"/>
          <w:szCs w:val="24"/>
        </w:rPr>
        <w:t xml:space="preserve"> de Tacna” (Tacna olives) was recognized.</w:t>
      </w:r>
    </w:p>
    <w:p w14:paraId="116CDB6F" w14:textId="77777777" w:rsidR="00DA6B26" w:rsidRDefault="00DA6B26" w:rsidP="00160E98">
      <w:pPr>
        <w:spacing w:after="0" w:line="240" w:lineRule="auto"/>
        <w:jc w:val="both"/>
        <w:rPr>
          <w:rFonts w:ascii="Times New Roman" w:eastAsia="Times New Roman" w:hAnsi="Times New Roman"/>
          <w:sz w:val="24"/>
          <w:szCs w:val="24"/>
        </w:rPr>
      </w:pPr>
    </w:p>
    <w:p w14:paraId="3B1B3B24" w14:textId="77777777" w:rsidR="00160E98" w:rsidRPr="00160E98" w:rsidRDefault="00160E98" w:rsidP="00160E98">
      <w:pPr>
        <w:spacing w:after="0" w:line="240" w:lineRule="auto"/>
        <w:jc w:val="both"/>
        <w:rPr>
          <w:rFonts w:ascii="Times New Roman" w:eastAsia="Times New Roman" w:hAnsi="Times New Roman"/>
          <w:sz w:val="24"/>
          <w:szCs w:val="24"/>
          <w:u w:val="single"/>
        </w:rPr>
      </w:pPr>
      <w:r w:rsidRPr="00160E98">
        <w:rPr>
          <w:rFonts w:ascii="Times New Roman" w:eastAsia="Times New Roman" w:hAnsi="Times New Roman"/>
          <w:b/>
          <w:color w:val="0070C0"/>
          <w:sz w:val="24"/>
          <w:szCs w:val="24"/>
        </w:rPr>
        <w:t>Competition Policy</w:t>
      </w:r>
    </w:p>
    <w:p w14:paraId="7CE411BD" w14:textId="57F8AC35" w:rsidR="00327C9E" w:rsidRDefault="000F45B3" w:rsidP="00160E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 September 2015, the Law on the Suppression of Anticompetitive Behavior was modified. The changes seek to overturn cartel facilitators; define the responsibilities of the competent authorities to conduct market research, request information in connection to any case and sanction any failure to comply with the request; request the lifting of secrecy of communications to gather evidence; and exempt from penalties in specific cases (e.g. leniency for those providing information to the authorities on a particular case), among</w:t>
      </w:r>
      <w:r w:rsidR="001616B2">
        <w:rPr>
          <w:rFonts w:ascii="Times New Roman" w:eastAsia="Times New Roman" w:hAnsi="Times New Roman"/>
          <w:sz w:val="24"/>
          <w:szCs w:val="24"/>
        </w:rPr>
        <w:t>st</w:t>
      </w:r>
      <w:r>
        <w:rPr>
          <w:rFonts w:ascii="Times New Roman" w:eastAsia="Times New Roman" w:hAnsi="Times New Roman"/>
          <w:sz w:val="24"/>
          <w:szCs w:val="24"/>
        </w:rPr>
        <w:t xml:space="preserve"> others.</w:t>
      </w:r>
    </w:p>
    <w:p w14:paraId="0EBE9164" w14:textId="77777777" w:rsidR="000F45B3" w:rsidRDefault="000F45B3" w:rsidP="00160E98">
      <w:pPr>
        <w:spacing w:after="0" w:line="240" w:lineRule="auto"/>
        <w:jc w:val="both"/>
        <w:rPr>
          <w:rFonts w:ascii="Times New Roman" w:eastAsia="Times New Roman" w:hAnsi="Times New Roman"/>
          <w:sz w:val="24"/>
          <w:szCs w:val="24"/>
        </w:rPr>
      </w:pPr>
    </w:p>
    <w:p w14:paraId="16F91ED1" w14:textId="2A105829" w:rsidR="000F45B3" w:rsidRDefault="000F45B3" w:rsidP="00160E98">
      <w:pPr>
        <w:spacing w:after="0" w:line="240" w:lineRule="auto"/>
        <w:jc w:val="both"/>
        <w:rPr>
          <w:rFonts w:ascii="Times New Roman" w:eastAsia="Times New Roman" w:hAnsi="Times New Roman"/>
          <w:sz w:val="24"/>
          <w:szCs w:val="24"/>
        </w:rPr>
      </w:pPr>
      <w:r w:rsidRPr="000F45B3">
        <w:rPr>
          <w:rFonts w:ascii="Times New Roman" w:eastAsia="Times New Roman" w:hAnsi="Times New Roman"/>
          <w:b/>
          <w:color w:val="0070C0"/>
          <w:sz w:val="24"/>
          <w:szCs w:val="24"/>
        </w:rPr>
        <w:t>Government Procurement</w:t>
      </w:r>
    </w:p>
    <w:p w14:paraId="5012D5EA" w14:textId="21BEA4E1" w:rsidR="00064D8F" w:rsidRDefault="00064D8F" w:rsidP="00160E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New legislation on Government Procurement entered into force in January 2016, in accordance with international standards </w:t>
      </w:r>
      <w:r w:rsidR="001616B2">
        <w:rPr>
          <w:rFonts w:ascii="Times New Roman" w:eastAsia="Times New Roman" w:hAnsi="Times New Roman"/>
          <w:sz w:val="24"/>
          <w:szCs w:val="24"/>
        </w:rPr>
        <w:t xml:space="preserve">to </w:t>
      </w:r>
      <w:r>
        <w:rPr>
          <w:rFonts w:ascii="Times New Roman" w:eastAsia="Times New Roman" w:hAnsi="Times New Roman"/>
          <w:sz w:val="24"/>
          <w:szCs w:val="24"/>
        </w:rPr>
        <w:t>increase transparency and efficiency.</w:t>
      </w:r>
      <w:r w:rsidR="00787739">
        <w:rPr>
          <w:rFonts w:ascii="Times New Roman" w:eastAsia="Times New Roman" w:hAnsi="Times New Roman"/>
          <w:sz w:val="24"/>
          <w:szCs w:val="24"/>
        </w:rPr>
        <w:t xml:space="preserve"> </w:t>
      </w:r>
      <w:r w:rsidR="005D05D6">
        <w:rPr>
          <w:rFonts w:ascii="Times New Roman" w:eastAsia="Times New Roman" w:hAnsi="Times New Roman"/>
          <w:sz w:val="24"/>
          <w:szCs w:val="24"/>
        </w:rPr>
        <w:t>Among the changes, t</w:t>
      </w:r>
      <w:r w:rsidR="00787739">
        <w:rPr>
          <w:rFonts w:ascii="Times New Roman" w:eastAsia="Times New Roman" w:hAnsi="Times New Roman"/>
          <w:sz w:val="24"/>
          <w:szCs w:val="24"/>
        </w:rPr>
        <w:t xml:space="preserve">he new legislation establishes higher threshold for entities to conduct direct adjudication and ease the possibility to adjudicate from suppliers </w:t>
      </w:r>
      <w:r w:rsidR="005D05D6">
        <w:rPr>
          <w:rFonts w:ascii="Times New Roman" w:eastAsia="Times New Roman" w:hAnsi="Times New Roman"/>
          <w:sz w:val="24"/>
          <w:szCs w:val="24"/>
        </w:rPr>
        <w:t>based</w:t>
      </w:r>
      <w:r w:rsidR="00787739">
        <w:rPr>
          <w:rFonts w:ascii="Times New Roman" w:eastAsia="Times New Roman" w:hAnsi="Times New Roman"/>
          <w:sz w:val="24"/>
          <w:szCs w:val="24"/>
        </w:rPr>
        <w:t xml:space="preserve"> overseas.       </w:t>
      </w:r>
    </w:p>
    <w:p w14:paraId="76DF90CD" w14:textId="04EA758F" w:rsidR="000F45B3" w:rsidRDefault="00787739" w:rsidP="00160E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548981A9" w14:textId="23640DA1" w:rsidR="00813A60" w:rsidRDefault="005D05D6" w:rsidP="00160E98">
      <w:pPr>
        <w:spacing w:after="0" w:line="240" w:lineRule="auto"/>
        <w:jc w:val="both"/>
        <w:rPr>
          <w:rFonts w:ascii="Times New Roman" w:eastAsia="Times New Roman" w:hAnsi="Times New Roman"/>
          <w:b/>
          <w:color w:val="0070C0"/>
          <w:sz w:val="24"/>
          <w:szCs w:val="24"/>
        </w:rPr>
      </w:pPr>
      <w:r>
        <w:rPr>
          <w:rFonts w:ascii="Times New Roman" w:eastAsia="Times New Roman" w:hAnsi="Times New Roman"/>
          <w:b/>
          <w:color w:val="0070C0"/>
          <w:sz w:val="24"/>
          <w:szCs w:val="24"/>
        </w:rPr>
        <w:t>Dispute Resolution</w:t>
      </w:r>
    </w:p>
    <w:p w14:paraId="786A5C4E" w14:textId="29C81C70" w:rsidR="005D05D6" w:rsidRPr="005D05D6" w:rsidRDefault="005D05D6" w:rsidP="00160E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Arbitration Act was amended in September 2015, with the objective to legislate public security and to strengthen the fight against crime, including organized crime. The amendment also seeks to curb or prevent the misuse of arbitration.</w:t>
      </w:r>
    </w:p>
    <w:p w14:paraId="46AFE7A4" w14:textId="77E1A936" w:rsidR="00512B55" w:rsidRPr="00201965" w:rsidRDefault="00512B55" w:rsidP="00160E98">
      <w:pPr>
        <w:spacing w:after="0" w:line="240" w:lineRule="auto"/>
        <w:jc w:val="both"/>
        <w:rPr>
          <w:rFonts w:ascii="Times New Roman" w:eastAsia="Times New Roman" w:hAnsi="Times New Roman"/>
          <w:b/>
          <w:color w:val="0070C0"/>
          <w:sz w:val="24"/>
          <w:szCs w:val="24"/>
          <w:lang w:val="en-SG"/>
        </w:rPr>
      </w:pPr>
    </w:p>
    <w:p w14:paraId="655651AC" w14:textId="77777777" w:rsidR="00160E98" w:rsidRDefault="00160E98" w:rsidP="00160E98">
      <w:pPr>
        <w:spacing w:after="0" w:line="240" w:lineRule="auto"/>
        <w:jc w:val="both"/>
        <w:rPr>
          <w:rFonts w:ascii="Times New Roman" w:eastAsia="Times New Roman" w:hAnsi="Times New Roman"/>
          <w:b/>
          <w:color w:val="0070C0"/>
          <w:sz w:val="24"/>
          <w:szCs w:val="24"/>
        </w:rPr>
      </w:pPr>
      <w:r w:rsidRPr="00160E98">
        <w:rPr>
          <w:rFonts w:ascii="Times New Roman" w:eastAsia="Times New Roman" w:hAnsi="Times New Roman"/>
          <w:b/>
          <w:color w:val="0070C0"/>
          <w:sz w:val="24"/>
          <w:szCs w:val="24"/>
        </w:rPr>
        <w:t>Mobility of Business People</w:t>
      </w:r>
    </w:p>
    <w:p w14:paraId="481EEF56" w14:textId="45B0001F" w:rsidR="005D05D6" w:rsidRPr="005D05D6" w:rsidRDefault="005D05D6" w:rsidP="00160E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September 2015, the new Law on Immigration was issued. It aims to implement a more efficient immigration system and facilitate the mobility of natural persons. New migratory categories have been created, namely: Intra-Corporate Transferees, Short-Term Workers (30 days stay); Talent (including researchers and specialists); and Students (including trainees), among others. The Law establishes a specific category for investors, who can stay in Peru for 365 days with a multiple entry visa. </w:t>
      </w:r>
    </w:p>
    <w:p w14:paraId="03F0EC15" w14:textId="77777777" w:rsidR="00813A60" w:rsidRPr="00160E98" w:rsidRDefault="00813A60" w:rsidP="00160E98">
      <w:pPr>
        <w:spacing w:after="0" w:line="240" w:lineRule="auto"/>
        <w:jc w:val="both"/>
        <w:rPr>
          <w:rFonts w:ascii="Times New Roman" w:eastAsia="Times New Roman" w:hAnsi="Times New Roman"/>
          <w:sz w:val="24"/>
          <w:szCs w:val="24"/>
        </w:rPr>
      </w:pPr>
    </w:p>
    <w:p w14:paraId="4C9D84B2" w14:textId="77777777" w:rsidR="00160E98" w:rsidRDefault="00160E98" w:rsidP="00160E98">
      <w:pPr>
        <w:spacing w:after="0" w:line="240" w:lineRule="auto"/>
        <w:jc w:val="both"/>
        <w:rPr>
          <w:rFonts w:ascii="Times New Roman" w:eastAsia="Times New Roman" w:hAnsi="Times New Roman"/>
          <w:b/>
          <w:color w:val="0070C0"/>
          <w:sz w:val="24"/>
          <w:szCs w:val="24"/>
        </w:rPr>
      </w:pPr>
      <w:r w:rsidRPr="00160E98">
        <w:rPr>
          <w:rFonts w:ascii="Times New Roman" w:eastAsia="Times New Roman" w:hAnsi="Times New Roman"/>
          <w:b/>
          <w:color w:val="0070C0"/>
          <w:sz w:val="24"/>
          <w:szCs w:val="24"/>
        </w:rPr>
        <w:t>RTA/FTAs</w:t>
      </w:r>
    </w:p>
    <w:p w14:paraId="51F87ACD" w14:textId="3E5C6EDA" w:rsidR="00C91C29" w:rsidRPr="00A37222" w:rsidRDefault="00C91C29" w:rsidP="00160E98">
      <w:pPr>
        <w:spacing w:after="0" w:line="240" w:lineRule="auto"/>
        <w:jc w:val="both"/>
        <w:rPr>
          <w:rFonts w:ascii="Times New Roman" w:eastAsia="Times New Roman" w:hAnsi="Times New Roman"/>
          <w:sz w:val="24"/>
          <w:szCs w:val="24"/>
        </w:rPr>
      </w:pPr>
      <w:r w:rsidRPr="00C91C29">
        <w:rPr>
          <w:rFonts w:ascii="Times New Roman" w:eastAsia="Times New Roman" w:hAnsi="Times New Roman"/>
          <w:sz w:val="24"/>
          <w:szCs w:val="24"/>
        </w:rPr>
        <w:t>Peru has reported 17 RTA/FTAs in force</w:t>
      </w:r>
      <w:r w:rsidR="00953072">
        <w:rPr>
          <w:rStyle w:val="FootnoteReference"/>
          <w:rFonts w:ascii="Times New Roman" w:eastAsia="Times New Roman" w:hAnsi="Times New Roman"/>
          <w:sz w:val="24"/>
          <w:szCs w:val="24"/>
        </w:rPr>
        <w:footnoteReference w:id="2"/>
      </w:r>
      <w:r>
        <w:rPr>
          <w:rFonts w:ascii="Times New Roman" w:eastAsia="Times New Roman" w:hAnsi="Times New Roman"/>
          <w:sz w:val="24"/>
          <w:szCs w:val="24"/>
        </w:rPr>
        <w:t xml:space="preserve">, </w:t>
      </w:r>
      <w:r w:rsidR="005D05D6">
        <w:rPr>
          <w:rFonts w:ascii="Times New Roman" w:eastAsia="Times New Roman" w:hAnsi="Times New Roman"/>
          <w:sz w:val="24"/>
          <w:szCs w:val="24"/>
        </w:rPr>
        <w:t>two</w:t>
      </w:r>
      <w:r>
        <w:rPr>
          <w:rFonts w:ascii="Times New Roman" w:eastAsia="Times New Roman" w:hAnsi="Times New Roman"/>
          <w:sz w:val="24"/>
          <w:szCs w:val="24"/>
        </w:rPr>
        <w:t xml:space="preserve"> RTA/FTA negotiations in place</w:t>
      </w:r>
      <w:r w:rsidR="006B0982">
        <w:rPr>
          <w:rStyle w:val="FootnoteReference"/>
          <w:rFonts w:ascii="Times New Roman" w:eastAsia="Times New Roman" w:hAnsi="Times New Roman"/>
          <w:sz w:val="24"/>
          <w:szCs w:val="24"/>
        </w:rPr>
        <w:footnoteReference w:id="3"/>
      </w:r>
      <w:r>
        <w:rPr>
          <w:rFonts w:ascii="Times New Roman" w:eastAsia="Times New Roman" w:hAnsi="Times New Roman"/>
          <w:sz w:val="24"/>
          <w:szCs w:val="24"/>
        </w:rPr>
        <w:t xml:space="preserve">, including the Trans-Pacific Partnership Agreement, and </w:t>
      </w:r>
      <w:r w:rsidR="005D05D6">
        <w:rPr>
          <w:rFonts w:ascii="Times New Roman" w:eastAsia="Times New Roman" w:hAnsi="Times New Roman"/>
          <w:sz w:val="24"/>
          <w:szCs w:val="24"/>
        </w:rPr>
        <w:t>four</w:t>
      </w:r>
      <w:r>
        <w:rPr>
          <w:rFonts w:ascii="Times New Roman" w:eastAsia="Times New Roman" w:hAnsi="Times New Roman"/>
          <w:sz w:val="24"/>
          <w:szCs w:val="24"/>
        </w:rPr>
        <w:t xml:space="preserve"> RTA/FTA signed, but still under the ratification process.</w:t>
      </w:r>
      <w:r w:rsidR="006B0982">
        <w:rPr>
          <w:rStyle w:val="FootnoteReference"/>
          <w:rFonts w:ascii="Times New Roman" w:eastAsia="Times New Roman" w:hAnsi="Times New Roman"/>
          <w:sz w:val="24"/>
          <w:szCs w:val="24"/>
        </w:rPr>
        <w:footnoteReference w:id="4"/>
      </w:r>
    </w:p>
    <w:sectPr w:rsidR="00C91C29" w:rsidRPr="00A37222" w:rsidSect="005224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5894E" w14:textId="77777777" w:rsidR="007F4823" w:rsidRDefault="007F4823" w:rsidP="00F30D2B">
      <w:pPr>
        <w:spacing w:after="0" w:line="240" w:lineRule="auto"/>
      </w:pPr>
      <w:r>
        <w:separator/>
      </w:r>
    </w:p>
  </w:endnote>
  <w:endnote w:type="continuationSeparator" w:id="0">
    <w:p w14:paraId="14E8823F" w14:textId="77777777" w:rsidR="007F4823" w:rsidRDefault="007F4823" w:rsidP="00F3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8FF75" w14:textId="77777777" w:rsidR="007F4823" w:rsidRDefault="007F4823" w:rsidP="00F30D2B">
      <w:pPr>
        <w:spacing w:after="0" w:line="240" w:lineRule="auto"/>
      </w:pPr>
      <w:r>
        <w:separator/>
      </w:r>
    </w:p>
  </w:footnote>
  <w:footnote w:type="continuationSeparator" w:id="0">
    <w:p w14:paraId="5B84AF59" w14:textId="77777777" w:rsidR="007F4823" w:rsidRDefault="007F4823" w:rsidP="00F30D2B">
      <w:pPr>
        <w:spacing w:after="0" w:line="240" w:lineRule="auto"/>
      </w:pPr>
      <w:r>
        <w:continuationSeparator/>
      </w:r>
    </w:p>
  </w:footnote>
  <w:footnote w:id="1">
    <w:p w14:paraId="5003D63C" w14:textId="474D25D9" w:rsidR="00562F3D" w:rsidRPr="00B36CFF" w:rsidRDefault="00562F3D" w:rsidP="00562F3D">
      <w:pPr>
        <w:pStyle w:val="FootnoteText"/>
        <w:jc w:val="both"/>
        <w:rPr>
          <w:rFonts w:ascii="Times New Roman" w:hAnsi="Times New Roman"/>
        </w:rPr>
      </w:pPr>
      <w:r w:rsidRPr="00F30D2B">
        <w:rPr>
          <w:rStyle w:val="FootnoteReference"/>
          <w:rFonts w:ascii="Times New Roman" w:hAnsi="Times New Roman"/>
        </w:rPr>
        <w:sym w:font="Symbol" w:char="F02A"/>
      </w:r>
      <w:r w:rsidRPr="00F30D2B">
        <w:rPr>
          <w:rFonts w:ascii="Times New Roman" w:hAnsi="Times New Roman"/>
        </w:rPr>
        <w:t xml:space="preserve"> </w:t>
      </w:r>
      <w:r>
        <w:rPr>
          <w:rFonts w:ascii="Times New Roman" w:hAnsi="Times New Roman"/>
        </w:rPr>
        <w:t>This brief</w:t>
      </w:r>
      <w:r w:rsidRPr="003D28CC">
        <w:rPr>
          <w:rFonts w:ascii="Times New Roman" w:hAnsi="Times New Roman"/>
        </w:rPr>
        <w:t xml:space="preserve"> </w:t>
      </w:r>
      <w:r w:rsidRPr="009C2C79">
        <w:rPr>
          <w:rFonts w:ascii="Times New Roman" w:hAnsi="Times New Roman"/>
        </w:rPr>
        <w:t xml:space="preserve">report was prepared with information from </w:t>
      </w:r>
      <w:r>
        <w:rPr>
          <w:rFonts w:ascii="Times New Roman" w:hAnsi="Times New Roman"/>
        </w:rPr>
        <w:t xml:space="preserve">Peru’s </w:t>
      </w:r>
      <w:r w:rsidRPr="009C2C79">
        <w:rPr>
          <w:rFonts w:ascii="Times New Roman" w:hAnsi="Times New Roman"/>
        </w:rPr>
        <w:t>submission of 201</w:t>
      </w:r>
      <w:r w:rsidR="00630F21">
        <w:rPr>
          <w:rFonts w:ascii="Times New Roman" w:hAnsi="Times New Roman"/>
        </w:rPr>
        <w:t>6</w:t>
      </w:r>
      <w:r w:rsidRPr="009C2C79">
        <w:rPr>
          <w:rFonts w:ascii="Times New Roman" w:hAnsi="Times New Roman"/>
        </w:rPr>
        <w:t xml:space="preserve"> APEC Individual Action Plan (IAP) template</w:t>
      </w:r>
      <w:r w:rsidR="002F4643">
        <w:rPr>
          <w:rFonts w:ascii="Times New Roman" w:hAnsi="Times New Roman"/>
        </w:rPr>
        <w:t>; the WTO TBT Information System;</w:t>
      </w:r>
      <w:r w:rsidRPr="009C2C79">
        <w:rPr>
          <w:rFonts w:ascii="Times New Roman" w:hAnsi="Times New Roman"/>
        </w:rPr>
        <w:t xml:space="preserve"> </w:t>
      </w:r>
      <w:r w:rsidR="002F4643">
        <w:rPr>
          <w:rFonts w:ascii="Times New Roman" w:hAnsi="Times New Roman"/>
        </w:rPr>
        <w:t xml:space="preserve">and </w:t>
      </w:r>
      <w:r w:rsidR="00630F21">
        <w:rPr>
          <w:rFonts w:ascii="Times New Roman" w:hAnsi="Times New Roman"/>
        </w:rPr>
        <w:t xml:space="preserve">information from the Ministry of Economy and Finance, </w:t>
      </w:r>
      <w:proofErr w:type="spellStart"/>
      <w:r w:rsidR="00630F21">
        <w:rPr>
          <w:rFonts w:ascii="Times New Roman" w:hAnsi="Times New Roman"/>
        </w:rPr>
        <w:t>Organismo</w:t>
      </w:r>
      <w:proofErr w:type="spellEnd"/>
      <w:r w:rsidR="00630F21">
        <w:rPr>
          <w:rFonts w:ascii="Times New Roman" w:hAnsi="Times New Roman"/>
        </w:rPr>
        <w:t xml:space="preserve"> Supervisor de las </w:t>
      </w:r>
      <w:proofErr w:type="spellStart"/>
      <w:r w:rsidR="00630F21">
        <w:rPr>
          <w:rFonts w:ascii="Times New Roman" w:hAnsi="Times New Roman"/>
        </w:rPr>
        <w:t>Contrataciones</w:t>
      </w:r>
      <w:proofErr w:type="spellEnd"/>
      <w:r w:rsidR="00630F21">
        <w:rPr>
          <w:rFonts w:ascii="Times New Roman" w:hAnsi="Times New Roman"/>
        </w:rPr>
        <w:t xml:space="preserve"> del Estado and </w:t>
      </w:r>
      <w:proofErr w:type="spellStart"/>
      <w:r w:rsidR="00630F21">
        <w:rPr>
          <w:rFonts w:ascii="Times New Roman" w:hAnsi="Times New Roman"/>
        </w:rPr>
        <w:t>Diario</w:t>
      </w:r>
      <w:proofErr w:type="spellEnd"/>
      <w:r w:rsidR="00630F21">
        <w:rPr>
          <w:rFonts w:ascii="Times New Roman" w:hAnsi="Times New Roman"/>
        </w:rPr>
        <w:t xml:space="preserve"> </w:t>
      </w:r>
      <w:proofErr w:type="spellStart"/>
      <w:r w:rsidR="00630F21">
        <w:rPr>
          <w:rFonts w:ascii="Times New Roman" w:hAnsi="Times New Roman"/>
        </w:rPr>
        <w:t>Oficial</w:t>
      </w:r>
      <w:proofErr w:type="spellEnd"/>
      <w:r w:rsidR="00630F21">
        <w:rPr>
          <w:rFonts w:ascii="Times New Roman" w:hAnsi="Times New Roman"/>
        </w:rPr>
        <w:t xml:space="preserve"> El </w:t>
      </w:r>
      <w:proofErr w:type="spellStart"/>
      <w:r w:rsidR="00630F21">
        <w:rPr>
          <w:rFonts w:ascii="Times New Roman" w:hAnsi="Times New Roman"/>
        </w:rPr>
        <w:t>Peruano</w:t>
      </w:r>
      <w:proofErr w:type="spellEnd"/>
      <w:r w:rsidR="00630F21">
        <w:rPr>
          <w:rFonts w:ascii="Times New Roman" w:hAnsi="Times New Roman"/>
        </w:rPr>
        <w:t xml:space="preserve"> websites.</w:t>
      </w:r>
    </w:p>
    <w:p w14:paraId="3E3E9C28" w14:textId="77777777" w:rsidR="00562F3D" w:rsidRPr="00F30D2B" w:rsidRDefault="00562F3D" w:rsidP="00562F3D">
      <w:pPr>
        <w:pStyle w:val="FootnoteText"/>
        <w:rPr>
          <w:rFonts w:ascii="Times New Roman" w:hAnsi="Times New Roman"/>
        </w:rPr>
      </w:pPr>
    </w:p>
  </w:footnote>
  <w:footnote w:id="2">
    <w:p w14:paraId="0A95C16E" w14:textId="77777777" w:rsidR="00953072" w:rsidRPr="008B0561" w:rsidRDefault="00953072" w:rsidP="008B0561">
      <w:pPr>
        <w:pStyle w:val="FootnoteText"/>
        <w:jc w:val="both"/>
        <w:rPr>
          <w:rFonts w:ascii="Times New Roman" w:hAnsi="Times New Roman"/>
        </w:rPr>
      </w:pPr>
      <w:r w:rsidRPr="008B0561">
        <w:rPr>
          <w:rStyle w:val="FootnoteReference"/>
          <w:rFonts w:ascii="Times New Roman" w:hAnsi="Times New Roman"/>
        </w:rPr>
        <w:footnoteRef/>
      </w:r>
      <w:r w:rsidRPr="008B0561">
        <w:rPr>
          <w:rFonts w:ascii="Times New Roman" w:hAnsi="Times New Roman"/>
        </w:rPr>
        <w:t xml:space="preserve"> </w:t>
      </w:r>
      <w:r w:rsidR="008B0561" w:rsidRPr="008B0561">
        <w:rPr>
          <w:rFonts w:ascii="Times New Roman" w:hAnsi="Times New Roman"/>
        </w:rPr>
        <w:t>Peru’s RTA/FTAs in force are the following ones</w:t>
      </w:r>
      <w:r w:rsidRPr="008B0561">
        <w:rPr>
          <w:rFonts w:ascii="Times New Roman" w:hAnsi="Times New Roman"/>
        </w:rPr>
        <w:t>: Andean Community (1988), Peru–Cuba, Peru–MERCUSUR (2006), Peru–United States</w:t>
      </w:r>
      <w:r w:rsidR="008B0561">
        <w:rPr>
          <w:rFonts w:ascii="Times New Roman" w:hAnsi="Times New Roman"/>
        </w:rPr>
        <w:t xml:space="preserve"> </w:t>
      </w:r>
      <w:r w:rsidRPr="008B0561">
        <w:rPr>
          <w:rFonts w:ascii="Times New Roman" w:hAnsi="Times New Roman"/>
        </w:rPr>
        <w:t xml:space="preserve">(2009), Peru–Chile (2009), Peru–Singapore (2009), Peru–China (2009), Peru–Canada (2009), Peru–Mexico (2012), Peru–Thailand (2011), Peru–EFTA (2011), Peru–Korea (2011), Peru–EU (2013), Peru–Costa Rica (2013), Peru–Panama (2012), Peru–Japan (2012), Peru–Venezuela (2013).   </w:t>
      </w:r>
    </w:p>
  </w:footnote>
  <w:footnote w:id="3">
    <w:p w14:paraId="2E2A55E1" w14:textId="17F07597" w:rsidR="006B0982" w:rsidRPr="00A37222" w:rsidRDefault="006B0982" w:rsidP="006D70AC">
      <w:pPr>
        <w:pStyle w:val="FootnoteText"/>
        <w:jc w:val="both"/>
        <w:rPr>
          <w:rFonts w:ascii="Times New Roman" w:hAnsi="Times New Roman"/>
        </w:rPr>
      </w:pPr>
      <w:r w:rsidRPr="00A37222">
        <w:rPr>
          <w:rStyle w:val="FootnoteReference"/>
          <w:rFonts w:ascii="Times New Roman" w:hAnsi="Times New Roman"/>
        </w:rPr>
        <w:footnoteRef/>
      </w:r>
      <w:r w:rsidRPr="00A37222">
        <w:rPr>
          <w:rFonts w:ascii="Times New Roman" w:hAnsi="Times New Roman"/>
        </w:rPr>
        <w:t xml:space="preserve"> Peru</w:t>
      </w:r>
      <w:r w:rsidR="00A37222">
        <w:rPr>
          <w:rFonts w:ascii="Times New Roman" w:hAnsi="Times New Roman"/>
        </w:rPr>
        <w:t>’</w:t>
      </w:r>
      <w:r w:rsidRPr="00A37222">
        <w:rPr>
          <w:rFonts w:ascii="Times New Roman" w:hAnsi="Times New Roman"/>
        </w:rPr>
        <w:t xml:space="preserve">s RTA/FTAs </w:t>
      </w:r>
      <w:r w:rsidR="00A37222">
        <w:rPr>
          <w:rFonts w:ascii="Times New Roman" w:hAnsi="Times New Roman"/>
        </w:rPr>
        <w:t>under</w:t>
      </w:r>
      <w:r w:rsidRPr="00A37222">
        <w:rPr>
          <w:rFonts w:ascii="Times New Roman" w:hAnsi="Times New Roman"/>
        </w:rPr>
        <w:t xml:space="preserve"> negotiation are the following ones: </w:t>
      </w:r>
      <w:r>
        <w:rPr>
          <w:rFonts w:ascii="Times New Roman" w:hAnsi="Times New Roman"/>
        </w:rPr>
        <w:t>Peru-</w:t>
      </w:r>
      <w:r w:rsidR="005D05D6">
        <w:rPr>
          <w:rFonts w:ascii="Times New Roman" w:hAnsi="Times New Roman"/>
        </w:rPr>
        <w:t>Turkey</w:t>
      </w:r>
      <w:r w:rsidRPr="00A37222">
        <w:rPr>
          <w:rFonts w:ascii="Times New Roman" w:hAnsi="Times New Roman"/>
        </w:rPr>
        <w:t xml:space="preserve"> </w:t>
      </w:r>
      <w:r w:rsidR="005D05D6">
        <w:rPr>
          <w:rFonts w:ascii="Times New Roman" w:hAnsi="Times New Roman"/>
        </w:rPr>
        <w:t>and</w:t>
      </w:r>
      <w:r w:rsidRPr="00A37222">
        <w:rPr>
          <w:rFonts w:ascii="Times New Roman" w:hAnsi="Times New Roman"/>
        </w:rPr>
        <w:t xml:space="preserve"> </w:t>
      </w:r>
      <w:r>
        <w:rPr>
          <w:rFonts w:ascii="Times New Roman" w:hAnsi="Times New Roman"/>
        </w:rPr>
        <w:t>Peru-</w:t>
      </w:r>
      <w:r w:rsidRPr="00A37222">
        <w:rPr>
          <w:rFonts w:ascii="Times New Roman" w:hAnsi="Times New Roman"/>
        </w:rPr>
        <w:t>El Salvador.</w:t>
      </w:r>
    </w:p>
  </w:footnote>
  <w:footnote w:id="4">
    <w:p w14:paraId="292D6611" w14:textId="548DD8CA" w:rsidR="006B0982" w:rsidRPr="006B0982" w:rsidRDefault="006B0982" w:rsidP="006D70AC">
      <w:pPr>
        <w:pStyle w:val="FootnoteText"/>
        <w:jc w:val="both"/>
      </w:pPr>
      <w:r w:rsidRPr="00A37222">
        <w:rPr>
          <w:rStyle w:val="FootnoteReference"/>
          <w:rFonts w:ascii="Times New Roman" w:hAnsi="Times New Roman"/>
        </w:rPr>
        <w:footnoteRef/>
      </w:r>
      <w:r>
        <w:t xml:space="preserve"> </w:t>
      </w:r>
      <w:r w:rsidRPr="00A37222">
        <w:rPr>
          <w:rFonts w:ascii="Times New Roman" w:hAnsi="Times New Roman"/>
        </w:rPr>
        <w:t>Peru</w:t>
      </w:r>
      <w:r w:rsidRPr="008B0561">
        <w:rPr>
          <w:rFonts w:ascii="Times New Roman" w:hAnsi="Times New Roman"/>
        </w:rPr>
        <w:t>’</w:t>
      </w:r>
      <w:r>
        <w:rPr>
          <w:rFonts w:ascii="Times New Roman" w:hAnsi="Times New Roman"/>
        </w:rPr>
        <w:t>s RTA/FTAs signed</w:t>
      </w:r>
      <w:r w:rsidR="00A37222">
        <w:rPr>
          <w:rFonts w:ascii="Times New Roman" w:hAnsi="Times New Roman"/>
        </w:rPr>
        <w:t>,</w:t>
      </w:r>
      <w:r>
        <w:rPr>
          <w:rFonts w:ascii="Times New Roman" w:hAnsi="Times New Roman"/>
        </w:rPr>
        <w:t xml:space="preserve"> but still under ratification process</w:t>
      </w:r>
      <w:r w:rsidR="00A37222">
        <w:rPr>
          <w:rFonts w:ascii="Times New Roman" w:hAnsi="Times New Roman"/>
        </w:rPr>
        <w:t>,</w:t>
      </w:r>
      <w:r>
        <w:rPr>
          <w:rFonts w:ascii="Times New Roman" w:hAnsi="Times New Roman"/>
        </w:rPr>
        <w:t xml:space="preserve"> are the following ones: </w:t>
      </w:r>
      <w:r w:rsidR="005D05D6">
        <w:rPr>
          <w:rFonts w:ascii="Times New Roman" w:hAnsi="Times New Roman"/>
        </w:rPr>
        <w:t xml:space="preserve">Trans-Pacific Partnership; </w:t>
      </w:r>
      <w:r>
        <w:rPr>
          <w:rFonts w:ascii="Times New Roman" w:hAnsi="Times New Roman"/>
        </w:rPr>
        <w:t>Peru-Guatemala</w:t>
      </w:r>
      <w:r w:rsidR="005D05D6">
        <w:rPr>
          <w:rFonts w:ascii="Times New Roman" w:hAnsi="Times New Roman"/>
        </w:rPr>
        <w:t>; Peru-Honduras</w:t>
      </w:r>
      <w:r>
        <w:rPr>
          <w:rFonts w:ascii="Times New Roman" w:hAnsi="Times New Roman"/>
        </w:rPr>
        <w:t xml:space="preserve"> and </w:t>
      </w:r>
      <w:proofErr w:type="spellStart"/>
      <w:r>
        <w:rPr>
          <w:rFonts w:ascii="Times New Roman" w:hAnsi="Times New Roman"/>
        </w:rPr>
        <w:t>Alianza</w:t>
      </w:r>
      <w:proofErr w:type="spellEnd"/>
      <w:r>
        <w:rPr>
          <w:rFonts w:ascii="Times New Roman" w:hAnsi="Times New Roman"/>
        </w:rPr>
        <w:t xml:space="preserve"> </w:t>
      </w:r>
      <w:proofErr w:type="gramStart"/>
      <w:r>
        <w:rPr>
          <w:rFonts w:ascii="Times New Roman" w:hAnsi="Times New Roman"/>
        </w:rPr>
        <w:t>del</w:t>
      </w:r>
      <w:proofErr w:type="gramEnd"/>
      <w:r>
        <w:rPr>
          <w:rFonts w:ascii="Times New Roman" w:hAnsi="Times New Roman"/>
        </w:rPr>
        <w:t xml:space="preserve"> </w:t>
      </w:r>
      <w:proofErr w:type="spellStart"/>
      <w:r>
        <w:rPr>
          <w:rFonts w:ascii="Times New Roman" w:hAnsi="Times New Roman"/>
        </w:rPr>
        <w:t>Pacifico</w:t>
      </w:r>
      <w:proofErr w:type="spellEnd"/>
      <w:r w:rsidR="006D70AC">
        <w:rPr>
          <w:rFonts w:ascii="Times New Roman" w:hAnsi="Times New Roman"/>
        </w:rPr>
        <w:t xml:space="preserve"> (Pacific Alliance)</w:t>
      </w:r>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0D5C" w14:textId="77777777" w:rsidR="00317E08" w:rsidRPr="006B34A0" w:rsidRDefault="00317E08" w:rsidP="00317E08">
    <w:pPr>
      <w:pStyle w:val="Header"/>
      <w:tabs>
        <w:tab w:val="clear" w:pos="4680"/>
        <w:tab w:val="clear" w:pos="9360"/>
        <w:tab w:val="right" w:pos="8280"/>
        <w:tab w:val="right" w:pos="9000"/>
      </w:tabs>
      <w:jc w:val="right"/>
      <w:rPr>
        <w:rFonts w:ascii="Times New Roman" w:hAnsi="Times New Roman"/>
        <w:b/>
        <w:i/>
      </w:rPr>
    </w:pPr>
    <w:r w:rsidRPr="006B34A0">
      <w:rPr>
        <w:b/>
      </w:rPr>
      <w:tab/>
    </w:r>
    <w:r w:rsidRPr="006B34A0">
      <w:rPr>
        <w:rFonts w:ascii="Times New Roman" w:eastAsia="Times New Roman" w:hAnsi="Times New Roman"/>
        <w:i/>
      </w:rPr>
      <w:t>Progress</w:t>
    </w:r>
    <w:r w:rsidRPr="006B34A0">
      <w:rPr>
        <w:rFonts w:ascii="Times New Roman" w:hAnsi="Times New Roman"/>
        <w:i/>
      </w:rPr>
      <w:t xml:space="preserve"> Report - </w:t>
    </w:r>
    <w:r>
      <w:rPr>
        <w:rFonts w:ascii="Times New Roman" w:hAnsi="Times New Roman"/>
        <w:i/>
      </w:rPr>
      <w:t>Peru</w:t>
    </w:r>
    <w:r w:rsidRPr="006B34A0">
      <w:rPr>
        <w:rFonts w:ascii="Times New Roman" w:hAnsi="Times New Roman"/>
        <w:b/>
        <w:i/>
      </w:rPr>
      <w:tab/>
    </w:r>
    <w:r w:rsidR="00F92339" w:rsidRPr="006B34A0">
      <w:rPr>
        <w:rFonts w:ascii="Times New Roman" w:hAnsi="Times New Roman"/>
        <w:i/>
      </w:rPr>
      <w:fldChar w:fldCharType="begin"/>
    </w:r>
    <w:r w:rsidRPr="006B34A0">
      <w:rPr>
        <w:rFonts w:ascii="Times New Roman" w:hAnsi="Times New Roman"/>
        <w:i/>
      </w:rPr>
      <w:instrText xml:space="preserve"> PAGE   \* MERGEFORMAT </w:instrText>
    </w:r>
    <w:r w:rsidR="00F92339" w:rsidRPr="006B34A0">
      <w:rPr>
        <w:rFonts w:ascii="Times New Roman" w:hAnsi="Times New Roman"/>
        <w:i/>
      </w:rPr>
      <w:fldChar w:fldCharType="separate"/>
    </w:r>
    <w:r w:rsidR="008C483F">
      <w:rPr>
        <w:rFonts w:ascii="Times New Roman" w:hAnsi="Times New Roman"/>
        <w:i/>
        <w:noProof/>
      </w:rPr>
      <w:t>3</w:t>
    </w:r>
    <w:r w:rsidR="00F92339" w:rsidRPr="006B34A0">
      <w:rPr>
        <w:rFonts w:ascii="Times New Roman" w:hAnsi="Times New Roman"/>
        <w:i/>
      </w:rPr>
      <w:fldChar w:fldCharType="end"/>
    </w:r>
  </w:p>
  <w:p w14:paraId="212D2EEE" w14:textId="77777777" w:rsidR="00317E08" w:rsidRDefault="00317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7219"/>
    <w:multiLevelType w:val="hybridMultilevel"/>
    <w:tmpl w:val="B91A98A2"/>
    <w:lvl w:ilvl="0" w:tplc="FF02AA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861CE"/>
    <w:multiLevelType w:val="hybridMultilevel"/>
    <w:tmpl w:val="61E61B80"/>
    <w:lvl w:ilvl="0" w:tplc="5D062F84">
      <w:start w:val="55"/>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FB4373B"/>
    <w:multiLevelType w:val="hybridMultilevel"/>
    <w:tmpl w:val="9828B746"/>
    <w:lvl w:ilvl="0" w:tplc="AD9E1316">
      <w:start w:val="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3566E"/>
    <w:multiLevelType w:val="hybridMultilevel"/>
    <w:tmpl w:val="A808B0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3D"/>
    <w:rsid w:val="00004EE6"/>
    <w:rsid w:val="00011FB9"/>
    <w:rsid w:val="00012945"/>
    <w:rsid w:val="000173C3"/>
    <w:rsid w:val="000324F0"/>
    <w:rsid w:val="000415F8"/>
    <w:rsid w:val="00042742"/>
    <w:rsid w:val="00047F03"/>
    <w:rsid w:val="00055338"/>
    <w:rsid w:val="00064D8F"/>
    <w:rsid w:val="000A3FF9"/>
    <w:rsid w:val="000B507B"/>
    <w:rsid w:val="000B5D08"/>
    <w:rsid w:val="000C6C6B"/>
    <w:rsid w:val="000D4B94"/>
    <w:rsid w:val="000E4BAA"/>
    <w:rsid w:val="000F45B3"/>
    <w:rsid w:val="000F6768"/>
    <w:rsid w:val="000F7802"/>
    <w:rsid w:val="00122F16"/>
    <w:rsid w:val="0014766B"/>
    <w:rsid w:val="00160E98"/>
    <w:rsid w:val="001616B2"/>
    <w:rsid w:val="00161B63"/>
    <w:rsid w:val="00181ED7"/>
    <w:rsid w:val="00185749"/>
    <w:rsid w:val="0019737E"/>
    <w:rsid w:val="001A6CCC"/>
    <w:rsid w:val="001A6D28"/>
    <w:rsid w:val="001B0425"/>
    <w:rsid w:val="001F3593"/>
    <w:rsid w:val="00201965"/>
    <w:rsid w:val="00214630"/>
    <w:rsid w:val="00234C9C"/>
    <w:rsid w:val="00235A93"/>
    <w:rsid w:val="00250479"/>
    <w:rsid w:val="00266AAA"/>
    <w:rsid w:val="00280571"/>
    <w:rsid w:val="00292C9E"/>
    <w:rsid w:val="00293109"/>
    <w:rsid w:val="002A0193"/>
    <w:rsid w:val="002B3506"/>
    <w:rsid w:val="002C01BD"/>
    <w:rsid w:val="002C78A4"/>
    <w:rsid w:val="002D0D2F"/>
    <w:rsid w:val="002E02DC"/>
    <w:rsid w:val="002E6A3B"/>
    <w:rsid w:val="002F4643"/>
    <w:rsid w:val="002F5942"/>
    <w:rsid w:val="002F5CB2"/>
    <w:rsid w:val="003019ED"/>
    <w:rsid w:val="003077E5"/>
    <w:rsid w:val="00317E08"/>
    <w:rsid w:val="0032437D"/>
    <w:rsid w:val="00327C9E"/>
    <w:rsid w:val="00363360"/>
    <w:rsid w:val="003814AA"/>
    <w:rsid w:val="00383E8F"/>
    <w:rsid w:val="003A7DFE"/>
    <w:rsid w:val="003B0295"/>
    <w:rsid w:val="003C7D2C"/>
    <w:rsid w:val="003D43D5"/>
    <w:rsid w:val="003D619B"/>
    <w:rsid w:val="003F2991"/>
    <w:rsid w:val="003F4B6A"/>
    <w:rsid w:val="003F6E6E"/>
    <w:rsid w:val="00400145"/>
    <w:rsid w:val="00404430"/>
    <w:rsid w:val="00410B94"/>
    <w:rsid w:val="004129D5"/>
    <w:rsid w:val="0043517F"/>
    <w:rsid w:val="00455E07"/>
    <w:rsid w:val="004572D9"/>
    <w:rsid w:val="00463C45"/>
    <w:rsid w:val="00465464"/>
    <w:rsid w:val="004761C5"/>
    <w:rsid w:val="004A0B5E"/>
    <w:rsid w:val="004B37D9"/>
    <w:rsid w:val="004B37F8"/>
    <w:rsid w:val="004D30ED"/>
    <w:rsid w:val="004D5229"/>
    <w:rsid w:val="004E06B6"/>
    <w:rsid w:val="004F17BE"/>
    <w:rsid w:val="004F7538"/>
    <w:rsid w:val="005042B8"/>
    <w:rsid w:val="00512B55"/>
    <w:rsid w:val="00521A93"/>
    <w:rsid w:val="005224D8"/>
    <w:rsid w:val="00535684"/>
    <w:rsid w:val="00551CBF"/>
    <w:rsid w:val="00552CD8"/>
    <w:rsid w:val="0055573D"/>
    <w:rsid w:val="00562F3D"/>
    <w:rsid w:val="00566E64"/>
    <w:rsid w:val="005707D3"/>
    <w:rsid w:val="00581947"/>
    <w:rsid w:val="005B1EB2"/>
    <w:rsid w:val="005B65FB"/>
    <w:rsid w:val="005C027E"/>
    <w:rsid w:val="005C2650"/>
    <w:rsid w:val="005D05D6"/>
    <w:rsid w:val="005D27FD"/>
    <w:rsid w:val="005D3D86"/>
    <w:rsid w:val="005E7EAE"/>
    <w:rsid w:val="005F5B51"/>
    <w:rsid w:val="006232FE"/>
    <w:rsid w:val="00623C59"/>
    <w:rsid w:val="006256F4"/>
    <w:rsid w:val="00630F21"/>
    <w:rsid w:val="006854DF"/>
    <w:rsid w:val="00685826"/>
    <w:rsid w:val="00695337"/>
    <w:rsid w:val="006A68FC"/>
    <w:rsid w:val="006B0982"/>
    <w:rsid w:val="006B4350"/>
    <w:rsid w:val="006C2668"/>
    <w:rsid w:val="006C62E5"/>
    <w:rsid w:val="006D70AC"/>
    <w:rsid w:val="006E3249"/>
    <w:rsid w:val="006F40D5"/>
    <w:rsid w:val="006F6F2A"/>
    <w:rsid w:val="00704CFB"/>
    <w:rsid w:val="007125F5"/>
    <w:rsid w:val="0071276B"/>
    <w:rsid w:val="0072603A"/>
    <w:rsid w:val="00765938"/>
    <w:rsid w:val="00787739"/>
    <w:rsid w:val="007919C7"/>
    <w:rsid w:val="0079377C"/>
    <w:rsid w:val="00795269"/>
    <w:rsid w:val="007B1143"/>
    <w:rsid w:val="007B2830"/>
    <w:rsid w:val="007C0E58"/>
    <w:rsid w:val="007D365D"/>
    <w:rsid w:val="007D5DAC"/>
    <w:rsid w:val="007E0CFA"/>
    <w:rsid w:val="007F4823"/>
    <w:rsid w:val="008006FD"/>
    <w:rsid w:val="00813A60"/>
    <w:rsid w:val="008205EA"/>
    <w:rsid w:val="0084595C"/>
    <w:rsid w:val="00860996"/>
    <w:rsid w:val="0086699A"/>
    <w:rsid w:val="00876682"/>
    <w:rsid w:val="00890E35"/>
    <w:rsid w:val="008B0561"/>
    <w:rsid w:val="008C483F"/>
    <w:rsid w:val="008D27A6"/>
    <w:rsid w:val="0091345A"/>
    <w:rsid w:val="00920BDF"/>
    <w:rsid w:val="00924232"/>
    <w:rsid w:val="00927CC8"/>
    <w:rsid w:val="00953072"/>
    <w:rsid w:val="009938F1"/>
    <w:rsid w:val="009946D3"/>
    <w:rsid w:val="00996AEB"/>
    <w:rsid w:val="009C117D"/>
    <w:rsid w:val="009C7AA8"/>
    <w:rsid w:val="009F4852"/>
    <w:rsid w:val="009F6C1D"/>
    <w:rsid w:val="009F6E92"/>
    <w:rsid w:val="00A01354"/>
    <w:rsid w:val="00A17E4D"/>
    <w:rsid w:val="00A3090F"/>
    <w:rsid w:val="00A359C9"/>
    <w:rsid w:val="00A37222"/>
    <w:rsid w:val="00A473BA"/>
    <w:rsid w:val="00A55274"/>
    <w:rsid w:val="00A671D8"/>
    <w:rsid w:val="00AA6A4E"/>
    <w:rsid w:val="00AB05B1"/>
    <w:rsid w:val="00AC00AB"/>
    <w:rsid w:val="00AC23EE"/>
    <w:rsid w:val="00AC75D0"/>
    <w:rsid w:val="00AD7460"/>
    <w:rsid w:val="00AE7A49"/>
    <w:rsid w:val="00B03634"/>
    <w:rsid w:val="00B03769"/>
    <w:rsid w:val="00B06493"/>
    <w:rsid w:val="00B108DA"/>
    <w:rsid w:val="00B23784"/>
    <w:rsid w:val="00B3549D"/>
    <w:rsid w:val="00B45E2A"/>
    <w:rsid w:val="00B5423F"/>
    <w:rsid w:val="00B56425"/>
    <w:rsid w:val="00B84F55"/>
    <w:rsid w:val="00BB6776"/>
    <w:rsid w:val="00BC5327"/>
    <w:rsid w:val="00BD71D0"/>
    <w:rsid w:val="00C007AC"/>
    <w:rsid w:val="00C13C73"/>
    <w:rsid w:val="00C1411F"/>
    <w:rsid w:val="00C36B8C"/>
    <w:rsid w:val="00C375F4"/>
    <w:rsid w:val="00C4486F"/>
    <w:rsid w:val="00C55706"/>
    <w:rsid w:val="00C91C29"/>
    <w:rsid w:val="00C9704D"/>
    <w:rsid w:val="00C97164"/>
    <w:rsid w:val="00CA2C7B"/>
    <w:rsid w:val="00CA5B6D"/>
    <w:rsid w:val="00CB59AB"/>
    <w:rsid w:val="00CB65E2"/>
    <w:rsid w:val="00CC725A"/>
    <w:rsid w:val="00CD56A7"/>
    <w:rsid w:val="00CE75FA"/>
    <w:rsid w:val="00D00FE3"/>
    <w:rsid w:val="00D01DFF"/>
    <w:rsid w:val="00D04D80"/>
    <w:rsid w:val="00D05E19"/>
    <w:rsid w:val="00D1267B"/>
    <w:rsid w:val="00D2501F"/>
    <w:rsid w:val="00D33E09"/>
    <w:rsid w:val="00D404DA"/>
    <w:rsid w:val="00D51CE3"/>
    <w:rsid w:val="00D740DB"/>
    <w:rsid w:val="00D7769A"/>
    <w:rsid w:val="00D80F00"/>
    <w:rsid w:val="00D93CEB"/>
    <w:rsid w:val="00DA17BC"/>
    <w:rsid w:val="00DA3E78"/>
    <w:rsid w:val="00DA6B26"/>
    <w:rsid w:val="00DB4990"/>
    <w:rsid w:val="00DD03DD"/>
    <w:rsid w:val="00DD0EA0"/>
    <w:rsid w:val="00DD3375"/>
    <w:rsid w:val="00DE5325"/>
    <w:rsid w:val="00DF7FB8"/>
    <w:rsid w:val="00E06362"/>
    <w:rsid w:val="00E06665"/>
    <w:rsid w:val="00E226FD"/>
    <w:rsid w:val="00E36DE5"/>
    <w:rsid w:val="00E4051C"/>
    <w:rsid w:val="00E45093"/>
    <w:rsid w:val="00E50C5B"/>
    <w:rsid w:val="00E50F35"/>
    <w:rsid w:val="00E548C0"/>
    <w:rsid w:val="00E55A9A"/>
    <w:rsid w:val="00E55CE2"/>
    <w:rsid w:val="00E71507"/>
    <w:rsid w:val="00E81624"/>
    <w:rsid w:val="00E87BB0"/>
    <w:rsid w:val="00EA74C8"/>
    <w:rsid w:val="00EC288D"/>
    <w:rsid w:val="00EC3480"/>
    <w:rsid w:val="00EC52F5"/>
    <w:rsid w:val="00ED74F6"/>
    <w:rsid w:val="00EE1054"/>
    <w:rsid w:val="00EE1260"/>
    <w:rsid w:val="00EF2D61"/>
    <w:rsid w:val="00EF3499"/>
    <w:rsid w:val="00F02BD4"/>
    <w:rsid w:val="00F107B6"/>
    <w:rsid w:val="00F30D2B"/>
    <w:rsid w:val="00F3502C"/>
    <w:rsid w:val="00F563D4"/>
    <w:rsid w:val="00F572CE"/>
    <w:rsid w:val="00F65216"/>
    <w:rsid w:val="00F76FE0"/>
    <w:rsid w:val="00F77A48"/>
    <w:rsid w:val="00F86F29"/>
    <w:rsid w:val="00F92339"/>
    <w:rsid w:val="00FE44E4"/>
    <w:rsid w:val="00FF5688"/>
    <w:rsid w:val="00FF7406"/>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C6A1"/>
  <w15:chartTrackingRefBased/>
  <w15:docId w15:val="{B8437923-449C-4939-8396-B77E5C79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73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0D2B"/>
    <w:pPr>
      <w:spacing w:after="0" w:line="240" w:lineRule="auto"/>
    </w:pPr>
    <w:rPr>
      <w:sz w:val="20"/>
      <w:szCs w:val="20"/>
    </w:rPr>
  </w:style>
  <w:style w:type="character" w:customStyle="1" w:styleId="FootnoteTextChar">
    <w:name w:val="Footnote Text Char"/>
    <w:link w:val="FootnoteText"/>
    <w:uiPriority w:val="99"/>
    <w:semiHidden/>
    <w:rsid w:val="00F30D2B"/>
    <w:rPr>
      <w:rFonts w:ascii="Calibri" w:eastAsia="Calibri" w:hAnsi="Calibri" w:cs="Times New Roman"/>
      <w:sz w:val="20"/>
      <w:szCs w:val="20"/>
    </w:rPr>
  </w:style>
  <w:style w:type="character" w:styleId="FootnoteReference">
    <w:name w:val="footnote reference"/>
    <w:uiPriority w:val="99"/>
    <w:semiHidden/>
    <w:unhideWhenUsed/>
    <w:rsid w:val="00F30D2B"/>
    <w:rPr>
      <w:vertAlign w:val="superscript"/>
    </w:rPr>
  </w:style>
  <w:style w:type="paragraph" w:styleId="ListParagraph">
    <w:name w:val="List Paragraph"/>
    <w:basedOn w:val="Normal"/>
    <w:uiPriority w:val="34"/>
    <w:qFormat/>
    <w:rsid w:val="003D43D5"/>
    <w:pPr>
      <w:ind w:left="720"/>
      <w:contextualSpacing/>
    </w:pPr>
    <w:rPr>
      <w:rFonts w:eastAsia="SimSun"/>
      <w:lang w:eastAsia="zh-CN"/>
    </w:rPr>
  </w:style>
  <w:style w:type="character" w:styleId="CommentReference">
    <w:name w:val="annotation reference"/>
    <w:uiPriority w:val="99"/>
    <w:semiHidden/>
    <w:unhideWhenUsed/>
    <w:rsid w:val="005707D3"/>
    <w:rPr>
      <w:sz w:val="16"/>
      <w:szCs w:val="16"/>
    </w:rPr>
  </w:style>
  <w:style w:type="paragraph" w:styleId="CommentText">
    <w:name w:val="annotation text"/>
    <w:basedOn w:val="Normal"/>
    <w:link w:val="CommentTextChar"/>
    <w:uiPriority w:val="99"/>
    <w:semiHidden/>
    <w:unhideWhenUsed/>
    <w:rsid w:val="005707D3"/>
    <w:pPr>
      <w:spacing w:line="240" w:lineRule="auto"/>
    </w:pPr>
    <w:rPr>
      <w:sz w:val="20"/>
      <w:szCs w:val="20"/>
    </w:rPr>
  </w:style>
  <w:style w:type="character" w:customStyle="1" w:styleId="CommentTextChar">
    <w:name w:val="Comment Text Char"/>
    <w:link w:val="CommentText"/>
    <w:uiPriority w:val="99"/>
    <w:semiHidden/>
    <w:rsid w:val="005707D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707D3"/>
    <w:rPr>
      <w:b/>
      <w:bCs/>
    </w:rPr>
  </w:style>
  <w:style w:type="character" w:customStyle="1" w:styleId="CommentSubjectChar">
    <w:name w:val="Comment Subject Char"/>
    <w:link w:val="CommentSubject"/>
    <w:uiPriority w:val="99"/>
    <w:semiHidden/>
    <w:rsid w:val="005707D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707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07D3"/>
    <w:rPr>
      <w:rFonts w:ascii="Tahoma" w:eastAsia="Calibri" w:hAnsi="Tahoma" w:cs="Tahoma"/>
      <w:sz w:val="16"/>
      <w:szCs w:val="16"/>
    </w:rPr>
  </w:style>
  <w:style w:type="paragraph" w:styleId="Revision">
    <w:name w:val="Revision"/>
    <w:hidden/>
    <w:uiPriority w:val="99"/>
    <w:semiHidden/>
    <w:rsid w:val="007919C7"/>
    <w:rPr>
      <w:sz w:val="22"/>
      <w:szCs w:val="22"/>
      <w:lang w:val="en-US" w:eastAsia="en-US"/>
    </w:rPr>
  </w:style>
  <w:style w:type="paragraph" w:styleId="Header">
    <w:name w:val="header"/>
    <w:basedOn w:val="Normal"/>
    <w:link w:val="HeaderChar"/>
    <w:uiPriority w:val="99"/>
    <w:unhideWhenUsed/>
    <w:rsid w:val="00317E08"/>
    <w:pPr>
      <w:tabs>
        <w:tab w:val="center" w:pos="4680"/>
        <w:tab w:val="right" w:pos="9360"/>
      </w:tabs>
      <w:spacing w:after="0" w:line="240" w:lineRule="auto"/>
    </w:pPr>
  </w:style>
  <w:style w:type="character" w:customStyle="1" w:styleId="HeaderChar">
    <w:name w:val="Header Char"/>
    <w:link w:val="Header"/>
    <w:uiPriority w:val="99"/>
    <w:rsid w:val="00317E08"/>
    <w:rPr>
      <w:rFonts w:ascii="Calibri" w:eastAsia="Calibri" w:hAnsi="Calibri" w:cs="Times New Roman"/>
    </w:rPr>
  </w:style>
  <w:style w:type="paragraph" w:styleId="Footer">
    <w:name w:val="footer"/>
    <w:basedOn w:val="Normal"/>
    <w:link w:val="FooterChar"/>
    <w:uiPriority w:val="99"/>
    <w:unhideWhenUsed/>
    <w:rsid w:val="00317E08"/>
    <w:pPr>
      <w:tabs>
        <w:tab w:val="center" w:pos="4680"/>
        <w:tab w:val="right" w:pos="9360"/>
      </w:tabs>
      <w:spacing w:after="0" w:line="240" w:lineRule="auto"/>
    </w:pPr>
  </w:style>
  <w:style w:type="character" w:customStyle="1" w:styleId="FooterChar">
    <w:name w:val="Footer Char"/>
    <w:link w:val="Footer"/>
    <w:uiPriority w:val="99"/>
    <w:rsid w:val="00317E08"/>
    <w:rPr>
      <w:rFonts w:ascii="Calibri" w:eastAsia="Calibri" w:hAnsi="Calibri" w:cs="Times New Roman"/>
    </w:rPr>
  </w:style>
  <w:style w:type="character" w:styleId="LineNumber">
    <w:name w:val="line number"/>
    <w:basedOn w:val="DefaultParagraphFont"/>
    <w:uiPriority w:val="99"/>
    <w:semiHidden/>
    <w:unhideWhenUsed/>
    <w:rsid w:val="00E8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729">
      <w:bodyDiv w:val="1"/>
      <w:marLeft w:val="0"/>
      <w:marRight w:val="0"/>
      <w:marTop w:val="0"/>
      <w:marBottom w:val="0"/>
      <w:divBdr>
        <w:top w:val="none" w:sz="0" w:space="0" w:color="auto"/>
        <w:left w:val="none" w:sz="0" w:space="0" w:color="auto"/>
        <w:bottom w:val="none" w:sz="0" w:space="0" w:color="auto"/>
        <w:right w:val="none" w:sz="0" w:space="0" w:color="auto"/>
      </w:divBdr>
    </w:div>
    <w:div w:id="390233724">
      <w:bodyDiv w:val="1"/>
      <w:marLeft w:val="0"/>
      <w:marRight w:val="0"/>
      <w:marTop w:val="0"/>
      <w:marBottom w:val="0"/>
      <w:divBdr>
        <w:top w:val="none" w:sz="0" w:space="0" w:color="auto"/>
        <w:left w:val="none" w:sz="0" w:space="0" w:color="auto"/>
        <w:bottom w:val="none" w:sz="0" w:space="0" w:color="auto"/>
        <w:right w:val="none" w:sz="0" w:space="0" w:color="auto"/>
      </w:divBdr>
    </w:div>
    <w:div w:id="846677287">
      <w:bodyDiv w:val="1"/>
      <w:marLeft w:val="0"/>
      <w:marRight w:val="0"/>
      <w:marTop w:val="0"/>
      <w:marBottom w:val="0"/>
      <w:divBdr>
        <w:top w:val="none" w:sz="0" w:space="0" w:color="auto"/>
        <w:left w:val="none" w:sz="0" w:space="0" w:color="auto"/>
        <w:bottom w:val="none" w:sz="0" w:space="0" w:color="auto"/>
        <w:right w:val="none" w:sz="0" w:space="0" w:color="auto"/>
      </w:divBdr>
    </w:div>
    <w:div w:id="1515261706">
      <w:bodyDiv w:val="1"/>
      <w:marLeft w:val="0"/>
      <w:marRight w:val="0"/>
      <w:marTop w:val="0"/>
      <w:marBottom w:val="0"/>
      <w:divBdr>
        <w:top w:val="none" w:sz="0" w:space="0" w:color="auto"/>
        <w:left w:val="none" w:sz="0" w:space="0" w:color="auto"/>
        <w:bottom w:val="none" w:sz="0" w:space="0" w:color="auto"/>
        <w:right w:val="none" w:sz="0" w:space="0" w:color="auto"/>
      </w:divBdr>
    </w:div>
    <w:div w:id="1535269549">
      <w:bodyDiv w:val="1"/>
      <w:marLeft w:val="0"/>
      <w:marRight w:val="0"/>
      <w:marTop w:val="0"/>
      <w:marBottom w:val="0"/>
      <w:divBdr>
        <w:top w:val="none" w:sz="0" w:space="0" w:color="auto"/>
        <w:left w:val="none" w:sz="0" w:space="0" w:color="auto"/>
        <w:bottom w:val="none" w:sz="0" w:space="0" w:color="auto"/>
        <w:right w:val="none" w:sz="0" w:space="0" w:color="auto"/>
      </w:divBdr>
    </w:div>
    <w:div w:id="2041054363">
      <w:bodyDiv w:val="1"/>
      <w:marLeft w:val="0"/>
      <w:marRight w:val="0"/>
      <w:marTop w:val="0"/>
      <w:marBottom w:val="0"/>
      <w:divBdr>
        <w:top w:val="none" w:sz="0" w:space="0" w:color="auto"/>
        <w:left w:val="none" w:sz="0" w:space="0" w:color="auto"/>
        <w:bottom w:val="none" w:sz="0" w:space="0" w:color="auto"/>
        <w:right w:val="none" w:sz="0" w:space="0" w:color="auto"/>
      </w:divBdr>
    </w:div>
    <w:div w:id="20492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6E98D-5D37-4B6B-BFF8-1C46FFB0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6018</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Your Company Name</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 Kuriyama</dc:creator>
  <cp:keywords/>
  <cp:lastModifiedBy>Denise Cheok Jia Yuan</cp:lastModifiedBy>
  <cp:revision>3</cp:revision>
  <cp:lastPrinted>2016-05-03T01:46:00Z</cp:lastPrinted>
  <dcterms:created xsi:type="dcterms:W3CDTF">2016-08-03T03:43:00Z</dcterms:created>
  <dcterms:modified xsi:type="dcterms:W3CDTF">2016-10-14T08:09:00Z</dcterms:modified>
</cp:coreProperties>
</file>