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6315C1" w:rsidRPr="001B3EEA" w14:paraId="3652F781" w14:textId="77777777" w:rsidTr="006315C1">
        <w:trPr>
          <w:trHeight w:val="330"/>
        </w:trPr>
        <w:tc>
          <w:tcPr>
            <w:tcW w:w="9462" w:type="dxa"/>
            <w:gridSpan w:val="2"/>
            <w:tcBorders>
              <w:top w:val="nil"/>
              <w:left w:val="nil"/>
              <w:bottom w:val="nil"/>
              <w:right w:val="nil"/>
            </w:tcBorders>
            <w:shd w:val="clear" w:color="000000" w:fill="0070C0"/>
            <w:noWrap/>
            <w:vAlign w:val="bottom"/>
            <w:hideMark/>
          </w:tcPr>
          <w:p w14:paraId="1F5260A9" w14:textId="3AB9ACF3" w:rsidR="006315C1" w:rsidRPr="004265A5" w:rsidRDefault="00C85E87" w:rsidP="00886B51">
            <w:pPr>
              <w:spacing w:after="0" w:line="240" w:lineRule="auto"/>
              <w:rPr>
                <w:rFonts w:ascii="Times New Roman" w:eastAsia="Times New Roman" w:hAnsi="Times New Roman"/>
                <w:b/>
                <w:bCs/>
                <w:color w:val="FFFFFF"/>
                <w:sz w:val="28"/>
                <w:szCs w:val="28"/>
              </w:rPr>
            </w:pPr>
            <w:r>
              <w:rPr>
                <w:rFonts w:ascii="Times New Roman" w:eastAsia="Times New Roman" w:hAnsi="Times New Roman"/>
                <w:b/>
                <w:bCs/>
                <w:color w:val="FFFFFF"/>
                <w:sz w:val="28"/>
                <w:szCs w:val="28"/>
              </w:rPr>
              <w:t xml:space="preserve">Mexico’s </w:t>
            </w:r>
            <w:r w:rsidR="00DF4F21">
              <w:rPr>
                <w:rFonts w:ascii="Times New Roman" w:eastAsia="Times New Roman" w:hAnsi="Times New Roman"/>
                <w:b/>
                <w:bCs/>
                <w:color w:val="FFFFFF"/>
                <w:sz w:val="28"/>
                <w:szCs w:val="28"/>
              </w:rPr>
              <w:t>Bogor Goals Progress Report</w:t>
            </w:r>
            <w:r w:rsidR="0055220E">
              <w:rPr>
                <w:rFonts w:ascii="Times New Roman" w:eastAsia="Times New Roman" w:hAnsi="Times New Roman"/>
                <w:b/>
                <w:bCs/>
                <w:color w:val="FFFFFF"/>
                <w:sz w:val="28"/>
                <w:szCs w:val="28"/>
              </w:rPr>
              <w:t xml:space="preserve"> (as at</w:t>
            </w:r>
            <w:r w:rsidR="00B72247">
              <w:rPr>
                <w:rFonts w:ascii="Times New Roman" w:eastAsia="Times New Roman" w:hAnsi="Times New Roman"/>
                <w:b/>
                <w:bCs/>
                <w:color w:val="FFFFFF"/>
                <w:sz w:val="28"/>
                <w:szCs w:val="28"/>
              </w:rPr>
              <w:t xml:space="preserve"> </w:t>
            </w:r>
            <w:r w:rsidR="00886B51">
              <w:rPr>
                <w:rFonts w:ascii="Times New Roman" w:eastAsia="Times New Roman" w:hAnsi="Times New Roman"/>
                <w:b/>
                <w:bCs/>
                <w:color w:val="FFFFFF"/>
                <w:sz w:val="28"/>
                <w:szCs w:val="28"/>
              </w:rPr>
              <w:t xml:space="preserve">30 </w:t>
            </w:r>
            <w:r w:rsidR="00F43127" w:rsidRPr="00F43127">
              <w:rPr>
                <w:rFonts w:ascii="Times New Roman" w:eastAsia="Times New Roman" w:hAnsi="Times New Roman"/>
                <w:b/>
                <w:bCs/>
                <w:color w:val="FFFFFF"/>
                <w:sz w:val="28"/>
                <w:szCs w:val="28"/>
              </w:rPr>
              <w:t xml:space="preserve">September </w:t>
            </w:r>
            <w:r w:rsidR="00826542">
              <w:rPr>
                <w:rFonts w:ascii="Times New Roman" w:eastAsia="Times New Roman" w:hAnsi="Times New Roman"/>
                <w:b/>
                <w:bCs/>
                <w:color w:val="FFFFFF"/>
                <w:sz w:val="28"/>
                <w:szCs w:val="28"/>
              </w:rPr>
              <w:t>2016</w:t>
            </w:r>
            <w:r w:rsidR="0055220E">
              <w:rPr>
                <w:rFonts w:ascii="Times New Roman" w:eastAsia="Times New Roman" w:hAnsi="Times New Roman"/>
                <w:b/>
                <w:bCs/>
                <w:color w:val="FFFFFF"/>
                <w:sz w:val="28"/>
                <w:szCs w:val="28"/>
              </w:rPr>
              <w:t>)</w:t>
            </w:r>
            <w:r w:rsidR="006315C1" w:rsidRPr="006315C1">
              <w:rPr>
                <w:rFonts w:eastAsia="Times New Roman"/>
                <w:bCs/>
                <w:color w:val="FFFFFF"/>
                <w:sz w:val="28"/>
                <w:szCs w:val="28"/>
              </w:rPr>
              <w:footnoteReference w:customMarkFollows="1" w:id="1"/>
              <w:sym w:font="Symbol" w:char="F02A"/>
            </w:r>
          </w:p>
        </w:tc>
      </w:tr>
      <w:tr w:rsidR="006315C1" w:rsidRPr="001B3EEA" w14:paraId="442482F8" w14:textId="77777777" w:rsidTr="006315C1">
        <w:trPr>
          <w:trHeight w:val="315"/>
        </w:trPr>
        <w:tc>
          <w:tcPr>
            <w:tcW w:w="674" w:type="dxa"/>
            <w:tcBorders>
              <w:top w:val="nil"/>
              <w:left w:val="nil"/>
              <w:bottom w:val="nil"/>
              <w:right w:val="nil"/>
            </w:tcBorders>
            <w:shd w:val="clear" w:color="000000" w:fill="B6DDE8"/>
            <w:noWrap/>
            <w:vAlign w:val="bottom"/>
            <w:hideMark/>
          </w:tcPr>
          <w:p w14:paraId="27EDEDFA" w14:textId="77777777" w:rsidR="006315C1" w:rsidRPr="001B3EEA" w:rsidRDefault="006315C1" w:rsidP="00051D88">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8788" w:type="dxa"/>
            <w:tcBorders>
              <w:top w:val="nil"/>
              <w:left w:val="nil"/>
              <w:bottom w:val="nil"/>
              <w:right w:val="nil"/>
            </w:tcBorders>
            <w:shd w:val="clear" w:color="000000" w:fill="B6DDE8"/>
            <w:noWrap/>
            <w:vAlign w:val="bottom"/>
            <w:hideMark/>
          </w:tcPr>
          <w:p w14:paraId="6DCF48B0" w14:textId="77777777" w:rsidR="006315C1" w:rsidRPr="001B3EEA" w:rsidRDefault="006315C1" w:rsidP="00051D88">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47C147D3" w14:textId="77777777" w:rsidR="007335F4" w:rsidRDefault="007335F4" w:rsidP="007335F4">
      <w:pPr>
        <w:spacing w:after="0" w:line="240" w:lineRule="auto"/>
        <w:jc w:val="both"/>
        <w:rPr>
          <w:rFonts w:ascii="Times New Roman" w:hAnsi="Times New Roman"/>
          <w:sz w:val="24"/>
          <w:szCs w:val="24"/>
        </w:rPr>
      </w:pPr>
    </w:p>
    <w:p w14:paraId="593DF263" w14:textId="62558016" w:rsidR="00826542" w:rsidRDefault="00826542"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Changes in tariffs in both directions. </w:t>
      </w:r>
      <w:r w:rsidR="00973486">
        <w:rPr>
          <w:rFonts w:ascii="Times New Roman" w:hAnsi="Times New Roman"/>
          <w:sz w:val="24"/>
          <w:szCs w:val="24"/>
        </w:rPr>
        <w:t>O</w:t>
      </w:r>
      <w:r w:rsidR="00FE216C">
        <w:rPr>
          <w:rFonts w:ascii="Times New Roman" w:hAnsi="Times New Roman"/>
          <w:sz w:val="24"/>
          <w:szCs w:val="24"/>
        </w:rPr>
        <w:t>verall</w:t>
      </w:r>
      <w:r>
        <w:rPr>
          <w:rFonts w:ascii="Times New Roman" w:hAnsi="Times New Roman"/>
          <w:sz w:val="24"/>
          <w:szCs w:val="24"/>
        </w:rPr>
        <w:t>, the single average MFN tariff went down in recent years.</w:t>
      </w:r>
    </w:p>
    <w:p w14:paraId="01716E81" w14:textId="756672A0" w:rsidR="00826542" w:rsidRDefault="00826542"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Tariff rate quotas remain for some agricultural products. Import requirements are in place for several reasons.</w:t>
      </w:r>
    </w:p>
    <w:p w14:paraId="1294E6C9" w14:textId="1678EDCC" w:rsidR="00826542" w:rsidRDefault="00A154B5"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Integration of regulatory proceedings and competition assessments to promote</w:t>
      </w:r>
      <w:r w:rsidR="00826542">
        <w:rPr>
          <w:rFonts w:ascii="Times New Roman" w:hAnsi="Times New Roman"/>
          <w:sz w:val="24"/>
          <w:szCs w:val="24"/>
        </w:rPr>
        <w:t xml:space="preserve"> competition in the telecommunications sector.</w:t>
      </w:r>
    </w:p>
    <w:p w14:paraId="76485A82" w14:textId="23FFADA4" w:rsidR="00826542" w:rsidRDefault="004E5D4D"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Recent reforms allow </w:t>
      </w:r>
      <w:r w:rsidR="00A154B5">
        <w:rPr>
          <w:rFonts w:ascii="Times New Roman" w:hAnsi="Times New Roman"/>
          <w:sz w:val="24"/>
          <w:szCs w:val="24"/>
        </w:rPr>
        <w:t xml:space="preserve">the participation of </w:t>
      </w:r>
      <w:r>
        <w:rPr>
          <w:rFonts w:ascii="Times New Roman" w:hAnsi="Times New Roman"/>
          <w:sz w:val="24"/>
          <w:szCs w:val="24"/>
        </w:rPr>
        <w:t>foreign inv</w:t>
      </w:r>
      <w:bookmarkStart w:id="0" w:name="_GoBack"/>
      <w:bookmarkEnd w:id="0"/>
      <w:r>
        <w:rPr>
          <w:rFonts w:ascii="Times New Roman" w:hAnsi="Times New Roman"/>
          <w:sz w:val="24"/>
          <w:szCs w:val="24"/>
        </w:rPr>
        <w:t xml:space="preserve">estors in specific areas related to </w:t>
      </w:r>
      <w:r w:rsidR="00A154B5">
        <w:rPr>
          <w:rFonts w:ascii="Times New Roman" w:hAnsi="Times New Roman"/>
          <w:sz w:val="24"/>
          <w:szCs w:val="24"/>
        </w:rPr>
        <w:t xml:space="preserve">the exploration and production of </w:t>
      </w:r>
      <w:r>
        <w:rPr>
          <w:rFonts w:ascii="Times New Roman" w:hAnsi="Times New Roman"/>
          <w:sz w:val="24"/>
          <w:szCs w:val="24"/>
        </w:rPr>
        <w:t xml:space="preserve">hydrocarbons and </w:t>
      </w:r>
      <w:r w:rsidR="00A154B5">
        <w:rPr>
          <w:rFonts w:ascii="Times New Roman" w:hAnsi="Times New Roman"/>
          <w:sz w:val="24"/>
          <w:szCs w:val="24"/>
        </w:rPr>
        <w:t xml:space="preserve">the generation, transmission and distribution of </w:t>
      </w:r>
      <w:r>
        <w:rPr>
          <w:rFonts w:ascii="Times New Roman" w:hAnsi="Times New Roman"/>
          <w:sz w:val="24"/>
          <w:szCs w:val="24"/>
        </w:rPr>
        <w:t>electricity.</w:t>
      </w:r>
    </w:p>
    <w:p w14:paraId="4F042D5A" w14:textId="0041ED09" w:rsidR="004E5D4D" w:rsidRDefault="008D5C2A"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Some specific trade concerns have been raised recently regarding sanitary and phytosanitary matters and technical regulations</w:t>
      </w:r>
      <w:r w:rsidR="00E74B43">
        <w:rPr>
          <w:rFonts w:ascii="Times New Roman" w:hAnsi="Times New Roman"/>
          <w:sz w:val="24"/>
          <w:szCs w:val="24"/>
        </w:rPr>
        <w:t xml:space="preserve"> at the WTO</w:t>
      </w:r>
      <w:r>
        <w:rPr>
          <w:rFonts w:ascii="Times New Roman" w:hAnsi="Times New Roman"/>
          <w:sz w:val="24"/>
          <w:szCs w:val="24"/>
        </w:rPr>
        <w:t>.</w:t>
      </w:r>
    </w:p>
    <w:p w14:paraId="75B86BD6" w14:textId="051FA516" w:rsidR="008D5C2A" w:rsidRDefault="00FE216C"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Recent </w:t>
      </w:r>
      <w:r w:rsidR="008D5C2A">
        <w:rPr>
          <w:rFonts w:ascii="Times New Roman" w:hAnsi="Times New Roman"/>
          <w:sz w:val="24"/>
          <w:szCs w:val="24"/>
        </w:rPr>
        <w:t xml:space="preserve">changes in the modernization of customs procedures. </w:t>
      </w:r>
    </w:p>
    <w:p w14:paraId="445439A1" w14:textId="2A0CEF58" w:rsidR="00880879" w:rsidRDefault="00880879"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Reforms in competition </w:t>
      </w:r>
      <w:r w:rsidR="00FE216C">
        <w:rPr>
          <w:rFonts w:ascii="Times New Roman" w:hAnsi="Times New Roman"/>
          <w:sz w:val="24"/>
          <w:szCs w:val="24"/>
        </w:rPr>
        <w:t xml:space="preserve">policy </w:t>
      </w:r>
      <w:r>
        <w:rPr>
          <w:rFonts w:ascii="Times New Roman" w:hAnsi="Times New Roman"/>
          <w:sz w:val="24"/>
          <w:szCs w:val="24"/>
        </w:rPr>
        <w:t>to guarantee free market participation and competition</w:t>
      </w:r>
      <w:r w:rsidR="00FE216C">
        <w:rPr>
          <w:rFonts w:ascii="Times New Roman" w:hAnsi="Times New Roman"/>
          <w:sz w:val="24"/>
          <w:szCs w:val="24"/>
        </w:rPr>
        <w:t>.</w:t>
      </w:r>
    </w:p>
    <w:p w14:paraId="6E33B1A6" w14:textId="530D0C83" w:rsidR="00880879" w:rsidRPr="00826542" w:rsidRDefault="00880879" w:rsidP="0082654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Further improvements in the implementation of Regulatory Impact Assessments.</w:t>
      </w:r>
    </w:p>
    <w:p w14:paraId="4BB28989" w14:textId="77777777" w:rsidR="001D277D" w:rsidRPr="001D277D" w:rsidRDefault="001D277D" w:rsidP="0093061B">
      <w:pPr>
        <w:pStyle w:val="ListParagraph"/>
        <w:spacing w:after="0" w:line="240" w:lineRule="auto"/>
        <w:jc w:val="both"/>
        <w:rPr>
          <w:rFonts w:ascii="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E47451" w:rsidRPr="001B3EEA" w14:paraId="6AC3C6A6" w14:textId="77777777" w:rsidTr="00051D88">
        <w:trPr>
          <w:trHeight w:val="315"/>
        </w:trPr>
        <w:tc>
          <w:tcPr>
            <w:tcW w:w="491" w:type="dxa"/>
            <w:tcBorders>
              <w:top w:val="nil"/>
              <w:left w:val="nil"/>
              <w:bottom w:val="nil"/>
              <w:right w:val="nil"/>
            </w:tcBorders>
            <w:shd w:val="clear" w:color="000000" w:fill="B6DDE8"/>
            <w:noWrap/>
            <w:vAlign w:val="bottom"/>
            <w:hideMark/>
          </w:tcPr>
          <w:p w14:paraId="1B53226B" w14:textId="77777777" w:rsidR="00E47451" w:rsidRPr="001B3EEA" w:rsidRDefault="00E47451" w:rsidP="00051D88">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5F5C15F8" w14:textId="7CAE1678" w:rsidR="00E47451" w:rsidRPr="001B3EEA" w:rsidRDefault="00E47451" w:rsidP="00933B2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Summary </w:t>
            </w:r>
            <w:r w:rsidR="00933B26">
              <w:rPr>
                <w:rFonts w:ascii="Times New Roman" w:eastAsia="Times New Roman" w:hAnsi="Times New Roman"/>
                <w:b/>
                <w:bCs/>
                <w:color w:val="000000"/>
                <w:sz w:val="24"/>
                <w:szCs w:val="24"/>
              </w:rPr>
              <w:t>of Topics</w:t>
            </w:r>
          </w:p>
        </w:tc>
      </w:tr>
    </w:tbl>
    <w:p w14:paraId="73A8BC4C" w14:textId="77777777" w:rsidR="003F1C8A" w:rsidRDefault="003F1C8A" w:rsidP="007335F4">
      <w:pPr>
        <w:spacing w:after="0" w:line="240" w:lineRule="auto"/>
        <w:jc w:val="both"/>
        <w:rPr>
          <w:rFonts w:ascii="Times New Roman" w:hAnsi="Times New Roman"/>
          <w:sz w:val="24"/>
          <w:szCs w:val="24"/>
          <w:u w:val="single"/>
        </w:rPr>
      </w:pPr>
    </w:p>
    <w:p w14:paraId="2B4CA254" w14:textId="77777777" w:rsidR="00E47451" w:rsidRDefault="00C8574A" w:rsidP="007335F4">
      <w:pPr>
        <w:spacing w:after="0" w:line="240" w:lineRule="auto"/>
        <w:jc w:val="both"/>
        <w:rPr>
          <w:rFonts w:ascii="Times New Roman" w:hAnsi="Times New Roman"/>
          <w:b/>
          <w:color w:val="0070C0"/>
          <w:sz w:val="24"/>
          <w:szCs w:val="24"/>
        </w:rPr>
      </w:pPr>
      <w:r w:rsidRPr="00E47451">
        <w:rPr>
          <w:rFonts w:ascii="Times New Roman" w:hAnsi="Times New Roman"/>
          <w:b/>
          <w:color w:val="0070C0"/>
          <w:sz w:val="24"/>
          <w:szCs w:val="24"/>
        </w:rPr>
        <w:t>Tariffs</w:t>
      </w:r>
    </w:p>
    <w:p w14:paraId="5607E51A" w14:textId="58BB5148" w:rsidR="00015558" w:rsidRPr="003F5A42" w:rsidRDefault="008F6987" w:rsidP="00015558">
      <w:pPr>
        <w:spacing w:after="0" w:line="240" w:lineRule="auto"/>
        <w:jc w:val="both"/>
        <w:rPr>
          <w:rFonts w:ascii="Times New Roman" w:hAnsi="Times New Roman"/>
          <w:sz w:val="24"/>
          <w:szCs w:val="24"/>
        </w:rPr>
      </w:pPr>
      <w:r>
        <w:rPr>
          <w:rFonts w:ascii="Times New Roman" w:hAnsi="Times New Roman"/>
          <w:sz w:val="24"/>
          <w:szCs w:val="24"/>
        </w:rPr>
        <w:t>The simple average MFN tariff went down from 7.</w:t>
      </w:r>
      <w:r w:rsidR="00A154B5">
        <w:rPr>
          <w:rFonts w:ascii="Times New Roman" w:hAnsi="Times New Roman"/>
          <w:sz w:val="24"/>
          <w:szCs w:val="24"/>
        </w:rPr>
        <w:t>5</w:t>
      </w:r>
      <w:r>
        <w:rPr>
          <w:rFonts w:ascii="Times New Roman" w:hAnsi="Times New Roman"/>
          <w:sz w:val="24"/>
          <w:szCs w:val="24"/>
        </w:rPr>
        <w:t>% to 7.</w:t>
      </w:r>
      <w:r w:rsidR="00A154B5">
        <w:rPr>
          <w:rFonts w:ascii="Times New Roman" w:hAnsi="Times New Roman"/>
          <w:sz w:val="24"/>
          <w:szCs w:val="24"/>
        </w:rPr>
        <w:t>1</w:t>
      </w:r>
      <w:r>
        <w:rPr>
          <w:rFonts w:ascii="Times New Roman" w:hAnsi="Times New Roman"/>
          <w:sz w:val="24"/>
          <w:szCs w:val="24"/>
        </w:rPr>
        <w:t>% between 201</w:t>
      </w:r>
      <w:r w:rsidR="00A154B5">
        <w:rPr>
          <w:rFonts w:ascii="Times New Roman" w:hAnsi="Times New Roman"/>
          <w:sz w:val="24"/>
          <w:szCs w:val="24"/>
        </w:rPr>
        <w:t>4</w:t>
      </w:r>
      <w:r>
        <w:rPr>
          <w:rFonts w:ascii="Times New Roman" w:hAnsi="Times New Roman"/>
          <w:sz w:val="24"/>
          <w:szCs w:val="24"/>
        </w:rPr>
        <w:t xml:space="preserve"> and 201</w:t>
      </w:r>
      <w:r w:rsidR="00A154B5">
        <w:rPr>
          <w:rFonts w:ascii="Times New Roman" w:hAnsi="Times New Roman"/>
          <w:sz w:val="24"/>
          <w:szCs w:val="24"/>
        </w:rPr>
        <w:t>6</w:t>
      </w:r>
      <w:r>
        <w:rPr>
          <w:rFonts w:ascii="Times New Roman" w:hAnsi="Times New Roman"/>
          <w:sz w:val="24"/>
          <w:szCs w:val="24"/>
        </w:rPr>
        <w:t xml:space="preserve">. In 2015, tariffs were increased for 97 tariff lines </w:t>
      </w:r>
      <w:r w:rsidR="00A154B5">
        <w:rPr>
          <w:rFonts w:ascii="Times New Roman" w:hAnsi="Times New Roman"/>
          <w:sz w:val="24"/>
          <w:szCs w:val="24"/>
        </w:rPr>
        <w:t>in</w:t>
      </w:r>
      <w:r>
        <w:rPr>
          <w:rFonts w:ascii="Times New Roman" w:hAnsi="Times New Roman"/>
          <w:sz w:val="24"/>
          <w:szCs w:val="24"/>
        </w:rPr>
        <w:t xml:space="preserve"> the steel sector.</w:t>
      </w:r>
      <w:r w:rsidR="00015558">
        <w:rPr>
          <w:rFonts w:ascii="Times New Roman" w:hAnsi="Times New Roman"/>
          <w:sz w:val="24"/>
          <w:szCs w:val="24"/>
        </w:rPr>
        <w:t xml:space="preserve"> </w:t>
      </w:r>
      <w:r w:rsidR="00015558" w:rsidRPr="00015558">
        <w:rPr>
          <w:rFonts w:ascii="Times New Roman" w:hAnsi="Times New Roman"/>
          <w:sz w:val="24"/>
          <w:szCs w:val="24"/>
        </w:rPr>
        <w:t xml:space="preserve">This measure was extended </w:t>
      </w:r>
      <w:r w:rsidR="00015558">
        <w:rPr>
          <w:rFonts w:ascii="Times New Roman" w:hAnsi="Times New Roman"/>
          <w:sz w:val="24"/>
          <w:szCs w:val="24"/>
        </w:rPr>
        <w:t xml:space="preserve">for </w:t>
      </w:r>
      <w:r w:rsidR="00015558" w:rsidRPr="00015558">
        <w:rPr>
          <w:rFonts w:ascii="Times New Roman" w:hAnsi="Times New Roman"/>
          <w:sz w:val="24"/>
          <w:szCs w:val="24"/>
        </w:rPr>
        <w:t xml:space="preserve">180 </w:t>
      </w:r>
      <w:r w:rsidR="00015558">
        <w:rPr>
          <w:rFonts w:ascii="Times New Roman" w:hAnsi="Times New Roman"/>
          <w:sz w:val="24"/>
          <w:szCs w:val="24"/>
        </w:rPr>
        <w:t xml:space="preserve">additional </w:t>
      </w:r>
      <w:r w:rsidR="00015558" w:rsidRPr="00015558">
        <w:rPr>
          <w:rFonts w:ascii="Times New Roman" w:hAnsi="Times New Roman"/>
          <w:sz w:val="24"/>
          <w:szCs w:val="24"/>
        </w:rPr>
        <w:t xml:space="preserve">days on </w:t>
      </w:r>
      <w:r w:rsidR="00015558">
        <w:rPr>
          <w:rFonts w:ascii="Times New Roman" w:hAnsi="Times New Roman"/>
          <w:sz w:val="24"/>
          <w:szCs w:val="24"/>
        </w:rPr>
        <w:t xml:space="preserve">4 </w:t>
      </w:r>
      <w:r w:rsidR="00015558" w:rsidRPr="00015558">
        <w:rPr>
          <w:rFonts w:ascii="Times New Roman" w:hAnsi="Times New Roman"/>
          <w:sz w:val="24"/>
          <w:szCs w:val="24"/>
        </w:rPr>
        <w:t>April 2016.</w:t>
      </w:r>
      <w:r w:rsidR="00015558" w:rsidRPr="00015558">
        <w:t xml:space="preserve"> </w:t>
      </w:r>
    </w:p>
    <w:p w14:paraId="268BE08C" w14:textId="77777777" w:rsidR="00015558" w:rsidRDefault="00015558" w:rsidP="00015558">
      <w:pPr>
        <w:spacing w:after="0" w:line="240" w:lineRule="auto"/>
        <w:jc w:val="both"/>
      </w:pPr>
    </w:p>
    <w:p w14:paraId="7CCFE33C" w14:textId="6D92EFBA" w:rsidR="008F6987" w:rsidRDefault="00015558" w:rsidP="00015558">
      <w:pPr>
        <w:spacing w:after="0" w:line="240" w:lineRule="auto"/>
        <w:jc w:val="both"/>
        <w:rPr>
          <w:rFonts w:ascii="Times New Roman" w:hAnsi="Times New Roman"/>
          <w:sz w:val="24"/>
          <w:szCs w:val="24"/>
        </w:rPr>
      </w:pPr>
      <w:r>
        <w:rPr>
          <w:rFonts w:ascii="Times New Roman" w:hAnsi="Times New Roman"/>
          <w:sz w:val="24"/>
          <w:szCs w:val="24"/>
        </w:rPr>
        <w:t>O</w:t>
      </w:r>
      <w:r w:rsidRPr="00015558">
        <w:rPr>
          <w:rFonts w:ascii="Times New Roman" w:hAnsi="Times New Roman"/>
          <w:sz w:val="24"/>
          <w:szCs w:val="24"/>
        </w:rPr>
        <w:t xml:space="preserve">n </w:t>
      </w:r>
      <w:r>
        <w:rPr>
          <w:rFonts w:ascii="Times New Roman" w:hAnsi="Times New Roman"/>
          <w:sz w:val="24"/>
          <w:szCs w:val="24"/>
        </w:rPr>
        <w:t xml:space="preserve">6 </w:t>
      </w:r>
      <w:r w:rsidRPr="00015558">
        <w:rPr>
          <w:rFonts w:ascii="Times New Roman" w:hAnsi="Times New Roman"/>
          <w:sz w:val="24"/>
          <w:szCs w:val="24"/>
        </w:rPr>
        <w:t>January 2016, amendments were published in the TIGIE (</w:t>
      </w:r>
      <w:proofErr w:type="spellStart"/>
      <w:r w:rsidRPr="00015558">
        <w:rPr>
          <w:rFonts w:ascii="Times New Roman" w:hAnsi="Times New Roman"/>
          <w:sz w:val="24"/>
          <w:szCs w:val="24"/>
        </w:rPr>
        <w:t>Tarifa</w:t>
      </w:r>
      <w:proofErr w:type="spellEnd"/>
      <w:r w:rsidRPr="00015558">
        <w:rPr>
          <w:rFonts w:ascii="Times New Roman" w:hAnsi="Times New Roman"/>
          <w:sz w:val="24"/>
          <w:szCs w:val="24"/>
        </w:rPr>
        <w:t xml:space="preserve"> de la Ley de </w:t>
      </w:r>
      <w:proofErr w:type="spellStart"/>
      <w:r w:rsidRPr="00015558">
        <w:rPr>
          <w:rFonts w:ascii="Times New Roman" w:hAnsi="Times New Roman"/>
          <w:sz w:val="24"/>
          <w:szCs w:val="24"/>
        </w:rPr>
        <w:t>los</w:t>
      </w:r>
      <w:proofErr w:type="spellEnd"/>
      <w:r w:rsidRPr="00015558">
        <w:rPr>
          <w:rFonts w:ascii="Times New Roman" w:hAnsi="Times New Roman"/>
          <w:sz w:val="24"/>
          <w:szCs w:val="24"/>
        </w:rPr>
        <w:t xml:space="preserve"> </w:t>
      </w:r>
      <w:proofErr w:type="spellStart"/>
      <w:r w:rsidRPr="00015558">
        <w:rPr>
          <w:rFonts w:ascii="Times New Roman" w:hAnsi="Times New Roman"/>
          <w:sz w:val="24"/>
          <w:szCs w:val="24"/>
        </w:rPr>
        <w:t>Impuestos</w:t>
      </w:r>
      <w:proofErr w:type="spellEnd"/>
      <w:r w:rsidRPr="00015558">
        <w:rPr>
          <w:rFonts w:ascii="Times New Roman" w:hAnsi="Times New Roman"/>
          <w:sz w:val="24"/>
          <w:szCs w:val="24"/>
        </w:rPr>
        <w:t xml:space="preserve"> </w:t>
      </w:r>
      <w:proofErr w:type="spellStart"/>
      <w:r w:rsidRPr="00015558">
        <w:rPr>
          <w:rFonts w:ascii="Times New Roman" w:hAnsi="Times New Roman"/>
          <w:sz w:val="24"/>
          <w:szCs w:val="24"/>
        </w:rPr>
        <w:t>Generales</w:t>
      </w:r>
      <w:proofErr w:type="spellEnd"/>
      <w:r w:rsidRPr="00015558">
        <w:rPr>
          <w:rFonts w:ascii="Times New Roman" w:hAnsi="Times New Roman"/>
          <w:sz w:val="24"/>
          <w:szCs w:val="24"/>
        </w:rPr>
        <w:t xml:space="preserve"> de </w:t>
      </w:r>
      <w:proofErr w:type="spellStart"/>
      <w:r w:rsidRPr="00015558">
        <w:rPr>
          <w:rFonts w:ascii="Times New Roman" w:hAnsi="Times New Roman"/>
          <w:sz w:val="24"/>
          <w:szCs w:val="24"/>
        </w:rPr>
        <w:t>Importación</w:t>
      </w:r>
      <w:proofErr w:type="spellEnd"/>
      <w:r w:rsidRPr="00015558">
        <w:rPr>
          <w:rFonts w:ascii="Times New Roman" w:hAnsi="Times New Roman"/>
          <w:sz w:val="24"/>
          <w:szCs w:val="24"/>
        </w:rPr>
        <w:t xml:space="preserve"> y </w:t>
      </w:r>
      <w:proofErr w:type="spellStart"/>
      <w:r w:rsidRPr="00015558">
        <w:rPr>
          <w:rFonts w:ascii="Times New Roman" w:hAnsi="Times New Roman"/>
          <w:sz w:val="24"/>
          <w:szCs w:val="24"/>
        </w:rPr>
        <w:t>Exportación</w:t>
      </w:r>
      <w:proofErr w:type="spellEnd"/>
      <w:r w:rsidRPr="00015558">
        <w:rPr>
          <w:rFonts w:ascii="Times New Roman" w:hAnsi="Times New Roman"/>
          <w:sz w:val="24"/>
          <w:szCs w:val="24"/>
        </w:rPr>
        <w:t xml:space="preserve">) aimed to create certain tariff codes; to modify certain </w:t>
      </w:r>
      <w:proofErr w:type="gramStart"/>
      <w:r w:rsidRPr="00015558">
        <w:rPr>
          <w:rFonts w:ascii="Times New Roman" w:hAnsi="Times New Roman"/>
          <w:sz w:val="24"/>
          <w:szCs w:val="24"/>
        </w:rPr>
        <w:t>descriptions</w:t>
      </w:r>
      <w:proofErr w:type="gramEnd"/>
      <w:r w:rsidRPr="00015558">
        <w:rPr>
          <w:rFonts w:ascii="Times New Roman" w:hAnsi="Times New Roman"/>
          <w:sz w:val="24"/>
          <w:szCs w:val="24"/>
        </w:rPr>
        <w:t xml:space="preserve"> and classify specific environmental goods; and reduce the tariff duties to a level of 5% for environmental goods. </w:t>
      </w:r>
      <w:r>
        <w:rPr>
          <w:rFonts w:ascii="Times New Roman" w:hAnsi="Times New Roman"/>
          <w:sz w:val="24"/>
          <w:szCs w:val="24"/>
        </w:rPr>
        <w:t xml:space="preserve">Also, </w:t>
      </w:r>
      <w:r w:rsidRPr="00015558">
        <w:rPr>
          <w:rFonts w:ascii="Times New Roman" w:hAnsi="Times New Roman"/>
          <w:sz w:val="24"/>
          <w:szCs w:val="24"/>
        </w:rPr>
        <w:t xml:space="preserve">specific tariff codes and descriptions </w:t>
      </w:r>
      <w:r>
        <w:rPr>
          <w:rFonts w:ascii="Times New Roman" w:hAnsi="Times New Roman"/>
          <w:sz w:val="24"/>
          <w:szCs w:val="24"/>
        </w:rPr>
        <w:t xml:space="preserve">concerning the footwear industry </w:t>
      </w:r>
      <w:r w:rsidRPr="00015558">
        <w:rPr>
          <w:rFonts w:ascii="Times New Roman" w:hAnsi="Times New Roman"/>
          <w:sz w:val="24"/>
          <w:szCs w:val="24"/>
        </w:rPr>
        <w:t>were modified, in order to better identify them during the import oper</w:t>
      </w:r>
      <w:r>
        <w:rPr>
          <w:rFonts w:ascii="Times New Roman" w:hAnsi="Times New Roman"/>
          <w:sz w:val="24"/>
          <w:szCs w:val="24"/>
        </w:rPr>
        <w:t xml:space="preserve">ation. </w:t>
      </w:r>
      <w:r w:rsidRPr="00015558">
        <w:rPr>
          <w:rFonts w:ascii="Times New Roman" w:hAnsi="Times New Roman"/>
          <w:sz w:val="24"/>
          <w:szCs w:val="24"/>
        </w:rPr>
        <w:t xml:space="preserve">Additional amendments were published </w:t>
      </w:r>
      <w:r>
        <w:rPr>
          <w:rFonts w:ascii="Times New Roman" w:hAnsi="Times New Roman"/>
          <w:sz w:val="24"/>
          <w:szCs w:val="24"/>
        </w:rPr>
        <w:t>on</w:t>
      </w:r>
      <w:r w:rsidRPr="00015558">
        <w:rPr>
          <w:rFonts w:ascii="Times New Roman" w:hAnsi="Times New Roman"/>
          <w:sz w:val="24"/>
          <w:szCs w:val="24"/>
        </w:rPr>
        <w:t xml:space="preserve"> </w:t>
      </w:r>
      <w:r>
        <w:rPr>
          <w:rFonts w:ascii="Times New Roman" w:hAnsi="Times New Roman"/>
          <w:sz w:val="24"/>
          <w:szCs w:val="24"/>
        </w:rPr>
        <w:t xml:space="preserve">10 </w:t>
      </w:r>
      <w:r w:rsidRPr="00015558">
        <w:rPr>
          <w:rFonts w:ascii="Times New Roman" w:hAnsi="Times New Roman"/>
          <w:sz w:val="24"/>
          <w:szCs w:val="24"/>
        </w:rPr>
        <w:t xml:space="preserve">May </w:t>
      </w:r>
      <w:r>
        <w:rPr>
          <w:rFonts w:ascii="Times New Roman" w:hAnsi="Times New Roman"/>
          <w:sz w:val="24"/>
          <w:szCs w:val="24"/>
        </w:rPr>
        <w:t>2016</w:t>
      </w:r>
      <w:r w:rsidRPr="00015558">
        <w:rPr>
          <w:rFonts w:ascii="Times New Roman" w:hAnsi="Times New Roman"/>
          <w:sz w:val="24"/>
          <w:szCs w:val="24"/>
        </w:rPr>
        <w:t xml:space="preserve"> creat</w:t>
      </w:r>
      <w:r>
        <w:rPr>
          <w:rFonts w:ascii="Times New Roman" w:hAnsi="Times New Roman"/>
          <w:sz w:val="24"/>
          <w:szCs w:val="24"/>
        </w:rPr>
        <w:t>ing</w:t>
      </w:r>
      <w:r w:rsidRPr="00015558">
        <w:rPr>
          <w:rFonts w:ascii="Times New Roman" w:hAnsi="Times New Roman"/>
          <w:sz w:val="24"/>
          <w:szCs w:val="24"/>
        </w:rPr>
        <w:t xml:space="preserve"> and remov</w:t>
      </w:r>
      <w:r>
        <w:rPr>
          <w:rFonts w:ascii="Times New Roman" w:hAnsi="Times New Roman"/>
          <w:sz w:val="24"/>
          <w:szCs w:val="24"/>
        </w:rPr>
        <w:t>ing</w:t>
      </w:r>
      <w:r w:rsidRPr="00015558">
        <w:rPr>
          <w:rFonts w:ascii="Times New Roman" w:hAnsi="Times New Roman"/>
          <w:sz w:val="24"/>
          <w:szCs w:val="24"/>
        </w:rPr>
        <w:t xml:space="preserve"> tari</w:t>
      </w:r>
      <w:r>
        <w:rPr>
          <w:rFonts w:ascii="Times New Roman" w:hAnsi="Times New Roman"/>
          <w:sz w:val="24"/>
          <w:szCs w:val="24"/>
        </w:rPr>
        <w:t>ff codes related to the textile and apparel industry.</w:t>
      </w:r>
    </w:p>
    <w:p w14:paraId="4E4D6BB5" w14:textId="77777777" w:rsidR="008F6987" w:rsidRDefault="008F6987" w:rsidP="007335F4">
      <w:pPr>
        <w:spacing w:after="0" w:line="240" w:lineRule="auto"/>
        <w:jc w:val="both"/>
        <w:rPr>
          <w:rFonts w:ascii="Times New Roman" w:hAnsi="Times New Roman"/>
          <w:sz w:val="24"/>
          <w:szCs w:val="24"/>
        </w:rPr>
      </w:pPr>
    </w:p>
    <w:p w14:paraId="329144C7" w14:textId="77777777" w:rsidR="00E47451" w:rsidRDefault="007335F4" w:rsidP="007335F4">
      <w:pPr>
        <w:spacing w:after="0" w:line="240" w:lineRule="auto"/>
        <w:jc w:val="both"/>
        <w:rPr>
          <w:rFonts w:ascii="Times New Roman" w:hAnsi="Times New Roman"/>
          <w:sz w:val="24"/>
          <w:szCs w:val="24"/>
          <w:u w:val="single"/>
        </w:rPr>
      </w:pPr>
      <w:r w:rsidRPr="00E47451">
        <w:rPr>
          <w:rFonts w:ascii="Times New Roman" w:hAnsi="Times New Roman"/>
          <w:b/>
          <w:color w:val="0070C0"/>
          <w:sz w:val="24"/>
          <w:szCs w:val="24"/>
        </w:rPr>
        <w:t>Non-Tariff Measures</w:t>
      </w:r>
    </w:p>
    <w:p w14:paraId="39B98A86" w14:textId="4060A132" w:rsidR="00015558" w:rsidRPr="00015558" w:rsidRDefault="00015558" w:rsidP="00015558">
      <w:pPr>
        <w:spacing w:after="0" w:line="240" w:lineRule="auto"/>
        <w:jc w:val="both"/>
        <w:rPr>
          <w:rFonts w:ascii="Times New Roman" w:hAnsi="Times New Roman"/>
          <w:sz w:val="24"/>
          <w:szCs w:val="24"/>
        </w:rPr>
      </w:pPr>
      <w:r w:rsidRPr="00015558">
        <w:rPr>
          <w:rFonts w:ascii="Times New Roman" w:hAnsi="Times New Roman"/>
          <w:sz w:val="24"/>
          <w:szCs w:val="24"/>
        </w:rPr>
        <w:t>During the period 2015-2016, regulations were issued or amended to control imports and exports of specific products such as petroleum, chemicals related to explosives, nuclear materials</w:t>
      </w:r>
      <w:r w:rsidR="00E74B43">
        <w:rPr>
          <w:rFonts w:ascii="Times New Roman" w:hAnsi="Times New Roman"/>
          <w:sz w:val="24"/>
          <w:szCs w:val="24"/>
        </w:rPr>
        <w:t xml:space="preserve"> and</w:t>
      </w:r>
      <w:r w:rsidRPr="00015558">
        <w:rPr>
          <w:rFonts w:ascii="Times New Roman" w:hAnsi="Times New Roman"/>
          <w:sz w:val="24"/>
          <w:szCs w:val="24"/>
        </w:rPr>
        <w:t xml:space="preserve"> weapons, </w:t>
      </w:r>
      <w:r w:rsidR="00E74B43">
        <w:rPr>
          <w:rFonts w:ascii="Times New Roman" w:hAnsi="Times New Roman"/>
          <w:sz w:val="24"/>
          <w:szCs w:val="24"/>
        </w:rPr>
        <w:t>among others</w:t>
      </w:r>
      <w:r w:rsidRPr="00015558">
        <w:rPr>
          <w:rFonts w:ascii="Times New Roman" w:hAnsi="Times New Roman"/>
          <w:sz w:val="24"/>
          <w:szCs w:val="24"/>
        </w:rPr>
        <w:t>.</w:t>
      </w:r>
    </w:p>
    <w:p w14:paraId="1E0407C1" w14:textId="77777777" w:rsidR="00015558" w:rsidRPr="00015558" w:rsidRDefault="00015558" w:rsidP="00015558">
      <w:pPr>
        <w:spacing w:after="0" w:line="240" w:lineRule="auto"/>
        <w:jc w:val="both"/>
        <w:rPr>
          <w:rFonts w:ascii="Times New Roman" w:hAnsi="Times New Roman"/>
          <w:sz w:val="24"/>
          <w:szCs w:val="24"/>
        </w:rPr>
      </w:pPr>
    </w:p>
    <w:p w14:paraId="78FD8140" w14:textId="77777777" w:rsidR="00E74B43" w:rsidRDefault="00015558" w:rsidP="00E74B43">
      <w:pPr>
        <w:spacing w:after="0" w:line="240" w:lineRule="auto"/>
        <w:jc w:val="both"/>
        <w:rPr>
          <w:rFonts w:ascii="Times New Roman" w:hAnsi="Times New Roman"/>
          <w:sz w:val="24"/>
          <w:szCs w:val="24"/>
        </w:rPr>
      </w:pPr>
      <w:r w:rsidRPr="00015558">
        <w:rPr>
          <w:rFonts w:ascii="Times New Roman" w:hAnsi="Times New Roman"/>
          <w:sz w:val="24"/>
          <w:szCs w:val="24"/>
        </w:rPr>
        <w:t>Actions have been carried out to prevent and combat undervaluation practices in the footwear import market for commercial and statistical monitoring purposes</w:t>
      </w:r>
      <w:r w:rsidR="00E74B43">
        <w:rPr>
          <w:rFonts w:ascii="Times New Roman" w:hAnsi="Times New Roman"/>
          <w:sz w:val="24"/>
          <w:szCs w:val="24"/>
        </w:rPr>
        <w:t>. In this regard,</w:t>
      </w:r>
      <w:r w:rsidRPr="00015558">
        <w:rPr>
          <w:rFonts w:ascii="Times New Roman" w:hAnsi="Times New Roman"/>
          <w:sz w:val="24"/>
          <w:szCs w:val="24"/>
        </w:rPr>
        <w:t xml:space="preserve"> </w:t>
      </w:r>
      <w:r w:rsidR="00E74B43">
        <w:rPr>
          <w:rFonts w:ascii="Times New Roman" w:hAnsi="Times New Roman"/>
          <w:sz w:val="24"/>
          <w:szCs w:val="24"/>
        </w:rPr>
        <w:t xml:space="preserve">the </w:t>
      </w:r>
      <w:r w:rsidRPr="00015558">
        <w:rPr>
          <w:rFonts w:ascii="Times New Roman" w:hAnsi="Times New Roman"/>
          <w:sz w:val="24"/>
          <w:szCs w:val="24"/>
        </w:rPr>
        <w:t xml:space="preserve">automatic </w:t>
      </w:r>
      <w:r w:rsidRPr="00015558">
        <w:rPr>
          <w:rFonts w:ascii="Times New Roman" w:hAnsi="Times New Roman"/>
          <w:sz w:val="24"/>
          <w:szCs w:val="24"/>
        </w:rPr>
        <w:lastRenderedPageBreak/>
        <w:t>licensing system for foot</w:t>
      </w:r>
      <w:r w:rsidR="00E74B43">
        <w:rPr>
          <w:rFonts w:ascii="Times New Roman" w:hAnsi="Times New Roman"/>
          <w:sz w:val="24"/>
          <w:szCs w:val="24"/>
        </w:rPr>
        <w:t xml:space="preserve">wear imports remains in effect. </w:t>
      </w:r>
      <w:r w:rsidRPr="00015558">
        <w:rPr>
          <w:rFonts w:ascii="Times New Roman" w:hAnsi="Times New Roman"/>
          <w:sz w:val="24"/>
          <w:szCs w:val="24"/>
        </w:rPr>
        <w:t xml:space="preserve">Other import controls of specific products continue to be applied for several reasons such as commitments in international organizations, environmental issues, to protect human and animal health and prevent unfair trade practices (i.e. underpricing). Similarly, export control regulations are still in place to meet international commitments, to protect human and animal health and to protect the environment. </w:t>
      </w:r>
      <w:r w:rsidR="00E74B43">
        <w:rPr>
          <w:rFonts w:ascii="Times New Roman" w:hAnsi="Times New Roman"/>
          <w:sz w:val="24"/>
          <w:szCs w:val="24"/>
        </w:rPr>
        <w:t>Export licenses to administer sugar exports were also introduced.</w:t>
      </w:r>
    </w:p>
    <w:p w14:paraId="07E8E030" w14:textId="7C0A34DA" w:rsidR="00015558" w:rsidRDefault="00015558" w:rsidP="00015558">
      <w:pPr>
        <w:spacing w:after="0" w:line="240" w:lineRule="auto"/>
        <w:jc w:val="both"/>
        <w:rPr>
          <w:rFonts w:ascii="Times New Roman" w:hAnsi="Times New Roman"/>
          <w:sz w:val="24"/>
          <w:szCs w:val="24"/>
        </w:rPr>
      </w:pPr>
    </w:p>
    <w:p w14:paraId="65850008" w14:textId="77777777" w:rsidR="00E47451" w:rsidRDefault="00F47E95" w:rsidP="007335F4">
      <w:pPr>
        <w:spacing w:after="0" w:line="240" w:lineRule="auto"/>
        <w:jc w:val="both"/>
        <w:rPr>
          <w:rFonts w:ascii="Times New Roman" w:hAnsi="Times New Roman"/>
          <w:b/>
          <w:color w:val="0070C0"/>
          <w:sz w:val="24"/>
          <w:szCs w:val="24"/>
        </w:rPr>
      </w:pPr>
      <w:r w:rsidRPr="00E47451">
        <w:rPr>
          <w:rFonts w:ascii="Times New Roman" w:hAnsi="Times New Roman"/>
          <w:b/>
          <w:color w:val="0070C0"/>
          <w:sz w:val="24"/>
          <w:szCs w:val="24"/>
        </w:rPr>
        <w:t>Services</w:t>
      </w:r>
    </w:p>
    <w:p w14:paraId="46B982B8" w14:textId="49C8AA85" w:rsidR="00A739E7" w:rsidRDefault="005477A0" w:rsidP="001E62E6">
      <w:pPr>
        <w:spacing w:after="0" w:line="240" w:lineRule="auto"/>
        <w:jc w:val="both"/>
        <w:rPr>
          <w:rFonts w:ascii="Times New Roman" w:hAnsi="Times New Roman"/>
          <w:sz w:val="24"/>
          <w:szCs w:val="24"/>
        </w:rPr>
      </w:pPr>
      <w:r w:rsidRPr="005477A0">
        <w:rPr>
          <w:rFonts w:ascii="Times New Roman" w:hAnsi="Times New Roman"/>
          <w:sz w:val="24"/>
          <w:szCs w:val="24"/>
        </w:rPr>
        <w:t>Following the constitutional reforms in 2013 regarding the telecommunications sector, several changes have been implemented in recent years. In 2014, the process of number portability for mobile phones and landlines was reduced to 24 hours. In 2015, legal provisions to eliminate domestic long distance fees were approved causing a 40% drop in int</w:t>
      </w:r>
      <w:r w:rsidR="0082304D">
        <w:rPr>
          <w:rFonts w:ascii="Times New Roman" w:hAnsi="Times New Roman"/>
          <w:sz w:val="24"/>
          <w:szCs w:val="24"/>
        </w:rPr>
        <w:t xml:space="preserve">ernational long-distance rate and a 32% fall in </w:t>
      </w:r>
      <w:r w:rsidRPr="005477A0">
        <w:rPr>
          <w:rFonts w:ascii="Times New Roman" w:hAnsi="Times New Roman"/>
          <w:sz w:val="24"/>
          <w:szCs w:val="24"/>
        </w:rPr>
        <w:t xml:space="preserve">mobile phone call prices between June 2013 and December 2015. As of March 2016 more than 50% of the population had mobile internet service, </w:t>
      </w:r>
      <w:r w:rsidR="00936130">
        <w:rPr>
          <w:rFonts w:ascii="Times New Roman" w:hAnsi="Times New Roman"/>
          <w:sz w:val="24"/>
          <w:szCs w:val="24"/>
        </w:rPr>
        <w:t xml:space="preserve">higher than the </w:t>
      </w:r>
      <w:r w:rsidRPr="005477A0">
        <w:rPr>
          <w:rFonts w:ascii="Times New Roman" w:hAnsi="Times New Roman"/>
          <w:sz w:val="24"/>
          <w:szCs w:val="24"/>
        </w:rPr>
        <w:t>23</w:t>
      </w:r>
      <w:r w:rsidR="00936130">
        <w:rPr>
          <w:rFonts w:ascii="Times New Roman" w:hAnsi="Times New Roman"/>
          <w:sz w:val="24"/>
          <w:szCs w:val="24"/>
        </w:rPr>
        <w:t>%</w:t>
      </w:r>
      <w:r w:rsidRPr="005477A0">
        <w:rPr>
          <w:rFonts w:ascii="Times New Roman" w:hAnsi="Times New Roman"/>
          <w:sz w:val="24"/>
          <w:szCs w:val="24"/>
        </w:rPr>
        <w:t xml:space="preserve"> </w:t>
      </w:r>
      <w:r w:rsidR="00936130">
        <w:rPr>
          <w:rFonts w:ascii="Times New Roman" w:hAnsi="Times New Roman"/>
          <w:sz w:val="24"/>
          <w:szCs w:val="24"/>
        </w:rPr>
        <w:t xml:space="preserve">of the population that had </w:t>
      </w:r>
      <w:r w:rsidRPr="005477A0">
        <w:rPr>
          <w:rFonts w:ascii="Times New Roman" w:hAnsi="Times New Roman"/>
          <w:sz w:val="24"/>
          <w:szCs w:val="24"/>
        </w:rPr>
        <w:t xml:space="preserve">mobile </w:t>
      </w:r>
      <w:r w:rsidR="00936130">
        <w:rPr>
          <w:rFonts w:ascii="Times New Roman" w:hAnsi="Times New Roman"/>
          <w:sz w:val="24"/>
          <w:szCs w:val="24"/>
        </w:rPr>
        <w:t>internet access</w:t>
      </w:r>
      <w:r w:rsidRPr="005477A0">
        <w:rPr>
          <w:rFonts w:ascii="Times New Roman" w:hAnsi="Times New Roman"/>
          <w:sz w:val="24"/>
          <w:szCs w:val="24"/>
        </w:rPr>
        <w:t xml:space="preserve"> by mid</w:t>
      </w:r>
      <w:r>
        <w:rPr>
          <w:rFonts w:ascii="Times New Roman" w:hAnsi="Times New Roman"/>
          <w:sz w:val="24"/>
          <w:szCs w:val="24"/>
        </w:rPr>
        <w:t>-</w:t>
      </w:r>
      <w:r w:rsidRPr="005477A0">
        <w:rPr>
          <w:rFonts w:ascii="Times New Roman" w:hAnsi="Times New Roman"/>
          <w:sz w:val="24"/>
          <w:szCs w:val="24"/>
        </w:rPr>
        <w:t>2013. In addition, a new free-to-air national TV network that will broadcast digital content will begin operations in 2016.</w:t>
      </w:r>
    </w:p>
    <w:p w14:paraId="3AAC83B4" w14:textId="77777777" w:rsidR="005477A0" w:rsidRDefault="005477A0" w:rsidP="001E62E6">
      <w:pPr>
        <w:spacing w:after="0" w:line="240" w:lineRule="auto"/>
        <w:jc w:val="both"/>
        <w:rPr>
          <w:rFonts w:ascii="Times New Roman" w:hAnsi="Times New Roman"/>
          <w:sz w:val="24"/>
          <w:szCs w:val="24"/>
        </w:rPr>
      </w:pPr>
    </w:p>
    <w:p w14:paraId="70E19760" w14:textId="41EF39EB" w:rsidR="00A739E7" w:rsidRDefault="00762845" w:rsidP="001E62E6">
      <w:pPr>
        <w:spacing w:after="0" w:line="240" w:lineRule="auto"/>
        <w:jc w:val="both"/>
        <w:rPr>
          <w:rFonts w:ascii="Times New Roman" w:hAnsi="Times New Roman"/>
          <w:sz w:val="24"/>
          <w:szCs w:val="24"/>
        </w:rPr>
      </w:pPr>
      <w:r>
        <w:rPr>
          <w:rFonts w:ascii="Times New Roman" w:hAnsi="Times New Roman"/>
          <w:sz w:val="24"/>
          <w:szCs w:val="24"/>
        </w:rPr>
        <w:t xml:space="preserve">In the financial sector, </w:t>
      </w:r>
      <w:r w:rsidR="00AC6847">
        <w:rPr>
          <w:rFonts w:ascii="Times New Roman" w:hAnsi="Times New Roman"/>
          <w:sz w:val="24"/>
          <w:szCs w:val="24"/>
        </w:rPr>
        <w:t>reforms in January 2014 aimed to enhance granting credits in better conditions. The following lines of action were incorporated: (</w:t>
      </w:r>
      <w:proofErr w:type="spellStart"/>
      <w:r w:rsidR="00AC6847">
        <w:rPr>
          <w:rFonts w:ascii="Times New Roman" w:hAnsi="Times New Roman"/>
          <w:sz w:val="24"/>
          <w:szCs w:val="24"/>
        </w:rPr>
        <w:t>i</w:t>
      </w:r>
      <w:proofErr w:type="spellEnd"/>
      <w:r w:rsidR="00AC6847">
        <w:rPr>
          <w:rFonts w:ascii="Times New Roman" w:hAnsi="Times New Roman"/>
          <w:sz w:val="24"/>
          <w:szCs w:val="24"/>
        </w:rPr>
        <w:t xml:space="preserve">) promoting credit through development banks; (ii) increasing competition in the financial system; (iii) expanding credit to private financial institutions; and </w:t>
      </w:r>
      <w:proofErr w:type="gramStart"/>
      <w:r w:rsidR="00AC6847">
        <w:rPr>
          <w:rFonts w:ascii="Times New Roman" w:hAnsi="Times New Roman"/>
          <w:sz w:val="24"/>
          <w:szCs w:val="24"/>
        </w:rPr>
        <w:t>(iv) ensuring</w:t>
      </w:r>
      <w:proofErr w:type="gramEnd"/>
      <w:r w:rsidR="00AC6847">
        <w:rPr>
          <w:rFonts w:ascii="Times New Roman" w:hAnsi="Times New Roman"/>
          <w:sz w:val="24"/>
          <w:szCs w:val="24"/>
        </w:rPr>
        <w:t xml:space="preserve"> the sound development of the financial system as a whole.</w:t>
      </w:r>
    </w:p>
    <w:p w14:paraId="28BFC214" w14:textId="77777777" w:rsidR="00FA7D81" w:rsidRDefault="00FA7D81" w:rsidP="001E62E6">
      <w:pPr>
        <w:spacing w:after="0" w:line="240" w:lineRule="auto"/>
        <w:jc w:val="both"/>
        <w:rPr>
          <w:rFonts w:ascii="Times New Roman" w:hAnsi="Times New Roman"/>
          <w:sz w:val="24"/>
          <w:szCs w:val="24"/>
        </w:rPr>
      </w:pPr>
    </w:p>
    <w:p w14:paraId="021FCACC" w14:textId="77777777" w:rsidR="00132A43" w:rsidRDefault="00C06110" w:rsidP="007335F4">
      <w:pPr>
        <w:spacing w:after="0" w:line="240" w:lineRule="auto"/>
        <w:jc w:val="both"/>
        <w:rPr>
          <w:rFonts w:ascii="Times New Roman" w:hAnsi="Times New Roman"/>
          <w:b/>
          <w:color w:val="0070C0"/>
          <w:sz w:val="24"/>
          <w:szCs w:val="24"/>
        </w:rPr>
      </w:pPr>
      <w:r w:rsidRPr="00E47451">
        <w:rPr>
          <w:rFonts w:ascii="Times New Roman" w:hAnsi="Times New Roman"/>
          <w:b/>
          <w:color w:val="0070C0"/>
          <w:sz w:val="24"/>
          <w:szCs w:val="24"/>
        </w:rPr>
        <w:t>Investment</w:t>
      </w:r>
    </w:p>
    <w:p w14:paraId="118DC085" w14:textId="53986F74" w:rsidR="00AC6847" w:rsidRDefault="00AC6847" w:rsidP="007335F4">
      <w:pPr>
        <w:spacing w:after="0" w:line="240" w:lineRule="auto"/>
        <w:jc w:val="both"/>
        <w:rPr>
          <w:rFonts w:ascii="Times New Roman" w:hAnsi="Times New Roman"/>
          <w:sz w:val="24"/>
          <w:szCs w:val="24"/>
        </w:rPr>
      </w:pPr>
      <w:r w:rsidRPr="00AC6847">
        <w:rPr>
          <w:rFonts w:ascii="Times New Roman" w:hAnsi="Times New Roman"/>
          <w:sz w:val="24"/>
          <w:szCs w:val="24"/>
        </w:rPr>
        <w:t>A major reform on the financial sector was issued in January 2014</w:t>
      </w:r>
      <w:r>
        <w:rPr>
          <w:rFonts w:ascii="Times New Roman" w:hAnsi="Times New Roman"/>
          <w:sz w:val="24"/>
          <w:szCs w:val="24"/>
        </w:rPr>
        <w:t>, which</w:t>
      </w:r>
      <w:r w:rsidRPr="00AC6847">
        <w:rPr>
          <w:rFonts w:ascii="Times New Roman" w:hAnsi="Times New Roman"/>
          <w:sz w:val="24"/>
          <w:szCs w:val="24"/>
        </w:rPr>
        <w:t xml:space="preserve"> </w:t>
      </w:r>
      <w:r>
        <w:rPr>
          <w:rFonts w:ascii="Times New Roman" w:hAnsi="Times New Roman"/>
          <w:sz w:val="24"/>
          <w:szCs w:val="24"/>
        </w:rPr>
        <w:t>eliminated the</w:t>
      </w:r>
      <w:r w:rsidRPr="00AC6847">
        <w:rPr>
          <w:rFonts w:ascii="Times New Roman" w:hAnsi="Times New Roman"/>
          <w:sz w:val="24"/>
          <w:szCs w:val="24"/>
        </w:rPr>
        <w:t xml:space="preserve"> </w:t>
      </w:r>
      <w:r>
        <w:rPr>
          <w:rFonts w:ascii="Times New Roman" w:hAnsi="Times New Roman"/>
          <w:sz w:val="24"/>
          <w:szCs w:val="24"/>
        </w:rPr>
        <w:t xml:space="preserve">limits for foreign </w:t>
      </w:r>
      <w:r w:rsidR="00352F5F">
        <w:rPr>
          <w:rFonts w:ascii="Times New Roman" w:hAnsi="Times New Roman"/>
          <w:sz w:val="24"/>
          <w:szCs w:val="24"/>
        </w:rPr>
        <w:t>investment in</w:t>
      </w:r>
      <w:r w:rsidRPr="00AC6847">
        <w:rPr>
          <w:rFonts w:ascii="Times New Roman" w:hAnsi="Times New Roman"/>
          <w:sz w:val="24"/>
          <w:szCs w:val="24"/>
        </w:rPr>
        <w:t xml:space="preserve"> insurance and bonding institutions, exchange houses, bonded warehouses, retirement funds management companies, and credit information companies, among other institutions.</w:t>
      </w:r>
      <w:r w:rsidR="00352F5F">
        <w:rPr>
          <w:rFonts w:ascii="Times New Roman" w:hAnsi="Times New Roman"/>
          <w:sz w:val="24"/>
          <w:szCs w:val="24"/>
        </w:rPr>
        <w:t xml:space="preserve"> </w:t>
      </w:r>
      <w:r w:rsidR="00352F5F" w:rsidRPr="00352F5F">
        <w:rPr>
          <w:rFonts w:ascii="Times New Roman" w:hAnsi="Times New Roman"/>
          <w:sz w:val="24"/>
          <w:szCs w:val="24"/>
        </w:rPr>
        <w:t>In addition, the General Rules on Financial Groups were issued on 31 December 2014. These rules establish minimum capital requirements for holding companies, as well as the types of investment these companies can carry out.</w:t>
      </w:r>
    </w:p>
    <w:p w14:paraId="153D33CE" w14:textId="77777777" w:rsidR="00AC6847" w:rsidRPr="00AC6847" w:rsidRDefault="00AC6847" w:rsidP="007335F4">
      <w:pPr>
        <w:spacing w:after="0" w:line="240" w:lineRule="auto"/>
        <w:jc w:val="both"/>
        <w:rPr>
          <w:rFonts w:ascii="Times New Roman" w:hAnsi="Times New Roman"/>
          <w:sz w:val="24"/>
          <w:szCs w:val="24"/>
        </w:rPr>
      </w:pPr>
    </w:p>
    <w:p w14:paraId="68351235" w14:textId="73F157EE" w:rsidR="004C2913" w:rsidRDefault="00AC6847" w:rsidP="00ED2593">
      <w:pPr>
        <w:spacing w:after="0" w:line="240" w:lineRule="auto"/>
        <w:jc w:val="both"/>
        <w:rPr>
          <w:rFonts w:ascii="Times New Roman" w:hAnsi="Times New Roman"/>
          <w:sz w:val="24"/>
          <w:szCs w:val="24"/>
        </w:rPr>
      </w:pPr>
      <w:r>
        <w:rPr>
          <w:rFonts w:ascii="Times New Roman" w:hAnsi="Times New Roman"/>
          <w:sz w:val="24"/>
          <w:szCs w:val="24"/>
        </w:rPr>
        <w:t>New laws on hydrocarbons and the electric industry</w:t>
      </w:r>
      <w:r w:rsidR="00B567AE">
        <w:rPr>
          <w:rFonts w:ascii="Times New Roman" w:hAnsi="Times New Roman"/>
          <w:sz w:val="24"/>
          <w:szCs w:val="24"/>
        </w:rPr>
        <w:t xml:space="preserve"> were issued in August 2014. These laws regulate the participation of the private sector (local and foreign investors) in activities such as the exploration and </w:t>
      </w:r>
      <w:r>
        <w:rPr>
          <w:rFonts w:ascii="Times New Roman" w:hAnsi="Times New Roman"/>
          <w:sz w:val="24"/>
          <w:szCs w:val="24"/>
        </w:rPr>
        <w:t>production</w:t>
      </w:r>
      <w:r w:rsidR="00B567AE">
        <w:rPr>
          <w:rFonts w:ascii="Times New Roman" w:hAnsi="Times New Roman"/>
          <w:sz w:val="24"/>
          <w:szCs w:val="24"/>
        </w:rPr>
        <w:t xml:space="preserve"> of oil and other hydrocarbons, as well as the generation, transmission and distribution of electricity.</w:t>
      </w:r>
      <w:r w:rsidRPr="00AC6847">
        <w:t xml:space="preserve"> </w:t>
      </w:r>
      <w:r w:rsidR="00ED2593">
        <w:rPr>
          <w:rFonts w:ascii="Times New Roman" w:hAnsi="Times New Roman"/>
          <w:sz w:val="24"/>
          <w:szCs w:val="24"/>
        </w:rPr>
        <w:t xml:space="preserve">In addition, </w:t>
      </w:r>
      <w:r w:rsidRPr="00AC6847">
        <w:rPr>
          <w:rFonts w:ascii="Times New Roman" w:hAnsi="Times New Roman"/>
          <w:sz w:val="24"/>
          <w:szCs w:val="24"/>
        </w:rPr>
        <w:t>the Federal Telecommunications and Broadcasting Law and the Public Broadcasting System Law entered into effect. These laws establish the regulatory framework for the participation of direct foreign investment up to 100% in telecommunications and satellite communications, and up to 49% in the broadcasting sector, subject to reciprocity from the country of the ultimate investor.</w:t>
      </w:r>
    </w:p>
    <w:p w14:paraId="0752BD00" w14:textId="77777777" w:rsidR="00B567AE" w:rsidRDefault="00B567AE" w:rsidP="007335F4">
      <w:pPr>
        <w:spacing w:after="0" w:line="240" w:lineRule="auto"/>
        <w:jc w:val="both"/>
        <w:rPr>
          <w:rFonts w:ascii="Times New Roman" w:hAnsi="Times New Roman"/>
          <w:sz w:val="24"/>
          <w:szCs w:val="24"/>
        </w:rPr>
      </w:pPr>
    </w:p>
    <w:p w14:paraId="275AE230" w14:textId="3C394B5D" w:rsidR="00B567AE" w:rsidRPr="00B567AE" w:rsidRDefault="00B567AE" w:rsidP="007335F4">
      <w:pPr>
        <w:spacing w:after="0" w:line="240" w:lineRule="auto"/>
        <w:jc w:val="both"/>
        <w:rPr>
          <w:rFonts w:ascii="Times New Roman" w:hAnsi="Times New Roman"/>
          <w:sz w:val="24"/>
          <w:szCs w:val="24"/>
        </w:rPr>
      </w:pPr>
      <w:r>
        <w:rPr>
          <w:rFonts w:ascii="Times New Roman" w:hAnsi="Times New Roman"/>
          <w:sz w:val="24"/>
          <w:szCs w:val="24"/>
        </w:rPr>
        <w:t xml:space="preserve">Further improvements in the legal framework for FDI includes </w:t>
      </w:r>
      <w:r w:rsidR="0010288E">
        <w:rPr>
          <w:rFonts w:ascii="Times New Roman" w:hAnsi="Times New Roman"/>
          <w:sz w:val="24"/>
          <w:szCs w:val="24"/>
        </w:rPr>
        <w:t>simplifying</w:t>
      </w:r>
      <w:r>
        <w:rPr>
          <w:rFonts w:ascii="Times New Roman" w:hAnsi="Times New Roman"/>
          <w:sz w:val="24"/>
          <w:szCs w:val="24"/>
        </w:rPr>
        <w:t xml:space="preserve"> requirements for foreign companies to operate in Mexico through a branch or representative office, and </w:t>
      </w:r>
      <w:r w:rsidR="0010288E">
        <w:rPr>
          <w:rFonts w:ascii="Times New Roman" w:hAnsi="Times New Roman"/>
          <w:sz w:val="24"/>
          <w:szCs w:val="24"/>
        </w:rPr>
        <w:t xml:space="preserve">simplifying </w:t>
      </w:r>
      <w:r>
        <w:rPr>
          <w:rFonts w:ascii="Times New Roman" w:hAnsi="Times New Roman"/>
          <w:sz w:val="24"/>
          <w:szCs w:val="24"/>
        </w:rPr>
        <w:t>formalities for foreign investors to meet when their operations surpass a threshold defined by the National Commission of Foreign Investments.</w:t>
      </w:r>
      <w:r w:rsidR="00352F5F">
        <w:rPr>
          <w:rFonts w:ascii="Times New Roman" w:hAnsi="Times New Roman"/>
          <w:sz w:val="24"/>
          <w:szCs w:val="24"/>
        </w:rPr>
        <w:t xml:space="preserve"> From </w:t>
      </w:r>
      <w:r w:rsidR="00352F5F" w:rsidRPr="00352F5F">
        <w:rPr>
          <w:rFonts w:ascii="Times New Roman" w:hAnsi="Times New Roman"/>
          <w:sz w:val="24"/>
          <w:szCs w:val="24"/>
        </w:rPr>
        <w:t>now</w:t>
      </w:r>
      <w:r w:rsidR="00352F5F">
        <w:rPr>
          <w:rFonts w:ascii="Times New Roman" w:hAnsi="Times New Roman"/>
          <w:sz w:val="24"/>
          <w:szCs w:val="24"/>
        </w:rPr>
        <w:t>,</w:t>
      </w:r>
      <w:r w:rsidR="00352F5F" w:rsidRPr="00352F5F">
        <w:rPr>
          <w:rFonts w:ascii="Times New Roman" w:hAnsi="Times New Roman"/>
          <w:sz w:val="24"/>
          <w:szCs w:val="24"/>
        </w:rPr>
        <w:t xml:space="preserve"> foreign investments and Mexican companies with foreign equity holdings only have the obligation to renew their registration and to update their information at the National Foreign Investment Registry if their revenue and </w:t>
      </w:r>
      <w:r w:rsidR="00352F5F" w:rsidRPr="00352F5F">
        <w:rPr>
          <w:rFonts w:ascii="Times New Roman" w:hAnsi="Times New Roman"/>
          <w:sz w:val="24"/>
          <w:szCs w:val="24"/>
        </w:rPr>
        <w:lastRenderedPageBreak/>
        <w:t>disbursements quarterly exceed the amount determined by the National Commission of Foreign Investments.</w:t>
      </w:r>
    </w:p>
    <w:p w14:paraId="0B14DA84" w14:textId="77777777" w:rsidR="00B567AE" w:rsidRDefault="00B567AE" w:rsidP="007335F4">
      <w:pPr>
        <w:spacing w:after="0" w:line="240" w:lineRule="auto"/>
        <w:jc w:val="both"/>
        <w:rPr>
          <w:rFonts w:ascii="Times New Roman" w:hAnsi="Times New Roman"/>
          <w:b/>
          <w:color w:val="0070C0"/>
          <w:sz w:val="24"/>
          <w:szCs w:val="24"/>
        </w:rPr>
      </w:pPr>
    </w:p>
    <w:p w14:paraId="57085B03" w14:textId="77777777" w:rsidR="00132A43" w:rsidRDefault="0010167D" w:rsidP="007335F4">
      <w:pPr>
        <w:spacing w:after="0" w:line="240" w:lineRule="auto"/>
        <w:jc w:val="both"/>
        <w:rPr>
          <w:rFonts w:ascii="Times New Roman" w:hAnsi="Times New Roman"/>
          <w:sz w:val="24"/>
          <w:szCs w:val="24"/>
          <w:u w:val="single"/>
        </w:rPr>
      </w:pPr>
      <w:r w:rsidRPr="00E47451">
        <w:rPr>
          <w:rFonts w:ascii="Times New Roman" w:hAnsi="Times New Roman"/>
          <w:b/>
          <w:color w:val="0070C0"/>
          <w:sz w:val="24"/>
          <w:szCs w:val="24"/>
        </w:rPr>
        <w:t>Standards and Conformance</w:t>
      </w:r>
    </w:p>
    <w:p w14:paraId="41A623CB" w14:textId="317C3C5B" w:rsidR="00BE73D7" w:rsidRDefault="00B567AE" w:rsidP="007335F4">
      <w:pPr>
        <w:spacing w:after="0" w:line="240" w:lineRule="auto"/>
        <w:jc w:val="both"/>
        <w:rPr>
          <w:rFonts w:ascii="Times New Roman" w:hAnsi="Times New Roman"/>
          <w:sz w:val="24"/>
          <w:szCs w:val="24"/>
        </w:rPr>
      </w:pPr>
      <w:r>
        <w:rPr>
          <w:rFonts w:ascii="Times New Roman" w:hAnsi="Times New Roman"/>
          <w:sz w:val="24"/>
          <w:szCs w:val="24"/>
        </w:rPr>
        <w:t>Between 2014 and 2015, Mexico published 128 technical regulations. Standards are aligned to international standards to the extent possible.</w:t>
      </w:r>
      <w:r w:rsidR="00C619A1">
        <w:rPr>
          <w:rFonts w:ascii="Times New Roman" w:hAnsi="Times New Roman"/>
          <w:sz w:val="24"/>
          <w:szCs w:val="24"/>
        </w:rPr>
        <w:t xml:space="preserve"> Mexico participates actively in international and regional standardization activities, for example, at the International </w:t>
      </w:r>
      <w:proofErr w:type="spellStart"/>
      <w:r w:rsidR="00C619A1">
        <w:rPr>
          <w:rFonts w:ascii="Times New Roman" w:hAnsi="Times New Roman"/>
          <w:sz w:val="24"/>
          <w:szCs w:val="24"/>
        </w:rPr>
        <w:t>Electrotechnical</w:t>
      </w:r>
      <w:proofErr w:type="spellEnd"/>
      <w:r w:rsidR="00C619A1">
        <w:rPr>
          <w:rFonts w:ascii="Times New Roman" w:hAnsi="Times New Roman"/>
          <w:sz w:val="24"/>
          <w:szCs w:val="24"/>
        </w:rPr>
        <w:t xml:space="preserve"> Commission (IEC) and the International Standardization Organization (ISO).</w:t>
      </w:r>
    </w:p>
    <w:p w14:paraId="591B1B68" w14:textId="77777777" w:rsidR="00B567AE" w:rsidRDefault="00B567AE" w:rsidP="007335F4">
      <w:pPr>
        <w:spacing w:after="0" w:line="240" w:lineRule="auto"/>
        <w:jc w:val="both"/>
        <w:rPr>
          <w:rFonts w:ascii="Times New Roman" w:hAnsi="Times New Roman"/>
          <w:sz w:val="24"/>
          <w:szCs w:val="24"/>
        </w:rPr>
      </w:pPr>
    </w:p>
    <w:p w14:paraId="4CD3984B" w14:textId="029821C2" w:rsidR="00B567AE" w:rsidRDefault="00A679C7" w:rsidP="007335F4">
      <w:pPr>
        <w:spacing w:after="0" w:line="240" w:lineRule="auto"/>
        <w:jc w:val="both"/>
        <w:rPr>
          <w:rFonts w:ascii="Times New Roman" w:hAnsi="Times New Roman"/>
          <w:sz w:val="24"/>
          <w:szCs w:val="24"/>
        </w:rPr>
      </w:pPr>
      <w:r>
        <w:rPr>
          <w:rFonts w:ascii="Times New Roman" w:hAnsi="Times New Roman"/>
          <w:sz w:val="24"/>
          <w:szCs w:val="24"/>
        </w:rPr>
        <w:t xml:space="preserve">By the end of 2015, six specific trade concerns </w:t>
      </w:r>
      <w:r w:rsidR="004508BE">
        <w:rPr>
          <w:rFonts w:ascii="Times New Roman" w:hAnsi="Times New Roman"/>
          <w:sz w:val="24"/>
          <w:szCs w:val="24"/>
        </w:rPr>
        <w:t xml:space="preserve">(STC) </w:t>
      </w:r>
      <w:r>
        <w:rPr>
          <w:rFonts w:ascii="Times New Roman" w:hAnsi="Times New Roman"/>
          <w:sz w:val="24"/>
          <w:szCs w:val="24"/>
        </w:rPr>
        <w:t xml:space="preserve">raised against Mexico at the WTO SPS Committee </w:t>
      </w:r>
      <w:r w:rsidR="009543CC">
        <w:rPr>
          <w:rFonts w:ascii="Times New Roman" w:hAnsi="Times New Roman"/>
          <w:sz w:val="24"/>
          <w:szCs w:val="24"/>
        </w:rPr>
        <w:t xml:space="preserve">have </w:t>
      </w:r>
      <w:r>
        <w:rPr>
          <w:rFonts w:ascii="Times New Roman" w:hAnsi="Times New Roman"/>
          <w:sz w:val="24"/>
          <w:szCs w:val="24"/>
        </w:rPr>
        <w:t xml:space="preserve">not reported a resolution, being the most recent one related to </w:t>
      </w:r>
      <w:r w:rsidR="0081420D">
        <w:rPr>
          <w:rFonts w:ascii="Times New Roman" w:hAnsi="Times New Roman"/>
          <w:sz w:val="24"/>
          <w:szCs w:val="24"/>
        </w:rPr>
        <w:t xml:space="preserve">the </w:t>
      </w:r>
      <w:r w:rsidR="004508BE">
        <w:rPr>
          <w:rFonts w:ascii="Times New Roman" w:hAnsi="Times New Roman"/>
          <w:sz w:val="24"/>
          <w:szCs w:val="24"/>
        </w:rPr>
        <w:t xml:space="preserve">measures on </w:t>
      </w:r>
      <w:r>
        <w:rPr>
          <w:rFonts w:ascii="Times New Roman" w:hAnsi="Times New Roman"/>
          <w:sz w:val="24"/>
          <w:szCs w:val="24"/>
        </w:rPr>
        <w:t>import</w:t>
      </w:r>
      <w:r w:rsidR="004508BE">
        <w:rPr>
          <w:rFonts w:ascii="Times New Roman" w:hAnsi="Times New Roman"/>
          <w:sz w:val="24"/>
          <w:szCs w:val="24"/>
        </w:rPr>
        <w:t>s of</w:t>
      </w:r>
      <w:r>
        <w:rPr>
          <w:rFonts w:ascii="Times New Roman" w:hAnsi="Times New Roman"/>
          <w:sz w:val="24"/>
          <w:szCs w:val="24"/>
        </w:rPr>
        <w:t xml:space="preserve"> hibiscus flowers</w:t>
      </w:r>
      <w:r w:rsidR="0081420D">
        <w:rPr>
          <w:rFonts w:ascii="Times New Roman" w:hAnsi="Times New Roman"/>
          <w:sz w:val="24"/>
          <w:szCs w:val="24"/>
        </w:rPr>
        <w:t xml:space="preserve">. </w:t>
      </w:r>
      <w:r w:rsidR="004508BE" w:rsidRPr="004508BE">
        <w:rPr>
          <w:rFonts w:ascii="Times New Roman" w:hAnsi="Times New Roman"/>
          <w:sz w:val="24"/>
          <w:szCs w:val="24"/>
        </w:rPr>
        <w:t>On the other hand, by the end of 2015, México had raised 10 STC at such Committee, for which a resolution has not been reported, being the most recent one regarding restrictions to Mexican avocado</w:t>
      </w:r>
      <w:r w:rsidR="004508BE">
        <w:rPr>
          <w:rFonts w:ascii="Times New Roman" w:hAnsi="Times New Roman"/>
          <w:sz w:val="24"/>
          <w:szCs w:val="24"/>
        </w:rPr>
        <w:t>.</w:t>
      </w:r>
      <w:r w:rsidR="004508BE" w:rsidRPr="004508BE">
        <w:rPr>
          <w:rFonts w:ascii="Times New Roman" w:hAnsi="Times New Roman"/>
          <w:sz w:val="24"/>
          <w:szCs w:val="24"/>
        </w:rPr>
        <w:t xml:space="preserve"> </w:t>
      </w:r>
      <w:r w:rsidR="0081420D">
        <w:rPr>
          <w:rFonts w:ascii="Times New Roman" w:hAnsi="Times New Roman"/>
          <w:sz w:val="24"/>
          <w:szCs w:val="24"/>
        </w:rPr>
        <w:t xml:space="preserve">Similarly, 14 specific trade concerns against Mexico at the WTO TBT Committee </w:t>
      </w:r>
      <w:r w:rsidR="009543CC">
        <w:rPr>
          <w:rFonts w:ascii="Times New Roman" w:hAnsi="Times New Roman"/>
          <w:sz w:val="24"/>
          <w:szCs w:val="24"/>
        </w:rPr>
        <w:t xml:space="preserve">have </w:t>
      </w:r>
      <w:r w:rsidR="004508BE">
        <w:rPr>
          <w:rFonts w:ascii="Times New Roman" w:hAnsi="Times New Roman"/>
          <w:sz w:val="24"/>
          <w:szCs w:val="24"/>
        </w:rPr>
        <w:t>been raised</w:t>
      </w:r>
      <w:r w:rsidR="0081420D">
        <w:rPr>
          <w:rFonts w:ascii="Times New Roman" w:hAnsi="Times New Roman"/>
          <w:sz w:val="24"/>
          <w:szCs w:val="24"/>
        </w:rPr>
        <w:t xml:space="preserve">. The most recent trade concern was raised in </w:t>
      </w:r>
      <w:r w:rsidR="004508BE">
        <w:rPr>
          <w:rFonts w:ascii="Times New Roman" w:hAnsi="Times New Roman"/>
          <w:sz w:val="24"/>
          <w:szCs w:val="24"/>
        </w:rPr>
        <w:t xml:space="preserve">March </w:t>
      </w:r>
      <w:r w:rsidR="0081420D">
        <w:rPr>
          <w:rFonts w:ascii="Times New Roman" w:hAnsi="Times New Roman"/>
          <w:sz w:val="24"/>
          <w:szCs w:val="24"/>
        </w:rPr>
        <w:t>2015 and is related to standards for juices and non-alcoholic beverages.</w:t>
      </w:r>
    </w:p>
    <w:p w14:paraId="2D673059" w14:textId="77777777" w:rsidR="00B567AE" w:rsidRDefault="00B567AE" w:rsidP="007335F4">
      <w:pPr>
        <w:spacing w:after="0" w:line="240" w:lineRule="auto"/>
        <w:jc w:val="both"/>
        <w:rPr>
          <w:rFonts w:ascii="Times New Roman" w:hAnsi="Times New Roman"/>
          <w:sz w:val="24"/>
          <w:szCs w:val="24"/>
        </w:rPr>
      </w:pPr>
    </w:p>
    <w:p w14:paraId="1DB8044E" w14:textId="77777777" w:rsidR="00132A43" w:rsidRDefault="0053223F" w:rsidP="007335F4">
      <w:pPr>
        <w:spacing w:after="0" w:line="240" w:lineRule="auto"/>
        <w:jc w:val="both"/>
        <w:rPr>
          <w:rFonts w:ascii="Times New Roman" w:hAnsi="Times New Roman"/>
          <w:b/>
          <w:color w:val="0070C0"/>
          <w:sz w:val="24"/>
          <w:szCs w:val="24"/>
        </w:rPr>
      </w:pPr>
      <w:r w:rsidRPr="00E47451">
        <w:rPr>
          <w:rFonts w:ascii="Times New Roman" w:hAnsi="Times New Roman"/>
          <w:b/>
          <w:color w:val="0070C0"/>
          <w:sz w:val="24"/>
          <w:szCs w:val="24"/>
        </w:rPr>
        <w:t>Customs Procedures</w:t>
      </w:r>
    </w:p>
    <w:p w14:paraId="1480D12D" w14:textId="77777777" w:rsidR="001B3B8D" w:rsidRDefault="004508BE" w:rsidP="007335F4">
      <w:pPr>
        <w:spacing w:after="0" w:line="240" w:lineRule="auto"/>
        <w:jc w:val="both"/>
        <w:rPr>
          <w:rFonts w:ascii="Times New Roman" w:hAnsi="Times New Roman"/>
          <w:sz w:val="24"/>
          <w:szCs w:val="24"/>
        </w:rPr>
      </w:pPr>
      <w:r w:rsidRPr="004508BE">
        <w:rPr>
          <w:rFonts w:ascii="Times New Roman" w:hAnsi="Times New Roman"/>
          <w:sz w:val="24"/>
          <w:szCs w:val="24"/>
        </w:rPr>
        <w:t xml:space="preserve">Mexico’s Trade Single Window is undergoing reforms, including cloud computing, in order to improve its efficiency and efficacy. The reforms involve new features and improvement of processes, as well as real time interconnection with logistic operators. </w:t>
      </w:r>
      <w:r>
        <w:rPr>
          <w:rFonts w:ascii="Times New Roman" w:hAnsi="Times New Roman"/>
          <w:sz w:val="24"/>
          <w:szCs w:val="24"/>
        </w:rPr>
        <w:t>These reforms</w:t>
      </w:r>
      <w:r w:rsidRPr="004508BE">
        <w:rPr>
          <w:rFonts w:ascii="Times New Roman" w:hAnsi="Times New Roman"/>
          <w:sz w:val="24"/>
          <w:szCs w:val="24"/>
        </w:rPr>
        <w:t xml:space="preserve"> facilitate the interoperability amongst single windows of different places</w:t>
      </w:r>
      <w:r>
        <w:rPr>
          <w:rFonts w:ascii="Times New Roman" w:hAnsi="Times New Roman"/>
          <w:sz w:val="24"/>
          <w:szCs w:val="24"/>
        </w:rPr>
        <w:t xml:space="preserve">, for example, within the Pacific Alliance, which establishes paperless operations such as sharing </w:t>
      </w:r>
      <w:r w:rsidRPr="004508BE">
        <w:rPr>
          <w:rFonts w:ascii="Times New Roman" w:hAnsi="Times New Roman"/>
          <w:sz w:val="24"/>
          <w:szCs w:val="24"/>
        </w:rPr>
        <w:t xml:space="preserve">phytosanitary and </w:t>
      </w:r>
      <w:proofErr w:type="spellStart"/>
      <w:r w:rsidRPr="004508BE">
        <w:rPr>
          <w:rFonts w:ascii="Times New Roman" w:hAnsi="Times New Roman"/>
          <w:sz w:val="24"/>
          <w:szCs w:val="24"/>
        </w:rPr>
        <w:t>zoosanitary</w:t>
      </w:r>
      <w:proofErr w:type="spellEnd"/>
      <w:r w:rsidRPr="004508BE">
        <w:rPr>
          <w:rFonts w:ascii="Times New Roman" w:hAnsi="Times New Roman"/>
          <w:sz w:val="24"/>
          <w:szCs w:val="24"/>
        </w:rPr>
        <w:t xml:space="preserve"> certificates</w:t>
      </w:r>
      <w:r>
        <w:rPr>
          <w:rFonts w:ascii="Times New Roman" w:hAnsi="Times New Roman"/>
          <w:sz w:val="24"/>
          <w:szCs w:val="24"/>
        </w:rPr>
        <w:t xml:space="preserve">. This is </w:t>
      </w:r>
      <w:r w:rsidRPr="004508BE">
        <w:rPr>
          <w:rFonts w:ascii="Times New Roman" w:hAnsi="Times New Roman"/>
          <w:sz w:val="24"/>
          <w:szCs w:val="24"/>
        </w:rPr>
        <w:t xml:space="preserve">first step for interoperability with any </w:t>
      </w:r>
      <w:r>
        <w:rPr>
          <w:rFonts w:ascii="Times New Roman" w:hAnsi="Times New Roman"/>
          <w:sz w:val="24"/>
          <w:szCs w:val="24"/>
        </w:rPr>
        <w:t>single window</w:t>
      </w:r>
      <w:r w:rsidRPr="004508BE">
        <w:rPr>
          <w:rFonts w:ascii="Times New Roman" w:hAnsi="Times New Roman"/>
          <w:sz w:val="24"/>
          <w:szCs w:val="24"/>
        </w:rPr>
        <w:t xml:space="preserve"> using an international data standard like those in the W</w:t>
      </w:r>
      <w:r>
        <w:rPr>
          <w:rFonts w:ascii="Times New Roman" w:hAnsi="Times New Roman"/>
          <w:sz w:val="24"/>
          <w:szCs w:val="24"/>
        </w:rPr>
        <w:t xml:space="preserve">orld </w:t>
      </w:r>
      <w:r w:rsidRPr="004508BE">
        <w:rPr>
          <w:rFonts w:ascii="Times New Roman" w:hAnsi="Times New Roman"/>
          <w:sz w:val="24"/>
          <w:szCs w:val="24"/>
        </w:rPr>
        <w:t>C</w:t>
      </w:r>
      <w:r>
        <w:rPr>
          <w:rFonts w:ascii="Times New Roman" w:hAnsi="Times New Roman"/>
          <w:sz w:val="24"/>
          <w:szCs w:val="24"/>
        </w:rPr>
        <w:t xml:space="preserve">ustoms </w:t>
      </w:r>
      <w:r w:rsidRPr="004508BE">
        <w:rPr>
          <w:rFonts w:ascii="Times New Roman" w:hAnsi="Times New Roman"/>
          <w:sz w:val="24"/>
          <w:szCs w:val="24"/>
        </w:rPr>
        <w:t>O</w:t>
      </w:r>
      <w:r>
        <w:rPr>
          <w:rFonts w:ascii="Times New Roman" w:hAnsi="Times New Roman"/>
          <w:sz w:val="24"/>
          <w:szCs w:val="24"/>
        </w:rPr>
        <w:t>rganization</w:t>
      </w:r>
      <w:r w:rsidRPr="004508BE">
        <w:rPr>
          <w:rFonts w:ascii="Times New Roman" w:hAnsi="Times New Roman"/>
          <w:sz w:val="24"/>
          <w:szCs w:val="24"/>
        </w:rPr>
        <w:t>.</w:t>
      </w:r>
      <w:r w:rsidR="001B3B8D">
        <w:rPr>
          <w:rFonts w:ascii="Times New Roman" w:hAnsi="Times New Roman"/>
          <w:sz w:val="24"/>
          <w:szCs w:val="24"/>
        </w:rPr>
        <w:t xml:space="preserve"> </w:t>
      </w:r>
    </w:p>
    <w:p w14:paraId="769614C5" w14:textId="77777777" w:rsidR="001B3B8D" w:rsidRDefault="001B3B8D" w:rsidP="007335F4">
      <w:pPr>
        <w:spacing w:after="0" w:line="240" w:lineRule="auto"/>
        <w:jc w:val="both"/>
        <w:rPr>
          <w:rFonts w:ascii="Times New Roman" w:hAnsi="Times New Roman"/>
          <w:sz w:val="24"/>
          <w:szCs w:val="24"/>
        </w:rPr>
      </w:pPr>
    </w:p>
    <w:p w14:paraId="0D17CB23" w14:textId="22E036F7" w:rsidR="000C794F" w:rsidRDefault="00C337E7" w:rsidP="007335F4">
      <w:pPr>
        <w:spacing w:after="0" w:line="240" w:lineRule="auto"/>
        <w:jc w:val="both"/>
        <w:rPr>
          <w:rFonts w:ascii="Times New Roman" w:hAnsi="Times New Roman"/>
          <w:sz w:val="24"/>
          <w:szCs w:val="24"/>
        </w:rPr>
      </w:pPr>
      <w:r>
        <w:rPr>
          <w:rFonts w:ascii="Times New Roman" w:hAnsi="Times New Roman"/>
          <w:sz w:val="24"/>
          <w:szCs w:val="24"/>
        </w:rPr>
        <w:t xml:space="preserve">By </w:t>
      </w:r>
      <w:r w:rsidR="000C794F">
        <w:rPr>
          <w:rFonts w:ascii="Times New Roman" w:hAnsi="Times New Roman"/>
          <w:sz w:val="24"/>
          <w:szCs w:val="24"/>
        </w:rPr>
        <w:t>August</w:t>
      </w:r>
      <w:r>
        <w:rPr>
          <w:rFonts w:ascii="Times New Roman" w:hAnsi="Times New Roman"/>
          <w:sz w:val="24"/>
          <w:szCs w:val="24"/>
        </w:rPr>
        <w:t xml:space="preserve"> 2015, Mexico </w:t>
      </w:r>
      <w:r w:rsidR="00FE216C">
        <w:rPr>
          <w:rFonts w:ascii="Times New Roman" w:hAnsi="Times New Roman"/>
          <w:sz w:val="24"/>
          <w:szCs w:val="24"/>
        </w:rPr>
        <w:t>ha</w:t>
      </w:r>
      <w:r w:rsidR="000C794F">
        <w:rPr>
          <w:rFonts w:ascii="Times New Roman" w:hAnsi="Times New Roman"/>
          <w:sz w:val="24"/>
          <w:szCs w:val="24"/>
        </w:rPr>
        <w:t>d</w:t>
      </w:r>
      <w:r w:rsidR="00FE216C">
        <w:rPr>
          <w:rFonts w:ascii="Times New Roman" w:hAnsi="Times New Roman"/>
          <w:sz w:val="24"/>
          <w:szCs w:val="24"/>
        </w:rPr>
        <w:t xml:space="preserve"> </w:t>
      </w:r>
      <w:r>
        <w:rPr>
          <w:rFonts w:ascii="Times New Roman" w:hAnsi="Times New Roman"/>
          <w:sz w:val="24"/>
          <w:szCs w:val="24"/>
        </w:rPr>
        <w:t>signed 2</w:t>
      </w:r>
      <w:r w:rsidR="000C794F">
        <w:rPr>
          <w:rFonts w:ascii="Times New Roman" w:hAnsi="Times New Roman"/>
          <w:sz w:val="24"/>
          <w:szCs w:val="24"/>
        </w:rPr>
        <w:t>3</w:t>
      </w:r>
      <w:r>
        <w:rPr>
          <w:rFonts w:ascii="Times New Roman" w:hAnsi="Times New Roman"/>
          <w:sz w:val="24"/>
          <w:szCs w:val="24"/>
        </w:rPr>
        <w:t xml:space="preserve"> bilateral and two multilateral agreements on customs cooperation.</w:t>
      </w:r>
      <w:r w:rsidR="001B3B8D">
        <w:rPr>
          <w:rFonts w:ascii="Times New Roman" w:hAnsi="Times New Roman"/>
          <w:sz w:val="24"/>
          <w:szCs w:val="24"/>
        </w:rPr>
        <w:t xml:space="preserve"> Moreover, </w:t>
      </w:r>
      <w:r w:rsidR="000C794F" w:rsidRPr="000C794F">
        <w:rPr>
          <w:rFonts w:ascii="Times New Roman" w:hAnsi="Times New Roman"/>
          <w:sz w:val="24"/>
          <w:szCs w:val="24"/>
        </w:rPr>
        <w:t xml:space="preserve">Mexico signed </w:t>
      </w:r>
      <w:r w:rsidR="001B3B8D">
        <w:rPr>
          <w:rFonts w:ascii="Times New Roman" w:hAnsi="Times New Roman"/>
          <w:sz w:val="24"/>
          <w:szCs w:val="24"/>
        </w:rPr>
        <w:t xml:space="preserve">in recent years </w:t>
      </w:r>
      <w:r w:rsidR="000C794F" w:rsidRPr="000C794F">
        <w:rPr>
          <w:rFonts w:ascii="Times New Roman" w:hAnsi="Times New Roman"/>
          <w:sz w:val="24"/>
          <w:szCs w:val="24"/>
        </w:rPr>
        <w:t>three Mutual Recognition Arrangements regarding A</w:t>
      </w:r>
      <w:r w:rsidR="000C794F">
        <w:rPr>
          <w:rFonts w:ascii="Times New Roman" w:hAnsi="Times New Roman"/>
          <w:sz w:val="24"/>
          <w:szCs w:val="24"/>
        </w:rPr>
        <w:t>uthorized Economic Operators (AEO)</w:t>
      </w:r>
      <w:r w:rsidR="000C794F" w:rsidRPr="000C794F">
        <w:rPr>
          <w:rFonts w:ascii="Times New Roman" w:hAnsi="Times New Roman"/>
          <w:sz w:val="24"/>
          <w:szCs w:val="24"/>
        </w:rPr>
        <w:t xml:space="preserve"> programs with Republic of Korea (</w:t>
      </w:r>
      <w:r w:rsidR="0019656C">
        <w:rPr>
          <w:rFonts w:ascii="Times New Roman" w:hAnsi="Times New Roman"/>
          <w:sz w:val="24"/>
          <w:szCs w:val="24"/>
        </w:rPr>
        <w:t xml:space="preserve">11 </w:t>
      </w:r>
      <w:r w:rsidR="000C794F" w:rsidRPr="000C794F">
        <w:rPr>
          <w:rFonts w:ascii="Times New Roman" w:hAnsi="Times New Roman"/>
          <w:sz w:val="24"/>
          <w:szCs w:val="24"/>
        </w:rPr>
        <w:t>March 2014), the United States of America (</w:t>
      </w:r>
      <w:r w:rsidR="0019656C">
        <w:rPr>
          <w:rFonts w:ascii="Times New Roman" w:hAnsi="Times New Roman"/>
          <w:sz w:val="24"/>
          <w:szCs w:val="24"/>
        </w:rPr>
        <w:t xml:space="preserve">17 </w:t>
      </w:r>
      <w:r w:rsidR="000C794F" w:rsidRPr="000C794F">
        <w:rPr>
          <w:rFonts w:ascii="Times New Roman" w:hAnsi="Times New Roman"/>
          <w:sz w:val="24"/>
          <w:szCs w:val="24"/>
        </w:rPr>
        <w:t>October</w:t>
      </w:r>
      <w:r w:rsidR="0019656C">
        <w:rPr>
          <w:rFonts w:ascii="Times New Roman" w:hAnsi="Times New Roman"/>
          <w:sz w:val="24"/>
          <w:szCs w:val="24"/>
        </w:rPr>
        <w:t xml:space="preserve"> </w:t>
      </w:r>
      <w:r w:rsidR="000C794F" w:rsidRPr="000C794F">
        <w:rPr>
          <w:rFonts w:ascii="Times New Roman" w:hAnsi="Times New Roman"/>
          <w:sz w:val="24"/>
          <w:szCs w:val="24"/>
        </w:rPr>
        <w:t>2014) and Canada (</w:t>
      </w:r>
      <w:r w:rsidR="0019656C">
        <w:rPr>
          <w:rFonts w:ascii="Times New Roman" w:hAnsi="Times New Roman"/>
          <w:sz w:val="24"/>
          <w:szCs w:val="24"/>
        </w:rPr>
        <w:t xml:space="preserve">11 </w:t>
      </w:r>
      <w:r w:rsidR="000C794F" w:rsidRPr="000C794F">
        <w:rPr>
          <w:rFonts w:ascii="Times New Roman" w:hAnsi="Times New Roman"/>
          <w:sz w:val="24"/>
          <w:szCs w:val="24"/>
        </w:rPr>
        <w:t xml:space="preserve">May 2016) and is carrying out negotiations to sign a MRA with Hong Kong, </w:t>
      </w:r>
      <w:r w:rsidR="0019656C">
        <w:rPr>
          <w:rFonts w:ascii="Times New Roman" w:hAnsi="Times New Roman"/>
          <w:sz w:val="24"/>
          <w:szCs w:val="24"/>
        </w:rPr>
        <w:t xml:space="preserve">China; </w:t>
      </w:r>
      <w:r w:rsidR="000C794F" w:rsidRPr="000C794F">
        <w:rPr>
          <w:rFonts w:ascii="Times New Roman" w:hAnsi="Times New Roman"/>
          <w:sz w:val="24"/>
          <w:szCs w:val="24"/>
        </w:rPr>
        <w:t>Israel</w:t>
      </w:r>
      <w:r w:rsidR="0019656C">
        <w:rPr>
          <w:rFonts w:ascii="Times New Roman" w:hAnsi="Times New Roman"/>
          <w:sz w:val="24"/>
          <w:szCs w:val="24"/>
        </w:rPr>
        <w:t>;</w:t>
      </w:r>
      <w:r w:rsidR="000C794F" w:rsidRPr="000C794F">
        <w:rPr>
          <w:rFonts w:ascii="Times New Roman" w:hAnsi="Times New Roman"/>
          <w:sz w:val="24"/>
          <w:szCs w:val="24"/>
        </w:rPr>
        <w:t xml:space="preserve"> Costa Rica and the Pacific Alliance. This will contribute to strengthen the security of logistics in the supply chain, increasing competitiveness and encouraging global trade in a secure environment.</w:t>
      </w:r>
    </w:p>
    <w:p w14:paraId="64D8A43A" w14:textId="77777777" w:rsidR="000C794F" w:rsidRDefault="000C794F" w:rsidP="007335F4">
      <w:pPr>
        <w:spacing w:after="0" w:line="240" w:lineRule="auto"/>
        <w:jc w:val="both"/>
        <w:rPr>
          <w:rFonts w:ascii="Times New Roman" w:hAnsi="Times New Roman"/>
          <w:sz w:val="24"/>
          <w:szCs w:val="24"/>
        </w:rPr>
      </w:pPr>
    </w:p>
    <w:p w14:paraId="574BE2CE" w14:textId="77777777" w:rsidR="003403DF" w:rsidRPr="003403DF" w:rsidRDefault="003403DF" w:rsidP="003403DF">
      <w:pPr>
        <w:keepNext/>
        <w:spacing w:after="0" w:line="240" w:lineRule="auto"/>
        <w:jc w:val="both"/>
        <w:rPr>
          <w:rFonts w:ascii="Times New Roman" w:hAnsi="Times New Roman"/>
          <w:b/>
          <w:color w:val="0070C0"/>
          <w:sz w:val="24"/>
          <w:szCs w:val="24"/>
        </w:rPr>
      </w:pPr>
      <w:r w:rsidRPr="003403DF">
        <w:rPr>
          <w:rFonts w:ascii="Times New Roman" w:hAnsi="Times New Roman"/>
          <w:b/>
          <w:color w:val="0070C0"/>
          <w:sz w:val="24"/>
          <w:szCs w:val="24"/>
        </w:rPr>
        <w:t>Intellectual Property Rights</w:t>
      </w:r>
    </w:p>
    <w:p w14:paraId="556F45A1" w14:textId="11505955" w:rsidR="0019656C" w:rsidRPr="0019656C" w:rsidRDefault="0019656C" w:rsidP="0019656C">
      <w:pPr>
        <w:spacing w:after="0" w:line="240" w:lineRule="auto"/>
        <w:jc w:val="both"/>
        <w:rPr>
          <w:rFonts w:ascii="Times New Roman" w:hAnsi="Times New Roman"/>
          <w:sz w:val="24"/>
          <w:szCs w:val="24"/>
        </w:rPr>
      </w:pPr>
      <w:r w:rsidRPr="0019656C">
        <w:rPr>
          <w:rFonts w:ascii="Times New Roman" w:hAnsi="Times New Roman"/>
          <w:sz w:val="24"/>
          <w:szCs w:val="24"/>
        </w:rPr>
        <w:t xml:space="preserve">A new Patent Prosecution Highway (PPH) agreement with the IP Offices of the Pacific Alliance members was signed to speed up the patent examination process for applications filed in each one of them, promoting an expeditious granting of intellectual property rights. Also, </w:t>
      </w:r>
      <w:r>
        <w:rPr>
          <w:rFonts w:ascii="Times New Roman" w:hAnsi="Times New Roman"/>
          <w:sz w:val="24"/>
          <w:szCs w:val="24"/>
        </w:rPr>
        <w:t>these offices</w:t>
      </w:r>
      <w:r w:rsidRPr="0019656C">
        <w:rPr>
          <w:rFonts w:ascii="Times New Roman" w:hAnsi="Times New Roman"/>
          <w:sz w:val="24"/>
          <w:szCs w:val="24"/>
        </w:rPr>
        <w:t xml:space="preserve"> launched the “terms harmonizer”, which is a list of regionalisms related to products or services for which trademarks are registered, and that are not contained in the Nice Classification. This tool will provide certainty to the IP System users. In addition, cooperation agreements were signed to deepen cooperation with Hong Kong</w:t>
      </w:r>
      <w:r>
        <w:rPr>
          <w:rFonts w:ascii="Times New Roman" w:hAnsi="Times New Roman"/>
          <w:sz w:val="24"/>
          <w:szCs w:val="24"/>
        </w:rPr>
        <w:t xml:space="preserve">, </w:t>
      </w:r>
      <w:r w:rsidRPr="0019656C">
        <w:rPr>
          <w:rFonts w:ascii="Times New Roman" w:hAnsi="Times New Roman"/>
          <w:sz w:val="24"/>
          <w:szCs w:val="24"/>
        </w:rPr>
        <w:t xml:space="preserve">China. </w:t>
      </w:r>
    </w:p>
    <w:p w14:paraId="28CF08B5" w14:textId="77777777" w:rsidR="0019656C" w:rsidRPr="0019656C" w:rsidRDefault="0019656C" w:rsidP="0019656C">
      <w:pPr>
        <w:spacing w:after="0" w:line="240" w:lineRule="auto"/>
        <w:jc w:val="both"/>
        <w:rPr>
          <w:rFonts w:ascii="Times New Roman" w:hAnsi="Times New Roman"/>
          <w:sz w:val="24"/>
          <w:szCs w:val="24"/>
        </w:rPr>
      </w:pPr>
    </w:p>
    <w:p w14:paraId="7489D286" w14:textId="3CED7296" w:rsidR="00C337E7" w:rsidRDefault="0019656C" w:rsidP="0019656C">
      <w:pPr>
        <w:spacing w:after="0" w:line="240" w:lineRule="auto"/>
        <w:jc w:val="both"/>
        <w:rPr>
          <w:rFonts w:ascii="Times New Roman" w:hAnsi="Times New Roman"/>
          <w:sz w:val="24"/>
          <w:szCs w:val="24"/>
        </w:rPr>
      </w:pPr>
      <w:r w:rsidRPr="0019656C">
        <w:rPr>
          <w:rFonts w:ascii="Times New Roman" w:hAnsi="Times New Roman"/>
          <w:sz w:val="24"/>
          <w:szCs w:val="24"/>
        </w:rPr>
        <w:t xml:space="preserve">On June 2016, an amendment to the Industrial Property Law was approved to implement a trademark opposition system, which </w:t>
      </w:r>
      <w:r>
        <w:rPr>
          <w:rFonts w:ascii="Times New Roman" w:hAnsi="Times New Roman"/>
          <w:sz w:val="24"/>
          <w:szCs w:val="24"/>
        </w:rPr>
        <w:t>allows</w:t>
      </w:r>
      <w:r w:rsidRPr="0019656C">
        <w:rPr>
          <w:rFonts w:ascii="Times New Roman" w:hAnsi="Times New Roman"/>
          <w:sz w:val="24"/>
          <w:szCs w:val="24"/>
        </w:rPr>
        <w:t xml:space="preserve"> to present an opposition claim if </w:t>
      </w:r>
      <w:r>
        <w:rPr>
          <w:rFonts w:ascii="Times New Roman" w:hAnsi="Times New Roman"/>
          <w:sz w:val="24"/>
          <w:szCs w:val="24"/>
        </w:rPr>
        <w:t xml:space="preserve">someone considers </w:t>
      </w:r>
      <w:r w:rsidRPr="0019656C">
        <w:rPr>
          <w:rFonts w:ascii="Times New Roman" w:hAnsi="Times New Roman"/>
          <w:sz w:val="24"/>
          <w:szCs w:val="24"/>
        </w:rPr>
        <w:t xml:space="preserve">that a trademark application falls into the prohibitions contained in the Industrial Property Law.  </w:t>
      </w:r>
      <w:r w:rsidRPr="0019656C">
        <w:rPr>
          <w:rFonts w:ascii="Times New Roman" w:hAnsi="Times New Roman"/>
          <w:sz w:val="24"/>
          <w:szCs w:val="24"/>
        </w:rPr>
        <w:lastRenderedPageBreak/>
        <w:t xml:space="preserve">This step would match the Mexican IP System with </w:t>
      </w:r>
      <w:r>
        <w:rPr>
          <w:rFonts w:ascii="Times New Roman" w:hAnsi="Times New Roman"/>
          <w:sz w:val="24"/>
          <w:szCs w:val="24"/>
        </w:rPr>
        <w:t>those available in most of the</w:t>
      </w:r>
      <w:r w:rsidRPr="0019656C">
        <w:rPr>
          <w:rFonts w:ascii="Times New Roman" w:hAnsi="Times New Roman"/>
          <w:sz w:val="24"/>
          <w:szCs w:val="24"/>
        </w:rPr>
        <w:t xml:space="preserve"> APEC region and will be in force from </w:t>
      </w:r>
      <w:r>
        <w:rPr>
          <w:rFonts w:ascii="Times New Roman" w:hAnsi="Times New Roman"/>
          <w:sz w:val="24"/>
          <w:szCs w:val="24"/>
        </w:rPr>
        <w:t xml:space="preserve">30 </w:t>
      </w:r>
      <w:r w:rsidRPr="0019656C">
        <w:rPr>
          <w:rFonts w:ascii="Times New Roman" w:hAnsi="Times New Roman"/>
          <w:sz w:val="24"/>
          <w:szCs w:val="24"/>
        </w:rPr>
        <w:t>August 2016.</w:t>
      </w:r>
    </w:p>
    <w:p w14:paraId="527FC80D" w14:textId="77777777" w:rsidR="0019656C" w:rsidRDefault="0019656C" w:rsidP="0019656C">
      <w:pPr>
        <w:spacing w:after="0" w:line="240" w:lineRule="auto"/>
        <w:jc w:val="both"/>
        <w:rPr>
          <w:rFonts w:ascii="Times New Roman" w:hAnsi="Times New Roman"/>
          <w:sz w:val="24"/>
          <w:szCs w:val="24"/>
        </w:rPr>
      </w:pPr>
    </w:p>
    <w:p w14:paraId="566A9774" w14:textId="288E3FB1" w:rsidR="00CF24BB" w:rsidRDefault="00B64BE3" w:rsidP="007335F4">
      <w:pPr>
        <w:spacing w:after="0" w:line="240" w:lineRule="auto"/>
        <w:jc w:val="both"/>
        <w:rPr>
          <w:rFonts w:ascii="Times New Roman" w:hAnsi="Times New Roman"/>
          <w:sz w:val="24"/>
          <w:szCs w:val="24"/>
        </w:rPr>
      </w:pPr>
      <w:r>
        <w:rPr>
          <w:rFonts w:ascii="Times New Roman" w:hAnsi="Times New Roman"/>
          <w:sz w:val="24"/>
          <w:szCs w:val="24"/>
        </w:rPr>
        <w:t xml:space="preserve">Mexico is expanding its efforts to participate at the international level in agreements concerning to intellectual property rights. </w:t>
      </w:r>
      <w:r w:rsidR="00CF24BB">
        <w:rPr>
          <w:rFonts w:ascii="Times New Roman" w:hAnsi="Times New Roman"/>
          <w:sz w:val="24"/>
          <w:szCs w:val="24"/>
        </w:rPr>
        <w:t>In 2014, Me</w:t>
      </w:r>
      <w:r>
        <w:rPr>
          <w:rFonts w:ascii="Times New Roman" w:hAnsi="Times New Roman"/>
          <w:sz w:val="24"/>
          <w:szCs w:val="24"/>
        </w:rPr>
        <w:t>xico joined the</w:t>
      </w:r>
      <w:r w:rsidRPr="00B64BE3">
        <w:rPr>
          <w:rFonts w:ascii="Times New Roman" w:hAnsi="Times New Roman"/>
          <w:sz w:val="24"/>
          <w:szCs w:val="24"/>
        </w:rPr>
        <w:t xml:space="preserve"> Protocol Relating to the Madrid Agreement Concerning the International Registration of Marks</w:t>
      </w:r>
      <w:r>
        <w:rPr>
          <w:rFonts w:ascii="Times New Roman" w:hAnsi="Times New Roman"/>
          <w:sz w:val="24"/>
          <w:szCs w:val="24"/>
        </w:rPr>
        <w:t>. In 2015, the Marrakesh Treaty to Facilitate Access to Public Works for Persons Who are Blind, Visually Impaired, or Otherwise Print Disabled was ratified.</w:t>
      </w:r>
    </w:p>
    <w:p w14:paraId="665E4FBF" w14:textId="77777777" w:rsidR="00C337E7" w:rsidRDefault="00C337E7" w:rsidP="007335F4">
      <w:pPr>
        <w:spacing w:after="0" w:line="240" w:lineRule="auto"/>
        <w:jc w:val="both"/>
        <w:rPr>
          <w:rFonts w:ascii="Times New Roman" w:hAnsi="Times New Roman"/>
          <w:sz w:val="24"/>
          <w:szCs w:val="24"/>
        </w:rPr>
      </w:pPr>
    </w:p>
    <w:p w14:paraId="5F4FF6C5" w14:textId="2C688BCD" w:rsidR="00B57FCE" w:rsidRDefault="00B57FCE" w:rsidP="007335F4">
      <w:pPr>
        <w:spacing w:after="0" w:line="240" w:lineRule="auto"/>
        <w:jc w:val="both"/>
        <w:rPr>
          <w:rFonts w:ascii="Times New Roman" w:hAnsi="Times New Roman"/>
          <w:sz w:val="24"/>
          <w:szCs w:val="24"/>
        </w:rPr>
      </w:pPr>
      <w:r w:rsidRPr="00B57FCE">
        <w:rPr>
          <w:rFonts w:ascii="Times New Roman" w:hAnsi="Times New Roman"/>
          <w:b/>
          <w:color w:val="0070C0"/>
          <w:sz w:val="24"/>
          <w:szCs w:val="24"/>
        </w:rPr>
        <w:t>Competition Policy</w:t>
      </w:r>
    </w:p>
    <w:p w14:paraId="19BAC01B" w14:textId="567E8E8B" w:rsidR="00B57FCE" w:rsidRPr="00B57FCE" w:rsidRDefault="00DE2093" w:rsidP="007335F4">
      <w:pPr>
        <w:spacing w:after="0" w:line="240" w:lineRule="auto"/>
        <w:jc w:val="both"/>
        <w:rPr>
          <w:rFonts w:ascii="Times New Roman" w:hAnsi="Times New Roman"/>
          <w:sz w:val="24"/>
          <w:szCs w:val="24"/>
        </w:rPr>
      </w:pPr>
      <w:r>
        <w:rPr>
          <w:rFonts w:ascii="Times New Roman" w:hAnsi="Times New Roman"/>
          <w:sz w:val="24"/>
          <w:szCs w:val="24"/>
        </w:rPr>
        <w:t xml:space="preserve">The Federal Law on Economic Competition was issued in </w:t>
      </w:r>
      <w:r w:rsidR="0019656C">
        <w:rPr>
          <w:rFonts w:ascii="Times New Roman" w:hAnsi="Times New Roman"/>
          <w:sz w:val="24"/>
          <w:szCs w:val="24"/>
        </w:rPr>
        <w:t>May</w:t>
      </w:r>
      <w:r>
        <w:rPr>
          <w:rFonts w:ascii="Times New Roman" w:hAnsi="Times New Roman"/>
          <w:sz w:val="24"/>
          <w:szCs w:val="24"/>
        </w:rPr>
        <w:t xml:space="preserve"> 2014. It grants the Federal Commission on Economic Competition and the Federal Telecommunications </w:t>
      </w:r>
      <w:r w:rsidR="0019656C">
        <w:rPr>
          <w:rFonts w:ascii="Times New Roman" w:hAnsi="Times New Roman"/>
          <w:sz w:val="24"/>
          <w:szCs w:val="24"/>
        </w:rPr>
        <w:t xml:space="preserve">Institute (IFT) </w:t>
      </w:r>
      <w:r>
        <w:rPr>
          <w:rFonts w:ascii="Times New Roman" w:hAnsi="Times New Roman"/>
          <w:sz w:val="24"/>
          <w:szCs w:val="24"/>
        </w:rPr>
        <w:t xml:space="preserve">the authority to defend and guarantee free market participation and competition in Mexico. </w:t>
      </w:r>
      <w:r w:rsidR="0019656C" w:rsidRPr="0019656C">
        <w:rPr>
          <w:rFonts w:ascii="Times New Roman" w:hAnsi="Times New Roman"/>
          <w:sz w:val="24"/>
          <w:szCs w:val="24"/>
        </w:rPr>
        <w:t>Additionally, Specialized Courts for Economic Competition, Broadcasting and Telecommunications were established on the same year. In 2015, the IFT issued the Regulatory Provisions of the Federal Economic Competition Law for the Telecommunications and Broadcasting Sectors that include detailed rules for the notification and analysis of mergers and acquisitions, implementation of trial-form proceedings, and merger qualification, among other processes. Also, the IFT has implemented competition assessments in various regulatory proceedings including public auctions; grant, renewal and transfer of licenses, authorization of spectrum lease or exchange and multiprogramming; and substantial market power investigations for the determination of preponderant economic agents in the telecommunications and broadcasting sectors.</w:t>
      </w:r>
    </w:p>
    <w:p w14:paraId="256716EB" w14:textId="77777777" w:rsidR="00B57FCE" w:rsidRDefault="00B57FCE" w:rsidP="007335F4">
      <w:pPr>
        <w:spacing w:after="0" w:line="240" w:lineRule="auto"/>
        <w:jc w:val="both"/>
        <w:rPr>
          <w:rFonts w:ascii="Times New Roman" w:hAnsi="Times New Roman"/>
          <w:sz w:val="24"/>
          <w:szCs w:val="24"/>
        </w:rPr>
      </w:pPr>
    </w:p>
    <w:p w14:paraId="67B079D0" w14:textId="7794CFA3" w:rsidR="00132A43" w:rsidRDefault="00B64BE3" w:rsidP="007335F4">
      <w:pPr>
        <w:spacing w:after="0" w:line="240" w:lineRule="auto"/>
        <w:jc w:val="both"/>
        <w:rPr>
          <w:rFonts w:ascii="Times New Roman" w:hAnsi="Times New Roman"/>
          <w:b/>
          <w:color w:val="0070C0"/>
          <w:sz w:val="24"/>
          <w:szCs w:val="24"/>
        </w:rPr>
      </w:pPr>
      <w:r>
        <w:rPr>
          <w:rFonts w:ascii="Times New Roman" w:hAnsi="Times New Roman"/>
          <w:b/>
          <w:color w:val="0070C0"/>
          <w:sz w:val="24"/>
          <w:szCs w:val="24"/>
        </w:rPr>
        <w:t>Deregulation/Regulatory Review</w:t>
      </w:r>
    </w:p>
    <w:p w14:paraId="162A809D" w14:textId="757FD425" w:rsidR="00B64BE3" w:rsidRPr="00B64BE3" w:rsidRDefault="00B64BE3" w:rsidP="007335F4">
      <w:pPr>
        <w:spacing w:after="0" w:line="240" w:lineRule="auto"/>
        <w:jc w:val="both"/>
        <w:rPr>
          <w:rFonts w:ascii="Times New Roman" w:hAnsi="Times New Roman"/>
          <w:sz w:val="24"/>
          <w:szCs w:val="24"/>
          <w:u w:val="single"/>
        </w:rPr>
      </w:pPr>
      <w:r>
        <w:rPr>
          <w:rFonts w:ascii="Times New Roman" w:hAnsi="Times New Roman"/>
          <w:sz w:val="24"/>
          <w:szCs w:val="24"/>
        </w:rPr>
        <w:t xml:space="preserve">The Federal Commission of Regulatory Improvement (COFEMER) has been implementing measures in order to improve Mexico’s regulatory management system. </w:t>
      </w:r>
      <w:r w:rsidR="00FE216C">
        <w:rPr>
          <w:rFonts w:ascii="Times New Roman" w:hAnsi="Times New Roman"/>
          <w:sz w:val="24"/>
          <w:szCs w:val="24"/>
        </w:rPr>
        <w:t xml:space="preserve">Efforts </w:t>
      </w:r>
      <w:r>
        <w:rPr>
          <w:rFonts w:ascii="Times New Roman" w:hAnsi="Times New Roman"/>
          <w:sz w:val="24"/>
          <w:szCs w:val="24"/>
        </w:rPr>
        <w:t xml:space="preserve">have been implemented to </w:t>
      </w:r>
      <w:r w:rsidR="00D216B1">
        <w:rPr>
          <w:rFonts w:ascii="Times New Roman" w:hAnsi="Times New Roman"/>
          <w:sz w:val="24"/>
          <w:szCs w:val="24"/>
        </w:rPr>
        <w:t>improve Regulatory Impact Assessments (RIA) and the Federal Registry of Formalities and Services. In 2015, COFEMER signed an agreement with the Ministry of Home Affairs in order to include a perspective on human rights in RIA assessments.</w:t>
      </w:r>
    </w:p>
    <w:p w14:paraId="3283CC77" w14:textId="77777777" w:rsidR="006C0134" w:rsidRDefault="006C0134" w:rsidP="007335F4">
      <w:pPr>
        <w:spacing w:after="0" w:line="240" w:lineRule="auto"/>
        <w:jc w:val="both"/>
        <w:rPr>
          <w:rFonts w:ascii="Times New Roman" w:hAnsi="Times New Roman"/>
          <w:sz w:val="24"/>
          <w:szCs w:val="24"/>
        </w:rPr>
      </w:pPr>
    </w:p>
    <w:p w14:paraId="38F5F9FD" w14:textId="43FA97E3" w:rsidR="00D216B1" w:rsidRDefault="00D216B1" w:rsidP="007335F4">
      <w:pPr>
        <w:spacing w:after="0" w:line="240" w:lineRule="auto"/>
        <w:jc w:val="both"/>
        <w:rPr>
          <w:rFonts w:ascii="Times New Roman" w:hAnsi="Times New Roman"/>
          <w:sz w:val="24"/>
          <w:szCs w:val="24"/>
        </w:rPr>
      </w:pPr>
      <w:r>
        <w:rPr>
          <w:rFonts w:ascii="Times New Roman" w:hAnsi="Times New Roman"/>
          <w:sz w:val="24"/>
          <w:szCs w:val="24"/>
        </w:rPr>
        <w:t xml:space="preserve">Currently, Mexico is working </w:t>
      </w:r>
      <w:r w:rsidR="00FE216C">
        <w:rPr>
          <w:rFonts w:ascii="Times New Roman" w:hAnsi="Times New Roman"/>
          <w:sz w:val="24"/>
          <w:szCs w:val="24"/>
        </w:rPr>
        <w:t xml:space="preserve">on </w:t>
      </w:r>
      <w:r>
        <w:rPr>
          <w:rFonts w:ascii="Times New Roman" w:hAnsi="Times New Roman"/>
          <w:sz w:val="24"/>
          <w:szCs w:val="24"/>
        </w:rPr>
        <w:t>the development of a National Single Window, intended to be a single online platform with information of formalities and services at all government levels, allowing citizens to complete requirements online.</w:t>
      </w:r>
    </w:p>
    <w:p w14:paraId="4F842139" w14:textId="77777777" w:rsidR="00D216B1" w:rsidRDefault="00D216B1" w:rsidP="007335F4">
      <w:pPr>
        <w:spacing w:after="0" w:line="240" w:lineRule="auto"/>
        <w:jc w:val="both"/>
        <w:rPr>
          <w:rFonts w:ascii="Times New Roman" w:hAnsi="Times New Roman"/>
          <w:sz w:val="24"/>
          <w:szCs w:val="24"/>
        </w:rPr>
      </w:pPr>
    </w:p>
    <w:p w14:paraId="5CEBB6A8" w14:textId="77777777" w:rsidR="00132A43" w:rsidRDefault="00A65F8E" w:rsidP="007335F4">
      <w:pPr>
        <w:spacing w:after="0" w:line="240" w:lineRule="auto"/>
        <w:jc w:val="both"/>
        <w:rPr>
          <w:rFonts w:ascii="Times New Roman" w:hAnsi="Times New Roman"/>
          <w:b/>
          <w:color w:val="0070C0"/>
          <w:sz w:val="24"/>
          <w:szCs w:val="24"/>
        </w:rPr>
      </w:pPr>
      <w:r w:rsidRPr="00E47451">
        <w:rPr>
          <w:rFonts w:ascii="Times New Roman" w:hAnsi="Times New Roman"/>
          <w:b/>
          <w:color w:val="0070C0"/>
          <w:sz w:val="24"/>
          <w:szCs w:val="24"/>
        </w:rPr>
        <w:t>RTA/FTAs</w:t>
      </w:r>
    </w:p>
    <w:p w14:paraId="4CB3FF61" w14:textId="252A0C6D" w:rsidR="00AD04D2" w:rsidRDefault="00AD04D2" w:rsidP="007335F4">
      <w:pPr>
        <w:spacing w:after="0" w:line="240" w:lineRule="auto"/>
        <w:jc w:val="both"/>
        <w:rPr>
          <w:rFonts w:ascii="Times New Roman" w:hAnsi="Times New Roman"/>
          <w:sz w:val="24"/>
          <w:szCs w:val="24"/>
        </w:rPr>
      </w:pPr>
      <w:r>
        <w:rPr>
          <w:rFonts w:ascii="Times New Roman" w:hAnsi="Times New Roman"/>
          <w:sz w:val="24"/>
          <w:szCs w:val="24"/>
        </w:rPr>
        <w:t>By the end of 2015, Mexico had 11 RTA/FTAs in place with 46 economies all over the world and 9 Partial Scope Agreements within the framework of the Latin American Integration Association (ALADI)</w:t>
      </w:r>
      <w:r>
        <w:rPr>
          <w:rStyle w:val="FootnoteReference"/>
          <w:rFonts w:ascii="Times New Roman" w:hAnsi="Times New Roman"/>
          <w:sz w:val="24"/>
          <w:szCs w:val="24"/>
        </w:rPr>
        <w:footnoteReference w:id="2"/>
      </w:r>
      <w:r>
        <w:rPr>
          <w:rFonts w:ascii="Times New Roman" w:hAnsi="Times New Roman"/>
          <w:sz w:val="24"/>
          <w:szCs w:val="24"/>
        </w:rPr>
        <w:t>.</w:t>
      </w:r>
      <w:r w:rsidR="0019656C" w:rsidRPr="0019656C">
        <w:t xml:space="preserve"> </w:t>
      </w:r>
      <w:r w:rsidR="0019656C" w:rsidRPr="0019656C">
        <w:rPr>
          <w:rFonts w:ascii="Times New Roman" w:hAnsi="Times New Roman"/>
          <w:sz w:val="24"/>
          <w:szCs w:val="24"/>
        </w:rPr>
        <w:t>The negotiations of the Trans-Pacific Partnership (TPP) concluded in 2015</w:t>
      </w:r>
      <w:r w:rsidR="0019656C">
        <w:rPr>
          <w:rFonts w:ascii="Times New Roman" w:hAnsi="Times New Roman"/>
          <w:sz w:val="24"/>
          <w:szCs w:val="24"/>
        </w:rPr>
        <w:t>. The TPP</w:t>
      </w:r>
      <w:r w:rsidR="0019656C" w:rsidRPr="0019656C">
        <w:rPr>
          <w:rFonts w:ascii="Times New Roman" w:hAnsi="Times New Roman"/>
          <w:sz w:val="24"/>
          <w:szCs w:val="24"/>
        </w:rPr>
        <w:t xml:space="preserve"> was signed in February 2016.</w:t>
      </w:r>
    </w:p>
    <w:p w14:paraId="00276DDD" w14:textId="60902713" w:rsidR="00AD04D2" w:rsidRDefault="00AD04D2" w:rsidP="007335F4">
      <w:pPr>
        <w:spacing w:after="0" w:line="240" w:lineRule="auto"/>
        <w:jc w:val="both"/>
        <w:rPr>
          <w:rFonts w:ascii="Times New Roman" w:hAnsi="Times New Roman"/>
          <w:sz w:val="24"/>
          <w:szCs w:val="24"/>
        </w:rPr>
      </w:pPr>
      <w:r>
        <w:rPr>
          <w:rFonts w:ascii="Times New Roman" w:hAnsi="Times New Roman"/>
          <w:sz w:val="24"/>
          <w:szCs w:val="24"/>
        </w:rPr>
        <w:t xml:space="preserve">       </w:t>
      </w:r>
    </w:p>
    <w:sectPr w:rsidR="00AD04D2"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6792" w14:textId="77777777" w:rsidR="00633289" w:rsidRDefault="00633289" w:rsidP="008A723D">
      <w:pPr>
        <w:spacing w:after="0" w:line="240" w:lineRule="auto"/>
      </w:pPr>
      <w:r>
        <w:separator/>
      </w:r>
    </w:p>
  </w:endnote>
  <w:endnote w:type="continuationSeparator" w:id="0">
    <w:p w14:paraId="175F6737" w14:textId="77777777" w:rsidR="00633289" w:rsidRDefault="00633289" w:rsidP="008A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EF62" w14:textId="77777777" w:rsidR="00633289" w:rsidRDefault="00633289" w:rsidP="008A723D">
      <w:pPr>
        <w:spacing w:after="0" w:line="240" w:lineRule="auto"/>
      </w:pPr>
      <w:r>
        <w:separator/>
      </w:r>
    </w:p>
  </w:footnote>
  <w:footnote w:type="continuationSeparator" w:id="0">
    <w:p w14:paraId="356967FF" w14:textId="77777777" w:rsidR="00633289" w:rsidRDefault="00633289" w:rsidP="008A723D">
      <w:pPr>
        <w:spacing w:after="0" w:line="240" w:lineRule="auto"/>
      </w:pPr>
      <w:r>
        <w:continuationSeparator/>
      </w:r>
    </w:p>
  </w:footnote>
  <w:footnote w:id="1">
    <w:p w14:paraId="3E7C9CFC" w14:textId="2F0306DD" w:rsidR="006315C1" w:rsidRPr="000C2EEF" w:rsidRDefault="006315C1" w:rsidP="006315C1">
      <w:pPr>
        <w:pStyle w:val="NormalWeb"/>
        <w:shd w:val="clear" w:color="auto" w:fill="FFFFFF"/>
        <w:spacing w:before="0" w:beforeAutospacing="0" w:after="0" w:afterAutospacing="0"/>
        <w:jc w:val="both"/>
        <w:rPr>
          <w:rFonts w:ascii="Arial" w:hAnsi="Arial" w:cs="Arial"/>
          <w:sz w:val="18"/>
          <w:szCs w:val="18"/>
        </w:rPr>
      </w:pPr>
      <w:r w:rsidRPr="008A723D">
        <w:rPr>
          <w:rStyle w:val="FootnoteReference"/>
        </w:rPr>
        <w:sym w:font="Symbol" w:char="F02A"/>
      </w:r>
      <w:r w:rsidRPr="008A723D">
        <w:t xml:space="preserve"> </w:t>
      </w:r>
      <w:r w:rsidRPr="008A723D">
        <w:rPr>
          <w:sz w:val="20"/>
          <w:szCs w:val="20"/>
        </w:rPr>
        <w:t>This brief report was prepared with information from Mexico’s submission of 201</w:t>
      </w:r>
      <w:r w:rsidR="00880879">
        <w:rPr>
          <w:sz w:val="20"/>
          <w:szCs w:val="20"/>
        </w:rPr>
        <w:t>6</w:t>
      </w:r>
      <w:r w:rsidRPr="008A723D">
        <w:rPr>
          <w:sz w:val="20"/>
          <w:szCs w:val="20"/>
        </w:rPr>
        <w:t xml:space="preserve"> APEC Individual Action Plan (IAP) template</w:t>
      </w:r>
      <w:r w:rsidR="000C2EEF">
        <w:rPr>
          <w:sz w:val="20"/>
          <w:szCs w:val="20"/>
        </w:rPr>
        <w:t xml:space="preserve">; the </w:t>
      </w:r>
      <w:r w:rsidR="000C2EEF" w:rsidRPr="000C2EEF">
        <w:rPr>
          <w:sz w:val="20"/>
          <w:szCs w:val="20"/>
        </w:rPr>
        <w:t>201</w:t>
      </w:r>
      <w:r w:rsidR="00880879">
        <w:rPr>
          <w:sz w:val="20"/>
          <w:szCs w:val="20"/>
        </w:rPr>
        <w:t>5 WTO World Tariff Profiles</w:t>
      </w:r>
      <w:r w:rsidR="000C2EEF">
        <w:rPr>
          <w:sz w:val="20"/>
          <w:szCs w:val="20"/>
        </w:rPr>
        <w:t>; the WTO SPS and TBT Informatio</w:t>
      </w:r>
      <w:r w:rsidR="00880879">
        <w:rPr>
          <w:sz w:val="20"/>
          <w:szCs w:val="20"/>
        </w:rPr>
        <w:t xml:space="preserve">n Systems; the OECD Competition and Market Studies in Latin America 2015; and information from the </w:t>
      </w:r>
      <w:proofErr w:type="spellStart"/>
      <w:r w:rsidR="00880879">
        <w:rPr>
          <w:sz w:val="20"/>
          <w:szCs w:val="20"/>
        </w:rPr>
        <w:t>Secretaría</w:t>
      </w:r>
      <w:proofErr w:type="spellEnd"/>
      <w:r w:rsidR="00880879">
        <w:rPr>
          <w:sz w:val="20"/>
          <w:szCs w:val="20"/>
        </w:rPr>
        <w:t xml:space="preserve"> de </w:t>
      </w:r>
      <w:proofErr w:type="spellStart"/>
      <w:r w:rsidR="00880879">
        <w:rPr>
          <w:sz w:val="20"/>
          <w:szCs w:val="20"/>
        </w:rPr>
        <w:t>Economía</w:t>
      </w:r>
      <w:proofErr w:type="spellEnd"/>
      <w:r w:rsidR="00880879">
        <w:rPr>
          <w:sz w:val="20"/>
          <w:szCs w:val="20"/>
        </w:rPr>
        <w:t xml:space="preserve">; </w:t>
      </w:r>
      <w:proofErr w:type="spellStart"/>
      <w:r w:rsidR="00880879">
        <w:rPr>
          <w:sz w:val="20"/>
          <w:szCs w:val="20"/>
        </w:rPr>
        <w:t>Servicio</w:t>
      </w:r>
      <w:proofErr w:type="spellEnd"/>
      <w:r w:rsidR="00880879">
        <w:rPr>
          <w:sz w:val="20"/>
          <w:szCs w:val="20"/>
        </w:rPr>
        <w:t xml:space="preserve"> de </w:t>
      </w:r>
      <w:proofErr w:type="spellStart"/>
      <w:r w:rsidR="00880879">
        <w:rPr>
          <w:sz w:val="20"/>
          <w:szCs w:val="20"/>
        </w:rPr>
        <w:t>Administración</w:t>
      </w:r>
      <w:proofErr w:type="spellEnd"/>
      <w:r w:rsidR="00880879">
        <w:rPr>
          <w:sz w:val="20"/>
          <w:szCs w:val="20"/>
        </w:rPr>
        <w:t xml:space="preserve"> </w:t>
      </w:r>
      <w:proofErr w:type="spellStart"/>
      <w:r w:rsidR="00880879">
        <w:rPr>
          <w:sz w:val="20"/>
          <w:szCs w:val="20"/>
        </w:rPr>
        <w:t>Tributaria</w:t>
      </w:r>
      <w:proofErr w:type="spellEnd"/>
      <w:r w:rsidR="00880879">
        <w:rPr>
          <w:sz w:val="20"/>
          <w:szCs w:val="20"/>
        </w:rPr>
        <w:t xml:space="preserve">; and </w:t>
      </w:r>
      <w:proofErr w:type="spellStart"/>
      <w:r w:rsidR="00880879">
        <w:rPr>
          <w:sz w:val="20"/>
          <w:szCs w:val="20"/>
        </w:rPr>
        <w:t>Diario</w:t>
      </w:r>
      <w:proofErr w:type="spellEnd"/>
      <w:r w:rsidR="00880879">
        <w:rPr>
          <w:sz w:val="20"/>
          <w:szCs w:val="20"/>
        </w:rPr>
        <w:t xml:space="preserve"> </w:t>
      </w:r>
      <w:proofErr w:type="spellStart"/>
      <w:r w:rsidR="00880879">
        <w:rPr>
          <w:sz w:val="20"/>
          <w:szCs w:val="20"/>
        </w:rPr>
        <w:t>Oficial</w:t>
      </w:r>
      <w:proofErr w:type="spellEnd"/>
      <w:r w:rsidR="00880879">
        <w:rPr>
          <w:sz w:val="20"/>
          <w:szCs w:val="20"/>
        </w:rPr>
        <w:t xml:space="preserve"> de la </w:t>
      </w:r>
      <w:proofErr w:type="spellStart"/>
      <w:r w:rsidR="00880879">
        <w:rPr>
          <w:sz w:val="20"/>
          <w:szCs w:val="20"/>
        </w:rPr>
        <w:t>Federación</w:t>
      </w:r>
      <w:proofErr w:type="spellEnd"/>
      <w:r w:rsidR="000C2EEF">
        <w:rPr>
          <w:sz w:val="20"/>
          <w:szCs w:val="20"/>
        </w:rPr>
        <w:t xml:space="preserve"> website</w:t>
      </w:r>
      <w:r w:rsidR="00880879">
        <w:rPr>
          <w:sz w:val="20"/>
          <w:szCs w:val="20"/>
        </w:rPr>
        <w:t>s</w:t>
      </w:r>
      <w:r w:rsidR="000C2EEF">
        <w:rPr>
          <w:sz w:val="20"/>
          <w:szCs w:val="20"/>
        </w:rPr>
        <w:t>.</w:t>
      </w:r>
    </w:p>
    <w:p w14:paraId="4D9F4C3C" w14:textId="77777777" w:rsidR="006315C1" w:rsidRPr="008A723D" w:rsidRDefault="006315C1" w:rsidP="006315C1">
      <w:pPr>
        <w:pStyle w:val="FootnoteText"/>
      </w:pPr>
    </w:p>
    <w:p w14:paraId="733C67B8" w14:textId="77777777" w:rsidR="006315C1" w:rsidRPr="008A723D" w:rsidRDefault="006315C1" w:rsidP="006315C1">
      <w:pPr>
        <w:pStyle w:val="FootnoteText"/>
        <w:rPr>
          <w:rFonts w:ascii="Times New Roman" w:hAnsi="Times New Roman"/>
        </w:rPr>
      </w:pPr>
    </w:p>
  </w:footnote>
  <w:footnote w:id="2">
    <w:p w14:paraId="47B5BF8E" w14:textId="1A0C5639" w:rsidR="00AD04D2" w:rsidRPr="00826542" w:rsidRDefault="00AD04D2" w:rsidP="00826542">
      <w:pPr>
        <w:pStyle w:val="FootnoteText"/>
        <w:jc w:val="both"/>
        <w:rPr>
          <w:rFonts w:ascii="Times New Roman" w:hAnsi="Times New Roman"/>
          <w:lang w:val="es-PE"/>
        </w:rPr>
      </w:pPr>
      <w:r w:rsidRPr="00826542">
        <w:rPr>
          <w:rStyle w:val="FootnoteReference"/>
          <w:rFonts w:ascii="Times New Roman" w:hAnsi="Times New Roman"/>
        </w:rPr>
        <w:footnoteRef/>
      </w:r>
      <w:r w:rsidRPr="00826542">
        <w:rPr>
          <w:rFonts w:ascii="Times New Roman" w:hAnsi="Times New Roman"/>
          <w:lang w:val="es-PE"/>
        </w:rPr>
        <w:t xml:space="preserve"> </w:t>
      </w:r>
      <w:proofErr w:type="spellStart"/>
      <w:r w:rsidRPr="00826542">
        <w:rPr>
          <w:rFonts w:ascii="Times New Roman" w:hAnsi="Times New Roman"/>
          <w:lang w:val="es-PE"/>
        </w:rPr>
        <w:t>Mexico’s</w:t>
      </w:r>
      <w:proofErr w:type="spellEnd"/>
      <w:r w:rsidRPr="00826542">
        <w:rPr>
          <w:rFonts w:ascii="Times New Roman" w:hAnsi="Times New Roman"/>
          <w:lang w:val="es-PE"/>
        </w:rPr>
        <w:t xml:space="preserve"> RTA/</w:t>
      </w:r>
      <w:proofErr w:type="spellStart"/>
      <w:r w:rsidRPr="00826542">
        <w:rPr>
          <w:rFonts w:ascii="Times New Roman" w:hAnsi="Times New Roman"/>
          <w:lang w:val="es-PE"/>
        </w:rPr>
        <w:t>FTAs</w:t>
      </w:r>
      <w:proofErr w:type="spellEnd"/>
      <w:r w:rsidRPr="00826542">
        <w:rPr>
          <w:rFonts w:ascii="Times New Roman" w:hAnsi="Times New Roman"/>
          <w:lang w:val="es-PE"/>
        </w:rPr>
        <w:t xml:space="preserve"> </w:t>
      </w:r>
      <w:r w:rsidR="00826542" w:rsidRPr="00826542">
        <w:rPr>
          <w:rFonts w:ascii="Times New Roman" w:hAnsi="Times New Roman"/>
          <w:lang w:val="es-PE"/>
        </w:rPr>
        <w:t xml:space="preserve">and </w:t>
      </w:r>
      <w:proofErr w:type="spellStart"/>
      <w:r w:rsidR="00826542" w:rsidRPr="00826542">
        <w:rPr>
          <w:rFonts w:ascii="Times New Roman" w:hAnsi="Times New Roman"/>
          <w:lang w:val="es-PE"/>
        </w:rPr>
        <w:t>Partial</w:t>
      </w:r>
      <w:proofErr w:type="spellEnd"/>
      <w:r w:rsidR="00826542" w:rsidRPr="00826542">
        <w:rPr>
          <w:rFonts w:ascii="Times New Roman" w:hAnsi="Times New Roman"/>
          <w:lang w:val="es-PE"/>
        </w:rPr>
        <w:t xml:space="preserve"> </w:t>
      </w:r>
      <w:proofErr w:type="spellStart"/>
      <w:r w:rsidR="00826542" w:rsidRPr="00826542">
        <w:rPr>
          <w:rFonts w:ascii="Times New Roman" w:hAnsi="Times New Roman"/>
          <w:lang w:val="es-PE"/>
        </w:rPr>
        <w:t>Scope</w:t>
      </w:r>
      <w:proofErr w:type="spellEnd"/>
      <w:r w:rsidR="00826542" w:rsidRPr="00826542">
        <w:rPr>
          <w:rFonts w:ascii="Times New Roman" w:hAnsi="Times New Roman"/>
          <w:lang w:val="es-PE"/>
        </w:rPr>
        <w:t xml:space="preserve"> </w:t>
      </w:r>
      <w:proofErr w:type="spellStart"/>
      <w:r w:rsidR="00826542" w:rsidRPr="00826542">
        <w:rPr>
          <w:rFonts w:ascii="Times New Roman" w:hAnsi="Times New Roman"/>
          <w:lang w:val="es-PE"/>
        </w:rPr>
        <w:t>Agreements</w:t>
      </w:r>
      <w:proofErr w:type="spellEnd"/>
      <w:r w:rsidR="00826542" w:rsidRPr="00826542">
        <w:rPr>
          <w:rFonts w:ascii="Times New Roman" w:hAnsi="Times New Roman"/>
          <w:lang w:val="es-PE"/>
        </w:rPr>
        <w:t xml:space="preserve"> are </w:t>
      </w:r>
      <w:proofErr w:type="spellStart"/>
      <w:r w:rsidR="00826542" w:rsidRPr="00826542">
        <w:rPr>
          <w:rFonts w:ascii="Times New Roman" w:hAnsi="Times New Roman"/>
          <w:lang w:val="es-PE"/>
        </w:rPr>
        <w:t>the</w:t>
      </w:r>
      <w:proofErr w:type="spellEnd"/>
      <w:r w:rsidR="00826542" w:rsidRPr="00826542">
        <w:rPr>
          <w:rFonts w:ascii="Times New Roman" w:hAnsi="Times New Roman"/>
          <w:lang w:val="es-PE"/>
        </w:rPr>
        <w:t xml:space="preserve"> </w:t>
      </w:r>
      <w:proofErr w:type="spellStart"/>
      <w:r w:rsidR="00826542" w:rsidRPr="00826542">
        <w:rPr>
          <w:rFonts w:ascii="Times New Roman" w:hAnsi="Times New Roman"/>
          <w:lang w:val="es-PE"/>
        </w:rPr>
        <w:t>following</w:t>
      </w:r>
      <w:proofErr w:type="spellEnd"/>
      <w:r w:rsidR="00826542" w:rsidRPr="00826542">
        <w:rPr>
          <w:rFonts w:ascii="Times New Roman" w:hAnsi="Times New Roman"/>
          <w:lang w:val="es-PE"/>
        </w:rPr>
        <w:t xml:space="preserve">: </w:t>
      </w:r>
      <w:proofErr w:type="spellStart"/>
      <w:r w:rsidR="00826542">
        <w:rPr>
          <w:rFonts w:ascii="Times New Roman" w:hAnsi="Times New Roman"/>
          <w:lang w:val="es-PE"/>
        </w:rPr>
        <w:t>Mexico</w:t>
      </w:r>
      <w:proofErr w:type="spellEnd"/>
      <w:r w:rsidR="00826542">
        <w:rPr>
          <w:rFonts w:ascii="Times New Roman" w:hAnsi="Times New Roman"/>
          <w:lang w:val="es-PE"/>
        </w:rPr>
        <w:t xml:space="preserve">-Paraguay (1983), </w:t>
      </w:r>
      <w:proofErr w:type="spellStart"/>
      <w:r w:rsidR="00826542">
        <w:rPr>
          <w:rFonts w:ascii="Times New Roman" w:hAnsi="Times New Roman"/>
          <w:lang w:val="es-PE"/>
        </w:rPr>
        <w:t>Mexico</w:t>
      </w:r>
      <w:proofErr w:type="spellEnd"/>
      <w:r w:rsidR="00826542">
        <w:rPr>
          <w:rFonts w:ascii="Times New Roman" w:hAnsi="Times New Roman"/>
          <w:lang w:val="es-PE"/>
        </w:rPr>
        <w:t xml:space="preserve">-Ecuador (1987), </w:t>
      </w:r>
      <w:r w:rsidR="00826542" w:rsidRPr="00826542">
        <w:rPr>
          <w:rFonts w:ascii="Times New Roman" w:hAnsi="Times New Roman"/>
          <w:lang w:val="es-PE"/>
        </w:rPr>
        <w:t xml:space="preserve">NAFTA (1994),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–Colombia (1995),</w:t>
      </w:r>
      <w:r w:rsidR="00826542">
        <w:rPr>
          <w:rFonts w:ascii="Times New Roman" w:hAnsi="Times New Roman"/>
          <w:lang w:val="es-PE"/>
        </w:rPr>
        <w:t xml:space="preserve"> </w:t>
      </w:r>
      <w:proofErr w:type="spellStart"/>
      <w:r w:rsidR="00826542">
        <w:rPr>
          <w:rFonts w:ascii="Times New Roman" w:hAnsi="Times New Roman"/>
          <w:lang w:val="es-PE"/>
        </w:rPr>
        <w:t>Mexico</w:t>
      </w:r>
      <w:proofErr w:type="spellEnd"/>
      <w:r w:rsidR="00826542">
        <w:rPr>
          <w:rFonts w:ascii="Times New Roman" w:hAnsi="Times New Roman"/>
          <w:lang w:val="es-PE"/>
        </w:rPr>
        <w:t xml:space="preserve">-Costa Rica (1995), </w:t>
      </w:r>
      <w:proofErr w:type="spellStart"/>
      <w:r w:rsidR="00826542">
        <w:rPr>
          <w:rFonts w:ascii="Times New Roman" w:hAnsi="Times New Roman"/>
          <w:lang w:val="es-PE"/>
        </w:rPr>
        <w:t>Mexico</w:t>
      </w:r>
      <w:proofErr w:type="spellEnd"/>
      <w:r w:rsidR="00826542">
        <w:rPr>
          <w:rFonts w:ascii="Times New Roman" w:hAnsi="Times New Roman"/>
          <w:lang w:val="es-PE"/>
        </w:rPr>
        <w:t xml:space="preserve">-Bolivia (1995), </w:t>
      </w:r>
      <w:proofErr w:type="spellStart"/>
      <w:r w:rsidR="00826542">
        <w:rPr>
          <w:rFonts w:ascii="Times New Roman" w:hAnsi="Times New Roman"/>
          <w:lang w:val="es-PE"/>
        </w:rPr>
        <w:t>Mexico</w:t>
      </w:r>
      <w:proofErr w:type="spellEnd"/>
      <w:r w:rsidR="00826542">
        <w:rPr>
          <w:rFonts w:ascii="Times New Roman" w:hAnsi="Times New Roman"/>
          <w:lang w:val="es-PE"/>
        </w:rPr>
        <w:t xml:space="preserve">-Nicaragua (1998),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 xml:space="preserve">–Chile (1999),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 xml:space="preserve">–EU (2000),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 xml:space="preserve">–Israel (2000),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 xml:space="preserve">–EFTA (2001), </w:t>
      </w:r>
      <w:proofErr w:type="spellStart"/>
      <w:r w:rsidR="00826542">
        <w:rPr>
          <w:rFonts w:ascii="Times New Roman" w:hAnsi="Times New Roman"/>
          <w:lang w:val="es-PE"/>
        </w:rPr>
        <w:t>Mexico-Northern</w:t>
      </w:r>
      <w:proofErr w:type="spellEnd"/>
      <w:r w:rsidR="00826542">
        <w:rPr>
          <w:rFonts w:ascii="Times New Roman" w:hAnsi="Times New Roman"/>
          <w:lang w:val="es-PE"/>
        </w:rPr>
        <w:t xml:space="preserve"> </w:t>
      </w:r>
      <w:proofErr w:type="spellStart"/>
      <w:r w:rsidR="00826542">
        <w:rPr>
          <w:rFonts w:ascii="Times New Roman" w:hAnsi="Times New Roman"/>
          <w:lang w:val="es-PE"/>
        </w:rPr>
        <w:t>Triangle</w:t>
      </w:r>
      <w:proofErr w:type="spellEnd"/>
      <w:r w:rsidR="00826542">
        <w:rPr>
          <w:rFonts w:ascii="Times New Roman" w:hAnsi="Times New Roman"/>
          <w:lang w:val="es-PE"/>
        </w:rPr>
        <w:t xml:space="preserve"> (2001), </w:t>
      </w:r>
      <w:proofErr w:type="spellStart"/>
      <w:r w:rsidR="00826542">
        <w:rPr>
          <w:rFonts w:ascii="Times New Roman" w:hAnsi="Times New Roman"/>
          <w:lang w:val="es-PE"/>
        </w:rPr>
        <w:t>Mexico</w:t>
      </w:r>
      <w:proofErr w:type="spellEnd"/>
      <w:r w:rsidR="00826542">
        <w:rPr>
          <w:rFonts w:ascii="Times New Roman" w:hAnsi="Times New Roman"/>
          <w:lang w:val="es-PE"/>
        </w:rPr>
        <w:t xml:space="preserve">-Argentina (2001), </w:t>
      </w:r>
      <w:proofErr w:type="spellStart"/>
      <w:r w:rsidR="00826542">
        <w:rPr>
          <w:rFonts w:ascii="Times New Roman" w:hAnsi="Times New Roman"/>
          <w:lang w:val="es-PE"/>
        </w:rPr>
        <w:t>Mexico</w:t>
      </w:r>
      <w:proofErr w:type="spellEnd"/>
      <w:r w:rsidR="00826542">
        <w:rPr>
          <w:rFonts w:ascii="Times New Roman" w:hAnsi="Times New Roman"/>
          <w:lang w:val="es-PE"/>
        </w:rPr>
        <w:t xml:space="preserve">-Cuba (2002), </w:t>
      </w:r>
      <w:proofErr w:type="spellStart"/>
      <w:r w:rsidR="00826542">
        <w:rPr>
          <w:rFonts w:ascii="Times New Roman" w:hAnsi="Times New Roman"/>
          <w:lang w:val="es-PE"/>
        </w:rPr>
        <w:t>Mexico-Brazil</w:t>
      </w:r>
      <w:proofErr w:type="spellEnd"/>
      <w:r w:rsidR="00826542">
        <w:rPr>
          <w:rFonts w:ascii="Times New Roman" w:hAnsi="Times New Roman"/>
          <w:lang w:val="es-PE"/>
        </w:rPr>
        <w:t xml:space="preserve"> (2003),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 xml:space="preserve">–Uruguay (2004),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w:t>
      </w:r>
      <w:proofErr w:type="spellStart"/>
      <w:r w:rsidR="00826542" w:rsidRPr="00826542">
        <w:rPr>
          <w:rFonts w:ascii="Times New Roman" w:hAnsi="Times New Roman"/>
          <w:lang w:val="es-PE"/>
        </w:rPr>
        <w:t>Japan</w:t>
      </w:r>
      <w:proofErr w:type="spellEnd"/>
      <w:r w:rsidR="00826542" w:rsidRPr="00826542">
        <w:rPr>
          <w:rFonts w:ascii="Times New Roman" w:hAnsi="Times New Roman"/>
          <w:lang w:val="es-PE"/>
        </w:rPr>
        <w:t xml:space="preserve"> (2005),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w:t>
      </w:r>
      <w:proofErr w:type="spellStart"/>
      <w:r w:rsidR="00826542" w:rsidRPr="00826542">
        <w:rPr>
          <w:rFonts w:ascii="Times New Roman" w:hAnsi="Times New Roman"/>
          <w:lang w:val="es-PE"/>
        </w:rPr>
        <w:t>Peru</w:t>
      </w:r>
      <w:proofErr w:type="spellEnd"/>
      <w:r w:rsidR="00826542" w:rsidRPr="00826542">
        <w:rPr>
          <w:rFonts w:ascii="Times New Roman" w:hAnsi="Times New Roman"/>
          <w:lang w:val="es-PE"/>
        </w:rPr>
        <w:t xml:space="preserve"> (2012),</w:t>
      </w:r>
      <w:r w:rsidR="00826542">
        <w:rPr>
          <w:rFonts w:ascii="Times New Roman" w:hAnsi="Times New Roman"/>
          <w:lang w:val="es-PE"/>
        </w:rPr>
        <w:t xml:space="preserve"> </w:t>
      </w:r>
      <w:r w:rsidR="00826542" w:rsidRPr="00826542">
        <w:rPr>
          <w:rFonts w:ascii="Times New Roman" w:hAnsi="Times New Roman"/>
          <w:lang w:val="es-PE"/>
        </w:rPr>
        <w:t xml:space="preserve"> </w:t>
      </w:r>
      <w:proofErr w:type="spellStart"/>
      <w:r w:rsidR="00826542" w:rsidRPr="00826542">
        <w:rPr>
          <w:rFonts w:ascii="Times New Roman" w:hAnsi="Times New Roman"/>
          <w:lang w:val="es-PE"/>
        </w:rPr>
        <w:t>Mexico</w:t>
      </w:r>
      <w:proofErr w:type="spellEnd"/>
      <w:r w:rsidR="00826542" w:rsidRPr="00826542">
        <w:rPr>
          <w:rFonts w:ascii="Times New Roman" w:hAnsi="Times New Roman"/>
          <w:lang w:val="es-PE"/>
        </w:rPr>
        <w:t xml:space="preserve">–Central </w:t>
      </w:r>
      <w:proofErr w:type="spellStart"/>
      <w:r w:rsidR="00826542" w:rsidRPr="00826542">
        <w:rPr>
          <w:rFonts w:ascii="Times New Roman" w:hAnsi="Times New Roman"/>
          <w:lang w:val="es-PE"/>
        </w:rPr>
        <w:t>America</w:t>
      </w:r>
      <w:proofErr w:type="spellEnd"/>
      <w:r w:rsidR="00826542" w:rsidRPr="00826542">
        <w:rPr>
          <w:rFonts w:ascii="Times New Roman" w:hAnsi="Times New Roman"/>
          <w:lang w:val="es-PE"/>
        </w:rPr>
        <w:t xml:space="preserve"> (2012)</w:t>
      </w:r>
      <w:r w:rsidR="00826542">
        <w:rPr>
          <w:rFonts w:ascii="Times New Roman" w:hAnsi="Times New Roman"/>
          <w:lang w:val="es-PE"/>
        </w:rPr>
        <w:t xml:space="preserve">, </w:t>
      </w:r>
      <w:proofErr w:type="spellStart"/>
      <w:r w:rsidR="00826542">
        <w:rPr>
          <w:rFonts w:ascii="Times New Roman" w:hAnsi="Times New Roman"/>
          <w:lang w:val="es-PE"/>
        </w:rPr>
        <w:t>Mexico-Panama</w:t>
      </w:r>
      <w:proofErr w:type="spellEnd"/>
      <w:r w:rsidR="00826542">
        <w:rPr>
          <w:rFonts w:ascii="Times New Roman" w:hAnsi="Times New Roman"/>
          <w:lang w:val="es-PE"/>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1FAA" w14:textId="77777777" w:rsidR="00385B14" w:rsidRPr="006B34A0" w:rsidRDefault="00385B14" w:rsidP="00385B14">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 </w:t>
    </w:r>
    <w:r>
      <w:rPr>
        <w:rFonts w:ascii="Times New Roman" w:hAnsi="Times New Roman"/>
        <w:i/>
      </w:rPr>
      <w:t>Mexico</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F43127">
      <w:rPr>
        <w:rFonts w:ascii="Times New Roman" w:hAnsi="Times New Roman"/>
        <w:i/>
        <w:noProof/>
      </w:rPr>
      <w:t>1</w:t>
    </w:r>
    <w:r w:rsidRPr="006B34A0">
      <w:rPr>
        <w:rFonts w:ascii="Times New Roman" w:hAnsi="Times New Roman"/>
        <w:i/>
      </w:rPr>
      <w:fldChar w:fldCharType="end"/>
    </w:r>
  </w:p>
  <w:p w14:paraId="5038AB0D" w14:textId="77777777" w:rsidR="00385B14" w:rsidRDefault="0038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219"/>
    <w:multiLevelType w:val="hybridMultilevel"/>
    <w:tmpl w:val="B91A98A2"/>
    <w:lvl w:ilvl="0" w:tplc="FF02A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E7F15"/>
    <w:multiLevelType w:val="hybridMultilevel"/>
    <w:tmpl w:val="15B4026C"/>
    <w:lvl w:ilvl="0" w:tplc="CB4CAD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12DE"/>
    <w:multiLevelType w:val="hybridMultilevel"/>
    <w:tmpl w:val="3B06A9C6"/>
    <w:lvl w:ilvl="0" w:tplc="06AAE628">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95F5D62"/>
    <w:multiLevelType w:val="hybridMultilevel"/>
    <w:tmpl w:val="EDEE600C"/>
    <w:lvl w:ilvl="0" w:tplc="3A72A2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68"/>
    <w:rsid w:val="0001290C"/>
    <w:rsid w:val="00015558"/>
    <w:rsid w:val="00026E7F"/>
    <w:rsid w:val="0002796D"/>
    <w:rsid w:val="000301DA"/>
    <w:rsid w:val="00053DCE"/>
    <w:rsid w:val="000608AB"/>
    <w:rsid w:val="00083189"/>
    <w:rsid w:val="000831B0"/>
    <w:rsid w:val="000956D7"/>
    <w:rsid w:val="000A5FF2"/>
    <w:rsid w:val="000A7CC3"/>
    <w:rsid w:val="000C1421"/>
    <w:rsid w:val="000C2EEF"/>
    <w:rsid w:val="000C794F"/>
    <w:rsid w:val="000E5464"/>
    <w:rsid w:val="0010167D"/>
    <w:rsid w:val="0010288E"/>
    <w:rsid w:val="001152D1"/>
    <w:rsid w:val="00122F04"/>
    <w:rsid w:val="001242E7"/>
    <w:rsid w:val="00130549"/>
    <w:rsid w:val="00130A01"/>
    <w:rsid w:val="00132A43"/>
    <w:rsid w:val="00144552"/>
    <w:rsid w:val="0014766B"/>
    <w:rsid w:val="00177212"/>
    <w:rsid w:val="00181ED7"/>
    <w:rsid w:val="00187D15"/>
    <w:rsid w:val="001908F6"/>
    <w:rsid w:val="0019656C"/>
    <w:rsid w:val="001A6D28"/>
    <w:rsid w:val="001B3B8D"/>
    <w:rsid w:val="001C3037"/>
    <w:rsid w:val="001D277D"/>
    <w:rsid w:val="001E62E6"/>
    <w:rsid w:val="001F63CE"/>
    <w:rsid w:val="00226808"/>
    <w:rsid w:val="00227EFD"/>
    <w:rsid w:val="002414AB"/>
    <w:rsid w:val="002558B2"/>
    <w:rsid w:val="00267903"/>
    <w:rsid w:val="002863D6"/>
    <w:rsid w:val="00295C50"/>
    <w:rsid w:val="002963D0"/>
    <w:rsid w:val="002B793C"/>
    <w:rsid w:val="002C2DA9"/>
    <w:rsid w:val="002C418F"/>
    <w:rsid w:val="002C502A"/>
    <w:rsid w:val="002D0D2F"/>
    <w:rsid w:val="002E05CC"/>
    <w:rsid w:val="0030428E"/>
    <w:rsid w:val="003063D8"/>
    <w:rsid w:val="003118D3"/>
    <w:rsid w:val="00334C3E"/>
    <w:rsid w:val="003403DF"/>
    <w:rsid w:val="00352F5F"/>
    <w:rsid w:val="00360E3C"/>
    <w:rsid w:val="00371D4C"/>
    <w:rsid w:val="00373C6F"/>
    <w:rsid w:val="00376962"/>
    <w:rsid w:val="00385B14"/>
    <w:rsid w:val="00386983"/>
    <w:rsid w:val="00390AAD"/>
    <w:rsid w:val="00391CB2"/>
    <w:rsid w:val="003A3AB6"/>
    <w:rsid w:val="003B5FE6"/>
    <w:rsid w:val="003C227E"/>
    <w:rsid w:val="003C5A64"/>
    <w:rsid w:val="003E0D46"/>
    <w:rsid w:val="003F1C8A"/>
    <w:rsid w:val="003F5A42"/>
    <w:rsid w:val="00437744"/>
    <w:rsid w:val="004508BE"/>
    <w:rsid w:val="00455F53"/>
    <w:rsid w:val="00456DCD"/>
    <w:rsid w:val="00460DC0"/>
    <w:rsid w:val="004966E6"/>
    <w:rsid w:val="004A5F6A"/>
    <w:rsid w:val="004B0AF5"/>
    <w:rsid w:val="004C2913"/>
    <w:rsid w:val="004D5DC7"/>
    <w:rsid w:val="004E444C"/>
    <w:rsid w:val="004E5D4D"/>
    <w:rsid w:val="004F160B"/>
    <w:rsid w:val="00500243"/>
    <w:rsid w:val="005034F4"/>
    <w:rsid w:val="005042B8"/>
    <w:rsid w:val="00510B3C"/>
    <w:rsid w:val="00521C8F"/>
    <w:rsid w:val="0052501D"/>
    <w:rsid w:val="00527A4B"/>
    <w:rsid w:val="0053223F"/>
    <w:rsid w:val="00533C91"/>
    <w:rsid w:val="0053511A"/>
    <w:rsid w:val="0053770B"/>
    <w:rsid w:val="005477A0"/>
    <w:rsid w:val="00551781"/>
    <w:rsid w:val="00551CBF"/>
    <w:rsid w:val="0055220E"/>
    <w:rsid w:val="005544DC"/>
    <w:rsid w:val="00574787"/>
    <w:rsid w:val="00581947"/>
    <w:rsid w:val="005C24A3"/>
    <w:rsid w:val="005C2A21"/>
    <w:rsid w:val="005D042C"/>
    <w:rsid w:val="005E6FD4"/>
    <w:rsid w:val="005F0BA5"/>
    <w:rsid w:val="0060078F"/>
    <w:rsid w:val="0060630F"/>
    <w:rsid w:val="00617F97"/>
    <w:rsid w:val="006222B5"/>
    <w:rsid w:val="006228E1"/>
    <w:rsid w:val="00631532"/>
    <w:rsid w:val="006315C1"/>
    <w:rsid w:val="00633289"/>
    <w:rsid w:val="00635FCA"/>
    <w:rsid w:val="0064587A"/>
    <w:rsid w:val="00650083"/>
    <w:rsid w:val="00657410"/>
    <w:rsid w:val="006609AF"/>
    <w:rsid w:val="00663FAC"/>
    <w:rsid w:val="006B097A"/>
    <w:rsid w:val="006B21D3"/>
    <w:rsid w:val="006C0134"/>
    <w:rsid w:val="006C48D5"/>
    <w:rsid w:val="00707381"/>
    <w:rsid w:val="007256C8"/>
    <w:rsid w:val="007278BE"/>
    <w:rsid w:val="00727D83"/>
    <w:rsid w:val="007335F4"/>
    <w:rsid w:val="00735E96"/>
    <w:rsid w:val="0074007D"/>
    <w:rsid w:val="0074334D"/>
    <w:rsid w:val="00762845"/>
    <w:rsid w:val="007866D3"/>
    <w:rsid w:val="00791386"/>
    <w:rsid w:val="007A05CD"/>
    <w:rsid w:val="007B1BE4"/>
    <w:rsid w:val="007B3407"/>
    <w:rsid w:val="007F22F5"/>
    <w:rsid w:val="008051C3"/>
    <w:rsid w:val="0081420D"/>
    <w:rsid w:val="00814F76"/>
    <w:rsid w:val="008176DB"/>
    <w:rsid w:val="0082304D"/>
    <w:rsid w:val="00823164"/>
    <w:rsid w:val="00826542"/>
    <w:rsid w:val="00831792"/>
    <w:rsid w:val="008561A8"/>
    <w:rsid w:val="00863325"/>
    <w:rsid w:val="00880879"/>
    <w:rsid w:val="00886B51"/>
    <w:rsid w:val="00891867"/>
    <w:rsid w:val="00891A51"/>
    <w:rsid w:val="0089298C"/>
    <w:rsid w:val="00894EF7"/>
    <w:rsid w:val="00894FAA"/>
    <w:rsid w:val="008A61A5"/>
    <w:rsid w:val="008A723D"/>
    <w:rsid w:val="008B1268"/>
    <w:rsid w:val="008C2DFC"/>
    <w:rsid w:val="008C4A66"/>
    <w:rsid w:val="008D1C13"/>
    <w:rsid w:val="008D5C2A"/>
    <w:rsid w:val="008F245B"/>
    <w:rsid w:val="008F50E3"/>
    <w:rsid w:val="008F6987"/>
    <w:rsid w:val="008F6EA0"/>
    <w:rsid w:val="00926614"/>
    <w:rsid w:val="0093061B"/>
    <w:rsid w:val="00933B26"/>
    <w:rsid w:val="00935F19"/>
    <w:rsid w:val="00936130"/>
    <w:rsid w:val="00936720"/>
    <w:rsid w:val="0094063E"/>
    <w:rsid w:val="00941D21"/>
    <w:rsid w:val="00951993"/>
    <w:rsid w:val="009543CC"/>
    <w:rsid w:val="00955CBB"/>
    <w:rsid w:val="009650F6"/>
    <w:rsid w:val="00973486"/>
    <w:rsid w:val="00985957"/>
    <w:rsid w:val="00997EEC"/>
    <w:rsid w:val="009A5699"/>
    <w:rsid w:val="009B3CC1"/>
    <w:rsid w:val="009D367E"/>
    <w:rsid w:val="00A01536"/>
    <w:rsid w:val="00A04F82"/>
    <w:rsid w:val="00A154B5"/>
    <w:rsid w:val="00A238E4"/>
    <w:rsid w:val="00A33E8E"/>
    <w:rsid w:val="00A4644E"/>
    <w:rsid w:val="00A46834"/>
    <w:rsid w:val="00A51975"/>
    <w:rsid w:val="00A55374"/>
    <w:rsid w:val="00A63555"/>
    <w:rsid w:val="00A65F8E"/>
    <w:rsid w:val="00A679C7"/>
    <w:rsid w:val="00A739E7"/>
    <w:rsid w:val="00A74DF8"/>
    <w:rsid w:val="00A778AE"/>
    <w:rsid w:val="00A8266F"/>
    <w:rsid w:val="00A965D0"/>
    <w:rsid w:val="00AA1BDB"/>
    <w:rsid w:val="00AA4D2A"/>
    <w:rsid w:val="00AB41E5"/>
    <w:rsid w:val="00AC6847"/>
    <w:rsid w:val="00AD04D2"/>
    <w:rsid w:val="00AE10E4"/>
    <w:rsid w:val="00AF24CC"/>
    <w:rsid w:val="00AF3515"/>
    <w:rsid w:val="00AF375F"/>
    <w:rsid w:val="00AF6730"/>
    <w:rsid w:val="00B05C0D"/>
    <w:rsid w:val="00B178F5"/>
    <w:rsid w:val="00B17ADA"/>
    <w:rsid w:val="00B5410C"/>
    <w:rsid w:val="00B567AE"/>
    <w:rsid w:val="00B57FCE"/>
    <w:rsid w:val="00B61FC6"/>
    <w:rsid w:val="00B64BE3"/>
    <w:rsid w:val="00B72247"/>
    <w:rsid w:val="00B75F57"/>
    <w:rsid w:val="00B771C3"/>
    <w:rsid w:val="00B81869"/>
    <w:rsid w:val="00B847E4"/>
    <w:rsid w:val="00B917A7"/>
    <w:rsid w:val="00BD7A07"/>
    <w:rsid w:val="00BE5B8E"/>
    <w:rsid w:val="00BE73D7"/>
    <w:rsid w:val="00BF7C1F"/>
    <w:rsid w:val="00C06110"/>
    <w:rsid w:val="00C162BB"/>
    <w:rsid w:val="00C337E7"/>
    <w:rsid w:val="00C34E7A"/>
    <w:rsid w:val="00C43C8F"/>
    <w:rsid w:val="00C5665F"/>
    <w:rsid w:val="00C619A1"/>
    <w:rsid w:val="00C639D0"/>
    <w:rsid w:val="00C8093C"/>
    <w:rsid w:val="00C8360D"/>
    <w:rsid w:val="00C8574A"/>
    <w:rsid w:val="00C85E87"/>
    <w:rsid w:val="00C90D0F"/>
    <w:rsid w:val="00C93E93"/>
    <w:rsid w:val="00C954A2"/>
    <w:rsid w:val="00CA2F82"/>
    <w:rsid w:val="00CA5B6D"/>
    <w:rsid w:val="00CA782C"/>
    <w:rsid w:val="00CA7D0B"/>
    <w:rsid w:val="00CC093B"/>
    <w:rsid w:val="00CD1ABF"/>
    <w:rsid w:val="00CD523A"/>
    <w:rsid w:val="00CD550D"/>
    <w:rsid w:val="00CE1347"/>
    <w:rsid w:val="00CE1C10"/>
    <w:rsid w:val="00CE642E"/>
    <w:rsid w:val="00CF24BB"/>
    <w:rsid w:val="00CF50EF"/>
    <w:rsid w:val="00D115FB"/>
    <w:rsid w:val="00D1216B"/>
    <w:rsid w:val="00D216B1"/>
    <w:rsid w:val="00D22C8D"/>
    <w:rsid w:val="00D404DA"/>
    <w:rsid w:val="00D467BF"/>
    <w:rsid w:val="00D5668B"/>
    <w:rsid w:val="00D7304B"/>
    <w:rsid w:val="00DA07FC"/>
    <w:rsid w:val="00DA3029"/>
    <w:rsid w:val="00DA5624"/>
    <w:rsid w:val="00DB0A3B"/>
    <w:rsid w:val="00DB6A0C"/>
    <w:rsid w:val="00DD20CC"/>
    <w:rsid w:val="00DE2093"/>
    <w:rsid w:val="00DE6650"/>
    <w:rsid w:val="00DF4F21"/>
    <w:rsid w:val="00E10C90"/>
    <w:rsid w:val="00E1666D"/>
    <w:rsid w:val="00E2765E"/>
    <w:rsid w:val="00E32EFF"/>
    <w:rsid w:val="00E36DE5"/>
    <w:rsid w:val="00E47451"/>
    <w:rsid w:val="00E50F35"/>
    <w:rsid w:val="00E71F3C"/>
    <w:rsid w:val="00E74B43"/>
    <w:rsid w:val="00E923F7"/>
    <w:rsid w:val="00E96645"/>
    <w:rsid w:val="00ED2593"/>
    <w:rsid w:val="00ED614A"/>
    <w:rsid w:val="00EF221C"/>
    <w:rsid w:val="00EF26BC"/>
    <w:rsid w:val="00F11F40"/>
    <w:rsid w:val="00F14A64"/>
    <w:rsid w:val="00F43127"/>
    <w:rsid w:val="00F43CD5"/>
    <w:rsid w:val="00F46E96"/>
    <w:rsid w:val="00F47E95"/>
    <w:rsid w:val="00F82614"/>
    <w:rsid w:val="00F848B4"/>
    <w:rsid w:val="00F91BAC"/>
    <w:rsid w:val="00F91E22"/>
    <w:rsid w:val="00FA7D81"/>
    <w:rsid w:val="00FB22EE"/>
    <w:rsid w:val="00FC2085"/>
    <w:rsid w:val="00FD6CC7"/>
    <w:rsid w:val="00FE2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922E"/>
  <w15:docId w15:val="{E1A5D53B-5495-4C6B-ABFE-DCA1D986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268"/>
    <w:pPr>
      <w:ind w:left="720"/>
      <w:contextualSpacing/>
    </w:pPr>
  </w:style>
  <w:style w:type="paragraph" w:styleId="FootnoteText">
    <w:name w:val="footnote text"/>
    <w:basedOn w:val="Normal"/>
    <w:link w:val="FootnoteTextChar"/>
    <w:uiPriority w:val="99"/>
    <w:semiHidden/>
    <w:unhideWhenUsed/>
    <w:rsid w:val="008A7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23D"/>
    <w:rPr>
      <w:lang w:eastAsia="en-US"/>
    </w:rPr>
  </w:style>
  <w:style w:type="character" w:styleId="FootnoteReference">
    <w:name w:val="footnote reference"/>
    <w:basedOn w:val="DefaultParagraphFont"/>
    <w:uiPriority w:val="99"/>
    <w:semiHidden/>
    <w:unhideWhenUsed/>
    <w:rsid w:val="008A723D"/>
    <w:rPr>
      <w:vertAlign w:val="superscript"/>
    </w:rPr>
  </w:style>
  <w:style w:type="paragraph" w:styleId="NormalWeb">
    <w:name w:val="Normal (Web)"/>
    <w:basedOn w:val="Normal"/>
    <w:uiPriority w:val="99"/>
    <w:semiHidden/>
    <w:unhideWhenUsed/>
    <w:rsid w:val="008A723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1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6B"/>
    <w:rPr>
      <w:rFonts w:ascii="Tahoma" w:hAnsi="Tahoma" w:cs="Tahoma"/>
      <w:sz w:val="16"/>
      <w:szCs w:val="16"/>
      <w:lang w:eastAsia="en-US"/>
    </w:rPr>
  </w:style>
  <w:style w:type="character" w:styleId="CommentReference">
    <w:name w:val="annotation reference"/>
    <w:basedOn w:val="DefaultParagraphFont"/>
    <w:uiPriority w:val="99"/>
    <w:semiHidden/>
    <w:unhideWhenUsed/>
    <w:rsid w:val="0074334D"/>
    <w:rPr>
      <w:sz w:val="16"/>
      <w:szCs w:val="16"/>
    </w:rPr>
  </w:style>
  <w:style w:type="paragraph" w:styleId="CommentText">
    <w:name w:val="annotation text"/>
    <w:basedOn w:val="Normal"/>
    <w:link w:val="CommentTextChar"/>
    <w:uiPriority w:val="99"/>
    <w:semiHidden/>
    <w:unhideWhenUsed/>
    <w:rsid w:val="0074334D"/>
    <w:pPr>
      <w:spacing w:line="240" w:lineRule="auto"/>
    </w:pPr>
    <w:rPr>
      <w:sz w:val="20"/>
      <w:szCs w:val="20"/>
    </w:rPr>
  </w:style>
  <w:style w:type="character" w:customStyle="1" w:styleId="CommentTextChar">
    <w:name w:val="Comment Text Char"/>
    <w:basedOn w:val="DefaultParagraphFont"/>
    <w:link w:val="CommentText"/>
    <w:uiPriority w:val="99"/>
    <w:semiHidden/>
    <w:rsid w:val="0074334D"/>
    <w:rPr>
      <w:lang w:eastAsia="en-US"/>
    </w:rPr>
  </w:style>
  <w:style w:type="paragraph" w:styleId="CommentSubject">
    <w:name w:val="annotation subject"/>
    <w:basedOn w:val="CommentText"/>
    <w:next w:val="CommentText"/>
    <w:link w:val="CommentSubjectChar"/>
    <w:uiPriority w:val="99"/>
    <w:semiHidden/>
    <w:unhideWhenUsed/>
    <w:rsid w:val="0074334D"/>
    <w:rPr>
      <w:b/>
      <w:bCs/>
    </w:rPr>
  </w:style>
  <w:style w:type="character" w:customStyle="1" w:styleId="CommentSubjectChar">
    <w:name w:val="Comment Subject Char"/>
    <w:basedOn w:val="CommentTextChar"/>
    <w:link w:val="CommentSubject"/>
    <w:uiPriority w:val="99"/>
    <w:semiHidden/>
    <w:rsid w:val="0074334D"/>
    <w:rPr>
      <w:b/>
      <w:bCs/>
      <w:lang w:eastAsia="en-US"/>
    </w:rPr>
  </w:style>
  <w:style w:type="paragraph" w:styleId="Header">
    <w:name w:val="header"/>
    <w:basedOn w:val="Normal"/>
    <w:link w:val="HeaderChar"/>
    <w:uiPriority w:val="99"/>
    <w:unhideWhenUsed/>
    <w:rsid w:val="0038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B14"/>
    <w:rPr>
      <w:sz w:val="22"/>
      <w:szCs w:val="22"/>
      <w:lang w:eastAsia="en-US"/>
    </w:rPr>
  </w:style>
  <w:style w:type="paragraph" w:styleId="Footer">
    <w:name w:val="footer"/>
    <w:basedOn w:val="Normal"/>
    <w:link w:val="FooterChar"/>
    <w:uiPriority w:val="99"/>
    <w:semiHidden/>
    <w:unhideWhenUsed/>
    <w:rsid w:val="00385B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B14"/>
    <w:rPr>
      <w:sz w:val="22"/>
      <w:szCs w:val="22"/>
      <w:lang w:eastAsia="en-US"/>
    </w:rPr>
  </w:style>
  <w:style w:type="character" w:styleId="Hyperlink">
    <w:name w:val="Hyperlink"/>
    <w:basedOn w:val="DefaultParagraphFont"/>
    <w:uiPriority w:val="99"/>
    <w:unhideWhenUsed/>
    <w:rsid w:val="00E74B43"/>
    <w:rPr>
      <w:color w:val="0000FF" w:themeColor="hyperlink"/>
      <w:u w:val="single"/>
    </w:rPr>
  </w:style>
  <w:style w:type="character" w:styleId="FollowedHyperlink">
    <w:name w:val="FollowedHyperlink"/>
    <w:basedOn w:val="DefaultParagraphFont"/>
    <w:uiPriority w:val="99"/>
    <w:semiHidden/>
    <w:unhideWhenUsed/>
    <w:rsid w:val="00892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667">
      <w:bodyDiv w:val="1"/>
      <w:marLeft w:val="0"/>
      <w:marRight w:val="0"/>
      <w:marTop w:val="0"/>
      <w:marBottom w:val="0"/>
      <w:divBdr>
        <w:top w:val="none" w:sz="0" w:space="0" w:color="auto"/>
        <w:left w:val="none" w:sz="0" w:space="0" w:color="auto"/>
        <w:bottom w:val="none" w:sz="0" w:space="0" w:color="auto"/>
        <w:right w:val="none" w:sz="0" w:space="0" w:color="auto"/>
      </w:divBdr>
    </w:div>
    <w:div w:id="304358706">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2">
          <w:marLeft w:val="0"/>
          <w:marRight w:val="0"/>
          <w:marTop w:val="150"/>
          <w:marBottom w:val="0"/>
          <w:divBdr>
            <w:top w:val="none" w:sz="0" w:space="0" w:color="auto"/>
            <w:left w:val="single" w:sz="6" w:space="0" w:color="FFFFFF"/>
            <w:bottom w:val="single" w:sz="6" w:space="31" w:color="BFBFBF"/>
            <w:right w:val="single" w:sz="6" w:space="0" w:color="FFFFFF"/>
          </w:divBdr>
          <w:divsChild>
            <w:div w:id="518979867">
              <w:marLeft w:val="0"/>
              <w:marRight w:val="0"/>
              <w:marTop w:val="0"/>
              <w:marBottom w:val="0"/>
              <w:divBdr>
                <w:top w:val="single" w:sz="6" w:space="0" w:color="FFFFFF"/>
                <w:left w:val="single" w:sz="6" w:space="17" w:color="FFFFFF"/>
                <w:bottom w:val="single" w:sz="6" w:space="0" w:color="FFFFFF"/>
                <w:right w:val="single" w:sz="6" w:space="17" w:color="FFFFFF"/>
              </w:divBdr>
              <w:divsChild>
                <w:div w:id="7816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1444">
      <w:bodyDiv w:val="1"/>
      <w:marLeft w:val="0"/>
      <w:marRight w:val="0"/>
      <w:marTop w:val="0"/>
      <w:marBottom w:val="0"/>
      <w:divBdr>
        <w:top w:val="none" w:sz="0" w:space="0" w:color="auto"/>
        <w:left w:val="none" w:sz="0" w:space="0" w:color="auto"/>
        <w:bottom w:val="none" w:sz="0" w:space="0" w:color="auto"/>
        <w:right w:val="none" w:sz="0" w:space="0" w:color="auto"/>
      </w:divBdr>
    </w:div>
    <w:div w:id="11787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7F6C2-EEA1-4764-A6EA-EE02BC77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1759</Words>
  <Characters>10031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Your Company Name</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Kuriyama</dc:creator>
  <cp:lastModifiedBy>Denise Cheok Jia Yuan</cp:lastModifiedBy>
  <cp:revision>13</cp:revision>
  <dcterms:created xsi:type="dcterms:W3CDTF">2016-09-29T03:08:00Z</dcterms:created>
  <dcterms:modified xsi:type="dcterms:W3CDTF">2016-10-14T08:06:00Z</dcterms:modified>
</cp:coreProperties>
</file>