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30" w:type="dxa"/>
        <w:tblInd w:w="-995" w:type="dxa"/>
        <w:tblLook w:val="04A0" w:firstRow="1" w:lastRow="0" w:firstColumn="1" w:lastColumn="0" w:noHBand="0" w:noVBand="1"/>
      </w:tblPr>
      <w:tblGrid>
        <w:gridCol w:w="1176"/>
        <w:gridCol w:w="10254"/>
      </w:tblGrid>
      <w:tr w:rsidR="00624D86" w:rsidTr="00624D86">
        <w:tc>
          <w:tcPr>
            <w:tcW w:w="1176" w:type="dxa"/>
          </w:tcPr>
          <w:p w:rsidR="00624D86" w:rsidRPr="000B7B30" w:rsidRDefault="00624D86">
            <w:pPr>
              <w:rPr>
                <w:b/>
                <w:sz w:val="19"/>
                <w:szCs w:val="19"/>
              </w:rPr>
            </w:pPr>
            <w:bookmarkStart w:id="0" w:name="_GoBack"/>
            <w:bookmarkEnd w:id="0"/>
            <w:r w:rsidRPr="000B7B30">
              <w:rPr>
                <w:b/>
                <w:sz w:val="19"/>
                <w:szCs w:val="19"/>
              </w:rPr>
              <w:t>Page</w:t>
            </w:r>
          </w:p>
        </w:tc>
        <w:tc>
          <w:tcPr>
            <w:tcW w:w="10254" w:type="dxa"/>
          </w:tcPr>
          <w:p w:rsidR="00624D86" w:rsidRPr="000B7B30" w:rsidRDefault="00624D86">
            <w:pPr>
              <w:rPr>
                <w:b/>
                <w:sz w:val="19"/>
                <w:szCs w:val="19"/>
              </w:rPr>
            </w:pPr>
            <w:r w:rsidRPr="000B7B30">
              <w:rPr>
                <w:b/>
                <w:sz w:val="19"/>
                <w:szCs w:val="19"/>
              </w:rPr>
              <w:t xml:space="preserve">Description </w:t>
            </w:r>
          </w:p>
        </w:tc>
      </w:tr>
      <w:tr w:rsidR="00624D86" w:rsidTr="00624D86">
        <w:tc>
          <w:tcPr>
            <w:tcW w:w="11430" w:type="dxa"/>
            <w:gridSpan w:val="2"/>
          </w:tcPr>
          <w:p w:rsidR="00624D86" w:rsidRPr="000B7B30" w:rsidRDefault="00624D86" w:rsidP="000B05C8">
            <w:pPr>
              <w:rPr>
                <w:b/>
                <w:sz w:val="19"/>
                <w:szCs w:val="19"/>
              </w:rPr>
            </w:pPr>
            <w:r w:rsidRPr="000B7B30">
              <w:rPr>
                <w:b/>
                <w:sz w:val="19"/>
                <w:szCs w:val="19"/>
              </w:rPr>
              <w:t>Chapter 3. Funding and Accounts</w:t>
            </w:r>
            <w:r w:rsidR="003A3740">
              <w:rPr>
                <w:b/>
                <w:sz w:val="19"/>
                <w:szCs w:val="19"/>
              </w:rPr>
              <w:t xml:space="preserve"> and Chapter 4. APEC Project Cycle</w:t>
            </w:r>
          </w:p>
        </w:tc>
      </w:tr>
      <w:tr w:rsidR="00624D86" w:rsidRPr="000B3698" w:rsidTr="00624D86">
        <w:tc>
          <w:tcPr>
            <w:tcW w:w="1176" w:type="dxa"/>
          </w:tcPr>
          <w:p w:rsidR="00624D86" w:rsidRPr="000B7B30" w:rsidRDefault="00624D86" w:rsidP="000B05C8">
            <w:pPr>
              <w:rPr>
                <w:sz w:val="19"/>
                <w:szCs w:val="19"/>
              </w:rPr>
            </w:pPr>
            <w:r w:rsidRPr="000B7B30">
              <w:rPr>
                <w:sz w:val="19"/>
                <w:szCs w:val="19"/>
              </w:rPr>
              <w:t>3-2</w:t>
            </w:r>
          </w:p>
        </w:tc>
        <w:tc>
          <w:tcPr>
            <w:tcW w:w="10254" w:type="dxa"/>
          </w:tcPr>
          <w:p w:rsidR="00624D86" w:rsidRPr="000B7B30" w:rsidRDefault="003E4028" w:rsidP="003E4028">
            <w:pPr>
              <w:rPr>
                <w:sz w:val="19"/>
                <w:szCs w:val="19"/>
              </w:rPr>
            </w:pPr>
            <w:r>
              <w:rPr>
                <w:sz w:val="19"/>
                <w:szCs w:val="19"/>
              </w:rPr>
              <w:t xml:space="preserve">Affirming that </w:t>
            </w:r>
            <w:r w:rsidR="00624D86" w:rsidRPr="000B7B30">
              <w:rPr>
                <w:sz w:val="19"/>
                <w:szCs w:val="19"/>
              </w:rPr>
              <w:t xml:space="preserve">Projects </w:t>
            </w:r>
            <w:r>
              <w:rPr>
                <w:sz w:val="19"/>
                <w:szCs w:val="19"/>
              </w:rPr>
              <w:t>can be</w:t>
            </w:r>
            <w:r w:rsidR="00624D86" w:rsidRPr="000B7B30">
              <w:rPr>
                <w:sz w:val="19"/>
                <w:szCs w:val="19"/>
              </w:rPr>
              <w:t xml:space="preserve"> a </w:t>
            </w:r>
            <w:r>
              <w:rPr>
                <w:sz w:val="19"/>
                <w:szCs w:val="19"/>
              </w:rPr>
              <w:t>funded by a mix of</w:t>
            </w:r>
            <w:r w:rsidR="00624D86" w:rsidRPr="000B7B30">
              <w:rPr>
                <w:sz w:val="19"/>
                <w:szCs w:val="19"/>
              </w:rPr>
              <w:t xml:space="preserve"> APEC and self-funding.</w:t>
            </w:r>
          </w:p>
        </w:tc>
      </w:tr>
      <w:tr w:rsidR="00624D86" w:rsidRPr="000B3698" w:rsidTr="00624D86">
        <w:tc>
          <w:tcPr>
            <w:tcW w:w="1176" w:type="dxa"/>
          </w:tcPr>
          <w:p w:rsidR="00624D86" w:rsidRPr="000B7B30" w:rsidRDefault="00624D86" w:rsidP="000B3698">
            <w:pPr>
              <w:rPr>
                <w:sz w:val="19"/>
                <w:szCs w:val="19"/>
              </w:rPr>
            </w:pPr>
            <w:r w:rsidRPr="000B7B30">
              <w:rPr>
                <w:sz w:val="19"/>
                <w:szCs w:val="19"/>
              </w:rPr>
              <w:t xml:space="preserve">3-22 </w:t>
            </w:r>
          </w:p>
        </w:tc>
        <w:tc>
          <w:tcPr>
            <w:tcW w:w="10254" w:type="dxa"/>
          </w:tcPr>
          <w:p w:rsidR="00624D86" w:rsidRPr="000B7B30" w:rsidRDefault="00624D86" w:rsidP="002C0AD9">
            <w:pPr>
              <w:rPr>
                <w:sz w:val="19"/>
                <w:szCs w:val="19"/>
              </w:rPr>
            </w:pPr>
            <w:r w:rsidRPr="000B7B30">
              <w:rPr>
                <w:sz w:val="19"/>
                <w:szCs w:val="19"/>
              </w:rPr>
              <w:t>Key project rules apply to</w:t>
            </w:r>
            <w:r w:rsidR="003A3740">
              <w:rPr>
                <w:sz w:val="19"/>
                <w:szCs w:val="19"/>
              </w:rPr>
              <w:t xml:space="preserve"> both</w:t>
            </w:r>
            <w:r w:rsidRPr="000B7B30">
              <w:rPr>
                <w:sz w:val="19"/>
                <w:szCs w:val="19"/>
              </w:rPr>
              <w:t xml:space="preserve"> part APEC funded projects and fully APEC funded projects.</w:t>
            </w:r>
          </w:p>
        </w:tc>
      </w:tr>
      <w:tr w:rsidR="00624D86" w:rsidRPr="000B3698" w:rsidTr="00624D86">
        <w:tc>
          <w:tcPr>
            <w:tcW w:w="1176" w:type="dxa"/>
          </w:tcPr>
          <w:p w:rsidR="00624D86" w:rsidRPr="000B7B30" w:rsidRDefault="00624D86" w:rsidP="000B3698">
            <w:pPr>
              <w:rPr>
                <w:sz w:val="19"/>
                <w:szCs w:val="19"/>
              </w:rPr>
            </w:pPr>
            <w:r w:rsidRPr="000B7B30">
              <w:rPr>
                <w:sz w:val="19"/>
                <w:szCs w:val="19"/>
              </w:rPr>
              <w:t>3-25</w:t>
            </w:r>
          </w:p>
        </w:tc>
        <w:tc>
          <w:tcPr>
            <w:tcW w:w="10254" w:type="dxa"/>
          </w:tcPr>
          <w:p w:rsidR="00624D86" w:rsidRPr="000B7B30" w:rsidRDefault="00624D86" w:rsidP="002C0AD9">
            <w:pPr>
              <w:rPr>
                <w:sz w:val="19"/>
                <w:szCs w:val="19"/>
              </w:rPr>
            </w:pPr>
            <w:r w:rsidRPr="000B7B30">
              <w:rPr>
                <w:sz w:val="19"/>
                <w:szCs w:val="19"/>
              </w:rPr>
              <w:t>NMP, APEC Logo Guidelines, APEC Publication Guidelines apply to self-funded projects.</w:t>
            </w:r>
          </w:p>
        </w:tc>
      </w:tr>
      <w:tr w:rsidR="003A3740" w:rsidRPr="000B3698" w:rsidTr="00624D86">
        <w:tc>
          <w:tcPr>
            <w:tcW w:w="1176" w:type="dxa"/>
          </w:tcPr>
          <w:p w:rsidR="003A3740" w:rsidRPr="000B7B30" w:rsidRDefault="003A3740" w:rsidP="000B3698">
            <w:pPr>
              <w:rPr>
                <w:sz w:val="19"/>
                <w:szCs w:val="19"/>
              </w:rPr>
            </w:pPr>
            <w:r>
              <w:rPr>
                <w:sz w:val="19"/>
                <w:szCs w:val="19"/>
              </w:rPr>
              <w:t>4-6</w:t>
            </w:r>
          </w:p>
        </w:tc>
        <w:tc>
          <w:tcPr>
            <w:tcW w:w="10254" w:type="dxa"/>
          </w:tcPr>
          <w:p w:rsidR="003A3740" w:rsidRPr="000B7B30" w:rsidRDefault="003A3740" w:rsidP="002C0AD9">
            <w:pPr>
              <w:rPr>
                <w:sz w:val="19"/>
                <w:szCs w:val="19"/>
              </w:rPr>
            </w:pPr>
            <w:r>
              <w:rPr>
                <w:sz w:val="19"/>
                <w:szCs w:val="19"/>
              </w:rPr>
              <w:t>Deadlines fall at midnight local time, unless the Secretariat states an alternative time.</w:t>
            </w:r>
          </w:p>
        </w:tc>
      </w:tr>
      <w:tr w:rsidR="00624D86" w:rsidTr="00624D86">
        <w:tc>
          <w:tcPr>
            <w:tcW w:w="11430" w:type="dxa"/>
            <w:gridSpan w:val="2"/>
          </w:tcPr>
          <w:p w:rsidR="00624D86" w:rsidRPr="000B7B30" w:rsidRDefault="00624D86" w:rsidP="002C0AD9">
            <w:pPr>
              <w:rPr>
                <w:b/>
                <w:sz w:val="19"/>
                <w:szCs w:val="19"/>
              </w:rPr>
            </w:pPr>
            <w:r w:rsidRPr="000B7B30">
              <w:rPr>
                <w:b/>
                <w:sz w:val="19"/>
                <w:szCs w:val="19"/>
              </w:rPr>
              <w:t>Chapter 5. Applying for Funding and Chapter 6. Project Implementation and Monitoring.</w:t>
            </w:r>
          </w:p>
        </w:tc>
      </w:tr>
      <w:tr w:rsidR="00624D86" w:rsidRPr="007915A8" w:rsidTr="003A3740">
        <w:trPr>
          <w:trHeight w:val="242"/>
        </w:trPr>
        <w:tc>
          <w:tcPr>
            <w:tcW w:w="1176" w:type="dxa"/>
          </w:tcPr>
          <w:p w:rsidR="00624D86" w:rsidRPr="000B7B30" w:rsidRDefault="00624D86" w:rsidP="00624D86">
            <w:pPr>
              <w:rPr>
                <w:sz w:val="19"/>
                <w:szCs w:val="19"/>
              </w:rPr>
            </w:pPr>
            <w:r w:rsidRPr="000B7B30">
              <w:rPr>
                <w:sz w:val="19"/>
                <w:szCs w:val="19"/>
              </w:rPr>
              <w:t>5-1</w:t>
            </w:r>
          </w:p>
        </w:tc>
        <w:tc>
          <w:tcPr>
            <w:tcW w:w="10254" w:type="dxa"/>
          </w:tcPr>
          <w:p w:rsidR="00624D86" w:rsidRPr="000B7B30" w:rsidRDefault="00624D86" w:rsidP="000B3698">
            <w:pPr>
              <w:rPr>
                <w:sz w:val="19"/>
                <w:szCs w:val="19"/>
              </w:rPr>
            </w:pPr>
            <w:r w:rsidRPr="000B7B30">
              <w:rPr>
                <w:sz w:val="19"/>
                <w:szCs w:val="19"/>
              </w:rPr>
              <w:t>POs should prepare their Co</w:t>
            </w:r>
            <w:r w:rsidR="003A3740">
              <w:rPr>
                <w:sz w:val="19"/>
                <w:szCs w:val="19"/>
              </w:rPr>
              <w:t>ncept Note as early as possible</w:t>
            </w:r>
            <w:r w:rsidRPr="000B7B30">
              <w:rPr>
                <w:sz w:val="19"/>
                <w:szCs w:val="19"/>
              </w:rPr>
              <w:t>.</w:t>
            </w:r>
          </w:p>
        </w:tc>
      </w:tr>
      <w:tr w:rsidR="00624D86" w:rsidRPr="007915A8" w:rsidTr="00624D86">
        <w:tc>
          <w:tcPr>
            <w:tcW w:w="1176" w:type="dxa"/>
          </w:tcPr>
          <w:p w:rsidR="00624D86" w:rsidRPr="000B7B30" w:rsidRDefault="00624D86" w:rsidP="00624D86">
            <w:pPr>
              <w:rPr>
                <w:sz w:val="19"/>
                <w:szCs w:val="19"/>
              </w:rPr>
            </w:pPr>
            <w:r w:rsidRPr="000B7B30">
              <w:rPr>
                <w:sz w:val="19"/>
                <w:szCs w:val="19"/>
              </w:rPr>
              <w:t>5-4</w:t>
            </w:r>
          </w:p>
        </w:tc>
        <w:tc>
          <w:tcPr>
            <w:tcW w:w="10254" w:type="dxa"/>
          </w:tcPr>
          <w:p w:rsidR="00624D86" w:rsidRPr="000B7B30" w:rsidRDefault="00624D86" w:rsidP="000B3698">
            <w:pPr>
              <w:rPr>
                <w:sz w:val="19"/>
                <w:szCs w:val="19"/>
              </w:rPr>
            </w:pPr>
            <w:r w:rsidRPr="000B7B30">
              <w:rPr>
                <w:sz w:val="19"/>
                <w:szCs w:val="19"/>
              </w:rPr>
              <w:t>C</w:t>
            </w:r>
            <w:r w:rsidR="003A3740">
              <w:rPr>
                <w:sz w:val="19"/>
                <w:szCs w:val="19"/>
              </w:rPr>
              <w:t>oncept notes presentation rules clarified.</w:t>
            </w:r>
          </w:p>
        </w:tc>
      </w:tr>
      <w:tr w:rsidR="00624D86" w:rsidTr="00624D86">
        <w:tc>
          <w:tcPr>
            <w:tcW w:w="1176" w:type="dxa"/>
          </w:tcPr>
          <w:p w:rsidR="00624D86" w:rsidRPr="000B7B30" w:rsidRDefault="00624D86" w:rsidP="00624D86">
            <w:pPr>
              <w:rPr>
                <w:sz w:val="19"/>
                <w:szCs w:val="19"/>
              </w:rPr>
            </w:pPr>
            <w:r w:rsidRPr="000B7B30">
              <w:rPr>
                <w:sz w:val="19"/>
                <w:szCs w:val="19"/>
              </w:rPr>
              <w:t>5-5</w:t>
            </w:r>
          </w:p>
        </w:tc>
        <w:tc>
          <w:tcPr>
            <w:tcW w:w="10254" w:type="dxa"/>
          </w:tcPr>
          <w:p w:rsidR="00624D86" w:rsidRPr="000B7B30" w:rsidRDefault="00D73667" w:rsidP="003A3740">
            <w:pPr>
              <w:rPr>
                <w:sz w:val="19"/>
                <w:szCs w:val="19"/>
              </w:rPr>
            </w:pPr>
            <w:r>
              <w:rPr>
                <w:sz w:val="19"/>
                <w:szCs w:val="19"/>
              </w:rPr>
              <w:t>At least 2 co-sponsors must</w:t>
            </w:r>
            <w:r w:rsidR="00624D86" w:rsidRPr="000B7B30">
              <w:rPr>
                <w:sz w:val="19"/>
                <w:szCs w:val="19"/>
              </w:rPr>
              <w:t xml:space="preserve"> be secured before the ISD, to optimize the use of time between the ISD and FSD. Co-sponsorship is between a PO and an economy represe</w:t>
            </w:r>
            <w:r w:rsidR="003A3740">
              <w:rPr>
                <w:sz w:val="19"/>
                <w:szCs w:val="19"/>
              </w:rPr>
              <w:t>ntative in the proposing forum.</w:t>
            </w:r>
          </w:p>
        </w:tc>
      </w:tr>
      <w:tr w:rsidR="00624D86" w:rsidTr="00624D86">
        <w:tc>
          <w:tcPr>
            <w:tcW w:w="1176" w:type="dxa"/>
          </w:tcPr>
          <w:p w:rsidR="00624D86" w:rsidRPr="000B7B30" w:rsidRDefault="00624D86" w:rsidP="009B65E0">
            <w:pPr>
              <w:rPr>
                <w:sz w:val="19"/>
                <w:szCs w:val="19"/>
              </w:rPr>
            </w:pPr>
            <w:r w:rsidRPr="000B7B30">
              <w:rPr>
                <w:sz w:val="19"/>
                <w:szCs w:val="19"/>
              </w:rPr>
              <w:t>5-7</w:t>
            </w:r>
          </w:p>
        </w:tc>
        <w:tc>
          <w:tcPr>
            <w:tcW w:w="10254" w:type="dxa"/>
          </w:tcPr>
          <w:p w:rsidR="00624D86" w:rsidRPr="000B7B30" w:rsidRDefault="00624D86" w:rsidP="009B65E0">
            <w:pPr>
              <w:rPr>
                <w:sz w:val="19"/>
                <w:szCs w:val="19"/>
              </w:rPr>
            </w:pPr>
            <w:r w:rsidRPr="000B7B30">
              <w:rPr>
                <w:sz w:val="19"/>
                <w:szCs w:val="19"/>
              </w:rPr>
              <w:t>Co-sponsorships secured after the FSD can be reflected on the Project Proposal.</w:t>
            </w:r>
          </w:p>
        </w:tc>
      </w:tr>
      <w:tr w:rsidR="00624D86" w:rsidTr="00624D86">
        <w:tc>
          <w:tcPr>
            <w:tcW w:w="1176" w:type="dxa"/>
          </w:tcPr>
          <w:p w:rsidR="00624D86" w:rsidRPr="000B7B30" w:rsidRDefault="00624D86" w:rsidP="00624D86">
            <w:pPr>
              <w:rPr>
                <w:sz w:val="19"/>
                <w:szCs w:val="19"/>
              </w:rPr>
            </w:pPr>
            <w:r w:rsidRPr="000B7B30">
              <w:rPr>
                <w:sz w:val="19"/>
                <w:szCs w:val="19"/>
              </w:rPr>
              <w:t>5-8</w:t>
            </w:r>
          </w:p>
        </w:tc>
        <w:tc>
          <w:tcPr>
            <w:tcW w:w="10254" w:type="dxa"/>
          </w:tcPr>
          <w:p w:rsidR="00624D86" w:rsidRPr="000B7B30" w:rsidRDefault="00624D86" w:rsidP="009B65E0">
            <w:pPr>
              <w:rPr>
                <w:sz w:val="19"/>
                <w:szCs w:val="19"/>
              </w:rPr>
            </w:pPr>
            <w:r w:rsidRPr="000B7B30">
              <w:rPr>
                <w:sz w:val="19"/>
                <w:szCs w:val="19"/>
              </w:rPr>
              <w:t>Concept Notes must be submitted to the PD by the ISD to maximize the amount of time allowed for subsequent circulation and endorsement.</w:t>
            </w:r>
          </w:p>
        </w:tc>
      </w:tr>
      <w:tr w:rsidR="00624D86" w:rsidTr="00624D86">
        <w:tc>
          <w:tcPr>
            <w:tcW w:w="1176" w:type="dxa"/>
          </w:tcPr>
          <w:p w:rsidR="00624D86" w:rsidRPr="000B7B30" w:rsidRDefault="00624D86" w:rsidP="00624D86">
            <w:pPr>
              <w:rPr>
                <w:sz w:val="19"/>
                <w:szCs w:val="19"/>
              </w:rPr>
            </w:pPr>
            <w:r w:rsidRPr="000B7B30">
              <w:rPr>
                <w:sz w:val="19"/>
                <w:szCs w:val="19"/>
              </w:rPr>
              <w:t>5-11</w:t>
            </w:r>
          </w:p>
        </w:tc>
        <w:tc>
          <w:tcPr>
            <w:tcW w:w="10254" w:type="dxa"/>
          </w:tcPr>
          <w:p w:rsidR="00624D86" w:rsidRPr="000B7B30" w:rsidRDefault="00624D86" w:rsidP="009B65E0">
            <w:pPr>
              <w:rPr>
                <w:sz w:val="19"/>
                <w:szCs w:val="19"/>
              </w:rPr>
            </w:pPr>
            <w:r w:rsidRPr="000B7B30">
              <w:rPr>
                <w:sz w:val="19"/>
                <w:szCs w:val="19"/>
              </w:rPr>
              <w:t>Co-endorsement process is clarified, based on the principle of bringing Concept Note forward as early as possible.</w:t>
            </w:r>
          </w:p>
        </w:tc>
      </w:tr>
      <w:tr w:rsidR="00624D86" w:rsidRPr="00DC641A" w:rsidTr="00624D86">
        <w:tc>
          <w:tcPr>
            <w:tcW w:w="1176" w:type="dxa"/>
          </w:tcPr>
          <w:p w:rsidR="00624D86" w:rsidRPr="000B7B30" w:rsidRDefault="00624D86" w:rsidP="003A3740">
            <w:pPr>
              <w:rPr>
                <w:sz w:val="19"/>
                <w:szCs w:val="19"/>
              </w:rPr>
            </w:pPr>
            <w:r w:rsidRPr="000B7B30">
              <w:rPr>
                <w:sz w:val="19"/>
                <w:szCs w:val="19"/>
              </w:rPr>
              <w:t>5-23</w:t>
            </w:r>
            <w:r w:rsidR="003A3740">
              <w:rPr>
                <w:sz w:val="19"/>
                <w:szCs w:val="19"/>
              </w:rPr>
              <w:t xml:space="preserve"> to </w:t>
            </w:r>
            <w:r w:rsidRPr="000B7B30">
              <w:rPr>
                <w:sz w:val="19"/>
                <w:szCs w:val="19"/>
              </w:rPr>
              <w:t>5-29</w:t>
            </w:r>
          </w:p>
        </w:tc>
        <w:tc>
          <w:tcPr>
            <w:tcW w:w="10254" w:type="dxa"/>
          </w:tcPr>
          <w:p w:rsidR="00624D86" w:rsidRPr="000B7B30" w:rsidRDefault="00624D86" w:rsidP="009B65E0">
            <w:pPr>
              <w:rPr>
                <w:sz w:val="19"/>
                <w:szCs w:val="19"/>
              </w:rPr>
            </w:pPr>
            <w:r w:rsidRPr="000B7B30">
              <w:rPr>
                <w:sz w:val="19"/>
                <w:szCs w:val="19"/>
              </w:rPr>
              <w:t>Clarification of steps and actions, including the role of comments during endorsement.</w:t>
            </w:r>
          </w:p>
        </w:tc>
      </w:tr>
      <w:tr w:rsidR="00624D86" w:rsidRPr="00DC641A" w:rsidTr="00624D86">
        <w:tc>
          <w:tcPr>
            <w:tcW w:w="1176" w:type="dxa"/>
          </w:tcPr>
          <w:p w:rsidR="00624D86" w:rsidRPr="000B7B30" w:rsidRDefault="00624D86" w:rsidP="009B65E0">
            <w:pPr>
              <w:rPr>
                <w:sz w:val="19"/>
                <w:szCs w:val="19"/>
              </w:rPr>
            </w:pPr>
            <w:r w:rsidRPr="000B7B30">
              <w:rPr>
                <w:sz w:val="19"/>
                <w:szCs w:val="19"/>
              </w:rPr>
              <w:t>6-7</w:t>
            </w:r>
          </w:p>
        </w:tc>
        <w:tc>
          <w:tcPr>
            <w:tcW w:w="10254" w:type="dxa"/>
          </w:tcPr>
          <w:p w:rsidR="00624D86" w:rsidRPr="000B7B30" w:rsidRDefault="00624D86" w:rsidP="009B65E0">
            <w:pPr>
              <w:rPr>
                <w:sz w:val="19"/>
                <w:szCs w:val="19"/>
              </w:rPr>
            </w:pPr>
            <w:r w:rsidRPr="000B7B30">
              <w:rPr>
                <w:sz w:val="19"/>
                <w:szCs w:val="19"/>
              </w:rPr>
              <w:t>Monitoring Reports are due annually either 1 April or 1 October, to suit project implementation time-lines.</w:t>
            </w:r>
          </w:p>
        </w:tc>
      </w:tr>
      <w:tr w:rsidR="00624D86" w:rsidTr="00624D86">
        <w:tc>
          <w:tcPr>
            <w:tcW w:w="11430" w:type="dxa"/>
            <w:gridSpan w:val="2"/>
          </w:tcPr>
          <w:p w:rsidR="00624D86" w:rsidRPr="000B7B30" w:rsidRDefault="00624D86" w:rsidP="009B65E0">
            <w:pPr>
              <w:rPr>
                <w:b/>
                <w:sz w:val="19"/>
                <w:szCs w:val="19"/>
              </w:rPr>
            </w:pPr>
            <w:r w:rsidRPr="000B7B30">
              <w:rPr>
                <w:b/>
                <w:sz w:val="19"/>
                <w:szCs w:val="19"/>
              </w:rPr>
              <w:t>Chapter 7. Project Completion</w:t>
            </w:r>
          </w:p>
        </w:tc>
      </w:tr>
      <w:tr w:rsidR="00624D86" w:rsidTr="00624D86">
        <w:tc>
          <w:tcPr>
            <w:tcW w:w="1176" w:type="dxa"/>
          </w:tcPr>
          <w:p w:rsidR="00624D86" w:rsidRPr="000B7B30" w:rsidRDefault="00624D86" w:rsidP="00624D86">
            <w:pPr>
              <w:rPr>
                <w:sz w:val="19"/>
                <w:szCs w:val="19"/>
              </w:rPr>
            </w:pPr>
            <w:r w:rsidRPr="000B7B30">
              <w:rPr>
                <w:sz w:val="19"/>
                <w:szCs w:val="19"/>
              </w:rPr>
              <w:t>7-1</w:t>
            </w:r>
          </w:p>
        </w:tc>
        <w:tc>
          <w:tcPr>
            <w:tcW w:w="10254" w:type="dxa"/>
          </w:tcPr>
          <w:p w:rsidR="00624D86" w:rsidRPr="000B7B30" w:rsidRDefault="00624D86" w:rsidP="009B65E0">
            <w:pPr>
              <w:rPr>
                <w:sz w:val="19"/>
                <w:szCs w:val="19"/>
              </w:rPr>
            </w:pPr>
            <w:r w:rsidRPr="000B7B30">
              <w:rPr>
                <w:sz w:val="19"/>
                <w:szCs w:val="19"/>
              </w:rPr>
              <w:t>Project Completion Date (PCD) established. Defined to include the completion of all outputs and activities, including those self-funded by POs, as well completion of all disbursements.</w:t>
            </w:r>
          </w:p>
        </w:tc>
      </w:tr>
      <w:tr w:rsidR="00624D86" w:rsidTr="00624D86">
        <w:tc>
          <w:tcPr>
            <w:tcW w:w="1176" w:type="dxa"/>
          </w:tcPr>
          <w:p w:rsidR="00624D86" w:rsidRPr="000B7B30" w:rsidRDefault="00624D86" w:rsidP="00624D86">
            <w:pPr>
              <w:rPr>
                <w:sz w:val="19"/>
                <w:szCs w:val="19"/>
              </w:rPr>
            </w:pPr>
            <w:r w:rsidRPr="000B7B30">
              <w:rPr>
                <w:sz w:val="19"/>
                <w:szCs w:val="19"/>
              </w:rPr>
              <w:t>7-2</w:t>
            </w:r>
          </w:p>
        </w:tc>
        <w:tc>
          <w:tcPr>
            <w:tcW w:w="10254" w:type="dxa"/>
          </w:tcPr>
          <w:p w:rsidR="00624D86" w:rsidRPr="000B7B30" w:rsidRDefault="00624D86" w:rsidP="00624D86">
            <w:pPr>
              <w:rPr>
                <w:sz w:val="19"/>
                <w:szCs w:val="19"/>
              </w:rPr>
            </w:pPr>
            <w:r w:rsidRPr="000B7B30">
              <w:rPr>
                <w:sz w:val="19"/>
                <w:szCs w:val="19"/>
              </w:rPr>
              <w:t>All projects have between 18-21 months to implement.</w:t>
            </w:r>
          </w:p>
        </w:tc>
      </w:tr>
      <w:tr w:rsidR="00624D86" w:rsidTr="00624D86">
        <w:tc>
          <w:tcPr>
            <w:tcW w:w="1176" w:type="dxa"/>
          </w:tcPr>
          <w:p w:rsidR="00624D86" w:rsidRPr="000B7B30" w:rsidRDefault="00624D86" w:rsidP="009B65E0">
            <w:pPr>
              <w:rPr>
                <w:sz w:val="19"/>
                <w:szCs w:val="19"/>
              </w:rPr>
            </w:pPr>
            <w:r w:rsidRPr="000B7B30">
              <w:rPr>
                <w:sz w:val="19"/>
                <w:szCs w:val="19"/>
              </w:rPr>
              <w:t>7-3</w:t>
            </w:r>
          </w:p>
        </w:tc>
        <w:tc>
          <w:tcPr>
            <w:tcW w:w="10254" w:type="dxa"/>
          </w:tcPr>
          <w:p w:rsidR="00624D86" w:rsidRPr="000B7B30" w:rsidRDefault="00624D86" w:rsidP="00624D86">
            <w:pPr>
              <w:rPr>
                <w:sz w:val="19"/>
                <w:szCs w:val="19"/>
              </w:rPr>
            </w:pPr>
            <w:r w:rsidRPr="000B7B30">
              <w:rPr>
                <w:sz w:val="19"/>
                <w:szCs w:val="19"/>
              </w:rPr>
              <w:t xml:space="preserve">New project timeframes are created (31 December and 30 June) so Project Session 2 projects enjoy similar timeframe to Project Session 1 projects.  </w:t>
            </w:r>
          </w:p>
        </w:tc>
      </w:tr>
      <w:tr w:rsidR="00624D86" w:rsidTr="00624D86">
        <w:tc>
          <w:tcPr>
            <w:tcW w:w="1176" w:type="dxa"/>
          </w:tcPr>
          <w:p w:rsidR="00624D86" w:rsidRPr="000B7B30" w:rsidRDefault="00624D86" w:rsidP="009B65E0">
            <w:pPr>
              <w:rPr>
                <w:sz w:val="19"/>
                <w:szCs w:val="19"/>
              </w:rPr>
            </w:pPr>
            <w:r w:rsidRPr="000B7B30">
              <w:rPr>
                <w:sz w:val="19"/>
                <w:szCs w:val="19"/>
              </w:rPr>
              <w:t>7-4</w:t>
            </w:r>
          </w:p>
        </w:tc>
        <w:tc>
          <w:tcPr>
            <w:tcW w:w="10254" w:type="dxa"/>
          </w:tcPr>
          <w:p w:rsidR="00624D86" w:rsidRPr="000B7B30" w:rsidRDefault="00624D86" w:rsidP="009B65E0">
            <w:pPr>
              <w:rPr>
                <w:sz w:val="19"/>
                <w:szCs w:val="19"/>
              </w:rPr>
            </w:pPr>
            <w:r w:rsidRPr="000B7B30">
              <w:rPr>
                <w:sz w:val="19"/>
                <w:szCs w:val="19"/>
              </w:rPr>
              <w:t>POs can identify an earlier PCD if appropriate.</w:t>
            </w:r>
          </w:p>
        </w:tc>
      </w:tr>
      <w:tr w:rsidR="00624D86" w:rsidTr="00624D86">
        <w:tc>
          <w:tcPr>
            <w:tcW w:w="1176" w:type="dxa"/>
          </w:tcPr>
          <w:p w:rsidR="00624D86" w:rsidRPr="000B7B30" w:rsidRDefault="00624D86" w:rsidP="009B65E0">
            <w:pPr>
              <w:rPr>
                <w:sz w:val="19"/>
                <w:szCs w:val="19"/>
              </w:rPr>
            </w:pPr>
            <w:r w:rsidRPr="000B7B30">
              <w:rPr>
                <w:sz w:val="19"/>
                <w:szCs w:val="19"/>
              </w:rPr>
              <w:t>7-7</w:t>
            </w:r>
          </w:p>
        </w:tc>
        <w:tc>
          <w:tcPr>
            <w:tcW w:w="10254" w:type="dxa"/>
          </w:tcPr>
          <w:p w:rsidR="00624D86" w:rsidRPr="000B7B30" w:rsidRDefault="00624D86" w:rsidP="009B65E0">
            <w:pPr>
              <w:rPr>
                <w:sz w:val="19"/>
                <w:szCs w:val="19"/>
              </w:rPr>
            </w:pPr>
            <w:r w:rsidRPr="000B7B30">
              <w:rPr>
                <w:sz w:val="19"/>
                <w:szCs w:val="19"/>
              </w:rPr>
              <w:t>Establish a clear process for the handling of completion reports that clarifies the roles of the Secretariat and the forum, underscored by the idea that POs should be given an opportunity to benefit from Secretariat feedback bef</w:t>
            </w:r>
            <w:r w:rsidR="007D02DB">
              <w:rPr>
                <w:sz w:val="19"/>
                <w:szCs w:val="19"/>
              </w:rPr>
              <w:t>ore seeking comments/finalisation within</w:t>
            </w:r>
            <w:r w:rsidRPr="000B7B30">
              <w:rPr>
                <w:sz w:val="19"/>
                <w:szCs w:val="19"/>
              </w:rPr>
              <w:t xml:space="preserve"> the forum.</w:t>
            </w:r>
          </w:p>
        </w:tc>
      </w:tr>
      <w:tr w:rsidR="00624D86" w:rsidTr="00624D86">
        <w:tc>
          <w:tcPr>
            <w:tcW w:w="1176" w:type="dxa"/>
          </w:tcPr>
          <w:p w:rsidR="00624D86" w:rsidRPr="000B7B30" w:rsidRDefault="00624D86" w:rsidP="009B65E0">
            <w:pPr>
              <w:rPr>
                <w:sz w:val="19"/>
                <w:szCs w:val="19"/>
              </w:rPr>
            </w:pPr>
            <w:r w:rsidRPr="000B7B30">
              <w:rPr>
                <w:sz w:val="19"/>
                <w:szCs w:val="19"/>
              </w:rPr>
              <w:t>7-11</w:t>
            </w:r>
          </w:p>
        </w:tc>
        <w:tc>
          <w:tcPr>
            <w:tcW w:w="10254" w:type="dxa"/>
          </w:tcPr>
          <w:p w:rsidR="00624D86" w:rsidRPr="000B7B30" w:rsidRDefault="00605341" w:rsidP="009B65E0">
            <w:pPr>
              <w:rPr>
                <w:sz w:val="19"/>
                <w:szCs w:val="19"/>
              </w:rPr>
            </w:pPr>
            <w:r w:rsidRPr="000B7B30">
              <w:rPr>
                <w:sz w:val="19"/>
                <w:szCs w:val="19"/>
              </w:rPr>
              <w:t>Recognise</w:t>
            </w:r>
            <w:r w:rsidR="00624D86" w:rsidRPr="000B7B30">
              <w:rPr>
                <w:sz w:val="19"/>
                <w:szCs w:val="19"/>
              </w:rPr>
              <w:t xml:space="preserve"> the ‘Longer-Term Evaluation of APEC Projects’ and expectations regarding participation. </w:t>
            </w:r>
          </w:p>
        </w:tc>
      </w:tr>
      <w:tr w:rsidR="00624D86" w:rsidTr="00624D86">
        <w:tc>
          <w:tcPr>
            <w:tcW w:w="11430" w:type="dxa"/>
            <w:gridSpan w:val="2"/>
          </w:tcPr>
          <w:p w:rsidR="00624D86" w:rsidRPr="000B7B30" w:rsidRDefault="00624D86" w:rsidP="009B65E0">
            <w:pPr>
              <w:rPr>
                <w:b/>
                <w:sz w:val="19"/>
                <w:szCs w:val="19"/>
              </w:rPr>
            </w:pPr>
            <w:r w:rsidRPr="000B7B30">
              <w:rPr>
                <w:b/>
                <w:sz w:val="19"/>
                <w:szCs w:val="19"/>
              </w:rPr>
              <w:t xml:space="preserve">Chapter 9. APEC </w:t>
            </w:r>
            <w:r w:rsidR="00AD0144" w:rsidRPr="000B7B30">
              <w:rPr>
                <w:b/>
                <w:sz w:val="19"/>
                <w:szCs w:val="19"/>
              </w:rPr>
              <w:t>Project Expenses</w:t>
            </w:r>
          </w:p>
        </w:tc>
      </w:tr>
      <w:tr w:rsidR="00624D86" w:rsidTr="00624D86">
        <w:tc>
          <w:tcPr>
            <w:tcW w:w="1176" w:type="dxa"/>
          </w:tcPr>
          <w:p w:rsidR="00624D86" w:rsidRPr="000B7B30" w:rsidRDefault="00624D86" w:rsidP="009B65E0">
            <w:pPr>
              <w:rPr>
                <w:sz w:val="19"/>
                <w:szCs w:val="19"/>
              </w:rPr>
            </w:pPr>
            <w:r w:rsidRPr="000B7B30">
              <w:rPr>
                <w:sz w:val="19"/>
                <w:szCs w:val="19"/>
              </w:rPr>
              <w:t>9-30</w:t>
            </w:r>
          </w:p>
        </w:tc>
        <w:tc>
          <w:tcPr>
            <w:tcW w:w="10254" w:type="dxa"/>
          </w:tcPr>
          <w:p w:rsidR="00624D86" w:rsidRPr="000B7B30" w:rsidRDefault="00624D86" w:rsidP="009B65E0">
            <w:pPr>
              <w:rPr>
                <w:sz w:val="19"/>
                <w:szCs w:val="19"/>
              </w:rPr>
            </w:pPr>
            <w:r w:rsidRPr="000B7B30">
              <w:rPr>
                <w:sz w:val="19"/>
                <w:szCs w:val="19"/>
              </w:rPr>
              <w:t>Reference to the ‘Elsewhere’ rates in the UN tables, which apply when a city is not quoted in the tables</w:t>
            </w:r>
            <w:r w:rsidR="00AD0144" w:rsidRPr="000B7B30">
              <w:rPr>
                <w:sz w:val="19"/>
                <w:szCs w:val="19"/>
              </w:rPr>
              <w:t xml:space="preserve"> (e.g. Brisbane)</w:t>
            </w:r>
          </w:p>
        </w:tc>
      </w:tr>
      <w:tr w:rsidR="00AD0144" w:rsidTr="00624D86">
        <w:tc>
          <w:tcPr>
            <w:tcW w:w="1176" w:type="dxa"/>
          </w:tcPr>
          <w:p w:rsidR="00AD0144" w:rsidRPr="000B7B30" w:rsidRDefault="00AD0144" w:rsidP="00AD0144">
            <w:pPr>
              <w:rPr>
                <w:sz w:val="19"/>
                <w:szCs w:val="19"/>
              </w:rPr>
            </w:pPr>
            <w:r w:rsidRPr="000B7B30">
              <w:rPr>
                <w:sz w:val="19"/>
                <w:szCs w:val="19"/>
              </w:rPr>
              <w:t>9-47</w:t>
            </w:r>
          </w:p>
        </w:tc>
        <w:tc>
          <w:tcPr>
            <w:tcW w:w="10254" w:type="dxa"/>
          </w:tcPr>
          <w:p w:rsidR="00AD0144" w:rsidRPr="000B7B30" w:rsidRDefault="00AD0144" w:rsidP="00AD0144">
            <w:pPr>
              <w:rPr>
                <w:sz w:val="19"/>
                <w:szCs w:val="19"/>
              </w:rPr>
            </w:pPr>
            <w:r w:rsidRPr="000B7B30">
              <w:rPr>
                <w:sz w:val="19"/>
                <w:szCs w:val="19"/>
              </w:rPr>
              <w:t xml:space="preserve">Clarification that Secretariat receives waiver for funding PO travel in the first instance. RAASR re-inserted to address editing omission in Edition 12. </w:t>
            </w:r>
          </w:p>
        </w:tc>
      </w:tr>
      <w:tr w:rsidR="00624D86" w:rsidTr="00624D86">
        <w:tc>
          <w:tcPr>
            <w:tcW w:w="1176" w:type="dxa"/>
          </w:tcPr>
          <w:p w:rsidR="00624D86" w:rsidRPr="000B7B30" w:rsidRDefault="00624D86" w:rsidP="00AD0144">
            <w:pPr>
              <w:rPr>
                <w:sz w:val="19"/>
                <w:szCs w:val="19"/>
              </w:rPr>
            </w:pPr>
            <w:r w:rsidRPr="000B7B30">
              <w:rPr>
                <w:sz w:val="19"/>
                <w:szCs w:val="19"/>
              </w:rPr>
              <w:t xml:space="preserve">9-48 </w:t>
            </w:r>
          </w:p>
        </w:tc>
        <w:tc>
          <w:tcPr>
            <w:tcW w:w="10254" w:type="dxa"/>
          </w:tcPr>
          <w:p w:rsidR="00624D86" w:rsidRPr="000B7B30" w:rsidRDefault="00624D86" w:rsidP="009B65E0">
            <w:pPr>
              <w:rPr>
                <w:sz w:val="19"/>
                <w:szCs w:val="19"/>
              </w:rPr>
            </w:pPr>
            <w:r w:rsidRPr="000B7B30">
              <w:rPr>
                <w:sz w:val="19"/>
                <w:szCs w:val="19"/>
              </w:rPr>
              <w:t xml:space="preserve">Electronic publications are </w:t>
            </w:r>
            <w:r w:rsidR="00AD0144" w:rsidRPr="000B7B30">
              <w:rPr>
                <w:sz w:val="19"/>
                <w:szCs w:val="19"/>
              </w:rPr>
              <w:t xml:space="preserve">strongly preferred on efficiency ground. </w:t>
            </w:r>
          </w:p>
        </w:tc>
      </w:tr>
      <w:tr w:rsidR="00624D86" w:rsidTr="00624D86">
        <w:tc>
          <w:tcPr>
            <w:tcW w:w="1176" w:type="dxa"/>
          </w:tcPr>
          <w:p w:rsidR="00624D86" w:rsidRPr="000B7B30" w:rsidRDefault="00AD0144" w:rsidP="009B65E0">
            <w:pPr>
              <w:rPr>
                <w:sz w:val="19"/>
                <w:szCs w:val="19"/>
              </w:rPr>
            </w:pPr>
            <w:r w:rsidRPr="000B7B30">
              <w:rPr>
                <w:sz w:val="19"/>
                <w:szCs w:val="19"/>
              </w:rPr>
              <w:t>9-50</w:t>
            </w:r>
          </w:p>
        </w:tc>
        <w:tc>
          <w:tcPr>
            <w:tcW w:w="10254" w:type="dxa"/>
          </w:tcPr>
          <w:p w:rsidR="00624D86" w:rsidRPr="000B7B30" w:rsidRDefault="00AD0144" w:rsidP="00AD0144">
            <w:pPr>
              <w:rPr>
                <w:sz w:val="19"/>
                <w:szCs w:val="19"/>
              </w:rPr>
            </w:pPr>
            <w:r w:rsidRPr="000B7B30">
              <w:rPr>
                <w:sz w:val="19"/>
                <w:szCs w:val="19"/>
              </w:rPr>
              <w:t>Work submitted to the Secretariat for publication must be high quality and not require any further copy-editing.</w:t>
            </w:r>
          </w:p>
        </w:tc>
      </w:tr>
      <w:tr w:rsidR="00624D86" w:rsidTr="00624D86">
        <w:tc>
          <w:tcPr>
            <w:tcW w:w="11430" w:type="dxa"/>
            <w:gridSpan w:val="2"/>
          </w:tcPr>
          <w:p w:rsidR="00624D86" w:rsidRPr="000B7B30" w:rsidRDefault="00624D86" w:rsidP="009B65E0">
            <w:pPr>
              <w:rPr>
                <w:b/>
                <w:sz w:val="19"/>
                <w:szCs w:val="19"/>
              </w:rPr>
            </w:pPr>
            <w:r w:rsidRPr="000B7B30">
              <w:rPr>
                <w:b/>
                <w:sz w:val="19"/>
                <w:szCs w:val="19"/>
              </w:rPr>
              <w:t>Chapter 10. General Disbursement Procedures</w:t>
            </w:r>
          </w:p>
        </w:tc>
      </w:tr>
      <w:tr w:rsidR="00624D86" w:rsidTr="00624D86">
        <w:tc>
          <w:tcPr>
            <w:tcW w:w="1176" w:type="dxa"/>
          </w:tcPr>
          <w:p w:rsidR="00624D86" w:rsidRPr="000B7B30" w:rsidRDefault="00624D86" w:rsidP="009B65E0">
            <w:pPr>
              <w:rPr>
                <w:sz w:val="19"/>
                <w:szCs w:val="19"/>
              </w:rPr>
            </w:pPr>
            <w:r w:rsidRPr="000B7B30">
              <w:rPr>
                <w:sz w:val="19"/>
                <w:szCs w:val="19"/>
              </w:rPr>
              <w:t>10-1</w:t>
            </w:r>
          </w:p>
        </w:tc>
        <w:tc>
          <w:tcPr>
            <w:tcW w:w="10254" w:type="dxa"/>
          </w:tcPr>
          <w:p w:rsidR="00624D86" w:rsidRPr="000B7B30" w:rsidRDefault="00624D86" w:rsidP="009B65E0">
            <w:pPr>
              <w:rPr>
                <w:sz w:val="19"/>
                <w:szCs w:val="19"/>
              </w:rPr>
            </w:pPr>
            <w:r w:rsidRPr="000B7B30">
              <w:rPr>
                <w:sz w:val="19"/>
                <w:szCs w:val="19"/>
              </w:rPr>
              <w:t>Incorporation of PCD.</w:t>
            </w:r>
          </w:p>
        </w:tc>
      </w:tr>
      <w:tr w:rsidR="00624D86" w:rsidTr="00624D86">
        <w:tc>
          <w:tcPr>
            <w:tcW w:w="1176" w:type="dxa"/>
          </w:tcPr>
          <w:p w:rsidR="00624D86" w:rsidRPr="000B7B30" w:rsidRDefault="00624D86" w:rsidP="009B65E0">
            <w:pPr>
              <w:rPr>
                <w:sz w:val="19"/>
                <w:szCs w:val="19"/>
              </w:rPr>
            </w:pPr>
            <w:r w:rsidRPr="000B7B30">
              <w:rPr>
                <w:sz w:val="19"/>
                <w:szCs w:val="19"/>
              </w:rPr>
              <w:t>10-2</w:t>
            </w:r>
          </w:p>
        </w:tc>
        <w:tc>
          <w:tcPr>
            <w:tcW w:w="10254" w:type="dxa"/>
          </w:tcPr>
          <w:p w:rsidR="00624D86" w:rsidRPr="000B7B30" w:rsidRDefault="00624D86" w:rsidP="009B65E0">
            <w:pPr>
              <w:rPr>
                <w:sz w:val="19"/>
                <w:szCs w:val="19"/>
              </w:rPr>
            </w:pPr>
            <w:r w:rsidRPr="000B7B30">
              <w:rPr>
                <w:sz w:val="19"/>
                <w:szCs w:val="19"/>
              </w:rPr>
              <w:t>Claims processed within 20 (Singapore) working days.</w:t>
            </w:r>
          </w:p>
        </w:tc>
      </w:tr>
      <w:tr w:rsidR="00624D86" w:rsidTr="00624D86">
        <w:tc>
          <w:tcPr>
            <w:tcW w:w="1176" w:type="dxa"/>
          </w:tcPr>
          <w:p w:rsidR="00624D86" w:rsidRPr="000B7B30" w:rsidRDefault="00624D86" w:rsidP="009B65E0">
            <w:pPr>
              <w:rPr>
                <w:sz w:val="19"/>
                <w:szCs w:val="19"/>
              </w:rPr>
            </w:pPr>
            <w:r w:rsidRPr="000B7B30">
              <w:rPr>
                <w:sz w:val="19"/>
                <w:szCs w:val="19"/>
              </w:rPr>
              <w:t>10-18</w:t>
            </w:r>
          </w:p>
        </w:tc>
        <w:tc>
          <w:tcPr>
            <w:tcW w:w="10254" w:type="dxa"/>
          </w:tcPr>
          <w:p w:rsidR="00624D86" w:rsidRPr="000B7B30" w:rsidRDefault="00624D86" w:rsidP="009B65E0">
            <w:pPr>
              <w:rPr>
                <w:sz w:val="19"/>
                <w:szCs w:val="19"/>
              </w:rPr>
            </w:pPr>
            <w:r w:rsidRPr="000B7B30">
              <w:rPr>
                <w:sz w:val="19"/>
                <w:szCs w:val="19"/>
              </w:rPr>
              <w:t>Requests for advance payment must be lodged at least 8 (Singapore) working days prior the event.</w:t>
            </w:r>
          </w:p>
        </w:tc>
      </w:tr>
      <w:tr w:rsidR="00624D86" w:rsidTr="00624D86">
        <w:tc>
          <w:tcPr>
            <w:tcW w:w="11430" w:type="dxa"/>
            <w:gridSpan w:val="2"/>
          </w:tcPr>
          <w:p w:rsidR="00624D86" w:rsidRPr="000B7B30" w:rsidRDefault="00624D86" w:rsidP="009B65E0">
            <w:pPr>
              <w:rPr>
                <w:sz w:val="19"/>
                <w:szCs w:val="19"/>
              </w:rPr>
            </w:pPr>
            <w:r w:rsidRPr="000B7B30">
              <w:rPr>
                <w:b/>
                <w:sz w:val="19"/>
                <w:szCs w:val="19"/>
              </w:rPr>
              <w:t>Chapter 11. Changing a Project</w:t>
            </w:r>
          </w:p>
        </w:tc>
      </w:tr>
      <w:tr w:rsidR="00624D86" w:rsidTr="00624D86">
        <w:tc>
          <w:tcPr>
            <w:tcW w:w="1176" w:type="dxa"/>
          </w:tcPr>
          <w:p w:rsidR="00624D86" w:rsidRPr="000B7B30" w:rsidRDefault="00624D86" w:rsidP="009B65E0">
            <w:pPr>
              <w:rPr>
                <w:sz w:val="19"/>
                <w:szCs w:val="19"/>
              </w:rPr>
            </w:pPr>
            <w:r w:rsidRPr="000B7B30">
              <w:rPr>
                <w:sz w:val="19"/>
                <w:szCs w:val="19"/>
              </w:rPr>
              <w:t>11-3</w:t>
            </w:r>
          </w:p>
        </w:tc>
        <w:tc>
          <w:tcPr>
            <w:tcW w:w="10254" w:type="dxa"/>
          </w:tcPr>
          <w:p w:rsidR="00624D86" w:rsidRPr="000B7B30" w:rsidRDefault="00624D86" w:rsidP="009B65E0">
            <w:pPr>
              <w:rPr>
                <w:sz w:val="19"/>
                <w:szCs w:val="19"/>
              </w:rPr>
            </w:pPr>
            <w:r w:rsidRPr="000B7B30">
              <w:rPr>
                <w:sz w:val="19"/>
                <w:szCs w:val="19"/>
              </w:rPr>
              <w:t>Identifying the APEC Project Design Amendment and Extension and the APEC Project Budget Amendment forms.</w:t>
            </w:r>
          </w:p>
        </w:tc>
      </w:tr>
      <w:tr w:rsidR="00624D86" w:rsidTr="00624D86">
        <w:tc>
          <w:tcPr>
            <w:tcW w:w="1176" w:type="dxa"/>
          </w:tcPr>
          <w:p w:rsidR="00624D86" w:rsidRPr="000B7B30" w:rsidRDefault="00624D86" w:rsidP="009B65E0">
            <w:pPr>
              <w:rPr>
                <w:sz w:val="19"/>
                <w:szCs w:val="19"/>
              </w:rPr>
            </w:pPr>
            <w:r w:rsidRPr="000B7B30">
              <w:rPr>
                <w:sz w:val="19"/>
                <w:szCs w:val="19"/>
              </w:rPr>
              <w:t>11-6</w:t>
            </w:r>
          </w:p>
        </w:tc>
        <w:tc>
          <w:tcPr>
            <w:tcW w:w="10254" w:type="dxa"/>
          </w:tcPr>
          <w:p w:rsidR="00624D86" w:rsidRPr="000B7B30" w:rsidRDefault="00624D86" w:rsidP="009B65E0">
            <w:pPr>
              <w:rPr>
                <w:sz w:val="19"/>
                <w:szCs w:val="19"/>
              </w:rPr>
            </w:pPr>
            <w:r w:rsidRPr="000B7B30">
              <w:rPr>
                <w:sz w:val="19"/>
                <w:szCs w:val="19"/>
              </w:rPr>
              <w:t>Linking extension requests to the form requirements in 11-3. Extension should be based on compe</w:t>
            </w:r>
            <w:r w:rsidR="00AD0144" w:rsidRPr="000B7B30">
              <w:rPr>
                <w:sz w:val="19"/>
                <w:szCs w:val="19"/>
              </w:rPr>
              <w:t>lling grounds.</w:t>
            </w:r>
          </w:p>
        </w:tc>
      </w:tr>
      <w:tr w:rsidR="00624D86" w:rsidTr="00624D86">
        <w:tc>
          <w:tcPr>
            <w:tcW w:w="11430" w:type="dxa"/>
            <w:gridSpan w:val="2"/>
          </w:tcPr>
          <w:p w:rsidR="00624D86" w:rsidRPr="000B7B30" w:rsidRDefault="00624D86" w:rsidP="009B65E0">
            <w:pPr>
              <w:rPr>
                <w:b/>
                <w:sz w:val="19"/>
                <w:szCs w:val="19"/>
              </w:rPr>
            </w:pPr>
            <w:r w:rsidRPr="000B7B30">
              <w:rPr>
                <w:b/>
                <w:sz w:val="19"/>
                <w:szCs w:val="19"/>
              </w:rPr>
              <w:t>Chapter 12. Contracting</w:t>
            </w:r>
          </w:p>
        </w:tc>
      </w:tr>
      <w:tr w:rsidR="00624D86" w:rsidTr="00624D86">
        <w:tc>
          <w:tcPr>
            <w:tcW w:w="1176" w:type="dxa"/>
          </w:tcPr>
          <w:p w:rsidR="00624D86" w:rsidRPr="000B7B30" w:rsidRDefault="00AD0144" w:rsidP="00AD0144">
            <w:pPr>
              <w:rPr>
                <w:sz w:val="19"/>
                <w:szCs w:val="19"/>
              </w:rPr>
            </w:pPr>
            <w:r w:rsidRPr="000B7B30">
              <w:rPr>
                <w:sz w:val="19"/>
                <w:szCs w:val="19"/>
              </w:rPr>
              <w:t>12-3</w:t>
            </w:r>
            <w:r w:rsidR="003A3740">
              <w:rPr>
                <w:sz w:val="19"/>
                <w:szCs w:val="19"/>
              </w:rPr>
              <w:t xml:space="preserve"> </w:t>
            </w:r>
            <w:r w:rsidRPr="000B7B30">
              <w:rPr>
                <w:sz w:val="19"/>
                <w:szCs w:val="19"/>
              </w:rPr>
              <w:t>&amp;</w:t>
            </w:r>
            <w:r w:rsidR="003A3740">
              <w:rPr>
                <w:sz w:val="19"/>
                <w:szCs w:val="19"/>
              </w:rPr>
              <w:t xml:space="preserve"> </w:t>
            </w:r>
            <w:r w:rsidRPr="000B7B30">
              <w:rPr>
                <w:sz w:val="19"/>
                <w:szCs w:val="19"/>
              </w:rPr>
              <w:t xml:space="preserve">12-6 </w:t>
            </w:r>
          </w:p>
        </w:tc>
        <w:tc>
          <w:tcPr>
            <w:tcW w:w="10254" w:type="dxa"/>
          </w:tcPr>
          <w:p w:rsidR="00624D86" w:rsidRPr="000B7B30" w:rsidRDefault="00AD0144" w:rsidP="009B65E0">
            <w:pPr>
              <w:rPr>
                <w:sz w:val="19"/>
                <w:szCs w:val="19"/>
              </w:rPr>
            </w:pPr>
            <w:r w:rsidRPr="000B7B30">
              <w:rPr>
                <w:sz w:val="19"/>
                <w:szCs w:val="19"/>
              </w:rPr>
              <w:t>Distinguishing Terms of Reference and Scope of Services.</w:t>
            </w:r>
          </w:p>
        </w:tc>
      </w:tr>
      <w:tr w:rsidR="00624D86" w:rsidTr="00624D86">
        <w:tc>
          <w:tcPr>
            <w:tcW w:w="11430" w:type="dxa"/>
            <w:gridSpan w:val="2"/>
          </w:tcPr>
          <w:p w:rsidR="00624D86" w:rsidRPr="000B7B30" w:rsidRDefault="00624D86" w:rsidP="009B65E0">
            <w:pPr>
              <w:rPr>
                <w:b/>
                <w:sz w:val="19"/>
                <w:szCs w:val="19"/>
              </w:rPr>
            </w:pPr>
            <w:r w:rsidRPr="000B7B30">
              <w:rPr>
                <w:b/>
                <w:sz w:val="19"/>
                <w:szCs w:val="19"/>
              </w:rPr>
              <w:t>Appendices</w:t>
            </w:r>
          </w:p>
        </w:tc>
      </w:tr>
      <w:tr w:rsidR="00624D86" w:rsidTr="00624D86">
        <w:tc>
          <w:tcPr>
            <w:tcW w:w="1176" w:type="dxa"/>
          </w:tcPr>
          <w:p w:rsidR="00624D86" w:rsidRPr="000B7B30" w:rsidRDefault="00624D86" w:rsidP="009B65E0">
            <w:pPr>
              <w:rPr>
                <w:sz w:val="19"/>
                <w:szCs w:val="19"/>
              </w:rPr>
            </w:pPr>
            <w:r w:rsidRPr="000B7B30">
              <w:rPr>
                <w:sz w:val="19"/>
                <w:szCs w:val="19"/>
              </w:rPr>
              <w:t>Appendix A</w:t>
            </w:r>
          </w:p>
          <w:p w:rsidR="00AD0144" w:rsidRPr="000B7B30" w:rsidRDefault="00AD0144" w:rsidP="009B65E0">
            <w:pPr>
              <w:rPr>
                <w:i/>
                <w:sz w:val="19"/>
                <w:szCs w:val="19"/>
              </w:rPr>
            </w:pPr>
          </w:p>
        </w:tc>
        <w:tc>
          <w:tcPr>
            <w:tcW w:w="10254" w:type="dxa"/>
          </w:tcPr>
          <w:p w:rsidR="00AD0144" w:rsidRPr="000B7B30" w:rsidRDefault="00AD0144" w:rsidP="00C453CC">
            <w:pPr>
              <w:rPr>
                <w:sz w:val="19"/>
                <w:szCs w:val="19"/>
              </w:rPr>
            </w:pPr>
            <w:r w:rsidRPr="000B7B30">
              <w:rPr>
                <w:sz w:val="19"/>
                <w:szCs w:val="19"/>
              </w:rPr>
              <w:t xml:space="preserve">Clearer presentation </w:t>
            </w:r>
            <w:r w:rsidR="00605341" w:rsidRPr="000B7B30">
              <w:rPr>
                <w:sz w:val="19"/>
                <w:szCs w:val="19"/>
              </w:rPr>
              <w:t>guidelines</w:t>
            </w:r>
            <w:r w:rsidR="00C453CC">
              <w:rPr>
                <w:sz w:val="19"/>
                <w:szCs w:val="19"/>
              </w:rPr>
              <w:t xml:space="preserve">. </w:t>
            </w:r>
            <w:r w:rsidRPr="000B7B30">
              <w:rPr>
                <w:sz w:val="19"/>
                <w:szCs w:val="19"/>
              </w:rPr>
              <w:t>PCD introduced</w:t>
            </w:r>
            <w:r w:rsidR="00C453CC">
              <w:rPr>
                <w:sz w:val="19"/>
                <w:szCs w:val="19"/>
              </w:rPr>
              <w:t xml:space="preserve">. </w:t>
            </w:r>
            <w:r w:rsidRPr="000B7B30">
              <w:rPr>
                <w:sz w:val="19"/>
                <w:szCs w:val="19"/>
              </w:rPr>
              <w:t>’Project Summary’ specifications revised</w:t>
            </w:r>
            <w:r w:rsidR="00C453CC">
              <w:rPr>
                <w:sz w:val="19"/>
                <w:szCs w:val="19"/>
              </w:rPr>
              <w:t xml:space="preserve">. </w:t>
            </w:r>
            <w:r w:rsidR="00605341" w:rsidRPr="000B7B30">
              <w:rPr>
                <w:sz w:val="19"/>
                <w:szCs w:val="19"/>
              </w:rPr>
              <w:t>’</w:t>
            </w:r>
            <w:r w:rsidRPr="000B7B30">
              <w:rPr>
                <w:sz w:val="19"/>
                <w:szCs w:val="19"/>
              </w:rPr>
              <w:t>Relevance</w:t>
            </w:r>
            <w:r w:rsidR="00605341" w:rsidRPr="000B7B30">
              <w:rPr>
                <w:sz w:val="19"/>
                <w:szCs w:val="19"/>
              </w:rPr>
              <w:t>’</w:t>
            </w:r>
            <w:r w:rsidRPr="000B7B30">
              <w:rPr>
                <w:sz w:val="19"/>
                <w:szCs w:val="19"/>
              </w:rPr>
              <w:t>: fund priorities added</w:t>
            </w:r>
            <w:r w:rsidR="00C453CC">
              <w:rPr>
                <w:sz w:val="19"/>
                <w:szCs w:val="19"/>
              </w:rPr>
              <w:t xml:space="preserve">. </w:t>
            </w:r>
            <w:r w:rsidRPr="000B7B30">
              <w:rPr>
                <w:sz w:val="19"/>
                <w:szCs w:val="19"/>
              </w:rPr>
              <w:t xml:space="preserve">’Objective’ defined as the project’s single overarching </w:t>
            </w:r>
            <w:r w:rsidR="00605341" w:rsidRPr="000B7B30">
              <w:rPr>
                <w:sz w:val="19"/>
                <w:szCs w:val="19"/>
              </w:rPr>
              <w:t>goal, supported by the project’s ‘Outcomes’</w:t>
            </w:r>
            <w:r w:rsidR="00C453CC">
              <w:rPr>
                <w:sz w:val="19"/>
                <w:szCs w:val="19"/>
              </w:rPr>
              <w:t xml:space="preserve">. </w:t>
            </w:r>
            <w:r w:rsidR="00605341" w:rsidRPr="000B7B30">
              <w:rPr>
                <w:sz w:val="19"/>
                <w:szCs w:val="19"/>
              </w:rPr>
              <w:t>’Work Plan’ required in simple table</w:t>
            </w:r>
            <w:r w:rsidR="00C453CC">
              <w:rPr>
                <w:sz w:val="19"/>
                <w:szCs w:val="19"/>
              </w:rPr>
              <w:t xml:space="preserve">. </w:t>
            </w:r>
            <w:r w:rsidR="00605341" w:rsidRPr="000B7B30">
              <w:rPr>
                <w:sz w:val="19"/>
                <w:szCs w:val="19"/>
              </w:rPr>
              <w:t>’Indicators’ for outcomes to be outlined.</w:t>
            </w:r>
          </w:p>
        </w:tc>
      </w:tr>
      <w:tr w:rsidR="00624D86" w:rsidTr="00624D86">
        <w:tc>
          <w:tcPr>
            <w:tcW w:w="1176" w:type="dxa"/>
          </w:tcPr>
          <w:p w:rsidR="00624D86" w:rsidRPr="000B7B30" w:rsidRDefault="00624D86" w:rsidP="009B65E0">
            <w:pPr>
              <w:rPr>
                <w:sz w:val="19"/>
                <w:szCs w:val="19"/>
              </w:rPr>
            </w:pPr>
            <w:r w:rsidRPr="000B7B30">
              <w:rPr>
                <w:sz w:val="19"/>
                <w:szCs w:val="19"/>
              </w:rPr>
              <w:t>Appendix B</w:t>
            </w:r>
          </w:p>
          <w:p w:rsidR="00605341" w:rsidRPr="000B7B30" w:rsidRDefault="00605341" w:rsidP="009B65E0">
            <w:pPr>
              <w:rPr>
                <w:i/>
                <w:sz w:val="19"/>
                <w:szCs w:val="19"/>
              </w:rPr>
            </w:pPr>
          </w:p>
        </w:tc>
        <w:tc>
          <w:tcPr>
            <w:tcW w:w="10254" w:type="dxa"/>
          </w:tcPr>
          <w:p w:rsidR="00624D86" w:rsidRPr="000B7B30" w:rsidRDefault="00605341" w:rsidP="00C453CC">
            <w:pPr>
              <w:rPr>
                <w:sz w:val="19"/>
                <w:szCs w:val="19"/>
              </w:rPr>
            </w:pPr>
            <w:r w:rsidRPr="000B7B30">
              <w:rPr>
                <w:sz w:val="19"/>
                <w:szCs w:val="19"/>
              </w:rPr>
              <w:t>Clearer presentation guidelines</w:t>
            </w:r>
            <w:r w:rsidR="00C453CC">
              <w:rPr>
                <w:sz w:val="19"/>
                <w:szCs w:val="19"/>
              </w:rPr>
              <w:t xml:space="preserve">. </w:t>
            </w:r>
            <w:r w:rsidRPr="000B7B30">
              <w:rPr>
                <w:sz w:val="19"/>
                <w:szCs w:val="19"/>
              </w:rPr>
              <w:t>PCD introduced</w:t>
            </w:r>
            <w:r w:rsidR="00C453CC">
              <w:rPr>
                <w:sz w:val="19"/>
                <w:szCs w:val="19"/>
              </w:rPr>
              <w:t xml:space="preserve">. </w:t>
            </w:r>
            <w:r w:rsidRPr="000B7B30">
              <w:rPr>
                <w:sz w:val="19"/>
                <w:szCs w:val="19"/>
              </w:rPr>
              <w:t>’Project Summary’ specifications revised</w:t>
            </w:r>
            <w:r w:rsidR="00C453CC">
              <w:rPr>
                <w:sz w:val="19"/>
                <w:szCs w:val="19"/>
              </w:rPr>
              <w:t xml:space="preserve">. </w:t>
            </w:r>
            <w:r w:rsidRPr="000B7B30">
              <w:rPr>
                <w:sz w:val="19"/>
                <w:szCs w:val="19"/>
              </w:rPr>
              <w:t>’Relevance’: fund priorities added</w:t>
            </w:r>
            <w:r w:rsidR="00C453CC">
              <w:rPr>
                <w:sz w:val="19"/>
                <w:szCs w:val="19"/>
              </w:rPr>
              <w:t xml:space="preserve">. </w:t>
            </w:r>
            <w:r w:rsidRPr="000B7B30">
              <w:rPr>
                <w:sz w:val="19"/>
                <w:szCs w:val="19"/>
              </w:rPr>
              <w:t>’Objective’ defined as the project’s single overarching goal, supported by the project’s ‘Outcomes’</w:t>
            </w:r>
            <w:r w:rsidR="00C453CC">
              <w:rPr>
                <w:sz w:val="19"/>
                <w:szCs w:val="19"/>
              </w:rPr>
              <w:t xml:space="preserve">. </w:t>
            </w:r>
            <w:r w:rsidRPr="000B7B30">
              <w:rPr>
                <w:sz w:val="19"/>
                <w:szCs w:val="19"/>
              </w:rPr>
              <w:t>’Outputs’ must be numbered and linked to Outcomes</w:t>
            </w:r>
            <w:r w:rsidR="00C453CC">
              <w:rPr>
                <w:sz w:val="19"/>
                <w:szCs w:val="19"/>
              </w:rPr>
              <w:t xml:space="preserve">. </w:t>
            </w:r>
            <w:r w:rsidRPr="000B7B30">
              <w:rPr>
                <w:sz w:val="19"/>
                <w:szCs w:val="19"/>
              </w:rPr>
              <w:t>’Outcomes’</w:t>
            </w:r>
            <w:r w:rsidR="001D1F76" w:rsidRPr="000B7B30">
              <w:rPr>
                <w:sz w:val="19"/>
                <w:szCs w:val="19"/>
              </w:rPr>
              <w:t xml:space="preserve"> are key to the objective and must be measurable and stem from the project</w:t>
            </w:r>
            <w:r w:rsidR="00C453CC">
              <w:rPr>
                <w:sz w:val="19"/>
                <w:szCs w:val="19"/>
              </w:rPr>
              <w:t xml:space="preserve">. </w:t>
            </w:r>
            <w:r w:rsidR="001D1F76" w:rsidRPr="000B7B30">
              <w:rPr>
                <w:sz w:val="19"/>
                <w:szCs w:val="19"/>
              </w:rPr>
              <w:t>’Work Plan’ should be tabular</w:t>
            </w:r>
            <w:r w:rsidR="00C453CC">
              <w:rPr>
                <w:sz w:val="19"/>
                <w:szCs w:val="19"/>
              </w:rPr>
              <w:t>. ‘</w:t>
            </w:r>
            <w:r w:rsidR="001D1F76" w:rsidRPr="000B7B30">
              <w:rPr>
                <w:sz w:val="19"/>
                <w:szCs w:val="19"/>
              </w:rPr>
              <w:t xml:space="preserve">Monitoring &amp; Evaluation’ define measures and indicators for Outputs and Outcomes. Data should be sex-disaggregated.  </w:t>
            </w:r>
            <w:r w:rsidRPr="000B7B30">
              <w:rPr>
                <w:sz w:val="19"/>
                <w:szCs w:val="19"/>
              </w:rPr>
              <w:t xml:space="preserve"> </w:t>
            </w:r>
          </w:p>
        </w:tc>
      </w:tr>
      <w:tr w:rsidR="00624D86" w:rsidTr="00624D86">
        <w:tc>
          <w:tcPr>
            <w:tcW w:w="1176" w:type="dxa"/>
          </w:tcPr>
          <w:p w:rsidR="00624D86" w:rsidRPr="000B7B30" w:rsidRDefault="00624D86" w:rsidP="009B65E0">
            <w:pPr>
              <w:rPr>
                <w:sz w:val="19"/>
                <w:szCs w:val="19"/>
              </w:rPr>
            </w:pPr>
            <w:r w:rsidRPr="000B7B30">
              <w:rPr>
                <w:sz w:val="19"/>
                <w:szCs w:val="19"/>
              </w:rPr>
              <w:t>Appendix C</w:t>
            </w:r>
          </w:p>
          <w:p w:rsidR="001D1F76" w:rsidRPr="000B7B30" w:rsidRDefault="001D1F76" w:rsidP="009B65E0">
            <w:pPr>
              <w:rPr>
                <w:i/>
                <w:sz w:val="19"/>
                <w:szCs w:val="19"/>
              </w:rPr>
            </w:pPr>
          </w:p>
        </w:tc>
        <w:tc>
          <w:tcPr>
            <w:tcW w:w="10254" w:type="dxa"/>
          </w:tcPr>
          <w:p w:rsidR="00624D86" w:rsidRPr="000B7B30" w:rsidRDefault="00624D86" w:rsidP="009B65E0">
            <w:pPr>
              <w:rPr>
                <w:sz w:val="19"/>
                <w:szCs w:val="19"/>
              </w:rPr>
            </w:pPr>
            <w:r w:rsidRPr="000B7B30">
              <w:rPr>
                <w:sz w:val="19"/>
                <w:szCs w:val="19"/>
              </w:rPr>
              <w:t>Extended length to 3 pages (to match at least the Concept Note template)</w:t>
            </w:r>
          </w:p>
        </w:tc>
      </w:tr>
      <w:tr w:rsidR="00624D86" w:rsidTr="00624D86">
        <w:tc>
          <w:tcPr>
            <w:tcW w:w="1176" w:type="dxa"/>
          </w:tcPr>
          <w:p w:rsidR="00624D86" w:rsidRPr="000B7B30" w:rsidRDefault="00CF7D89" w:rsidP="009B65E0">
            <w:pPr>
              <w:rPr>
                <w:sz w:val="19"/>
                <w:szCs w:val="19"/>
              </w:rPr>
            </w:pPr>
            <w:r w:rsidRPr="000B7B30">
              <w:rPr>
                <w:sz w:val="19"/>
                <w:szCs w:val="19"/>
              </w:rPr>
              <w:t>Appendix D</w:t>
            </w:r>
          </w:p>
          <w:p w:rsidR="00CF7D89" w:rsidRPr="000B7B30" w:rsidRDefault="00CF7D89" w:rsidP="009B65E0">
            <w:pPr>
              <w:rPr>
                <w:i/>
                <w:sz w:val="19"/>
                <w:szCs w:val="19"/>
              </w:rPr>
            </w:pPr>
          </w:p>
        </w:tc>
        <w:tc>
          <w:tcPr>
            <w:tcW w:w="10254" w:type="dxa"/>
          </w:tcPr>
          <w:p w:rsidR="00624D86" w:rsidRPr="000B7B30" w:rsidRDefault="00CF7D89" w:rsidP="009B65E0">
            <w:pPr>
              <w:rPr>
                <w:sz w:val="19"/>
                <w:szCs w:val="19"/>
              </w:rPr>
            </w:pPr>
            <w:r w:rsidRPr="000B7B30">
              <w:rPr>
                <w:sz w:val="19"/>
                <w:szCs w:val="19"/>
              </w:rPr>
              <w:t>Added ‘Outcomes’ to analysis</w:t>
            </w:r>
            <w:r w:rsidR="005B64AA" w:rsidRPr="000B7B30">
              <w:rPr>
                <w:sz w:val="19"/>
                <w:szCs w:val="19"/>
              </w:rPr>
              <w:t>.</w:t>
            </w:r>
          </w:p>
        </w:tc>
      </w:tr>
      <w:tr w:rsidR="00624D86" w:rsidTr="00624D86">
        <w:tc>
          <w:tcPr>
            <w:tcW w:w="1176" w:type="dxa"/>
          </w:tcPr>
          <w:p w:rsidR="00624D86" w:rsidRPr="000B7B30" w:rsidRDefault="00CF7D89" w:rsidP="009B65E0">
            <w:pPr>
              <w:rPr>
                <w:sz w:val="19"/>
                <w:szCs w:val="19"/>
              </w:rPr>
            </w:pPr>
            <w:r w:rsidRPr="000B7B30">
              <w:rPr>
                <w:sz w:val="19"/>
                <w:szCs w:val="19"/>
              </w:rPr>
              <w:t>Appendix E</w:t>
            </w:r>
          </w:p>
          <w:p w:rsidR="00CF7D89" w:rsidRPr="000B7B30" w:rsidRDefault="00CF7D89" w:rsidP="009B65E0">
            <w:pPr>
              <w:rPr>
                <w:i/>
                <w:sz w:val="19"/>
                <w:szCs w:val="19"/>
              </w:rPr>
            </w:pPr>
          </w:p>
        </w:tc>
        <w:tc>
          <w:tcPr>
            <w:tcW w:w="10254" w:type="dxa"/>
          </w:tcPr>
          <w:p w:rsidR="00624D86" w:rsidRPr="000B7B30" w:rsidRDefault="00CF7D89" w:rsidP="00C453CC">
            <w:pPr>
              <w:rPr>
                <w:sz w:val="19"/>
                <w:szCs w:val="19"/>
              </w:rPr>
            </w:pPr>
            <w:r w:rsidRPr="000B7B30">
              <w:rPr>
                <w:sz w:val="19"/>
                <w:szCs w:val="19"/>
              </w:rPr>
              <w:t>Requirement to actively cross-reference the Project Proposal</w:t>
            </w:r>
            <w:r w:rsidR="00C453CC">
              <w:rPr>
                <w:sz w:val="19"/>
                <w:szCs w:val="19"/>
              </w:rPr>
              <w:t xml:space="preserve">. A </w:t>
            </w:r>
            <w:r w:rsidR="00B01043" w:rsidRPr="000B7B30">
              <w:rPr>
                <w:sz w:val="19"/>
                <w:szCs w:val="19"/>
              </w:rPr>
              <w:t>focus on ‘Outcomes’</w:t>
            </w:r>
            <w:r w:rsidR="00C453CC">
              <w:rPr>
                <w:sz w:val="19"/>
                <w:szCs w:val="19"/>
              </w:rPr>
              <w:t>.</w:t>
            </w:r>
            <w:r w:rsidRPr="000B7B30">
              <w:rPr>
                <w:sz w:val="19"/>
                <w:szCs w:val="19"/>
              </w:rPr>
              <w:t xml:space="preserve"> </w:t>
            </w:r>
          </w:p>
        </w:tc>
      </w:tr>
      <w:tr w:rsidR="00B01043" w:rsidTr="00624D86">
        <w:tc>
          <w:tcPr>
            <w:tcW w:w="1176" w:type="dxa"/>
          </w:tcPr>
          <w:p w:rsidR="00B01043" w:rsidRPr="000B7B30" w:rsidRDefault="00B01043" w:rsidP="009B65E0">
            <w:pPr>
              <w:rPr>
                <w:sz w:val="19"/>
                <w:szCs w:val="19"/>
              </w:rPr>
            </w:pPr>
            <w:r w:rsidRPr="000B7B30">
              <w:rPr>
                <w:sz w:val="19"/>
                <w:szCs w:val="19"/>
              </w:rPr>
              <w:t>Appendix F</w:t>
            </w:r>
          </w:p>
          <w:p w:rsidR="00B01043" w:rsidRPr="000B7B30" w:rsidRDefault="00B01043" w:rsidP="009B65E0">
            <w:pPr>
              <w:rPr>
                <w:i/>
                <w:sz w:val="19"/>
                <w:szCs w:val="19"/>
              </w:rPr>
            </w:pPr>
          </w:p>
        </w:tc>
        <w:tc>
          <w:tcPr>
            <w:tcW w:w="10254" w:type="dxa"/>
          </w:tcPr>
          <w:p w:rsidR="00B01043" w:rsidRPr="000B7B30" w:rsidRDefault="00B01043" w:rsidP="003A3740">
            <w:pPr>
              <w:rPr>
                <w:sz w:val="19"/>
                <w:szCs w:val="19"/>
              </w:rPr>
            </w:pPr>
            <w:r w:rsidRPr="000B7B30">
              <w:rPr>
                <w:sz w:val="19"/>
                <w:szCs w:val="19"/>
              </w:rPr>
              <w:t>Form restructured</w:t>
            </w:r>
            <w:r w:rsidR="003A3740">
              <w:rPr>
                <w:sz w:val="19"/>
                <w:szCs w:val="19"/>
              </w:rPr>
              <w:t xml:space="preserve">. </w:t>
            </w:r>
            <w:r w:rsidR="00847862" w:rsidRPr="000B7B30">
              <w:rPr>
                <w:sz w:val="19"/>
                <w:szCs w:val="19"/>
              </w:rPr>
              <w:t>’O</w:t>
            </w:r>
            <w:r w:rsidR="003A3740">
              <w:rPr>
                <w:sz w:val="19"/>
                <w:szCs w:val="19"/>
              </w:rPr>
              <w:t>utcomes’ and ‘Objective’ considered</w:t>
            </w:r>
            <w:r w:rsidR="00847862" w:rsidRPr="000B7B30">
              <w:rPr>
                <w:sz w:val="19"/>
                <w:szCs w:val="19"/>
              </w:rPr>
              <w:t xml:space="preserve"> together</w:t>
            </w:r>
            <w:r w:rsidR="003A3740">
              <w:rPr>
                <w:sz w:val="19"/>
                <w:szCs w:val="19"/>
              </w:rPr>
              <w:t xml:space="preserve">. </w:t>
            </w:r>
            <w:r w:rsidR="00847862" w:rsidRPr="000B7B30">
              <w:rPr>
                <w:sz w:val="19"/>
                <w:szCs w:val="19"/>
              </w:rPr>
              <w:t>’Capacity Building’ and ‘Medium Term Changes</w:t>
            </w:r>
            <w:r w:rsidR="003A3740">
              <w:rPr>
                <w:sz w:val="19"/>
                <w:szCs w:val="19"/>
              </w:rPr>
              <w:t>’ treated in dedicated questions.</w:t>
            </w:r>
          </w:p>
        </w:tc>
      </w:tr>
    </w:tbl>
    <w:p w:rsidR="00EF141B" w:rsidRPr="00190B74" w:rsidRDefault="00EF141B" w:rsidP="00D44EFC">
      <w:pPr>
        <w:rPr>
          <w:i/>
          <w:sz w:val="16"/>
        </w:rPr>
      </w:pPr>
    </w:p>
    <w:sectPr w:rsidR="00EF141B" w:rsidRPr="00190B74" w:rsidSect="00EA2F46">
      <w:headerReference w:type="default" r:id="rId6"/>
      <w:pgSz w:w="12240" w:h="15840"/>
      <w:pgMar w:top="0" w:right="1440" w:bottom="45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FC" w:rsidRDefault="00D44EFC" w:rsidP="00D44EFC">
      <w:pPr>
        <w:spacing w:after="0" w:line="240" w:lineRule="auto"/>
      </w:pPr>
      <w:r>
        <w:separator/>
      </w:r>
    </w:p>
  </w:endnote>
  <w:endnote w:type="continuationSeparator" w:id="0">
    <w:p w:rsidR="00D44EFC" w:rsidRDefault="00D44EFC" w:rsidP="00D4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FC" w:rsidRDefault="00D44EFC" w:rsidP="00D44EFC">
      <w:pPr>
        <w:spacing w:after="0" w:line="240" w:lineRule="auto"/>
      </w:pPr>
      <w:r>
        <w:separator/>
      </w:r>
    </w:p>
  </w:footnote>
  <w:footnote w:type="continuationSeparator" w:id="0">
    <w:p w:rsidR="00D44EFC" w:rsidRDefault="00D44EFC" w:rsidP="00D4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46" w:rsidRDefault="00EA2F46" w:rsidP="00D44EFC">
    <w:pPr>
      <w:pStyle w:val="Header"/>
      <w:jc w:val="right"/>
      <w:rPr>
        <w:b/>
        <w:u w:val="single"/>
      </w:rPr>
    </w:pPr>
  </w:p>
  <w:p w:rsidR="00D44EFC" w:rsidRPr="00EA2F46" w:rsidRDefault="00D44EFC" w:rsidP="00D44EFC">
    <w:pPr>
      <w:pStyle w:val="Header"/>
      <w:jc w:val="right"/>
      <w:rPr>
        <w:rFonts w:ascii="Arial" w:hAnsi="Arial" w:cs="Arial"/>
        <w:b/>
        <w:sz w:val="18"/>
        <w:szCs w:val="18"/>
        <w:u w:val="single"/>
      </w:rPr>
    </w:pPr>
    <w:r w:rsidRPr="00EA2F46">
      <w:rPr>
        <w:rFonts w:ascii="Arial" w:hAnsi="Arial" w:cs="Arial"/>
        <w:b/>
        <w:sz w:val="18"/>
        <w:szCs w:val="18"/>
        <w:u w:val="single"/>
      </w:rPr>
      <w:t>2018\SOM3\BMC2\013</w:t>
    </w:r>
    <w:r w:rsidR="00192D0B" w:rsidRPr="00EA2F46">
      <w:rPr>
        <w:rFonts w:ascii="Arial" w:hAnsi="Arial" w:cs="Arial"/>
        <w:b/>
        <w:sz w:val="18"/>
        <w:szCs w:val="18"/>
        <w:u w:val="single"/>
      </w:rPr>
      <w:t xml:space="preserve"> </w:t>
    </w:r>
  </w:p>
  <w:p w:rsidR="00192D0B" w:rsidRPr="00EA2F46" w:rsidRDefault="00192D0B" w:rsidP="00D44EFC">
    <w:pPr>
      <w:pStyle w:val="Header"/>
      <w:jc w:val="right"/>
      <w:rPr>
        <w:rFonts w:ascii="Arial" w:hAnsi="Arial" w:cs="Arial"/>
        <w:sz w:val="18"/>
        <w:szCs w:val="18"/>
      </w:rPr>
    </w:pPr>
    <w:r w:rsidRPr="00EA2F46">
      <w:rPr>
        <w:rFonts w:ascii="Arial" w:hAnsi="Arial" w:cs="Arial"/>
        <w:sz w:val="18"/>
        <w:szCs w:val="18"/>
      </w:rPr>
      <w:t>Annex C</w:t>
    </w:r>
  </w:p>
  <w:p w:rsidR="00D44EFC" w:rsidRPr="00EA2F46" w:rsidRDefault="00D44EFC" w:rsidP="00D44EFC">
    <w:pPr>
      <w:pStyle w:val="Header"/>
      <w:jc w:val="right"/>
      <w:rPr>
        <w:rFonts w:ascii="Arial" w:hAnsi="Arial" w:cs="Arial"/>
        <w:sz w:val="18"/>
        <w:szCs w:val="18"/>
      </w:rPr>
    </w:pPr>
    <w:r w:rsidRPr="00EA2F46">
      <w:rPr>
        <w:rFonts w:ascii="Arial" w:hAnsi="Arial" w:cs="Arial"/>
        <w:sz w:val="18"/>
        <w:szCs w:val="18"/>
      </w:rPr>
      <w:t>Page 1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79"/>
    <w:rsid w:val="00017B40"/>
    <w:rsid w:val="00017C64"/>
    <w:rsid w:val="000943D4"/>
    <w:rsid w:val="000B05C8"/>
    <w:rsid w:val="000B3698"/>
    <w:rsid w:val="000B7B30"/>
    <w:rsid w:val="00102C3E"/>
    <w:rsid w:val="0012792D"/>
    <w:rsid w:val="00136E00"/>
    <w:rsid w:val="00190B74"/>
    <w:rsid w:val="00192D0B"/>
    <w:rsid w:val="00196E5F"/>
    <w:rsid w:val="001D1F76"/>
    <w:rsid w:val="001D3BBE"/>
    <w:rsid w:val="00217F89"/>
    <w:rsid w:val="00240265"/>
    <w:rsid w:val="002469EA"/>
    <w:rsid w:val="00287BE9"/>
    <w:rsid w:val="002930C0"/>
    <w:rsid w:val="002C0AD9"/>
    <w:rsid w:val="002D2A28"/>
    <w:rsid w:val="002E2400"/>
    <w:rsid w:val="002E7C75"/>
    <w:rsid w:val="0030053B"/>
    <w:rsid w:val="00336ACB"/>
    <w:rsid w:val="00344753"/>
    <w:rsid w:val="003A3740"/>
    <w:rsid w:val="003C04D0"/>
    <w:rsid w:val="003D0DD6"/>
    <w:rsid w:val="003E4028"/>
    <w:rsid w:val="003E459D"/>
    <w:rsid w:val="00407161"/>
    <w:rsid w:val="00442388"/>
    <w:rsid w:val="004501D2"/>
    <w:rsid w:val="005104A7"/>
    <w:rsid w:val="0055195C"/>
    <w:rsid w:val="00555690"/>
    <w:rsid w:val="00562397"/>
    <w:rsid w:val="00565C75"/>
    <w:rsid w:val="005B64AA"/>
    <w:rsid w:val="00605341"/>
    <w:rsid w:val="006208CB"/>
    <w:rsid w:val="00624D86"/>
    <w:rsid w:val="0066681A"/>
    <w:rsid w:val="006967EC"/>
    <w:rsid w:val="006C4235"/>
    <w:rsid w:val="006C58A2"/>
    <w:rsid w:val="00761584"/>
    <w:rsid w:val="007759A5"/>
    <w:rsid w:val="007915A8"/>
    <w:rsid w:val="007B348A"/>
    <w:rsid w:val="007D02DB"/>
    <w:rsid w:val="00813039"/>
    <w:rsid w:val="008210D1"/>
    <w:rsid w:val="00823C44"/>
    <w:rsid w:val="00830903"/>
    <w:rsid w:val="00847862"/>
    <w:rsid w:val="00863741"/>
    <w:rsid w:val="0087163F"/>
    <w:rsid w:val="0089616B"/>
    <w:rsid w:val="008B6639"/>
    <w:rsid w:val="00921140"/>
    <w:rsid w:val="00926CC0"/>
    <w:rsid w:val="0093488E"/>
    <w:rsid w:val="009537A0"/>
    <w:rsid w:val="00981900"/>
    <w:rsid w:val="009B65E0"/>
    <w:rsid w:val="009E0BCA"/>
    <w:rsid w:val="009F0393"/>
    <w:rsid w:val="00A1100F"/>
    <w:rsid w:val="00A34A0B"/>
    <w:rsid w:val="00A4524B"/>
    <w:rsid w:val="00A847C3"/>
    <w:rsid w:val="00AC6DD0"/>
    <w:rsid w:val="00AD0144"/>
    <w:rsid w:val="00AE1CEE"/>
    <w:rsid w:val="00AF1945"/>
    <w:rsid w:val="00B01043"/>
    <w:rsid w:val="00B1225F"/>
    <w:rsid w:val="00B145E2"/>
    <w:rsid w:val="00B44378"/>
    <w:rsid w:val="00B571AF"/>
    <w:rsid w:val="00B94747"/>
    <w:rsid w:val="00C32B6A"/>
    <w:rsid w:val="00C453CC"/>
    <w:rsid w:val="00C529DC"/>
    <w:rsid w:val="00C72B4F"/>
    <w:rsid w:val="00C94F3C"/>
    <w:rsid w:val="00CE0620"/>
    <w:rsid w:val="00CF58F3"/>
    <w:rsid w:val="00CF7D89"/>
    <w:rsid w:val="00D44EFC"/>
    <w:rsid w:val="00D73667"/>
    <w:rsid w:val="00D80182"/>
    <w:rsid w:val="00DC1279"/>
    <w:rsid w:val="00DC641A"/>
    <w:rsid w:val="00DF4C6F"/>
    <w:rsid w:val="00DF61F5"/>
    <w:rsid w:val="00E70A30"/>
    <w:rsid w:val="00E81FF6"/>
    <w:rsid w:val="00E91D88"/>
    <w:rsid w:val="00EA2F46"/>
    <w:rsid w:val="00EC1F61"/>
    <w:rsid w:val="00EF141B"/>
    <w:rsid w:val="00F05070"/>
    <w:rsid w:val="00F42B49"/>
    <w:rsid w:val="00F56C09"/>
    <w:rsid w:val="00F96E90"/>
    <w:rsid w:val="00FA0D9B"/>
    <w:rsid w:val="00FC58AB"/>
    <w:rsid w:val="00F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D324DA5-4CDE-4460-9239-1B0FCEF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C75"/>
    <w:rPr>
      <w:color w:val="0563C1" w:themeColor="hyperlink"/>
      <w:u w:val="single"/>
    </w:rPr>
  </w:style>
  <w:style w:type="paragraph" w:styleId="ListParagraph">
    <w:name w:val="List Paragraph"/>
    <w:basedOn w:val="Normal"/>
    <w:uiPriority w:val="34"/>
    <w:qFormat/>
    <w:rsid w:val="00AD0144"/>
    <w:pPr>
      <w:ind w:left="720"/>
      <w:contextualSpacing/>
    </w:pPr>
  </w:style>
  <w:style w:type="paragraph" w:styleId="Header">
    <w:name w:val="header"/>
    <w:basedOn w:val="Normal"/>
    <w:link w:val="HeaderChar"/>
    <w:uiPriority w:val="99"/>
    <w:unhideWhenUsed/>
    <w:rsid w:val="00D44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FC"/>
  </w:style>
  <w:style w:type="paragraph" w:styleId="Footer">
    <w:name w:val="footer"/>
    <w:basedOn w:val="Normal"/>
    <w:link w:val="FooterChar"/>
    <w:uiPriority w:val="99"/>
    <w:unhideWhenUsed/>
    <w:rsid w:val="00D44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FC"/>
  </w:style>
  <w:style w:type="paragraph" w:styleId="BalloonText">
    <w:name w:val="Balloon Text"/>
    <w:basedOn w:val="Normal"/>
    <w:link w:val="BalloonTextChar"/>
    <w:uiPriority w:val="99"/>
    <w:semiHidden/>
    <w:unhideWhenUsed/>
    <w:rsid w:val="00192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cp:lastPrinted>2018-08-07T07:38:00Z</cp:lastPrinted>
  <dcterms:created xsi:type="dcterms:W3CDTF">2018-11-02T04:55:00Z</dcterms:created>
  <dcterms:modified xsi:type="dcterms:W3CDTF">2018-11-02T04:55:00Z</dcterms:modified>
</cp:coreProperties>
</file>