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C3" w:rsidRDefault="00887A30">
      <w:pPr>
        <w:pStyle w:val="Title"/>
      </w:pPr>
      <w:r w:rsidRPr="006B2303">
        <w:rPr>
          <w:sz w:val="36"/>
          <w:szCs w:val="36"/>
        </w:rPr>
        <w:t>APEC</w:t>
      </w:r>
      <w:r w:rsidR="005361D3" w:rsidRPr="006B2303">
        <w:rPr>
          <w:sz w:val="36"/>
          <w:szCs w:val="36"/>
        </w:rPr>
        <w:t xml:space="preserve"> </w:t>
      </w:r>
      <w:r w:rsidRPr="006B2303">
        <w:rPr>
          <w:sz w:val="36"/>
          <w:szCs w:val="36"/>
        </w:rPr>
        <w:t>P</w:t>
      </w:r>
      <w:r w:rsidRPr="006B2303">
        <w:rPr>
          <w:caps w:val="0"/>
          <w:sz w:val="36"/>
          <w:szCs w:val="36"/>
        </w:rPr>
        <w:t>rojects</w:t>
      </w:r>
      <w:r>
        <w:br/>
      </w:r>
      <w:r>
        <w:rPr>
          <w:caps w:val="0"/>
          <w:sz w:val="32"/>
        </w:rPr>
        <w:t>P</w:t>
      </w:r>
      <w:r w:rsidRPr="00887A30">
        <w:rPr>
          <w:caps w:val="0"/>
          <w:sz w:val="32"/>
        </w:rPr>
        <w:t xml:space="preserve">roject </w:t>
      </w:r>
      <w:r>
        <w:rPr>
          <w:caps w:val="0"/>
          <w:sz w:val="32"/>
        </w:rPr>
        <w:t>S</w:t>
      </w:r>
      <w:r w:rsidRPr="00887A30">
        <w:rPr>
          <w:caps w:val="0"/>
          <w:sz w:val="32"/>
        </w:rPr>
        <w:t>ession 1, 2018</w:t>
      </w:r>
      <w:r w:rsidR="00B52B39">
        <w:rPr>
          <w:caps w:val="0"/>
          <w:sz w:val="32"/>
        </w:rPr>
        <w:t>: Overview of Changes</w:t>
      </w:r>
    </w:p>
    <w:p w:rsidR="005564C3" w:rsidRDefault="00F91ED8">
      <w:pPr>
        <w:pStyle w:val="Subtitle"/>
      </w:pPr>
      <w:r>
        <w:t>APEC Project Management Unit</w:t>
      </w:r>
      <w:r w:rsidR="00AE5DA6">
        <w:t xml:space="preserve"> </w:t>
      </w:r>
    </w:p>
    <w:p w:rsidR="005564C3" w:rsidRDefault="003D6B93" w:rsidP="006B2303">
      <w:pPr>
        <w:pStyle w:val="Heading1"/>
        <w:spacing w:before="240"/>
      </w:pPr>
      <w:r>
        <w:t>Overview</w:t>
      </w:r>
      <w:bookmarkStart w:id="0" w:name="_GoBack"/>
      <w:bookmarkEnd w:id="0"/>
    </w:p>
    <w:p w:rsidR="007E6EC4" w:rsidRPr="006B2303" w:rsidRDefault="00426421" w:rsidP="00FE7C8D">
      <w:pPr>
        <w:rPr>
          <w:sz w:val="21"/>
          <w:szCs w:val="21"/>
        </w:rPr>
      </w:pPr>
      <w:r w:rsidRPr="006B2303">
        <w:rPr>
          <w:sz w:val="21"/>
          <w:szCs w:val="21"/>
        </w:rPr>
        <w:t xml:space="preserve">The </w:t>
      </w:r>
      <w:r w:rsidR="007E6EC4" w:rsidRPr="006B2303">
        <w:rPr>
          <w:sz w:val="21"/>
          <w:szCs w:val="21"/>
        </w:rPr>
        <w:t xml:space="preserve">way </w:t>
      </w:r>
      <w:r w:rsidRPr="006B2303">
        <w:rPr>
          <w:sz w:val="21"/>
          <w:szCs w:val="21"/>
        </w:rPr>
        <w:t>APEC</w:t>
      </w:r>
      <w:r w:rsidR="007E6EC4" w:rsidRPr="006B2303">
        <w:rPr>
          <w:sz w:val="21"/>
          <w:szCs w:val="21"/>
        </w:rPr>
        <w:t xml:space="preserve"> </w:t>
      </w:r>
      <w:r w:rsidR="00086DC1" w:rsidRPr="006B2303">
        <w:rPr>
          <w:sz w:val="21"/>
          <w:szCs w:val="21"/>
        </w:rPr>
        <w:t>P</w:t>
      </w:r>
      <w:r w:rsidRPr="006B2303">
        <w:rPr>
          <w:sz w:val="21"/>
          <w:szCs w:val="21"/>
        </w:rPr>
        <w:t>rojects</w:t>
      </w:r>
      <w:r w:rsidR="007E6EC4" w:rsidRPr="006B2303">
        <w:rPr>
          <w:sz w:val="21"/>
          <w:szCs w:val="21"/>
        </w:rPr>
        <w:t xml:space="preserve"> are selected fo</w:t>
      </w:r>
      <w:r w:rsidR="00F91ED8" w:rsidRPr="006B2303">
        <w:rPr>
          <w:sz w:val="21"/>
          <w:szCs w:val="21"/>
        </w:rPr>
        <w:t xml:space="preserve">r funding will change in 2018. </w:t>
      </w:r>
      <w:r w:rsidR="007E6EC4" w:rsidRPr="006B2303">
        <w:rPr>
          <w:sz w:val="21"/>
          <w:szCs w:val="21"/>
        </w:rPr>
        <w:t xml:space="preserve">The purpose of this overview is to </w:t>
      </w:r>
      <w:r w:rsidR="00F91ED8" w:rsidRPr="006B2303">
        <w:rPr>
          <w:sz w:val="21"/>
          <w:szCs w:val="21"/>
        </w:rPr>
        <w:t>provide Project Overseers (POs) and APEC forum members</w:t>
      </w:r>
      <w:r w:rsidR="007E6EC4" w:rsidRPr="006B2303">
        <w:rPr>
          <w:sz w:val="21"/>
          <w:szCs w:val="21"/>
        </w:rPr>
        <w:t xml:space="preserve"> with a summary of the changes they can expect</w:t>
      </w:r>
      <w:r w:rsidR="00F91ED8" w:rsidRPr="006B2303">
        <w:rPr>
          <w:sz w:val="21"/>
          <w:szCs w:val="21"/>
        </w:rPr>
        <w:t xml:space="preserve"> </w:t>
      </w:r>
      <w:r w:rsidR="00AE5DA6" w:rsidRPr="006B2303">
        <w:rPr>
          <w:sz w:val="21"/>
          <w:szCs w:val="21"/>
        </w:rPr>
        <w:t>regarding the</w:t>
      </w:r>
      <w:r w:rsidR="00F91ED8" w:rsidRPr="006B2303">
        <w:rPr>
          <w:sz w:val="21"/>
          <w:szCs w:val="21"/>
        </w:rPr>
        <w:t xml:space="preserve"> way APEC Projects are selected, </w:t>
      </w:r>
      <w:r w:rsidR="00191144" w:rsidRPr="006B2303">
        <w:rPr>
          <w:sz w:val="21"/>
          <w:szCs w:val="21"/>
        </w:rPr>
        <w:t>as</w:t>
      </w:r>
      <w:r w:rsidR="00AE5DA6" w:rsidRPr="006B2303">
        <w:rPr>
          <w:sz w:val="21"/>
          <w:szCs w:val="21"/>
        </w:rPr>
        <w:t xml:space="preserve"> </w:t>
      </w:r>
      <w:r w:rsidR="00191144" w:rsidRPr="006B2303">
        <w:rPr>
          <w:sz w:val="21"/>
          <w:szCs w:val="21"/>
        </w:rPr>
        <w:t xml:space="preserve">well as </w:t>
      </w:r>
      <w:r w:rsidR="00F91ED8" w:rsidRPr="006B2303">
        <w:rPr>
          <w:sz w:val="21"/>
          <w:szCs w:val="21"/>
        </w:rPr>
        <w:t xml:space="preserve">an overview of some </w:t>
      </w:r>
      <w:r w:rsidR="005D00BD" w:rsidRPr="006B2303">
        <w:rPr>
          <w:sz w:val="21"/>
          <w:szCs w:val="21"/>
        </w:rPr>
        <w:t xml:space="preserve">of the </w:t>
      </w:r>
      <w:r w:rsidR="00F91ED8" w:rsidRPr="006B2303">
        <w:rPr>
          <w:sz w:val="21"/>
          <w:szCs w:val="21"/>
        </w:rPr>
        <w:t>other changes in support of project governance</w:t>
      </w:r>
      <w:r w:rsidR="005D00BD" w:rsidRPr="006B2303">
        <w:rPr>
          <w:sz w:val="21"/>
          <w:szCs w:val="21"/>
        </w:rPr>
        <w:t>.</w:t>
      </w:r>
    </w:p>
    <w:p w:rsidR="00E25C12" w:rsidRPr="006B2303" w:rsidRDefault="00AE5DA6" w:rsidP="00FE7C8D">
      <w:pPr>
        <w:rPr>
          <w:sz w:val="21"/>
          <w:szCs w:val="21"/>
        </w:rPr>
      </w:pPr>
      <w:r w:rsidRPr="006B2303">
        <w:rPr>
          <w:sz w:val="21"/>
          <w:szCs w:val="21"/>
        </w:rPr>
        <w:t xml:space="preserve">The </w:t>
      </w:r>
      <w:r w:rsidR="00426421" w:rsidRPr="006B2303">
        <w:rPr>
          <w:sz w:val="21"/>
          <w:szCs w:val="21"/>
        </w:rPr>
        <w:t>ne</w:t>
      </w:r>
      <w:r w:rsidR="00086DC1" w:rsidRPr="006B2303">
        <w:rPr>
          <w:sz w:val="21"/>
          <w:szCs w:val="21"/>
        </w:rPr>
        <w:t xml:space="preserve">w selection process </w:t>
      </w:r>
      <w:r w:rsidR="003A76BB" w:rsidRPr="006B2303">
        <w:rPr>
          <w:sz w:val="21"/>
          <w:szCs w:val="21"/>
        </w:rPr>
        <w:t xml:space="preserve">will be based on </w:t>
      </w:r>
      <w:r w:rsidR="0018098A" w:rsidRPr="006B2303">
        <w:rPr>
          <w:sz w:val="21"/>
          <w:szCs w:val="21"/>
        </w:rPr>
        <w:t>an updated</w:t>
      </w:r>
      <w:r w:rsidR="003A76BB" w:rsidRPr="006B2303">
        <w:rPr>
          <w:sz w:val="21"/>
          <w:szCs w:val="21"/>
        </w:rPr>
        <w:t xml:space="preserve"> Concept Note (CN) template </w:t>
      </w:r>
      <w:r w:rsidR="00F91ED8" w:rsidRPr="006B2303">
        <w:rPr>
          <w:sz w:val="21"/>
          <w:szCs w:val="21"/>
        </w:rPr>
        <w:t xml:space="preserve">and a </w:t>
      </w:r>
      <w:r w:rsidR="003A76BB" w:rsidRPr="006B2303">
        <w:rPr>
          <w:sz w:val="21"/>
          <w:szCs w:val="21"/>
        </w:rPr>
        <w:t>new APEC Scoring Te</w:t>
      </w:r>
      <w:r w:rsidR="007E6EC4" w:rsidRPr="006B2303">
        <w:rPr>
          <w:sz w:val="21"/>
          <w:szCs w:val="21"/>
        </w:rPr>
        <w:t xml:space="preserve">mplate </w:t>
      </w:r>
      <w:r w:rsidR="00191144" w:rsidRPr="006B2303">
        <w:rPr>
          <w:sz w:val="21"/>
          <w:szCs w:val="21"/>
        </w:rPr>
        <w:t xml:space="preserve">which will used </w:t>
      </w:r>
      <w:r w:rsidRPr="006B2303">
        <w:rPr>
          <w:sz w:val="21"/>
          <w:szCs w:val="21"/>
        </w:rPr>
        <w:t>t</w:t>
      </w:r>
      <w:r w:rsidR="007E6EC4" w:rsidRPr="006B2303">
        <w:rPr>
          <w:sz w:val="21"/>
          <w:szCs w:val="21"/>
        </w:rPr>
        <w:t xml:space="preserve">o </w:t>
      </w:r>
      <w:r w:rsidR="00191144" w:rsidRPr="006B2303">
        <w:rPr>
          <w:sz w:val="21"/>
          <w:szCs w:val="21"/>
        </w:rPr>
        <w:t>support</w:t>
      </w:r>
      <w:r w:rsidR="007E6EC4" w:rsidRPr="006B2303">
        <w:rPr>
          <w:sz w:val="21"/>
          <w:szCs w:val="21"/>
        </w:rPr>
        <w:t xml:space="preserve"> </w:t>
      </w:r>
      <w:r w:rsidR="00191144" w:rsidRPr="006B2303">
        <w:rPr>
          <w:sz w:val="21"/>
          <w:szCs w:val="21"/>
        </w:rPr>
        <w:t xml:space="preserve">both project </w:t>
      </w:r>
      <w:r w:rsidR="007E6EC4" w:rsidRPr="006B2303">
        <w:rPr>
          <w:sz w:val="21"/>
          <w:szCs w:val="21"/>
        </w:rPr>
        <w:t>eligibility</w:t>
      </w:r>
      <w:r w:rsidR="00191144" w:rsidRPr="006B2303">
        <w:rPr>
          <w:sz w:val="21"/>
          <w:szCs w:val="21"/>
        </w:rPr>
        <w:t xml:space="preserve"> assessment</w:t>
      </w:r>
      <w:r w:rsidRPr="006B2303">
        <w:rPr>
          <w:sz w:val="21"/>
          <w:szCs w:val="21"/>
        </w:rPr>
        <w:t xml:space="preserve"> </w:t>
      </w:r>
      <w:r w:rsidR="005D00BD" w:rsidRPr="006B2303">
        <w:rPr>
          <w:sz w:val="21"/>
          <w:szCs w:val="21"/>
        </w:rPr>
        <w:t xml:space="preserve">and </w:t>
      </w:r>
      <w:r w:rsidR="00F91ED8" w:rsidRPr="006B2303">
        <w:rPr>
          <w:sz w:val="21"/>
          <w:szCs w:val="21"/>
        </w:rPr>
        <w:t>scoring. The Project Proposal template is changing</w:t>
      </w:r>
      <w:r w:rsidR="0018098A" w:rsidRPr="006B2303">
        <w:rPr>
          <w:sz w:val="21"/>
          <w:szCs w:val="21"/>
        </w:rPr>
        <w:t xml:space="preserve"> too.</w:t>
      </w:r>
      <w:r w:rsidR="001807F1" w:rsidRPr="006B2303">
        <w:rPr>
          <w:sz w:val="21"/>
          <w:szCs w:val="21"/>
        </w:rPr>
        <w:t xml:space="preserve"> T</w:t>
      </w:r>
      <w:r w:rsidR="00191144" w:rsidRPr="006B2303">
        <w:rPr>
          <w:sz w:val="21"/>
          <w:szCs w:val="21"/>
        </w:rPr>
        <w:t>hese changes will be introduced</w:t>
      </w:r>
      <w:r w:rsidR="001807F1" w:rsidRPr="006B2303">
        <w:rPr>
          <w:sz w:val="21"/>
          <w:szCs w:val="21"/>
        </w:rPr>
        <w:t xml:space="preserve"> for Project Session 1, 2018.</w:t>
      </w:r>
      <w:r w:rsidRPr="006B2303">
        <w:rPr>
          <w:sz w:val="21"/>
          <w:szCs w:val="21"/>
        </w:rPr>
        <w:t xml:space="preserve"> </w:t>
      </w:r>
      <w:r w:rsidR="00086DC1" w:rsidRPr="006B2303">
        <w:rPr>
          <w:sz w:val="21"/>
          <w:szCs w:val="21"/>
        </w:rPr>
        <w:t>At the same time,</w:t>
      </w:r>
      <w:r w:rsidR="001807F1" w:rsidRPr="006B2303">
        <w:rPr>
          <w:sz w:val="21"/>
          <w:szCs w:val="21"/>
        </w:rPr>
        <w:t xml:space="preserve"> other </w:t>
      </w:r>
      <w:r w:rsidR="005D00BD" w:rsidRPr="006B2303">
        <w:rPr>
          <w:sz w:val="21"/>
          <w:szCs w:val="21"/>
        </w:rPr>
        <w:t>governance</w:t>
      </w:r>
      <w:r w:rsidR="001807F1" w:rsidRPr="006B2303">
        <w:rPr>
          <w:sz w:val="21"/>
          <w:szCs w:val="21"/>
        </w:rPr>
        <w:t xml:space="preserve"> changes will happen, including a </w:t>
      </w:r>
      <w:r w:rsidR="005361D3" w:rsidRPr="006B2303">
        <w:rPr>
          <w:sz w:val="21"/>
          <w:szCs w:val="21"/>
        </w:rPr>
        <w:t xml:space="preserve">number of </w:t>
      </w:r>
      <w:r w:rsidR="00E25C12" w:rsidRPr="006B2303">
        <w:rPr>
          <w:sz w:val="21"/>
          <w:szCs w:val="21"/>
        </w:rPr>
        <w:t xml:space="preserve">practical </w:t>
      </w:r>
      <w:r w:rsidR="005361D3" w:rsidRPr="006B2303">
        <w:rPr>
          <w:sz w:val="21"/>
          <w:szCs w:val="21"/>
        </w:rPr>
        <w:t xml:space="preserve">changes </w:t>
      </w:r>
      <w:r w:rsidR="00086DC1" w:rsidRPr="006B2303">
        <w:rPr>
          <w:sz w:val="21"/>
          <w:szCs w:val="21"/>
        </w:rPr>
        <w:t>to</w:t>
      </w:r>
      <w:r w:rsidR="00E25C12" w:rsidRPr="006B2303">
        <w:rPr>
          <w:sz w:val="21"/>
          <w:szCs w:val="21"/>
        </w:rPr>
        <w:t xml:space="preserve"> incorporate </w:t>
      </w:r>
      <w:r w:rsidR="00086DC1" w:rsidRPr="006B2303">
        <w:rPr>
          <w:sz w:val="21"/>
          <w:szCs w:val="21"/>
        </w:rPr>
        <w:t xml:space="preserve">the </w:t>
      </w:r>
      <w:r w:rsidR="00877861" w:rsidRPr="006B2303">
        <w:rPr>
          <w:sz w:val="21"/>
          <w:szCs w:val="21"/>
        </w:rPr>
        <w:t>2016</w:t>
      </w:r>
      <w:r w:rsidR="00086DC1" w:rsidRPr="006B2303">
        <w:rPr>
          <w:sz w:val="21"/>
          <w:szCs w:val="21"/>
        </w:rPr>
        <w:t xml:space="preserve"> APEC Capacity Building Policy</w:t>
      </w:r>
      <w:r w:rsidR="00E25C12" w:rsidRPr="006B2303">
        <w:rPr>
          <w:sz w:val="21"/>
          <w:szCs w:val="21"/>
        </w:rPr>
        <w:t xml:space="preserve"> into the way APEC Projects are selected</w:t>
      </w:r>
      <w:r w:rsidR="00C52B5E" w:rsidRPr="006B2303">
        <w:rPr>
          <w:sz w:val="21"/>
          <w:szCs w:val="21"/>
        </w:rPr>
        <w:t>, implemented and evaluated.</w:t>
      </w:r>
    </w:p>
    <w:p w:rsidR="00086DC1" w:rsidRPr="006B2303" w:rsidRDefault="00E25C12" w:rsidP="00FE7C8D">
      <w:pPr>
        <w:rPr>
          <w:sz w:val="21"/>
          <w:szCs w:val="21"/>
          <w:u w:val="single"/>
        </w:rPr>
      </w:pPr>
      <w:r w:rsidRPr="006B2303">
        <w:rPr>
          <w:sz w:val="21"/>
          <w:szCs w:val="21"/>
        </w:rPr>
        <w:t>Please note</w:t>
      </w:r>
      <w:r w:rsidR="003A76BB" w:rsidRPr="006B2303">
        <w:rPr>
          <w:sz w:val="21"/>
          <w:szCs w:val="21"/>
        </w:rPr>
        <w:t xml:space="preserve"> this overview is intended to be a guide only and</w:t>
      </w:r>
      <w:r w:rsidR="00C52B5E" w:rsidRPr="006B2303">
        <w:rPr>
          <w:sz w:val="21"/>
          <w:szCs w:val="21"/>
        </w:rPr>
        <w:t xml:space="preserve"> you are strongly encouraged to review to the latest copy of the Guidebook</w:t>
      </w:r>
      <w:r w:rsidR="00783CE1" w:rsidRPr="006B2303">
        <w:rPr>
          <w:sz w:val="21"/>
          <w:szCs w:val="21"/>
        </w:rPr>
        <w:t xml:space="preserve"> on APEC Projects</w:t>
      </w:r>
      <w:r w:rsidR="00C52B5E" w:rsidRPr="006B2303">
        <w:rPr>
          <w:sz w:val="21"/>
          <w:szCs w:val="21"/>
        </w:rPr>
        <w:t xml:space="preserve">. </w:t>
      </w:r>
      <w:r w:rsidR="005D00BD" w:rsidRPr="006B2303">
        <w:rPr>
          <w:sz w:val="21"/>
          <w:szCs w:val="21"/>
        </w:rPr>
        <w:t>Y</w:t>
      </w:r>
      <w:r w:rsidR="005361D3" w:rsidRPr="006B2303">
        <w:rPr>
          <w:sz w:val="21"/>
          <w:szCs w:val="21"/>
        </w:rPr>
        <w:t xml:space="preserve">ou can </w:t>
      </w:r>
      <w:r w:rsidR="00086DC1" w:rsidRPr="006B2303">
        <w:rPr>
          <w:sz w:val="21"/>
          <w:szCs w:val="21"/>
        </w:rPr>
        <w:t xml:space="preserve">locate </w:t>
      </w:r>
      <w:r w:rsidR="005361D3" w:rsidRPr="006B2303">
        <w:rPr>
          <w:sz w:val="21"/>
          <w:szCs w:val="21"/>
        </w:rPr>
        <w:t>a copy</w:t>
      </w:r>
      <w:r w:rsidR="003A76BB" w:rsidRPr="006B2303">
        <w:rPr>
          <w:sz w:val="21"/>
          <w:szCs w:val="21"/>
        </w:rPr>
        <w:t xml:space="preserve"> of the 12</w:t>
      </w:r>
      <w:r w:rsidR="003A76BB" w:rsidRPr="006B2303">
        <w:rPr>
          <w:sz w:val="21"/>
          <w:szCs w:val="21"/>
          <w:vertAlign w:val="superscript"/>
        </w:rPr>
        <w:t>th</w:t>
      </w:r>
      <w:r w:rsidR="00783CE1" w:rsidRPr="006B2303">
        <w:rPr>
          <w:sz w:val="21"/>
          <w:szCs w:val="21"/>
        </w:rPr>
        <w:t xml:space="preserve"> e</w:t>
      </w:r>
      <w:r w:rsidR="003A76BB" w:rsidRPr="006B2303">
        <w:rPr>
          <w:sz w:val="21"/>
          <w:szCs w:val="21"/>
        </w:rPr>
        <w:t>dition of the Guidebook</w:t>
      </w:r>
      <w:r w:rsidR="005361D3" w:rsidRPr="006B2303">
        <w:rPr>
          <w:sz w:val="21"/>
          <w:szCs w:val="21"/>
        </w:rPr>
        <w:t xml:space="preserve"> </w:t>
      </w:r>
      <w:r w:rsidR="00086DC1" w:rsidRPr="006B2303">
        <w:rPr>
          <w:sz w:val="21"/>
          <w:szCs w:val="21"/>
        </w:rPr>
        <w:t xml:space="preserve">here: </w:t>
      </w:r>
      <w:hyperlink r:id="rId9" w:history="1">
        <w:r w:rsidR="005361D3" w:rsidRPr="006B2303">
          <w:rPr>
            <w:rStyle w:val="Hyperlink"/>
            <w:sz w:val="21"/>
            <w:szCs w:val="21"/>
          </w:rPr>
          <w:t>https://www.apec.org/Projects/Forms-and-Resources.aspx</w:t>
        </w:r>
      </w:hyperlink>
      <w:r w:rsidR="00191144" w:rsidRPr="006B2303">
        <w:rPr>
          <w:rStyle w:val="Hyperlink"/>
          <w:sz w:val="21"/>
          <w:szCs w:val="21"/>
        </w:rPr>
        <w:t>.</w:t>
      </w:r>
      <w:r w:rsidR="005361D3" w:rsidRPr="006B2303">
        <w:rPr>
          <w:sz w:val="21"/>
          <w:szCs w:val="21"/>
        </w:rPr>
        <w:t xml:space="preserve"> </w:t>
      </w:r>
      <w:r w:rsidR="00995DBD">
        <w:rPr>
          <w:sz w:val="21"/>
          <w:szCs w:val="21"/>
        </w:rPr>
        <w:t xml:space="preserve">You can also view the new APEC Scoring Template on the Forms and Resources page of </w:t>
      </w:r>
      <w:hyperlink r:id="rId10" w:history="1">
        <w:r w:rsidR="00995DBD" w:rsidRPr="00450760">
          <w:rPr>
            <w:rStyle w:val="Hyperlink"/>
            <w:sz w:val="21"/>
            <w:szCs w:val="21"/>
          </w:rPr>
          <w:t>www.apec.org</w:t>
        </w:r>
      </w:hyperlink>
      <w:r w:rsidR="00995DBD">
        <w:rPr>
          <w:sz w:val="21"/>
          <w:szCs w:val="21"/>
        </w:rPr>
        <w:t xml:space="preserve">. </w:t>
      </w:r>
    </w:p>
    <w:p w:rsidR="005564C3" w:rsidRPr="006B2303" w:rsidRDefault="00C52B5E" w:rsidP="006B2303">
      <w:pPr>
        <w:pStyle w:val="Heading2"/>
        <w:spacing w:before="240"/>
      </w:pPr>
      <w:r w:rsidRPr="006B2303">
        <w:t>A new way of selecting APEC projects</w:t>
      </w:r>
    </w:p>
    <w:sdt>
      <w:sdtPr>
        <w:rPr>
          <w:sz w:val="20"/>
        </w:rPr>
        <w:id w:val="-2113425653"/>
        <w:placeholder>
          <w:docPart w:val="62215648E44C417A9D7AA29105882EF1"/>
        </w:placeholder>
        <w15:appearance w15:val="hidden"/>
      </w:sdtPr>
      <w:sdtEndPr>
        <w:rPr>
          <w:sz w:val="21"/>
          <w:szCs w:val="21"/>
        </w:rPr>
      </w:sdtEndPr>
      <w:sdtContent>
        <w:p w:rsidR="007E6EC4" w:rsidRPr="006B2303" w:rsidRDefault="003A76BB" w:rsidP="00FE7C8D">
          <w:pPr>
            <w:rPr>
              <w:sz w:val="21"/>
              <w:szCs w:val="21"/>
            </w:rPr>
          </w:pPr>
          <w:r w:rsidRPr="006B2303">
            <w:rPr>
              <w:sz w:val="21"/>
              <w:szCs w:val="21"/>
            </w:rPr>
            <w:t xml:space="preserve">Whilst a number of key aspects of selection are changing, much of the process will be familiar to existing </w:t>
          </w:r>
          <w:proofErr w:type="spellStart"/>
          <w:r w:rsidRPr="006B2303">
            <w:rPr>
              <w:sz w:val="21"/>
              <w:szCs w:val="21"/>
            </w:rPr>
            <w:t>POs</w:t>
          </w:r>
          <w:r w:rsidR="00FE7C8D" w:rsidRPr="006B2303">
            <w:rPr>
              <w:sz w:val="21"/>
              <w:szCs w:val="21"/>
            </w:rPr>
            <w:t>.</w:t>
          </w:r>
          <w:proofErr w:type="spellEnd"/>
          <w:r w:rsidR="00FE7C8D" w:rsidRPr="006B2303">
            <w:rPr>
              <w:sz w:val="21"/>
              <w:szCs w:val="21"/>
            </w:rPr>
            <w:t xml:space="preserve">  </w:t>
          </w:r>
          <w:r w:rsidRPr="006B2303">
            <w:rPr>
              <w:sz w:val="21"/>
              <w:szCs w:val="21"/>
            </w:rPr>
            <w:t xml:space="preserve">POs will still prepare CNs, taking care to ensure all parts of the CN are properly completed, and otherwise compliant with the </w:t>
          </w:r>
          <w:r w:rsidR="007E6EC4" w:rsidRPr="006B2303">
            <w:rPr>
              <w:sz w:val="21"/>
              <w:szCs w:val="21"/>
            </w:rPr>
            <w:t>Guidebook. But f</w:t>
          </w:r>
          <w:r w:rsidR="00517530" w:rsidRPr="006B2303">
            <w:rPr>
              <w:sz w:val="21"/>
              <w:szCs w:val="21"/>
            </w:rPr>
            <w:t>or</w:t>
          </w:r>
          <w:r w:rsidR="007E6EC4" w:rsidRPr="006B2303">
            <w:rPr>
              <w:sz w:val="21"/>
              <w:szCs w:val="21"/>
            </w:rPr>
            <w:t xml:space="preserve"> </w:t>
          </w:r>
          <w:r w:rsidR="00517530" w:rsidRPr="006B2303">
            <w:rPr>
              <w:sz w:val="21"/>
              <w:szCs w:val="21"/>
            </w:rPr>
            <w:t xml:space="preserve">Project Session 1, </w:t>
          </w:r>
          <w:r w:rsidR="007E6EC4" w:rsidRPr="006B2303">
            <w:rPr>
              <w:sz w:val="21"/>
              <w:szCs w:val="21"/>
            </w:rPr>
            <w:t>2018</w:t>
          </w:r>
          <w:r w:rsidR="00517530" w:rsidRPr="006B2303">
            <w:rPr>
              <w:sz w:val="21"/>
              <w:szCs w:val="21"/>
            </w:rPr>
            <w:t>:</w:t>
          </w:r>
        </w:p>
        <w:p w:rsidR="00FE7C8D" w:rsidRPr="006B2303" w:rsidRDefault="007E6EC4" w:rsidP="00FE7C8D">
          <w:pPr>
            <w:pStyle w:val="ListParagraph"/>
            <w:numPr>
              <w:ilvl w:val="0"/>
              <w:numId w:val="6"/>
            </w:numPr>
            <w:spacing w:before="120" w:after="120"/>
            <w:contextualSpacing w:val="0"/>
            <w:rPr>
              <w:b/>
              <w:sz w:val="21"/>
              <w:szCs w:val="21"/>
            </w:rPr>
          </w:pPr>
          <w:r w:rsidRPr="006B2303">
            <w:rPr>
              <w:b/>
              <w:sz w:val="21"/>
              <w:szCs w:val="21"/>
            </w:rPr>
            <w:t>POs will need</w:t>
          </w:r>
          <w:r w:rsidR="003A76BB" w:rsidRPr="006B2303">
            <w:rPr>
              <w:b/>
              <w:sz w:val="21"/>
              <w:szCs w:val="21"/>
            </w:rPr>
            <w:t xml:space="preserve"> ensure that their CN specifically identifies the</w:t>
          </w:r>
          <w:r w:rsidRPr="006B2303">
            <w:rPr>
              <w:b/>
              <w:sz w:val="21"/>
              <w:szCs w:val="21"/>
            </w:rPr>
            <w:t xml:space="preserve"> APEC fund or sub-fund they are </w:t>
          </w:r>
          <w:r w:rsidR="00AE5DA6" w:rsidRPr="006B2303">
            <w:rPr>
              <w:b/>
              <w:sz w:val="21"/>
              <w:szCs w:val="21"/>
            </w:rPr>
            <w:t xml:space="preserve">looking to use.  </w:t>
          </w:r>
        </w:p>
        <w:p w:rsidR="007E6EC4" w:rsidRPr="006B2303" w:rsidRDefault="00AE5DA6" w:rsidP="00FE7C8D">
          <w:pPr>
            <w:pStyle w:val="ListParagraph"/>
            <w:numPr>
              <w:ilvl w:val="1"/>
              <w:numId w:val="6"/>
            </w:numPr>
            <w:spacing w:before="120" w:after="120"/>
            <w:contextualSpacing w:val="0"/>
            <w:rPr>
              <w:i/>
              <w:sz w:val="21"/>
              <w:szCs w:val="21"/>
            </w:rPr>
          </w:pPr>
          <w:r w:rsidRPr="006B2303">
            <w:rPr>
              <w:i/>
              <w:sz w:val="21"/>
              <w:szCs w:val="21"/>
            </w:rPr>
            <w:t>For example, with</w:t>
          </w:r>
          <w:r w:rsidR="007E6EC4" w:rsidRPr="006B2303">
            <w:rPr>
              <w:i/>
              <w:sz w:val="21"/>
              <w:szCs w:val="21"/>
            </w:rPr>
            <w:t xml:space="preserve"> ASF</w:t>
          </w:r>
          <w:r w:rsidRPr="006B2303">
            <w:rPr>
              <w:i/>
              <w:sz w:val="21"/>
              <w:szCs w:val="21"/>
            </w:rPr>
            <w:t xml:space="preserve">, </w:t>
          </w:r>
          <w:r w:rsidR="007E6EC4" w:rsidRPr="006B2303">
            <w:rPr>
              <w:i/>
              <w:sz w:val="21"/>
              <w:szCs w:val="21"/>
            </w:rPr>
            <w:t>POs must nominate either ASF General, or one of the ASF sub-funds (for example, ASF Human Security). Don’t simply nominate “ASF”.</w:t>
          </w:r>
        </w:p>
        <w:p w:rsidR="00FE7C8D" w:rsidRPr="006B2303" w:rsidRDefault="007E6EC4" w:rsidP="00FE7C8D">
          <w:pPr>
            <w:pStyle w:val="ListParagraph"/>
            <w:numPr>
              <w:ilvl w:val="0"/>
              <w:numId w:val="6"/>
            </w:numPr>
            <w:spacing w:before="120" w:after="120"/>
            <w:contextualSpacing w:val="0"/>
            <w:rPr>
              <w:b/>
              <w:sz w:val="21"/>
              <w:szCs w:val="21"/>
            </w:rPr>
          </w:pPr>
          <w:r w:rsidRPr="006B2303">
            <w:rPr>
              <w:b/>
              <w:sz w:val="21"/>
              <w:szCs w:val="21"/>
            </w:rPr>
            <w:t xml:space="preserve">POs will need to demonstrate how the CN meets the eligibility of the funding source in question. </w:t>
          </w:r>
        </w:p>
        <w:p w:rsidR="00517530" w:rsidRPr="006B2303" w:rsidRDefault="007E6EC4" w:rsidP="00FE7C8D">
          <w:pPr>
            <w:pStyle w:val="ListParagraph"/>
            <w:numPr>
              <w:ilvl w:val="1"/>
              <w:numId w:val="6"/>
            </w:numPr>
            <w:spacing w:before="120" w:after="120"/>
            <w:contextualSpacing w:val="0"/>
            <w:rPr>
              <w:i/>
              <w:sz w:val="21"/>
              <w:szCs w:val="21"/>
            </w:rPr>
          </w:pPr>
          <w:r w:rsidRPr="006B2303">
            <w:rPr>
              <w:i/>
              <w:sz w:val="21"/>
              <w:szCs w:val="21"/>
            </w:rPr>
            <w:t>Every funding source has eligibility criteria</w:t>
          </w:r>
          <w:r w:rsidR="00517530" w:rsidRPr="006B2303">
            <w:rPr>
              <w:i/>
              <w:sz w:val="21"/>
              <w:szCs w:val="21"/>
            </w:rPr>
            <w:t>, in some cases very specific,</w:t>
          </w:r>
          <w:r w:rsidRPr="006B2303">
            <w:rPr>
              <w:i/>
              <w:sz w:val="21"/>
              <w:szCs w:val="21"/>
            </w:rPr>
            <w:t xml:space="preserve"> and you should ensure familiarity</w:t>
          </w:r>
          <w:r w:rsidR="00957D49" w:rsidRPr="006B2303">
            <w:rPr>
              <w:i/>
              <w:sz w:val="21"/>
              <w:szCs w:val="21"/>
            </w:rPr>
            <w:t xml:space="preserve"> with the</w:t>
          </w:r>
          <w:r w:rsidR="00517530" w:rsidRPr="006B2303">
            <w:rPr>
              <w:i/>
              <w:sz w:val="21"/>
              <w:szCs w:val="21"/>
            </w:rPr>
            <w:t xml:space="preserve"> criteria. See </w:t>
          </w:r>
          <w:hyperlink r:id="rId11" w:history="1">
            <w:r w:rsidR="00517530" w:rsidRPr="006B2303">
              <w:rPr>
                <w:rStyle w:val="Hyperlink"/>
                <w:i/>
                <w:sz w:val="21"/>
                <w:szCs w:val="21"/>
              </w:rPr>
              <w:t>https://www.apec.org/Projects/Funding-Sources</w:t>
            </w:r>
          </w:hyperlink>
          <w:r w:rsidR="00957D49" w:rsidRPr="006B2303">
            <w:rPr>
              <w:i/>
              <w:sz w:val="21"/>
              <w:szCs w:val="21"/>
            </w:rPr>
            <w:t>.</w:t>
          </w:r>
          <w:r w:rsidR="00517530" w:rsidRPr="006B2303">
            <w:rPr>
              <w:i/>
              <w:sz w:val="21"/>
              <w:szCs w:val="21"/>
            </w:rPr>
            <w:t xml:space="preserve"> </w:t>
          </w:r>
        </w:p>
        <w:p w:rsidR="00FE7C8D" w:rsidRPr="006B2303" w:rsidRDefault="00517530" w:rsidP="00FE7C8D">
          <w:pPr>
            <w:pStyle w:val="ListParagraph"/>
            <w:numPr>
              <w:ilvl w:val="0"/>
              <w:numId w:val="6"/>
            </w:numPr>
            <w:spacing w:before="120" w:after="120"/>
            <w:contextualSpacing w:val="0"/>
            <w:rPr>
              <w:b/>
              <w:sz w:val="21"/>
              <w:szCs w:val="21"/>
            </w:rPr>
          </w:pPr>
          <w:r w:rsidRPr="006B2303">
            <w:rPr>
              <w:b/>
              <w:sz w:val="21"/>
              <w:szCs w:val="21"/>
            </w:rPr>
            <w:t>The APEC Funding Criteria will no longer be used; instead, CNs will be scored by the degree to whic</w:t>
          </w:r>
          <w:r w:rsidR="00D05E1C" w:rsidRPr="006B2303">
            <w:rPr>
              <w:b/>
              <w:sz w:val="21"/>
              <w:szCs w:val="21"/>
            </w:rPr>
            <w:t>h they meet the funding priorities</w:t>
          </w:r>
          <w:r w:rsidR="005D00BD" w:rsidRPr="006B2303">
            <w:rPr>
              <w:b/>
              <w:sz w:val="21"/>
              <w:szCs w:val="21"/>
            </w:rPr>
            <w:t>/</w:t>
          </w:r>
          <w:r w:rsidR="00D05E1C" w:rsidRPr="006B2303">
            <w:rPr>
              <w:b/>
              <w:sz w:val="21"/>
              <w:szCs w:val="21"/>
            </w:rPr>
            <w:t>criteria</w:t>
          </w:r>
          <w:r w:rsidRPr="006B2303">
            <w:rPr>
              <w:b/>
              <w:sz w:val="21"/>
              <w:szCs w:val="21"/>
            </w:rPr>
            <w:t xml:space="preserve"> already established for the fund or sub-fund in question.  </w:t>
          </w:r>
        </w:p>
        <w:p w:rsidR="00C52B5E" w:rsidRPr="006B2303" w:rsidRDefault="00517530" w:rsidP="00FE7C8D">
          <w:pPr>
            <w:pStyle w:val="ListParagraph"/>
            <w:numPr>
              <w:ilvl w:val="1"/>
              <w:numId w:val="6"/>
            </w:numPr>
            <w:spacing w:before="120" w:after="120"/>
            <w:contextualSpacing w:val="0"/>
            <w:rPr>
              <w:i/>
              <w:sz w:val="21"/>
              <w:szCs w:val="21"/>
            </w:rPr>
          </w:pPr>
          <w:r w:rsidRPr="006B2303">
            <w:rPr>
              <w:i/>
              <w:sz w:val="21"/>
              <w:szCs w:val="21"/>
            </w:rPr>
            <w:t>As the GPA does not</w:t>
          </w:r>
          <w:r w:rsidR="00D05E1C" w:rsidRPr="006B2303">
            <w:rPr>
              <w:i/>
              <w:sz w:val="21"/>
              <w:szCs w:val="21"/>
            </w:rPr>
            <w:t xml:space="preserve"> have specific funding priorities, priorities will be set at ISOM by Senior Officials, combining the priority themes of the incoming and outgoing hosts.</w:t>
          </w:r>
          <w:r w:rsidR="00957D49" w:rsidRPr="006B2303">
            <w:rPr>
              <w:i/>
              <w:sz w:val="21"/>
              <w:szCs w:val="21"/>
            </w:rPr>
            <w:t xml:space="preserve"> See </w:t>
          </w:r>
          <w:hyperlink r:id="rId12" w:history="1">
            <w:r w:rsidR="00957D49" w:rsidRPr="006B2303">
              <w:rPr>
                <w:rStyle w:val="Hyperlink"/>
                <w:i/>
                <w:sz w:val="21"/>
                <w:szCs w:val="21"/>
              </w:rPr>
              <w:t>https://www.apec.org/Projects/Funding-Sources</w:t>
            </w:r>
          </w:hyperlink>
          <w:r w:rsidR="00957D49" w:rsidRPr="006B2303">
            <w:rPr>
              <w:i/>
              <w:sz w:val="21"/>
              <w:szCs w:val="21"/>
            </w:rPr>
            <w:t>.</w:t>
          </w:r>
        </w:p>
        <w:p w:rsidR="006B260A" w:rsidRPr="006B2303" w:rsidRDefault="00D05E1C" w:rsidP="00FE7C8D">
          <w:pPr>
            <w:rPr>
              <w:sz w:val="21"/>
              <w:szCs w:val="21"/>
            </w:rPr>
          </w:pPr>
          <w:r w:rsidRPr="006B2303">
            <w:rPr>
              <w:sz w:val="21"/>
              <w:szCs w:val="21"/>
            </w:rPr>
            <w:t xml:space="preserve">Please note that all CNs will still need to be endorsed by the proposing forum, and CNs will </w:t>
          </w:r>
          <w:r w:rsidR="00957D49" w:rsidRPr="006B2303">
            <w:rPr>
              <w:sz w:val="21"/>
              <w:szCs w:val="21"/>
            </w:rPr>
            <w:t xml:space="preserve">still </w:t>
          </w:r>
          <w:r w:rsidRPr="006B2303">
            <w:rPr>
              <w:sz w:val="21"/>
              <w:szCs w:val="21"/>
            </w:rPr>
            <w:t xml:space="preserve">need to have a minimum of 2 co-sponsoring economies, or more as required by specific fora </w:t>
          </w:r>
          <w:r w:rsidR="005D00BD" w:rsidRPr="006B2303">
            <w:rPr>
              <w:sz w:val="21"/>
              <w:szCs w:val="21"/>
            </w:rPr>
            <w:t>or the</w:t>
          </w:r>
          <w:r w:rsidRPr="006B2303">
            <w:rPr>
              <w:sz w:val="21"/>
              <w:szCs w:val="21"/>
            </w:rPr>
            <w:t xml:space="preserve"> eligibility criteria</w:t>
          </w:r>
          <w:r w:rsidR="005D00BD" w:rsidRPr="006B2303">
            <w:rPr>
              <w:sz w:val="21"/>
              <w:szCs w:val="21"/>
            </w:rPr>
            <w:t xml:space="preserve"> of certain funding sources</w:t>
          </w:r>
          <w:r w:rsidRPr="006B2303">
            <w:rPr>
              <w:sz w:val="21"/>
              <w:szCs w:val="21"/>
            </w:rPr>
            <w:t>.</w:t>
          </w:r>
          <w:r w:rsidR="005D00BD" w:rsidRPr="006B2303">
            <w:rPr>
              <w:sz w:val="21"/>
              <w:szCs w:val="21"/>
            </w:rPr>
            <w:t xml:space="preserve"> Please also note that the eligibility criteria of some funding sources require co-endorsement from a forum other than the proposing forum. These processes</w:t>
          </w:r>
          <w:r w:rsidR="006B260A" w:rsidRPr="006B2303">
            <w:rPr>
              <w:sz w:val="21"/>
              <w:szCs w:val="21"/>
            </w:rPr>
            <w:t xml:space="preserve"> will still need to be finalized before the</w:t>
          </w:r>
          <w:r w:rsidR="005D00BD" w:rsidRPr="006B2303">
            <w:rPr>
              <w:sz w:val="21"/>
              <w:szCs w:val="21"/>
            </w:rPr>
            <w:t xml:space="preserve"> CN is submitted at the </w:t>
          </w:r>
          <w:r w:rsidR="006B260A" w:rsidRPr="006B2303">
            <w:rPr>
              <w:sz w:val="21"/>
              <w:szCs w:val="21"/>
            </w:rPr>
            <w:t xml:space="preserve">Final Submission Deadline. </w:t>
          </w:r>
        </w:p>
        <w:p w:rsidR="006B2303" w:rsidRDefault="006B2303" w:rsidP="00FE7C8D">
          <w:pPr>
            <w:rPr>
              <w:sz w:val="21"/>
              <w:szCs w:val="21"/>
            </w:rPr>
          </w:pPr>
        </w:p>
        <w:p w:rsidR="00C52B5E" w:rsidRPr="006B2303" w:rsidRDefault="00957D49" w:rsidP="00FE7C8D">
          <w:pPr>
            <w:rPr>
              <w:sz w:val="21"/>
              <w:szCs w:val="21"/>
            </w:rPr>
          </w:pPr>
          <w:r w:rsidRPr="006B2303">
            <w:rPr>
              <w:sz w:val="21"/>
              <w:szCs w:val="21"/>
            </w:rPr>
            <w:lastRenderedPageBreak/>
            <w:t>Further changes in 2018 include:</w:t>
          </w:r>
        </w:p>
        <w:p w:rsidR="00FE7C8D" w:rsidRPr="006B2303" w:rsidRDefault="00FE7C8D" w:rsidP="001807F1">
          <w:pPr>
            <w:pStyle w:val="ListParagraph"/>
            <w:numPr>
              <w:ilvl w:val="0"/>
              <w:numId w:val="6"/>
            </w:numPr>
            <w:spacing w:before="120" w:after="120"/>
            <w:contextualSpacing w:val="0"/>
            <w:rPr>
              <w:b/>
              <w:sz w:val="21"/>
              <w:szCs w:val="21"/>
            </w:rPr>
          </w:pPr>
          <w:r w:rsidRPr="006B2303">
            <w:rPr>
              <w:b/>
              <w:sz w:val="21"/>
              <w:szCs w:val="21"/>
            </w:rPr>
            <w:t>The CN will no longer be scored by the proposing forum –</w:t>
          </w:r>
          <w:r w:rsidR="00957D49" w:rsidRPr="006B2303">
            <w:rPr>
              <w:b/>
              <w:sz w:val="21"/>
              <w:szCs w:val="21"/>
            </w:rPr>
            <w:t xml:space="preserve"> instead, once the Final Submission Deadline has passed, the Secretariat will pass all compliant CNs to one of the </w:t>
          </w:r>
          <w:r w:rsidR="00957D49" w:rsidRPr="006B2303">
            <w:rPr>
              <w:b/>
              <w:i/>
              <w:sz w:val="21"/>
              <w:szCs w:val="21"/>
            </w:rPr>
            <w:t>Responsible APEC Fora</w:t>
          </w:r>
          <w:r w:rsidR="00957D49" w:rsidRPr="006B2303">
            <w:rPr>
              <w:b/>
              <w:sz w:val="21"/>
              <w:szCs w:val="21"/>
            </w:rPr>
            <w:t xml:space="preserve"> who will </w:t>
          </w:r>
          <w:r w:rsidR="006B260A" w:rsidRPr="006B2303">
            <w:rPr>
              <w:b/>
              <w:sz w:val="21"/>
              <w:szCs w:val="21"/>
            </w:rPr>
            <w:t xml:space="preserve">then </w:t>
          </w:r>
          <w:r w:rsidR="00957D49" w:rsidRPr="006B2303">
            <w:rPr>
              <w:b/>
              <w:sz w:val="21"/>
              <w:szCs w:val="21"/>
            </w:rPr>
            <w:t>assess the eligibility of the CN and score the CN, using the APEC Scoring Template.</w:t>
          </w:r>
        </w:p>
        <w:p w:rsidR="00957D49" w:rsidRPr="006B2303" w:rsidRDefault="00957D49" w:rsidP="001807F1">
          <w:pPr>
            <w:pStyle w:val="ListParagraph"/>
            <w:numPr>
              <w:ilvl w:val="1"/>
              <w:numId w:val="6"/>
            </w:numPr>
            <w:spacing w:before="120" w:after="120"/>
            <w:contextualSpacing w:val="0"/>
            <w:rPr>
              <w:i/>
              <w:sz w:val="21"/>
              <w:szCs w:val="21"/>
            </w:rPr>
          </w:pPr>
          <w:r w:rsidRPr="006B2303">
            <w:rPr>
              <w:i/>
              <w:sz w:val="21"/>
              <w:szCs w:val="21"/>
            </w:rPr>
            <w:t>Each fund and sub-fund has been assigned to a specified fora for the purposes of eligibility assessment and scoring, including SOM, who are responsible for the GPA and the ASF General Fund.</w:t>
          </w:r>
          <w:r w:rsidR="005D00BD" w:rsidRPr="006B2303">
            <w:rPr>
              <w:i/>
              <w:sz w:val="21"/>
              <w:szCs w:val="21"/>
            </w:rPr>
            <w:t xml:space="preserve"> </w:t>
          </w:r>
          <w:r w:rsidR="0010094B" w:rsidRPr="006B2303">
            <w:rPr>
              <w:i/>
              <w:sz w:val="21"/>
              <w:szCs w:val="21"/>
            </w:rPr>
            <w:t xml:space="preserve">All economies </w:t>
          </w:r>
          <w:r w:rsidR="001807F1" w:rsidRPr="006B2303">
            <w:rPr>
              <w:i/>
              <w:sz w:val="21"/>
              <w:szCs w:val="21"/>
            </w:rPr>
            <w:t xml:space="preserve">still </w:t>
          </w:r>
          <w:r w:rsidR="0010094B" w:rsidRPr="006B2303">
            <w:rPr>
              <w:i/>
              <w:sz w:val="21"/>
              <w:szCs w:val="21"/>
            </w:rPr>
            <w:t xml:space="preserve">participate in the </w:t>
          </w:r>
          <w:r w:rsidR="001807F1" w:rsidRPr="006B2303">
            <w:rPr>
              <w:i/>
              <w:sz w:val="21"/>
              <w:szCs w:val="21"/>
            </w:rPr>
            <w:t xml:space="preserve">eligibility and scoring process, and the Secretariat will still </w:t>
          </w:r>
          <w:r w:rsidR="005D00BD" w:rsidRPr="006B2303">
            <w:rPr>
              <w:i/>
              <w:sz w:val="21"/>
              <w:szCs w:val="21"/>
            </w:rPr>
            <w:t>process</w:t>
          </w:r>
          <w:r w:rsidR="001807F1" w:rsidRPr="006B2303">
            <w:rPr>
              <w:i/>
              <w:sz w:val="21"/>
              <w:szCs w:val="21"/>
            </w:rPr>
            <w:t xml:space="preserve"> the results. </w:t>
          </w:r>
          <w:r w:rsidRPr="006B2303">
            <w:rPr>
              <w:i/>
              <w:sz w:val="21"/>
              <w:szCs w:val="21"/>
            </w:rPr>
            <w:t>These scores alone will determine the</w:t>
          </w:r>
          <w:r w:rsidR="005D00BD" w:rsidRPr="006B2303">
            <w:rPr>
              <w:i/>
              <w:sz w:val="21"/>
              <w:szCs w:val="21"/>
            </w:rPr>
            <w:t xml:space="preserve"> funding recommendation to BMC.</w:t>
          </w:r>
          <w:r w:rsidRPr="006B2303">
            <w:rPr>
              <w:i/>
              <w:sz w:val="21"/>
              <w:szCs w:val="21"/>
            </w:rPr>
            <w:t xml:space="preserve"> Principal Decision Makers (</w:t>
          </w:r>
          <w:r w:rsidR="005D00BD" w:rsidRPr="006B2303">
            <w:rPr>
              <w:i/>
              <w:sz w:val="21"/>
              <w:szCs w:val="21"/>
            </w:rPr>
            <w:t>PDMs) will no longer need to settle the final result.</w:t>
          </w:r>
        </w:p>
        <w:p w:rsidR="001807F1" w:rsidRPr="006B2303" w:rsidRDefault="007620E1" w:rsidP="001807F1">
          <w:pPr>
            <w:pStyle w:val="ListParagraph"/>
            <w:numPr>
              <w:ilvl w:val="0"/>
              <w:numId w:val="6"/>
            </w:numPr>
            <w:spacing w:before="120" w:after="120"/>
            <w:contextualSpacing w:val="0"/>
            <w:rPr>
              <w:sz w:val="21"/>
              <w:szCs w:val="21"/>
            </w:rPr>
          </w:pPr>
          <w:r w:rsidRPr="006B2303">
            <w:rPr>
              <w:b/>
              <w:sz w:val="21"/>
              <w:szCs w:val="21"/>
            </w:rPr>
            <w:t xml:space="preserve">A CN </w:t>
          </w:r>
          <w:r w:rsidR="001807F1" w:rsidRPr="006B2303">
            <w:rPr>
              <w:b/>
              <w:sz w:val="21"/>
              <w:szCs w:val="21"/>
            </w:rPr>
            <w:t>will be ineligible if any economy decides that it does not meet the eligibility criteria</w:t>
          </w:r>
          <w:r w:rsidR="001807F1" w:rsidRPr="006B2303">
            <w:rPr>
              <w:sz w:val="21"/>
              <w:szCs w:val="21"/>
            </w:rPr>
            <w:t xml:space="preserve">. </w:t>
          </w:r>
        </w:p>
        <w:p w:rsidR="005564C3" w:rsidRPr="006B2303" w:rsidRDefault="007620E1" w:rsidP="00FE7C8D">
          <w:pPr>
            <w:pStyle w:val="ListParagraph"/>
            <w:numPr>
              <w:ilvl w:val="1"/>
              <w:numId w:val="6"/>
            </w:numPr>
            <w:spacing w:before="120" w:after="120"/>
            <w:contextualSpacing w:val="0"/>
            <w:rPr>
              <w:i/>
              <w:sz w:val="21"/>
              <w:szCs w:val="21"/>
            </w:rPr>
          </w:pPr>
          <w:r w:rsidRPr="006B2303">
            <w:rPr>
              <w:i/>
              <w:sz w:val="21"/>
              <w:szCs w:val="21"/>
            </w:rPr>
            <w:t>If a CN</w:t>
          </w:r>
          <w:r w:rsidR="001807F1" w:rsidRPr="006B2303">
            <w:rPr>
              <w:i/>
              <w:sz w:val="21"/>
              <w:szCs w:val="21"/>
            </w:rPr>
            <w:t xml:space="preserve"> is considered ineligible,</w:t>
          </w:r>
          <w:r w:rsidRPr="006B2303">
            <w:rPr>
              <w:i/>
              <w:sz w:val="21"/>
              <w:szCs w:val="21"/>
            </w:rPr>
            <w:t xml:space="preserve"> reasons should be given. If a CN</w:t>
          </w:r>
          <w:r w:rsidR="001807F1" w:rsidRPr="006B2303">
            <w:rPr>
              <w:i/>
              <w:sz w:val="21"/>
              <w:szCs w:val="21"/>
            </w:rPr>
            <w:t xml:space="preserve"> is ineligible it cannot proceed in the selection</w:t>
          </w:r>
          <w:r w:rsidRPr="006B2303">
            <w:rPr>
              <w:i/>
              <w:sz w:val="21"/>
              <w:szCs w:val="21"/>
            </w:rPr>
            <w:t xml:space="preserve"> process but may re-apply in a subsequent project session.</w:t>
          </w:r>
          <w:r w:rsidR="00191144" w:rsidRPr="006B2303">
            <w:rPr>
              <w:i/>
              <w:sz w:val="21"/>
              <w:szCs w:val="21"/>
            </w:rPr>
            <w:t xml:space="preserve"> There will be no ‘</w:t>
          </w:r>
          <w:proofErr w:type="spellStart"/>
          <w:r w:rsidR="00191144" w:rsidRPr="006B2303">
            <w:rPr>
              <w:i/>
              <w:sz w:val="21"/>
              <w:szCs w:val="21"/>
            </w:rPr>
            <w:t>fall-back</w:t>
          </w:r>
          <w:proofErr w:type="spellEnd"/>
          <w:r w:rsidR="00191144" w:rsidRPr="006B2303">
            <w:rPr>
              <w:i/>
              <w:sz w:val="21"/>
              <w:szCs w:val="21"/>
            </w:rPr>
            <w:t>’ to the ASF General Fund for concepts found to be ineligible for one of the ASF sub-funds</w:t>
          </w:r>
        </w:p>
      </w:sdtContent>
    </w:sdt>
    <w:p w:rsidR="005564C3" w:rsidRPr="006B2303" w:rsidRDefault="001807F1" w:rsidP="006B2303">
      <w:pPr>
        <w:pStyle w:val="Heading2"/>
        <w:spacing w:before="240"/>
      </w:pPr>
      <w:r w:rsidRPr="006B2303">
        <w:t xml:space="preserve">Other </w:t>
      </w:r>
      <w:r w:rsidR="005D00BD" w:rsidRPr="006B2303">
        <w:t xml:space="preserve">governance </w:t>
      </w:r>
      <w:r w:rsidRPr="006B2303">
        <w:t>changes to know about</w:t>
      </w:r>
    </w:p>
    <w:p w:rsidR="00877861" w:rsidRPr="006B2303" w:rsidRDefault="001807F1">
      <w:pPr>
        <w:rPr>
          <w:sz w:val="21"/>
          <w:szCs w:val="21"/>
        </w:rPr>
      </w:pPr>
      <w:r w:rsidRPr="006B2303">
        <w:rPr>
          <w:sz w:val="21"/>
          <w:szCs w:val="21"/>
        </w:rPr>
        <w:t>Capacity building is fundamental to APEC Projects</w:t>
      </w:r>
      <w:r w:rsidR="00877861" w:rsidRPr="006B2303">
        <w:rPr>
          <w:sz w:val="21"/>
          <w:szCs w:val="21"/>
        </w:rPr>
        <w:t>. The APEC Capacity Building Policy describe</w:t>
      </w:r>
      <w:r w:rsidR="005D00BD" w:rsidRPr="006B2303">
        <w:rPr>
          <w:sz w:val="21"/>
          <w:szCs w:val="21"/>
        </w:rPr>
        <w:t>s</w:t>
      </w:r>
      <w:r w:rsidR="00877861" w:rsidRPr="006B2303">
        <w:rPr>
          <w:sz w:val="21"/>
          <w:szCs w:val="21"/>
        </w:rPr>
        <w:t xml:space="preserve"> the operational principles for capacity building in APEC Projects, and accordingly</w:t>
      </w:r>
      <w:r w:rsidR="0018098A" w:rsidRPr="006B2303">
        <w:rPr>
          <w:sz w:val="21"/>
          <w:szCs w:val="21"/>
        </w:rPr>
        <w:t>,</w:t>
      </w:r>
      <w:r w:rsidR="00877861" w:rsidRPr="006B2303">
        <w:rPr>
          <w:sz w:val="21"/>
          <w:szCs w:val="21"/>
        </w:rPr>
        <w:t xml:space="preserve"> a number of changes are happening to translate these principles into practice across APEC Projects. From 2018:</w:t>
      </w:r>
    </w:p>
    <w:p w:rsidR="00E323A5" w:rsidRPr="006B2303" w:rsidRDefault="00877861" w:rsidP="00877861">
      <w:pPr>
        <w:pStyle w:val="ListParagraph"/>
        <w:numPr>
          <w:ilvl w:val="0"/>
          <w:numId w:val="6"/>
        </w:numPr>
        <w:spacing w:before="120" w:after="120"/>
        <w:contextualSpacing w:val="0"/>
        <w:rPr>
          <w:b/>
          <w:sz w:val="21"/>
          <w:szCs w:val="21"/>
        </w:rPr>
      </w:pPr>
      <w:r w:rsidRPr="006B2303">
        <w:rPr>
          <w:b/>
          <w:sz w:val="21"/>
          <w:szCs w:val="21"/>
        </w:rPr>
        <w:t>The 12</w:t>
      </w:r>
      <w:r w:rsidRPr="006B2303">
        <w:rPr>
          <w:b/>
          <w:sz w:val="21"/>
          <w:szCs w:val="21"/>
          <w:vertAlign w:val="superscript"/>
        </w:rPr>
        <w:t>th</w:t>
      </w:r>
      <w:r w:rsidR="00783CE1" w:rsidRPr="006B2303">
        <w:rPr>
          <w:b/>
          <w:sz w:val="21"/>
          <w:szCs w:val="21"/>
        </w:rPr>
        <w:t xml:space="preserve"> e</w:t>
      </w:r>
      <w:r w:rsidRPr="006B2303">
        <w:rPr>
          <w:b/>
          <w:sz w:val="21"/>
          <w:szCs w:val="21"/>
        </w:rPr>
        <w:t>ditio</w:t>
      </w:r>
      <w:r w:rsidR="00E323A5" w:rsidRPr="006B2303">
        <w:rPr>
          <w:b/>
          <w:sz w:val="21"/>
          <w:szCs w:val="21"/>
        </w:rPr>
        <w:t>n of the Guidebook contains new content to integrate the Policy, such as in</w:t>
      </w:r>
      <w:r w:rsidRPr="006B2303">
        <w:rPr>
          <w:b/>
          <w:sz w:val="21"/>
          <w:szCs w:val="21"/>
        </w:rPr>
        <w:t xml:space="preserve"> </w:t>
      </w:r>
      <w:r w:rsidR="00A650F3" w:rsidRPr="006B2303">
        <w:rPr>
          <w:b/>
          <w:sz w:val="21"/>
          <w:szCs w:val="21"/>
        </w:rPr>
        <w:t>the Introduction</w:t>
      </w:r>
      <w:r w:rsidR="00401998" w:rsidRPr="006B2303">
        <w:rPr>
          <w:b/>
          <w:sz w:val="21"/>
          <w:szCs w:val="21"/>
        </w:rPr>
        <w:t>,</w:t>
      </w:r>
      <w:r w:rsidR="00A650F3" w:rsidRPr="006B2303">
        <w:rPr>
          <w:b/>
          <w:sz w:val="21"/>
          <w:szCs w:val="21"/>
        </w:rPr>
        <w:t xml:space="preserve"> </w:t>
      </w:r>
      <w:r w:rsidRPr="006B2303">
        <w:rPr>
          <w:b/>
          <w:sz w:val="21"/>
          <w:szCs w:val="21"/>
        </w:rPr>
        <w:t>Chapter</w:t>
      </w:r>
      <w:r w:rsidR="0018098A" w:rsidRPr="006B2303">
        <w:rPr>
          <w:b/>
          <w:sz w:val="21"/>
          <w:szCs w:val="21"/>
        </w:rPr>
        <w:t>s 3 and 5</w:t>
      </w:r>
      <w:r w:rsidR="00401998" w:rsidRPr="006B2303">
        <w:rPr>
          <w:b/>
          <w:sz w:val="21"/>
          <w:szCs w:val="21"/>
        </w:rPr>
        <w:t>, and</w:t>
      </w:r>
      <w:r w:rsidR="00191144" w:rsidRPr="006B2303">
        <w:rPr>
          <w:b/>
          <w:sz w:val="21"/>
          <w:szCs w:val="21"/>
        </w:rPr>
        <w:t xml:space="preserve"> in</w:t>
      </w:r>
      <w:r w:rsidR="00401998" w:rsidRPr="006B2303">
        <w:rPr>
          <w:b/>
          <w:sz w:val="21"/>
          <w:szCs w:val="21"/>
        </w:rPr>
        <w:t xml:space="preserve"> the Self-Funded Project Proposal Coversheet.  </w:t>
      </w:r>
    </w:p>
    <w:p w:rsidR="00877861" w:rsidRPr="006B2303" w:rsidRDefault="00401998" w:rsidP="00877861">
      <w:pPr>
        <w:pStyle w:val="ListParagraph"/>
        <w:numPr>
          <w:ilvl w:val="1"/>
          <w:numId w:val="6"/>
        </w:numPr>
        <w:spacing w:before="120" w:after="120"/>
        <w:contextualSpacing w:val="0"/>
        <w:rPr>
          <w:i/>
          <w:sz w:val="21"/>
          <w:szCs w:val="21"/>
        </w:rPr>
      </w:pPr>
      <w:r w:rsidRPr="006B2303">
        <w:rPr>
          <w:i/>
          <w:sz w:val="21"/>
          <w:szCs w:val="21"/>
        </w:rPr>
        <w:t>T</w:t>
      </w:r>
      <w:r w:rsidR="00877861" w:rsidRPr="006B2303">
        <w:rPr>
          <w:i/>
          <w:sz w:val="21"/>
          <w:szCs w:val="21"/>
        </w:rPr>
        <w:t>he CN and Project Proposal templates now</w:t>
      </w:r>
      <w:r w:rsidR="00A650F3" w:rsidRPr="006B2303">
        <w:rPr>
          <w:i/>
          <w:sz w:val="21"/>
          <w:szCs w:val="21"/>
        </w:rPr>
        <w:t xml:space="preserve"> ask how the project will build the capacity of APEC e</w:t>
      </w:r>
      <w:r w:rsidR="00E323A5" w:rsidRPr="006B2303">
        <w:rPr>
          <w:i/>
          <w:sz w:val="21"/>
          <w:szCs w:val="21"/>
        </w:rPr>
        <w:t>conomies, particularly developing economies,</w:t>
      </w:r>
      <w:r w:rsidR="00A650F3" w:rsidRPr="006B2303">
        <w:rPr>
          <w:i/>
          <w:sz w:val="21"/>
          <w:szCs w:val="21"/>
        </w:rPr>
        <w:t xml:space="preserve"> in the case</w:t>
      </w:r>
      <w:r w:rsidR="00E323A5" w:rsidRPr="006B2303">
        <w:rPr>
          <w:i/>
          <w:sz w:val="21"/>
          <w:szCs w:val="21"/>
        </w:rPr>
        <w:t xml:space="preserve"> of APEC Support Fund projects. </w:t>
      </w:r>
      <w:r w:rsidR="00877861" w:rsidRPr="006B2303">
        <w:rPr>
          <w:i/>
          <w:sz w:val="21"/>
          <w:szCs w:val="21"/>
        </w:rPr>
        <w:t>The Capacity Bui</w:t>
      </w:r>
      <w:r w:rsidR="00A650F3" w:rsidRPr="006B2303">
        <w:rPr>
          <w:i/>
          <w:sz w:val="21"/>
          <w:szCs w:val="21"/>
        </w:rPr>
        <w:t xml:space="preserve">lding </w:t>
      </w:r>
      <w:r w:rsidRPr="006B2303">
        <w:rPr>
          <w:i/>
          <w:sz w:val="21"/>
          <w:szCs w:val="21"/>
        </w:rPr>
        <w:t>Goals, Objectives and Principles from the Polic</w:t>
      </w:r>
      <w:r w:rsidR="00E323A5" w:rsidRPr="006B2303">
        <w:rPr>
          <w:i/>
          <w:sz w:val="21"/>
          <w:szCs w:val="21"/>
        </w:rPr>
        <w:t>y are presented in Appendix K of the Guidebook.</w:t>
      </w:r>
    </w:p>
    <w:p w:rsidR="00E323A5" w:rsidRPr="006B2303" w:rsidRDefault="00E323A5" w:rsidP="00877861">
      <w:pPr>
        <w:pStyle w:val="ListParagraph"/>
        <w:numPr>
          <w:ilvl w:val="1"/>
          <w:numId w:val="6"/>
        </w:numPr>
        <w:spacing w:before="120" w:after="120"/>
        <w:contextualSpacing w:val="0"/>
        <w:rPr>
          <w:i/>
          <w:sz w:val="21"/>
          <w:szCs w:val="21"/>
        </w:rPr>
      </w:pPr>
      <w:r w:rsidRPr="006B2303">
        <w:rPr>
          <w:i/>
          <w:sz w:val="21"/>
          <w:szCs w:val="21"/>
        </w:rPr>
        <w:t>The new APEC Scoring Template allocates 10 points (from 60) for projects that support the goals, objectives and principles that are expressed in Appendix K.</w:t>
      </w:r>
    </w:p>
    <w:p w:rsidR="00783CE1" w:rsidRPr="006B2303" w:rsidRDefault="00783CE1" w:rsidP="00783CE1">
      <w:pPr>
        <w:pStyle w:val="ListParagraph"/>
        <w:numPr>
          <w:ilvl w:val="0"/>
          <w:numId w:val="6"/>
        </w:numPr>
        <w:spacing w:before="120" w:after="120"/>
        <w:contextualSpacing w:val="0"/>
        <w:rPr>
          <w:i/>
          <w:sz w:val="21"/>
          <w:szCs w:val="21"/>
        </w:rPr>
      </w:pPr>
      <w:r w:rsidRPr="006B2303">
        <w:rPr>
          <w:b/>
          <w:sz w:val="21"/>
          <w:szCs w:val="21"/>
        </w:rPr>
        <w:t xml:space="preserve">The </w:t>
      </w:r>
      <w:r w:rsidR="00576606" w:rsidRPr="006B2303">
        <w:rPr>
          <w:b/>
          <w:sz w:val="21"/>
          <w:szCs w:val="21"/>
        </w:rPr>
        <w:t>12</w:t>
      </w:r>
      <w:r w:rsidR="00576606" w:rsidRPr="006B2303">
        <w:rPr>
          <w:b/>
          <w:sz w:val="21"/>
          <w:szCs w:val="21"/>
          <w:vertAlign w:val="superscript"/>
        </w:rPr>
        <w:t>th</w:t>
      </w:r>
      <w:r w:rsidRPr="006B2303">
        <w:rPr>
          <w:b/>
          <w:sz w:val="21"/>
          <w:szCs w:val="21"/>
        </w:rPr>
        <w:t xml:space="preserve"> edition of the Guidebook better describes the opportunities for private sector sponsorship of projects, and has been updated to clarify the role that the private sector can play in project implementation.</w:t>
      </w:r>
    </w:p>
    <w:p w:rsidR="007620E1" w:rsidRPr="006B2303" w:rsidRDefault="00783CE1" w:rsidP="00783CE1">
      <w:pPr>
        <w:pStyle w:val="ListParagraph"/>
        <w:numPr>
          <w:ilvl w:val="0"/>
          <w:numId w:val="6"/>
        </w:numPr>
        <w:spacing w:before="120" w:after="120"/>
        <w:contextualSpacing w:val="0"/>
        <w:rPr>
          <w:i/>
          <w:sz w:val="21"/>
          <w:szCs w:val="21"/>
        </w:rPr>
      </w:pPr>
      <w:r w:rsidRPr="006B2303">
        <w:rPr>
          <w:b/>
          <w:sz w:val="21"/>
          <w:szCs w:val="21"/>
        </w:rPr>
        <w:t>Only one Monitoring Report a year will be required for projects approved in Project Session 1</w:t>
      </w:r>
      <w:r w:rsidR="007620E1" w:rsidRPr="006B2303">
        <w:rPr>
          <w:b/>
          <w:sz w:val="21"/>
          <w:szCs w:val="21"/>
        </w:rPr>
        <w:t>, 2018, and onwards. This will be due on 1 April each year. Existing projects must continue to provide two a year (1 February and 1 August).</w:t>
      </w:r>
    </w:p>
    <w:p w:rsidR="00783CE1" w:rsidRPr="006B2303" w:rsidRDefault="00783CE1" w:rsidP="00783CE1">
      <w:pPr>
        <w:pStyle w:val="ListParagraph"/>
        <w:numPr>
          <w:ilvl w:val="0"/>
          <w:numId w:val="6"/>
        </w:numPr>
        <w:spacing w:before="120" w:after="120"/>
        <w:contextualSpacing w:val="0"/>
        <w:rPr>
          <w:i/>
          <w:sz w:val="21"/>
          <w:szCs w:val="21"/>
        </w:rPr>
      </w:pPr>
      <w:r w:rsidRPr="006B2303">
        <w:rPr>
          <w:b/>
          <w:sz w:val="21"/>
          <w:szCs w:val="21"/>
        </w:rPr>
        <w:t xml:space="preserve"> </w:t>
      </w:r>
      <w:r w:rsidR="007620E1" w:rsidRPr="006B2303">
        <w:rPr>
          <w:b/>
          <w:sz w:val="21"/>
          <w:szCs w:val="21"/>
        </w:rPr>
        <w:t>Membe</w:t>
      </w:r>
      <w:r w:rsidR="00995DBD">
        <w:rPr>
          <w:b/>
          <w:sz w:val="21"/>
          <w:szCs w:val="21"/>
        </w:rPr>
        <w:t>rs of the proposing fora won’t</w:t>
      </w:r>
      <w:r w:rsidR="007620E1" w:rsidRPr="006B2303">
        <w:rPr>
          <w:b/>
          <w:sz w:val="21"/>
          <w:szCs w:val="21"/>
        </w:rPr>
        <w:t xml:space="preserve"> be required to complete a Quality Assurance Framework (QAF) document as part of the peer review of Project Proposals.</w:t>
      </w:r>
    </w:p>
    <w:p w:rsidR="007620E1" w:rsidRPr="006B2303" w:rsidRDefault="007620E1" w:rsidP="00783CE1">
      <w:pPr>
        <w:pStyle w:val="ListParagraph"/>
        <w:numPr>
          <w:ilvl w:val="0"/>
          <w:numId w:val="6"/>
        </w:numPr>
        <w:spacing w:before="120" w:after="120"/>
        <w:contextualSpacing w:val="0"/>
        <w:rPr>
          <w:b/>
          <w:i/>
          <w:sz w:val="21"/>
          <w:szCs w:val="21"/>
        </w:rPr>
      </w:pPr>
      <w:r w:rsidRPr="006B2303">
        <w:rPr>
          <w:b/>
          <w:sz w:val="21"/>
          <w:szCs w:val="21"/>
        </w:rPr>
        <w:t xml:space="preserve">Project Proposals that miss the advertised submission deadline will be given a </w:t>
      </w:r>
      <w:r w:rsidR="00846FBA" w:rsidRPr="006B2303">
        <w:rPr>
          <w:b/>
          <w:sz w:val="21"/>
          <w:szCs w:val="21"/>
        </w:rPr>
        <w:t>week’s</w:t>
      </w:r>
      <w:r w:rsidRPr="006B2303">
        <w:rPr>
          <w:b/>
          <w:sz w:val="21"/>
          <w:szCs w:val="21"/>
        </w:rPr>
        <w:t xml:space="preserve"> grace,</w:t>
      </w:r>
      <w:r w:rsidR="00846FBA" w:rsidRPr="006B2303">
        <w:rPr>
          <w:b/>
          <w:sz w:val="21"/>
          <w:szCs w:val="21"/>
        </w:rPr>
        <w:t xml:space="preserve"> after which they will be considered withdrawn and BMC’s ‘in-principle’ approval of the project will be revoked.</w:t>
      </w:r>
      <w:r w:rsidRPr="006B2303">
        <w:rPr>
          <w:b/>
          <w:sz w:val="21"/>
          <w:szCs w:val="21"/>
        </w:rPr>
        <w:t xml:space="preserve"> </w:t>
      </w:r>
    </w:p>
    <w:p w:rsidR="00846FBA" w:rsidRPr="006B2303" w:rsidRDefault="00846FBA" w:rsidP="00846FBA">
      <w:pPr>
        <w:pStyle w:val="ListParagraph"/>
        <w:spacing w:before="120" w:after="120"/>
        <w:ind w:left="1440"/>
        <w:contextualSpacing w:val="0"/>
        <w:rPr>
          <w:i/>
          <w:sz w:val="21"/>
          <w:szCs w:val="21"/>
        </w:rPr>
      </w:pPr>
    </w:p>
    <w:p w:rsidR="00846FBA" w:rsidRPr="006B2303" w:rsidRDefault="00846FBA" w:rsidP="00846FBA">
      <w:pPr>
        <w:pStyle w:val="ListParagraph"/>
        <w:spacing w:before="120" w:after="120"/>
        <w:ind w:left="1440"/>
        <w:contextualSpacing w:val="0"/>
        <w:jc w:val="center"/>
        <w:rPr>
          <w:b/>
          <w:i/>
          <w:sz w:val="21"/>
          <w:szCs w:val="21"/>
        </w:rPr>
      </w:pPr>
      <w:r w:rsidRPr="006B2303">
        <w:rPr>
          <w:b/>
          <w:i/>
          <w:sz w:val="21"/>
          <w:szCs w:val="21"/>
        </w:rPr>
        <w:t xml:space="preserve">ANY QUESTIONS PLEASE CONTACT YOUR PROGRAM DIRECTOR OR THE </w:t>
      </w:r>
    </w:p>
    <w:p w:rsidR="005564C3" w:rsidRDefault="00995DBD" w:rsidP="006B2303">
      <w:pPr>
        <w:pStyle w:val="ListParagraph"/>
        <w:spacing w:before="120" w:after="120"/>
        <w:ind w:left="1440"/>
        <w:contextualSpacing w:val="0"/>
        <w:jc w:val="center"/>
      </w:pPr>
      <w:r>
        <w:rPr>
          <w:b/>
          <w:i/>
          <w:sz w:val="21"/>
          <w:szCs w:val="21"/>
        </w:rPr>
        <w:t xml:space="preserve">PROJECT MANAGEMENT UNIT (PMU) at </w:t>
      </w:r>
      <w:hyperlink r:id="rId13" w:history="1">
        <w:r w:rsidRPr="00450760">
          <w:rPr>
            <w:rStyle w:val="Hyperlink"/>
            <w:b/>
            <w:i/>
            <w:sz w:val="21"/>
            <w:szCs w:val="21"/>
          </w:rPr>
          <w:t>PMU@apec.org</w:t>
        </w:r>
      </w:hyperlink>
      <w:r>
        <w:rPr>
          <w:b/>
          <w:i/>
          <w:sz w:val="21"/>
          <w:szCs w:val="21"/>
        </w:rPr>
        <w:t xml:space="preserve"> </w:t>
      </w:r>
    </w:p>
    <w:sectPr w:rsidR="005564C3" w:rsidSect="006B2303">
      <w:headerReference w:type="default" r:id="rId14"/>
      <w:pgSz w:w="12240" w:h="15840" w:code="1"/>
      <w:pgMar w:top="360" w:right="900" w:bottom="630" w:left="99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E9" w:rsidRDefault="00EB70E9">
      <w:pPr>
        <w:spacing w:after="0" w:line="240" w:lineRule="auto"/>
      </w:pPr>
      <w:r>
        <w:separator/>
      </w:r>
    </w:p>
  </w:endnote>
  <w:endnote w:type="continuationSeparator" w:id="0">
    <w:p w:rsidR="00EB70E9" w:rsidRDefault="00EB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E9" w:rsidRDefault="00EB70E9">
      <w:pPr>
        <w:spacing w:after="0" w:line="240" w:lineRule="auto"/>
      </w:pPr>
      <w:r>
        <w:separator/>
      </w:r>
    </w:p>
  </w:footnote>
  <w:footnote w:type="continuationSeparator" w:id="0">
    <w:p w:rsidR="00EB70E9" w:rsidRDefault="00EB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C3" w:rsidRDefault="003D6B93">
    <w:pPr>
      <w:pStyle w:val="Header"/>
    </w:pPr>
    <w:r>
      <w:rPr>
        <w:noProof/>
        <w:lang w:val="en-AU" w:eastAsia="en-AU"/>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64C3" w:rsidRDefault="003D6B93">
                          <w:pPr>
                            <w:pStyle w:val="Footer"/>
                          </w:pPr>
                          <w:r>
                            <w:fldChar w:fldCharType="begin"/>
                          </w:r>
                          <w:r>
                            <w:instrText xml:space="preserve"> PAGE   \* MERGEFORMAT </w:instrText>
                          </w:r>
                          <w:r>
                            <w:fldChar w:fldCharType="separate"/>
                          </w:r>
                          <w:r w:rsidR="00016D91">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rsidR="005564C3" w:rsidRDefault="003D6B93">
                    <w:pPr>
                      <w:pStyle w:val="Footer"/>
                    </w:pPr>
                    <w:r>
                      <w:fldChar w:fldCharType="begin"/>
                    </w:r>
                    <w:r>
                      <w:instrText xml:space="preserve"> PAGE   \* MERGEFORMAT </w:instrText>
                    </w:r>
                    <w:r>
                      <w:fldChar w:fldCharType="separate"/>
                    </w:r>
                    <w:r w:rsidR="00016D91">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435F1"/>
    <w:multiLevelType w:val="hybridMultilevel"/>
    <w:tmpl w:val="62966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46B82"/>
    <w:multiLevelType w:val="hybridMultilevel"/>
    <w:tmpl w:val="371CB3E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9864BF3"/>
    <w:multiLevelType w:val="hybridMultilevel"/>
    <w:tmpl w:val="413C1CC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30"/>
    <w:rsid w:val="00016D91"/>
    <w:rsid w:val="00086DC1"/>
    <w:rsid w:val="0010094B"/>
    <w:rsid w:val="0017220B"/>
    <w:rsid w:val="001807F1"/>
    <w:rsid w:val="0018098A"/>
    <w:rsid w:val="00191144"/>
    <w:rsid w:val="00226F04"/>
    <w:rsid w:val="002309DA"/>
    <w:rsid w:val="0028764F"/>
    <w:rsid w:val="003A76BB"/>
    <w:rsid w:val="003D6B93"/>
    <w:rsid w:val="00401998"/>
    <w:rsid w:val="00426421"/>
    <w:rsid w:val="00517530"/>
    <w:rsid w:val="005361D3"/>
    <w:rsid w:val="005564C3"/>
    <w:rsid w:val="00576606"/>
    <w:rsid w:val="005D00BD"/>
    <w:rsid w:val="00600BD6"/>
    <w:rsid w:val="0063526F"/>
    <w:rsid w:val="006B2303"/>
    <w:rsid w:val="006B260A"/>
    <w:rsid w:val="00755AB4"/>
    <w:rsid w:val="007620E1"/>
    <w:rsid w:val="00783CE1"/>
    <w:rsid w:val="007E6EC4"/>
    <w:rsid w:val="00846FBA"/>
    <w:rsid w:val="00877861"/>
    <w:rsid w:val="00887A30"/>
    <w:rsid w:val="008B2399"/>
    <w:rsid w:val="008E6A9D"/>
    <w:rsid w:val="00957D49"/>
    <w:rsid w:val="00995DBD"/>
    <w:rsid w:val="00A24F7E"/>
    <w:rsid w:val="00A650F3"/>
    <w:rsid w:val="00AE5DA6"/>
    <w:rsid w:val="00B52B39"/>
    <w:rsid w:val="00C435BE"/>
    <w:rsid w:val="00C52B5E"/>
    <w:rsid w:val="00D05E1C"/>
    <w:rsid w:val="00E25C12"/>
    <w:rsid w:val="00E323A5"/>
    <w:rsid w:val="00EB70E9"/>
    <w:rsid w:val="00F91ED8"/>
    <w:rsid w:val="00FE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02984A-A0EB-443E-86DA-ADBB2D56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character" w:styleId="Hyperlink">
    <w:name w:val="Hyperlink"/>
    <w:basedOn w:val="DefaultParagraphFont"/>
    <w:uiPriority w:val="99"/>
    <w:unhideWhenUsed/>
    <w:rsid w:val="005361D3"/>
    <w:rPr>
      <w:color w:val="40ACD1" w:themeColor="hyperlink"/>
      <w:u w:val="single"/>
    </w:rPr>
  </w:style>
  <w:style w:type="paragraph" w:styleId="ListParagraph">
    <w:name w:val="List Paragraph"/>
    <w:basedOn w:val="Normal"/>
    <w:uiPriority w:val="34"/>
    <w:unhideWhenUsed/>
    <w:qFormat/>
    <w:rsid w:val="00C5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U@apec.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pec.org/Projects/Funding-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ec.org/Projects/Funding-Sour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ec.org" TargetMode="External"/><Relationship Id="rId4" Type="http://schemas.openxmlformats.org/officeDocument/2006/relationships/styles" Target="styles.xml"/><Relationship Id="rId9" Type="http://schemas.openxmlformats.org/officeDocument/2006/relationships/hyperlink" Target="https://www.apec.org/Projects/Forms-and-Resources.asp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215648E44C417A9D7AA29105882EF1"/>
        <w:category>
          <w:name w:val="General"/>
          <w:gallery w:val="placeholder"/>
        </w:category>
        <w:types>
          <w:type w:val="bbPlcHdr"/>
        </w:types>
        <w:behaviors>
          <w:behavior w:val="content"/>
        </w:behaviors>
        <w:guid w:val="{3E0D2ED8-C6CD-4EB9-AF7F-9DA0790E1ACA}"/>
      </w:docPartPr>
      <w:docPartBody>
        <w:p w:rsidR="000D202C" w:rsidRDefault="00E473E2">
          <w:pPr>
            <w:pStyle w:val="62215648E44C417A9D7AA29105882EF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E2"/>
    <w:rsid w:val="000D202C"/>
    <w:rsid w:val="000F65F5"/>
    <w:rsid w:val="005A323B"/>
    <w:rsid w:val="00613FD6"/>
    <w:rsid w:val="00873C79"/>
    <w:rsid w:val="00BE330F"/>
    <w:rsid w:val="00E473E2"/>
    <w:rsid w:val="00ED5CC1"/>
    <w:rsid w:val="00F02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CC4EB5D85F402F8F07A46281C2304F">
    <w:name w:val="6FCC4EB5D85F402F8F07A46281C2304F"/>
  </w:style>
  <w:style w:type="paragraph" w:customStyle="1" w:styleId="5E6F60D99B92476ABC8DE967C0E49BC1">
    <w:name w:val="5E6F60D99B92476ABC8DE967C0E49BC1"/>
  </w:style>
  <w:style w:type="character" w:styleId="PlaceholderText">
    <w:name w:val="Placeholder Text"/>
    <w:basedOn w:val="DefaultParagraphFont"/>
    <w:uiPriority w:val="99"/>
    <w:semiHidden/>
    <w:rPr>
      <w:color w:val="808080"/>
    </w:rPr>
  </w:style>
  <w:style w:type="paragraph" w:customStyle="1" w:styleId="62215648E44C417A9D7AA29105882EF1">
    <w:name w:val="62215648E44C417A9D7AA29105882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5AC3CA3A-6386-4726-83D3-9B53EA85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7</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Simson</dc:creator>
  <cp:keywords/>
  <cp:lastModifiedBy>Daniel Simson</cp:lastModifiedBy>
  <cp:revision>4</cp:revision>
  <dcterms:created xsi:type="dcterms:W3CDTF">2017-10-10T06:00:00Z</dcterms:created>
  <dcterms:modified xsi:type="dcterms:W3CDTF">2017-10-12T07:21:00Z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