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95" w:type="dxa"/>
        <w:tblLook w:val="04A0" w:firstRow="1" w:lastRow="0" w:firstColumn="1" w:lastColumn="0" w:noHBand="0" w:noVBand="1"/>
      </w:tblPr>
      <w:tblGrid>
        <w:gridCol w:w="1176"/>
        <w:gridCol w:w="10074"/>
      </w:tblGrid>
      <w:tr w:rsidR="00DC1279" w:rsidTr="00B1225F">
        <w:tc>
          <w:tcPr>
            <w:tcW w:w="1176" w:type="dxa"/>
          </w:tcPr>
          <w:p w:rsidR="00DC1279" w:rsidRPr="007B348A" w:rsidRDefault="003C04D0">
            <w:pPr>
              <w:rPr>
                <w:b/>
                <w:sz w:val="20"/>
                <w:szCs w:val="20"/>
              </w:rPr>
            </w:pPr>
            <w:r w:rsidRPr="007B348A">
              <w:rPr>
                <w:b/>
                <w:sz w:val="20"/>
                <w:szCs w:val="20"/>
              </w:rPr>
              <w:t>Page</w:t>
            </w:r>
          </w:p>
        </w:tc>
        <w:tc>
          <w:tcPr>
            <w:tcW w:w="10074" w:type="dxa"/>
          </w:tcPr>
          <w:p w:rsidR="00DC1279" w:rsidRPr="007B348A" w:rsidRDefault="003E459D">
            <w:pPr>
              <w:rPr>
                <w:b/>
                <w:sz w:val="20"/>
                <w:szCs w:val="20"/>
              </w:rPr>
            </w:pPr>
            <w:r w:rsidRPr="007B348A">
              <w:rPr>
                <w:b/>
                <w:sz w:val="20"/>
                <w:szCs w:val="20"/>
              </w:rPr>
              <w:t>Description</w:t>
            </w:r>
            <w:r w:rsidR="00DC1279" w:rsidRPr="007B348A">
              <w:rPr>
                <w:b/>
                <w:sz w:val="20"/>
                <w:szCs w:val="20"/>
              </w:rPr>
              <w:t xml:space="preserve"> </w:t>
            </w:r>
          </w:p>
        </w:tc>
      </w:tr>
      <w:tr w:rsidR="00C72B4F" w:rsidTr="00B1225F">
        <w:tc>
          <w:tcPr>
            <w:tcW w:w="1176" w:type="dxa"/>
          </w:tcPr>
          <w:p w:rsidR="00C72B4F" w:rsidRPr="007B348A" w:rsidRDefault="002469EA" w:rsidP="002469EA">
            <w:pPr>
              <w:rPr>
                <w:sz w:val="20"/>
                <w:szCs w:val="20"/>
              </w:rPr>
            </w:pPr>
            <w:r w:rsidRPr="007B348A">
              <w:rPr>
                <w:sz w:val="20"/>
                <w:szCs w:val="20"/>
              </w:rPr>
              <w:t>Throughout</w:t>
            </w:r>
            <w:r w:rsidR="003E459D" w:rsidRPr="007B348A">
              <w:rPr>
                <w:sz w:val="20"/>
                <w:szCs w:val="20"/>
              </w:rPr>
              <w:t xml:space="preserve"> </w:t>
            </w:r>
          </w:p>
        </w:tc>
        <w:tc>
          <w:tcPr>
            <w:tcW w:w="10074" w:type="dxa"/>
          </w:tcPr>
          <w:p w:rsidR="00C72B4F" w:rsidRPr="007B348A" w:rsidRDefault="00A34A0B" w:rsidP="006C58A2">
            <w:pPr>
              <w:rPr>
                <w:sz w:val="20"/>
                <w:szCs w:val="20"/>
              </w:rPr>
            </w:pPr>
            <w:r w:rsidRPr="007B348A">
              <w:rPr>
                <w:sz w:val="20"/>
                <w:szCs w:val="20"/>
              </w:rPr>
              <w:t xml:space="preserve">A range of minor revisions </w:t>
            </w:r>
            <w:r w:rsidR="006C58A2" w:rsidRPr="007B348A">
              <w:rPr>
                <w:sz w:val="20"/>
                <w:szCs w:val="20"/>
              </w:rPr>
              <w:t xml:space="preserve">to </w:t>
            </w:r>
            <w:r w:rsidR="002469EA" w:rsidRPr="007B348A">
              <w:rPr>
                <w:sz w:val="20"/>
                <w:szCs w:val="20"/>
              </w:rPr>
              <w:t>enhance expression and establish consistent formatting and style.</w:t>
            </w:r>
          </w:p>
        </w:tc>
      </w:tr>
      <w:tr w:rsidR="00823C44" w:rsidRPr="00823C44" w:rsidTr="00B1225F">
        <w:tc>
          <w:tcPr>
            <w:tcW w:w="1176" w:type="dxa"/>
          </w:tcPr>
          <w:p w:rsidR="00DC1279" w:rsidRPr="007B348A" w:rsidRDefault="00823C44">
            <w:pPr>
              <w:rPr>
                <w:sz w:val="20"/>
                <w:szCs w:val="20"/>
              </w:rPr>
            </w:pPr>
            <w:r w:rsidRPr="007B348A">
              <w:rPr>
                <w:sz w:val="20"/>
                <w:szCs w:val="20"/>
              </w:rPr>
              <w:t>7</w:t>
            </w:r>
          </w:p>
        </w:tc>
        <w:tc>
          <w:tcPr>
            <w:tcW w:w="10074" w:type="dxa"/>
          </w:tcPr>
          <w:p w:rsidR="00DC1279" w:rsidRPr="007B348A" w:rsidRDefault="00DC1279" w:rsidP="00565C75">
            <w:pPr>
              <w:rPr>
                <w:sz w:val="20"/>
                <w:szCs w:val="20"/>
              </w:rPr>
            </w:pPr>
            <w:r w:rsidRPr="007B348A">
              <w:rPr>
                <w:sz w:val="20"/>
                <w:szCs w:val="20"/>
              </w:rPr>
              <w:t>Acronym table updated to reflect deletion of Q</w:t>
            </w:r>
            <w:r w:rsidR="00565C75" w:rsidRPr="007B348A">
              <w:rPr>
                <w:sz w:val="20"/>
                <w:szCs w:val="20"/>
              </w:rPr>
              <w:t xml:space="preserve">uality Assurance </w:t>
            </w:r>
            <w:r w:rsidRPr="007B348A">
              <w:rPr>
                <w:sz w:val="20"/>
                <w:szCs w:val="20"/>
              </w:rPr>
              <w:t>F</w:t>
            </w:r>
            <w:r w:rsidR="00565C75" w:rsidRPr="007B348A">
              <w:rPr>
                <w:sz w:val="20"/>
                <w:szCs w:val="20"/>
              </w:rPr>
              <w:t>ramework (QAF) and Principle Decision Maker (PDM)</w:t>
            </w:r>
            <w:r w:rsidR="006C58A2" w:rsidRPr="007B348A">
              <w:rPr>
                <w:sz w:val="20"/>
                <w:szCs w:val="20"/>
              </w:rPr>
              <w:t>.</w:t>
            </w:r>
          </w:p>
        </w:tc>
      </w:tr>
      <w:tr w:rsidR="008210D1" w:rsidTr="00B1225F">
        <w:tc>
          <w:tcPr>
            <w:tcW w:w="11250" w:type="dxa"/>
            <w:gridSpan w:val="2"/>
          </w:tcPr>
          <w:p w:rsidR="008210D1" w:rsidRPr="007B348A" w:rsidRDefault="008210D1" w:rsidP="00565C75">
            <w:pPr>
              <w:rPr>
                <w:sz w:val="20"/>
                <w:szCs w:val="20"/>
              </w:rPr>
            </w:pPr>
            <w:r w:rsidRPr="007B348A">
              <w:rPr>
                <w:b/>
                <w:sz w:val="20"/>
                <w:szCs w:val="20"/>
              </w:rPr>
              <w:t>Chapter 1. Introduction</w:t>
            </w:r>
          </w:p>
        </w:tc>
      </w:tr>
      <w:tr w:rsidR="008210D1" w:rsidTr="00B1225F">
        <w:tc>
          <w:tcPr>
            <w:tcW w:w="1176" w:type="dxa"/>
          </w:tcPr>
          <w:p w:rsidR="008210D1" w:rsidRPr="007B348A" w:rsidRDefault="00926CC0">
            <w:pPr>
              <w:rPr>
                <w:sz w:val="20"/>
                <w:szCs w:val="20"/>
              </w:rPr>
            </w:pPr>
            <w:r w:rsidRPr="007B348A">
              <w:rPr>
                <w:sz w:val="20"/>
                <w:szCs w:val="20"/>
              </w:rPr>
              <w:t>8</w:t>
            </w:r>
          </w:p>
        </w:tc>
        <w:tc>
          <w:tcPr>
            <w:tcW w:w="10074" w:type="dxa"/>
          </w:tcPr>
          <w:p w:rsidR="008210D1" w:rsidRPr="007B348A" w:rsidRDefault="008210D1" w:rsidP="008210D1">
            <w:pPr>
              <w:rPr>
                <w:sz w:val="20"/>
                <w:szCs w:val="20"/>
              </w:rPr>
            </w:pPr>
            <w:r w:rsidRPr="007B348A">
              <w:rPr>
                <w:sz w:val="20"/>
                <w:szCs w:val="20"/>
              </w:rPr>
              <w:t xml:space="preserve">New Introduction, including references to the </w:t>
            </w:r>
            <w:r w:rsidRPr="007B348A">
              <w:rPr>
                <w:i/>
                <w:sz w:val="20"/>
                <w:szCs w:val="20"/>
              </w:rPr>
              <w:t>APEC Capacity Building Policy (2015)</w:t>
            </w:r>
          </w:p>
        </w:tc>
      </w:tr>
      <w:tr w:rsidR="00926CC0" w:rsidTr="00B1225F">
        <w:tc>
          <w:tcPr>
            <w:tcW w:w="1176" w:type="dxa"/>
          </w:tcPr>
          <w:p w:rsidR="00926CC0" w:rsidRPr="007B348A" w:rsidRDefault="00926CC0">
            <w:pPr>
              <w:rPr>
                <w:sz w:val="20"/>
                <w:szCs w:val="20"/>
              </w:rPr>
            </w:pPr>
          </w:p>
        </w:tc>
        <w:tc>
          <w:tcPr>
            <w:tcW w:w="10074" w:type="dxa"/>
          </w:tcPr>
          <w:p w:rsidR="00926CC0" w:rsidRPr="007B348A" w:rsidRDefault="00926CC0" w:rsidP="00926CC0">
            <w:pPr>
              <w:rPr>
                <w:sz w:val="20"/>
                <w:szCs w:val="20"/>
              </w:rPr>
            </w:pPr>
          </w:p>
        </w:tc>
      </w:tr>
      <w:tr w:rsidR="00A34A0B" w:rsidTr="00B1225F">
        <w:tc>
          <w:tcPr>
            <w:tcW w:w="11250" w:type="dxa"/>
            <w:gridSpan w:val="2"/>
          </w:tcPr>
          <w:p w:rsidR="00A34A0B" w:rsidRPr="007B348A" w:rsidRDefault="00A34A0B">
            <w:pPr>
              <w:rPr>
                <w:b/>
                <w:sz w:val="20"/>
                <w:szCs w:val="20"/>
              </w:rPr>
            </w:pPr>
            <w:r w:rsidRPr="007B348A">
              <w:rPr>
                <w:b/>
                <w:sz w:val="20"/>
                <w:szCs w:val="20"/>
              </w:rPr>
              <w:t>Chapter 2. Roles and Responsibilities</w:t>
            </w:r>
          </w:p>
        </w:tc>
      </w:tr>
      <w:tr w:rsidR="00DC1279" w:rsidTr="00B1225F">
        <w:tc>
          <w:tcPr>
            <w:tcW w:w="1176" w:type="dxa"/>
          </w:tcPr>
          <w:p w:rsidR="00DC1279" w:rsidRPr="007B348A" w:rsidRDefault="00926CC0">
            <w:pPr>
              <w:rPr>
                <w:sz w:val="20"/>
                <w:szCs w:val="20"/>
              </w:rPr>
            </w:pPr>
            <w:r w:rsidRPr="007B348A">
              <w:rPr>
                <w:sz w:val="20"/>
                <w:szCs w:val="20"/>
              </w:rPr>
              <w:t>10</w:t>
            </w:r>
            <w:r w:rsidR="00823C44" w:rsidRPr="007B348A">
              <w:rPr>
                <w:sz w:val="20"/>
                <w:szCs w:val="20"/>
              </w:rPr>
              <w:t>-11</w:t>
            </w:r>
          </w:p>
        </w:tc>
        <w:tc>
          <w:tcPr>
            <w:tcW w:w="10074" w:type="dxa"/>
          </w:tcPr>
          <w:p w:rsidR="00DC1279" w:rsidRPr="007B348A" w:rsidRDefault="00565C75" w:rsidP="00823C44">
            <w:pPr>
              <w:rPr>
                <w:sz w:val="20"/>
                <w:szCs w:val="20"/>
              </w:rPr>
            </w:pPr>
            <w:r w:rsidRPr="007B348A">
              <w:rPr>
                <w:sz w:val="20"/>
                <w:szCs w:val="20"/>
              </w:rPr>
              <w:t>The r</w:t>
            </w:r>
            <w:r w:rsidR="00DC1279" w:rsidRPr="007B348A">
              <w:rPr>
                <w:sz w:val="20"/>
                <w:szCs w:val="20"/>
              </w:rPr>
              <w:t>oles and responsibilities</w:t>
            </w:r>
            <w:r w:rsidRPr="007B348A">
              <w:rPr>
                <w:sz w:val="20"/>
                <w:szCs w:val="20"/>
              </w:rPr>
              <w:t xml:space="preserve"> of Senior Officials</w:t>
            </w:r>
            <w:r w:rsidR="00DC1279" w:rsidRPr="007B348A">
              <w:rPr>
                <w:sz w:val="20"/>
                <w:szCs w:val="20"/>
              </w:rPr>
              <w:t xml:space="preserve"> </w:t>
            </w:r>
            <w:r w:rsidRPr="007B348A">
              <w:rPr>
                <w:sz w:val="20"/>
                <w:szCs w:val="20"/>
              </w:rPr>
              <w:t xml:space="preserve">(or delegates) </w:t>
            </w:r>
            <w:r w:rsidR="00DC1279" w:rsidRPr="007B348A">
              <w:rPr>
                <w:sz w:val="20"/>
                <w:szCs w:val="20"/>
              </w:rPr>
              <w:t>updated to reflect eligibility and scoring roles</w:t>
            </w:r>
            <w:r w:rsidRPr="007B348A">
              <w:rPr>
                <w:sz w:val="20"/>
                <w:szCs w:val="20"/>
              </w:rPr>
              <w:t xml:space="preserve"> for GPA and ASF General Fund</w:t>
            </w:r>
            <w:r w:rsidR="006C58A2" w:rsidRPr="007B348A">
              <w:rPr>
                <w:sz w:val="20"/>
                <w:szCs w:val="20"/>
              </w:rPr>
              <w:t>.</w:t>
            </w:r>
            <w:r w:rsidR="00926CC0" w:rsidRPr="007B348A">
              <w:rPr>
                <w:sz w:val="20"/>
                <w:szCs w:val="20"/>
              </w:rPr>
              <w:t xml:space="preserve"> </w:t>
            </w:r>
            <w:r w:rsidR="00823C44" w:rsidRPr="007B348A">
              <w:rPr>
                <w:sz w:val="20"/>
                <w:szCs w:val="20"/>
              </w:rPr>
              <w:t xml:space="preserve">PDM role is deleted. Proposing forum no longer score; QAF requirement removed; and Monitoring Report due once a year (1 April) for projects selected from 2018 onwards. APEC Committee information is deleted. Replaced with a new section describing the roles and responsibilities of ‘Responsible APEC Fora’, who oversee eligibility and scoring for specified funding sources. Specific fora/funding source information will be placed on </w:t>
            </w:r>
            <w:hyperlink r:id="rId4" w:history="1">
              <w:r w:rsidR="00823C44" w:rsidRPr="007B348A">
                <w:rPr>
                  <w:rStyle w:val="Hyperlink"/>
                  <w:color w:val="auto"/>
                  <w:sz w:val="20"/>
                  <w:szCs w:val="20"/>
                </w:rPr>
                <w:t>www.apec.org</w:t>
              </w:r>
            </w:hyperlink>
            <w:r w:rsidR="00823C44" w:rsidRPr="007B348A">
              <w:rPr>
                <w:sz w:val="20"/>
                <w:szCs w:val="20"/>
              </w:rPr>
              <w:t xml:space="preserve">  </w:t>
            </w:r>
          </w:p>
        </w:tc>
      </w:tr>
      <w:tr w:rsidR="000B05C8" w:rsidTr="00B1225F">
        <w:tc>
          <w:tcPr>
            <w:tcW w:w="1176" w:type="dxa"/>
          </w:tcPr>
          <w:p w:rsidR="000B05C8" w:rsidRPr="007B348A" w:rsidRDefault="000B05C8" w:rsidP="000B05C8">
            <w:pPr>
              <w:rPr>
                <w:sz w:val="20"/>
                <w:szCs w:val="20"/>
              </w:rPr>
            </w:pPr>
            <w:r w:rsidRPr="007B348A">
              <w:rPr>
                <w:sz w:val="20"/>
                <w:szCs w:val="20"/>
              </w:rPr>
              <w:t>11</w:t>
            </w:r>
          </w:p>
        </w:tc>
        <w:tc>
          <w:tcPr>
            <w:tcW w:w="10074" w:type="dxa"/>
          </w:tcPr>
          <w:p w:rsidR="000B05C8" w:rsidRPr="007B348A" w:rsidRDefault="000B05C8" w:rsidP="000B05C8">
            <w:pPr>
              <w:rPr>
                <w:sz w:val="20"/>
                <w:szCs w:val="20"/>
              </w:rPr>
            </w:pPr>
            <w:r w:rsidRPr="007B348A">
              <w:rPr>
                <w:sz w:val="20"/>
                <w:szCs w:val="20"/>
              </w:rPr>
              <w:t>Project Overseers (POs) need not be government officials, subject to sponsoring economy support.</w:t>
            </w:r>
          </w:p>
        </w:tc>
      </w:tr>
      <w:tr w:rsidR="000B05C8" w:rsidTr="00B1225F">
        <w:tc>
          <w:tcPr>
            <w:tcW w:w="1176" w:type="dxa"/>
          </w:tcPr>
          <w:p w:rsidR="000B05C8" w:rsidRPr="007B348A" w:rsidRDefault="000B05C8" w:rsidP="000B05C8">
            <w:pPr>
              <w:rPr>
                <w:sz w:val="20"/>
                <w:szCs w:val="20"/>
              </w:rPr>
            </w:pPr>
            <w:r w:rsidRPr="007B348A">
              <w:rPr>
                <w:sz w:val="20"/>
                <w:szCs w:val="20"/>
              </w:rPr>
              <w:t>13</w:t>
            </w:r>
          </w:p>
        </w:tc>
        <w:tc>
          <w:tcPr>
            <w:tcW w:w="10074" w:type="dxa"/>
          </w:tcPr>
          <w:p w:rsidR="000B05C8" w:rsidRPr="007B348A" w:rsidRDefault="000B05C8" w:rsidP="000B05C8">
            <w:pPr>
              <w:rPr>
                <w:sz w:val="20"/>
                <w:szCs w:val="20"/>
              </w:rPr>
            </w:pPr>
            <w:r w:rsidRPr="007B348A">
              <w:rPr>
                <w:sz w:val="20"/>
                <w:szCs w:val="20"/>
              </w:rPr>
              <w:t xml:space="preserve">Program Directors (PDs) authority for waivers, extensions and design amendments clarified. </w:t>
            </w:r>
          </w:p>
        </w:tc>
      </w:tr>
      <w:tr w:rsidR="000B05C8" w:rsidTr="00B1225F">
        <w:tc>
          <w:tcPr>
            <w:tcW w:w="11250" w:type="dxa"/>
            <w:gridSpan w:val="2"/>
          </w:tcPr>
          <w:p w:rsidR="000B05C8" w:rsidRPr="007B348A" w:rsidRDefault="000B05C8" w:rsidP="000B05C8">
            <w:pPr>
              <w:rPr>
                <w:b/>
                <w:sz w:val="20"/>
                <w:szCs w:val="20"/>
              </w:rPr>
            </w:pPr>
            <w:r w:rsidRPr="007B348A">
              <w:rPr>
                <w:b/>
                <w:sz w:val="20"/>
                <w:szCs w:val="20"/>
              </w:rPr>
              <w:t>Chapter 3. Funding and Accounts</w:t>
            </w:r>
          </w:p>
        </w:tc>
      </w:tr>
      <w:tr w:rsidR="000B3698" w:rsidRPr="000B3698" w:rsidTr="00B1225F">
        <w:tc>
          <w:tcPr>
            <w:tcW w:w="1176" w:type="dxa"/>
          </w:tcPr>
          <w:p w:rsidR="000B05C8" w:rsidRPr="007B348A" w:rsidRDefault="000B3698" w:rsidP="000B05C8">
            <w:pPr>
              <w:rPr>
                <w:sz w:val="20"/>
                <w:szCs w:val="20"/>
              </w:rPr>
            </w:pPr>
            <w:r w:rsidRPr="007B348A">
              <w:rPr>
                <w:sz w:val="20"/>
                <w:szCs w:val="20"/>
              </w:rPr>
              <w:t>15</w:t>
            </w:r>
          </w:p>
        </w:tc>
        <w:tc>
          <w:tcPr>
            <w:tcW w:w="10074" w:type="dxa"/>
          </w:tcPr>
          <w:p w:rsidR="000B05C8" w:rsidRPr="007B348A" w:rsidRDefault="000B05C8" w:rsidP="000B05C8">
            <w:pPr>
              <w:rPr>
                <w:sz w:val="20"/>
                <w:szCs w:val="20"/>
              </w:rPr>
            </w:pPr>
            <w:r w:rsidRPr="007B348A">
              <w:rPr>
                <w:sz w:val="20"/>
                <w:szCs w:val="20"/>
              </w:rPr>
              <w:t>Update to specify that the funding priorities of the General Project Account (GPA) shall be combined host-year priorities of the outgoing APEC host economy and the incoming host economy, as agreed by Senior Officials.</w:t>
            </w:r>
          </w:p>
        </w:tc>
      </w:tr>
      <w:tr w:rsidR="000B3698" w:rsidRPr="000B3698" w:rsidTr="00B1225F">
        <w:tc>
          <w:tcPr>
            <w:tcW w:w="1176" w:type="dxa"/>
          </w:tcPr>
          <w:p w:rsidR="000B3698" w:rsidRPr="007B348A" w:rsidRDefault="000B3698" w:rsidP="000B3698">
            <w:pPr>
              <w:rPr>
                <w:sz w:val="20"/>
                <w:szCs w:val="20"/>
              </w:rPr>
            </w:pPr>
            <w:r w:rsidRPr="007B348A">
              <w:rPr>
                <w:sz w:val="20"/>
                <w:szCs w:val="20"/>
              </w:rPr>
              <w:t>16-17</w:t>
            </w:r>
          </w:p>
        </w:tc>
        <w:tc>
          <w:tcPr>
            <w:tcW w:w="10074" w:type="dxa"/>
          </w:tcPr>
          <w:p w:rsidR="000B3698" w:rsidRPr="007B348A" w:rsidRDefault="000B3698" w:rsidP="000B3698">
            <w:pPr>
              <w:rPr>
                <w:sz w:val="20"/>
                <w:szCs w:val="20"/>
              </w:rPr>
            </w:pPr>
            <w:r w:rsidRPr="007B348A">
              <w:rPr>
                <w:sz w:val="20"/>
                <w:szCs w:val="20"/>
              </w:rPr>
              <w:t>Clarifications regarding the operation and structure of the TILF and ASF project funding accounts.</w:t>
            </w:r>
          </w:p>
        </w:tc>
      </w:tr>
      <w:tr w:rsidR="000B3698" w:rsidRPr="000B3698" w:rsidTr="00B1225F">
        <w:tc>
          <w:tcPr>
            <w:tcW w:w="1176" w:type="dxa"/>
          </w:tcPr>
          <w:p w:rsidR="000B3698" w:rsidRPr="007B348A" w:rsidRDefault="000B3698" w:rsidP="000B3698">
            <w:pPr>
              <w:rPr>
                <w:sz w:val="20"/>
                <w:szCs w:val="20"/>
              </w:rPr>
            </w:pPr>
            <w:r w:rsidRPr="007B348A">
              <w:rPr>
                <w:sz w:val="20"/>
                <w:szCs w:val="20"/>
              </w:rPr>
              <w:t>17</w:t>
            </w:r>
          </w:p>
        </w:tc>
        <w:tc>
          <w:tcPr>
            <w:tcW w:w="10074" w:type="dxa"/>
          </w:tcPr>
          <w:p w:rsidR="000B3698" w:rsidRPr="007B348A" w:rsidRDefault="000B3698" w:rsidP="000B3698">
            <w:pPr>
              <w:rPr>
                <w:sz w:val="20"/>
                <w:szCs w:val="20"/>
              </w:rPr>
            </w:pPr>
            <w:r w:rsidRPr="007B348A">
              <w:rPr>
                <w:sz w:val="20"/>
                <w:szCs w:val="20"/>
              </w:rPr>
              <w:t>Update to specify that the funding priorities of the ASF General Fund are the Priority Themes of the Manila Framework for Strengthening Economic Cooperation and Development. Deletion of statement that Concept Notes found ineligible for ASF sub-funds, will be otherwise eligible for ASF General Fund.</w:t>
            </w:r>
          </w:p>
        </w:tc>
      </w:tr>
      <w:tr w:rsidR="000B3698" w:rsidRPr="000B3698" w:rsidTr="00B1225F">
        <w:tc>
          <w:tcPr>
            <w:tcW w:w="1176" w:type="dxa"/>
          </w:tcPr>
          <w:p w:rsidR="000B3698" w:rsidRPr="007B348A" w:rsidRDefault="000B3698" w:rsidP="000B3698">
            <w:pPr>
              <w:rPr>
                <w:sz w:val="20"/>
                <w:szCs w:val="20"/>
              </w:rPr>
            </w:pPr>
            <w:r w:rsidRPr="007B348A">
              <w:rPr>
                <w:sz w:val="20"/>
                <w:szCs w:val="20"/>
              </w:rPr>
              <w:t>18-19</w:t>
            </w:r>
          </w:p>
        </w:tc>
        <w:tc>
          <w:tcPr>
            <w:tcW w:w="10074" w:type="dxa"/>
          </w:tcPr>
          <w:p w:rsidR="000B3698" w:rsidRPr="007B348A" w:rsidRDefault="000B3698" w:rsidP="000B3698">
            <w:pPr>
              <w:rPr>
                <w:sz w:val="20"/>
                <w:szCs w:val="20"/>
              </w:rPr>
            </w:pPr>
            <w:r w:rsidRPr="007B348A">
              <w:rPr>
                <w:sz w:val="20"/>
                <w:szCs w:val="20"/>
              </w:rPr>
              <w:t>Expanded coverage of Self-funding. New content in relation to non-APEC sources of funding (e.g. private sector).</w:t>
            </w:r>
          </w:p>
        </w:tc>
      </w:tr>
      <w:tr w:rsidR="000B3698" w:rsidTr="00B1225F">
        <w:tc>
          <w:tcPr>
            <w:tcW w:w="11250" w:type="dxa"/>
            <w:gridSpan w:val="2"/>
          </w:tcPr>
          <w:p w:rsidR="000B3698" w:rsidRPr="007B348A" w:rsidRDefault="000B3698" w:rsidP="000B3698">
            <w:pPr>
              <w:rPr>
                <w:b/>
                <w:sz w:val="20"/>
                <w:szCs w:val="20"/>
              </w:rPr>
            </w:pPr>
            <w:r w:rsidRPr="007B348A">
              <w:rPr>
                <w:b/>
                <w:sz w:val="20"/>
                <w:szCs w:val="20"/>
              </w:rPr>
              <w:t>Chapter 4. APEC Project Cycle; Chapter 5. Applying for Funding; Chapter 6. Project Implementation and Monitoring; Chapter 7. Project Completion and Chapter 8. Multi-Year Projects.</w:t>
            </w:r>
          </w:p>
        </w:tc>
      </w:tr>
      <w:tr w:rsidR="000B3698" w:rsidRPr="007915A8" w:rsidTr="00B1225F">
        <w:tc>
          <w:tcPr>
            <w:tcW w:w="1176" w:type="dxa"/>
          </w:tcPr>
          <w:p w:rsidR="000B3698" w:rsidRPr="007B348A" w:rsidRDefault="000B3698" w:rsidP="000B3698">
            <w:pPr>
              <w:rPr>
                <w:sz w:val="20"/>
                <w:szCs w:val="20"/>
              </w:rPr>
            </w:pPr>
            <w:r w:rsidRPr="007B348A">
              <w:rPr>
                <w:sz w:val="20"/>
                <w:szCs w:val="20"/>
              </w:rPr>
              <w:t>21-22</w:t>
            </w:r>
          </w:p>
        </w:tc>
        <w:tc>
          <w:tcPr>
            <w:tcW w:w="10074" w:type="dxa"/>
          </w:tcPr>
          <w:p w:rsidR="000B3698" w:rsidRPr="007B348A" w:rsidRDefault="000B3698" w:rsidP="000B3698">
            <w:pPr>
              <w:rPr>
                <w:sz w:val="20"/>
                <w:szCs w:val="20"/>
              </w:rPr>
            </w:pPr>
            <w:r w:rsidRPr="007B348A">
              <w:rPr>
                <w:sz w:val="20"/>
                <w:szCs w:val="20"/>
              </w:rPr>
              <w:t>Clarification on the preparation, endorsement and submission of Concept Notes</w:t>
            </w:r>
          </w:p>
        </w:tc>
      </w:tr>
      <w:tr w:rsidR="000B3698" w:rsidRPr="007915A8" w:rsidTr="00B1225F">
        <w:tc>
          <w:tcPr>
            <w:tcW w:w="1176" w:type="dxa"/>
          </w:tcPr>
          <w:p w:rsidR="000B3698" w:rsidRPr="007B348A" w:rsidRDefault="000B3698" w:rsidP="000B3698">
            <w:pPr>
              <w:rPr>
                <w:sz w:val="20"/>
                <w:szCs w:val="20"/>
              </w:rPr>
            </w:pPr>
            <w:r w:rsidRPr="007B348A">
              <w:rPr>
                <w:sz w:val="20"/>
                <w:szCs w:val="20"/>
              </w:rPr>
              <w:t>23-24</w:t>
            </w:r>
          </w:p>
        </w:tc>
        <w:tc>
          <w:tcPr>
            <w:tcW w:w="10074" w:type="dxa"/>
          </w:tcPr>
          <w:p w:rsidR="000B3698" w:rsidRPr="007B348A" w:rsidRDefault="000B3698" w:rsidP="000B3698">
            <w:pPr>
              <w:rPr>
                <w:sz w:val="20"/>
                <w:szCs w:val="20"/>
              </w:rPr>
            </w:pPr>
            <w:r w:rsidRPr="007B348A">
              <w:rPr>
                <w:sz w:val="20"/>
                <w:szCs w:val="20"/>
              </w:rPr>
              <w:t>A number of changes to reflect the new project scoring and selection mechanism (i.e., ‘responsible APEC fora’ undertake eligibility and scoring; a single layer of scoring; no PDM process, etc.)</w:t>
            </w:r>
          </w:p>
        </w:tc>
      </w:tr>
      <w:tr w:rsidR="000B3698" w:rsidTr="00B1225F">
        <w:tc>
          <w:tcPr>
            <w:tcW w:w="1176" w:type="dxa"/>
          </w:tcPr>
          <w:p w:rsidR="000B3698" w:rsidRPr="007B348A" w:rsidRDefault="000B3698" w:rsidP="000B3698">
            <w:pPr>
              <w:rPr>
                <w:sz w:val="20"/>
                <w:szCs w:val="20"/>
              </w:rPr>
            </w:pPr>
            <w:r w:rsidRPr="007B348A">
              <w:rPr>
                <w:sz w:val="20"/>
                <w:szCs w:val="20"/>
              </w:rPr>
              <w:t>24</w:t>
            </w:r>
          </w:p>
        </w:tc>
        <w:tc>
          <w:tcPr>
            <w:tcW w:w="10074" w:type="dxa"/>
          </w:tcPr>
          <w:p w:rsidR="000B3698" w:rsidRPr="007B348A" w:rsidRDefault="000B3698" w:rsidP="000B3698">
            <w:pPr>
              <w:rPr>
                <w:sz w:val="20"/>
                <w:szCs w:val="20"/>
              </w:rPr>
            </w:pPr>
            <w:r w:rsidRPr="007B348A">
              <w:rPr>
                <w:sz w:val="20"/>
                <w:szCs w:val="20"/>
              </w:rPr>
              <w:t>Clarification that Project Proposals not submitted by the Project Proposal deadline will be given a grace period of one week following the deadline, after which they will be considered withdrawn and ‘in-principle’ approval will be revoked.</w:t>
            </w:r>
          </w:p>
        </w:tc>
      </w:tr>
      <w:tr w:rsidR="000B3698" w:rsidRPr="00DC641A" w:rsidTr="00B1225F">
        <w:tc>
          <w:tcPr>
            <w:tcW w:w="1176" w:type="dxa"/>
          </w:tcPr>
          <w:p w:rsidR="000B3698" w:rsidRPr="007B348A" w:rsidRDefault="000B3698" w:rsidP="000B3698">
            <w:pPr>
              <w:rPr>
                <w:sz w:val="20"/>
                <w:szCs w:val="20"/>
              </w:rPr>
            </w:pPr>
            <w:r w:rsidRPr="007B348A">
              <w:rPr>
                <w:sz w:val="20"/>
                <w:szCs w:val="20"/>
              </w:rPr>
              <w:t>24-25, 27</w:t>
            </w:r>
          </w:p>
        </w:tc>
        <w:tc>
          <w:tcPr>
            <w:tcW w:w="10074" w:type="dxa"/>
          </w:tcPr>
          <w:p w:rsidR="000B3698" w:rsidRPr="007B348A" w:rsidRDefault="000B3698" w:rsidP="000B3698">
            <w:pPr>
              <w:rPr>
                <w:sz w:val="20"/>
                <w:szCs w:val="20"/>
              </w:rPr>
            </w:pPr>
            <w:r w:rsidRPr="007B348A">
              <w:rPr>
                <w:sz w:val="20"/>
                <w:szCs w:val="20"/>
              </w:rPr>
              <w:t>References to the QAF have been deleted. Operating guidance for project Steering Committees added.</w:t>
            </w:r>
          </w:p>
        </w:tc>
      </w:tr>
      <w:tr w:rsidR="00F96E90" w:rsidRPr="00F96E90" w:rsidTr="00B1225F">
        <w:tc>
          <w:tcPr>
            <w:tcW w:w="1176" w:type="dxa"/>
          </w:tcPr>
          <w:p w:rsidR="000B3698" w:rsidRPr="007B348A" w:rsidRDefault="00F96E90" w:rsidP="000B3698">
            <w:pPr>
              <w:rPr>
                <w:sz w:val="20"/>
                <w:szCs w:val="20"/>
              </w:rPr>
            </w:pPr>
            <w:r w:rsidRPr="007B348A">
              <w:rPr>
                <w:sz w:val="20"/>
                <w:szCs w:val="20"/>
              </w:rPr>
              <w:t>28</w:t>
            </w:r>
          </w:p>
        </w:tc>
        <w:tc>
          <w:tcPr>
            <w:tcW w:w="10074" w:type="dxa"/>
          </w:tcPr>
          <w:p w:rsidR="000B3698" w:rsidRPr="007B348A" w:rsidRDefault="000B3698" w:rsidP="00F96E90">
            <w:pPr>
              <w:rPr>
                <w:sz w:val="20"/>
                <w:szCs w:val="20"/>
              </w:rPr>
            </w:pPr>
            <w:r w:rsidRPr="007B348A">
              <w:rPr>
                <w:sz w:val="20"/>
                <w:szCs w:val="20"/>
              </w:rPr>
              <w:t>New annual requirement for Monitoring Reports (</w:t>
            </w:r>
            <w:r w:rsidR="00F96E90" w:rsidRPr="007B348A">
              <w:rPr>
                <w:sz w:val="20"/>
                <w:szCs w:val="20"/>
              </w:rPr>
              <w:t>1 April) is recorded (projects commencing from 2018).</w:t>
            </w:r>
          </w:p>
        </w:tc>
      </w:tr>
      <w:tr w:rsidR="000B3698" w:rsidTr="00B1225F">
        <w:tc>
          <w:tcPr>
            <w:tcW w:w="11250" w:type="dxa"/>
            <w:gridSpan w:val="2"/>
          </w:tcPr>
          <w:p w:rsidR="000B3698" w:rsidRPr="007B348A" w:rsidRDefault="000B3698" w:rsidP="000B3698">
            <w:pPr>
              <w:rPr>
                <w:b/>
                <w:sz w:val="20"/>
                <w:szCs w:val="20"/>
              </w:rPr>
            </w:pPr>
            <w:r w:rsidRPr="007B348A">
              <w:rPr>
                <w:b/>
                <w:sz w:val="20"/>
                <w:szCs w:val="20"/>
              </w:rPr>
              <w:t>Chapter 9. APEC Project Expenses and Chapter 10. General Disbursement Procedures</w:t>
            </w:r>
          </w:p>
        </w:tc>
      </w:tr>
      <w:tr w:rsidR="000B3698" w:rsidTr="00B1225F">
        <w:tc>
          <w:tcPr>
            <w:tcW w:w="1176" w:type="dxa"/>
          </w:tcPr>
          <w:p w:rsidR="000B3698" w:rsidRPr="007B348A" w:rsidRDefault="00F96E90" w:rsidP="000B3698">
            <w:pPr>
              <w:rPr>
                <w:sz w:val="20"/>
                <w:szCs w:val="20"/>
              </w:rPr>
            </w:pPr>
            <w:r w:rsidRPr="007B348A">
              <w:rPr>
                <w:sz w:val="20"/>
                <w:szCs w:val="20"/>
              </w:rPr>
              <w:t>34</w:t>
            </w:r>
          </w:p>
        </w:tc>
        <w:tc>
          <w:tcPr>
            <w:tcW w:w="10074" w:type="dxa"/>
          </w:tcPr>
          <w:p w:rsidR="000B3698" w:rsidRPr="007B348A" w:rsidRDefault="000B3698" w:rsidP="000B3698">
            <w:pPr>
              <w:rPr>
                <w:sz w:val="20"/>
                <w:szCs w:val="20"/>
              </w:rPr>
            </w:pPr>
            <w:r w:rsidRPr="007B348A">
              <w:rPr>
                <w:sz w:val="20"/>
                <w:szCs w:val="20"/>
              </w:rPr>
              <w:t>Clarification that honoraria must be framed in a travel/work undertaking and cannot be paid on a retrospective claims basis.</w:t>
            </w:r>
          </w:p>
        </w:tc>
      </w:tr>
      <w:tr w:rsidR="000B3698" w:rsidTr="00B1225F">
        <w:tc>
          <w:tcPr>
            <w:tcW w:w="1176" w:type="dxa"/>
          </w:tcPr>
          <w:p w:rsidR="000B3698" w:rsidRPr="007B348A" w:rsidRDefault="00F96E90" w:rsidP="000B3698">
            <w:pPr>
              <w:rPr>
                <w:sz w:val="20"/>
                <w:szCs w:val="20"/>
              </w:rPr>
            </w:pPr>
            <w:r w:rsidRPr="007B348A">
              <w:rPr>
                <w:sz w:val="20"/>
                <w:szCs w:val="20"/>
              </w:rPr>
              <w:t>35</w:t>
            </w:r>
          </w:p>
        </w:tc>
        <w:tc>
          <w:tcPr>
            <w:tcW w:w="10074" w:type="dxa"/>
          </w:tcPr>
          <w:p w:rsidR="000B3698" w:rsidRPr="007B348A" w:rsidRDefault="000B3698" w:rsidP="000B3698">
            <w:pPr>
              <w:rPr>
                <w:sz w:val="20"/>
                <w:szCs w:val="20"/>
              </w:rPr>
            </w:pPr>
            <w:r w:rsidRPr="007B348A">
              <w:rPr>
                <w:sz w:val="20"/>
                <w:szCs w:val="20"/>
              </w:rPr>
              <w:t>Clarification around ‘simultaneous interpretation costs’ (definition, waivers and contracting)</w:t>
            </w:r>
          </w:p>
        </w:tc>
      </w:tr>
      <w:tr w:rsidR="000B3698" w:rsidTr="00B1225F">
        <w:tc>
          <w:tcPr>
            <w:tcW w:w="1176" w:type="dxa"/>
          </w:tcPr>
          <w:p w:rsidR="000B3698" w:rsidRPr="007B348A" w:rsidRDefault="00F96E90" w:rsidP="000B3698">
            <w:pPr>
              <w:rPr>
                <w:sz w:val="20"/>
                <w:szCs w:val="20"/>
              </w:rPr>
            </w:pPr>
            <w:r w:rsidRPr="007B348A">
              <w:rPr>
                <w:sz w:val="20"/>
                <w:szCs w:val="20"/>
              </w:rPr>
              <w:t>36</w:t>
            </w:r>
          </w:p>
        </w:tc>
        <w:tc>
          <w:tcPr>
            <w:tcW w:w="10074" w:type="dxa"/>
          </w:tcPr>
          <w:p w:rsidR="000B3698" w:rsidRPr="007B348A" w:rsidRDefault="000B3698" w:rsidP="000B3698">
            <w:pPr>
              <w:rPr>
                <w:sz w:val="20"/>
                <w:szCs w:val="20"/>
              </w:rPr>
            </w:pPr>
            <w:r w:rsidRPr="007B348A">
              <w:rPr>
                <w:sz w:val="20"/>
                <w:szCs w:val="20"/>
              </w:rPr>
              <w:t>Inclusion of RAASR sub-fund within interpretation/translation policy that applied to the preceding ANSSR sub-fund.</w:t>
            </w:r>
          </w:p>
        </w:tc>
      </w:tr>
      <w:tr w:rsidR="000B3698" w:rsidTr="00B1225F">
        <w:tc>
          <w:tcPr>
            <w:tcW w:w="1176" w:type="dxa"/>
          </w:tcPr>
          <w:p w:rsidR="000B3698" w:rsidRPr="007B348A" w:rsidRDefault="00F96E90" w:rsidP="000B3698">
            <w:pPr>
              <w:rPr>
                <w:sz w:val="20"/>
                <w:szCs w:val="20"/>
              </w:rPr>
            </w:pPr>
            <w:r w:rsidRPr="007B348A">
              <w:rPr>
                <w:sz w:val="20"/>
                <w:szCs w:val="20"/>
              </w:rPr>
              <w:t>36</w:t>
            </w:r>
          </w:p>
        </w:tc>
        <w:tc>
          <w:tcPr>
            <w:tcW w:w="10074" w:type="dxa"/>
          </w:tcPr>
          <w:p w:rsidR="000B3698" w:rsidRPr="007B348A" w:rsidRDefault="000B3698" w:rsidP="000B3698">
            <w:pPr>
              <w:rPr>
                <w:sz w:val="20"/>
                <w:szCs w:val="20"/>
              </w:rPr>
            </w:pPr>
            <w:r w:rsidRPr="007B348A">
              <w:rPr>
                <w:sz w:val="20"/>
                <w:szCs w:val="20"/>
              </w:rPr>
              <w:t>Clarification regarding activities that constitute ‘Direct Labour’</w:t>
            </w:r>
          </w:p>
        </w:tc>
      </w:tr>
      <w:tr w:rsidR="000B3698" w:rsidTr="00B1225F">
        <w:tc>
          <w:tcPr>
            <w:tcW w:w="1176" w:type="dxa"/>
          </w:tcPr>
          <w:p w:rsidR="000B3698" w:rsidRPr="007B348A" w:rsidRDefault="00F96E90" w:rsidP="000B3698">
            <w:pPr>
              <w:rPr>
                <w:sz w:val="20"/>
                <w:szCs w:val="20"/>
              </w:rPr>
            </w:pPr>
            <w:r w:rsidRPr="007B348A">
              <w:rPr>
                <w:sz w:val="20"/>
                <w:szCs w:val="20"/>
              </w:rPr>
              <w:t>37</w:t>
            </w:r>
          </w:p>
        </w:tc>
        <w:tc>
          <w:tcPr>
            <w:tcW w:w="10074" w:type="dxa"/>
          </w:tcPr>
          <w:p w:rsidR="000B3698" w:rsidRPr="007B348A" w:rsidRDefault="000B3698" w:rsidP="000B3698">
            <w:pPr>
              <w:rPr>
                <w:sz w:val="20"/>
                <w:szCs w:val="20"/>
              </w:rPr>
            </w:pPr>
            <w:r w:rsidRPr="007B348A">
              <w:rPr>
                <w:sz w:val="20"/>
                <w:szCs w:val="20"/>
              </w:rPr>
              <w:t>Clarification that contractors can be individuals or entities.</w:t>
            </w:r>
          </w:p>
        </w:tc>
      </w:tr>
      <w:tr w:rsidR="00EC1F61" w:rsidTr="00B1225F">
        <w:tc>
          <w:tcPr>
            <w:tcW w:w="1176" w:type="dxa"/>
          </w:tcPr>
          <w:p w:rsidR="00EC1F61" w:rsidRPr="007B348A" w:rsidRDefault="00EC1F61" w:rsidP="00EC1F61">
            <w:pPr>
              <w:rPr>
                <w:sz w:val="20"/>
                <w:szCs w:val="20"/>
              </w:rPr>
            </w:pPr>
            <w:r w:rsidRPr="007B348A">
              <w:rPr>
                <w:sz w:val="20"/>
                <w:szCs w:val="20"/>
              </w:rPr>
              <w:t>38</w:t>
            </w:r>
          </w:p>
        </w:tc>
        <w:tc>
          <w:tcPr>
            <w:tcW w:w="10074" w:type="dxa"/>
          </w:tcPr>
          <w:p w:rsidR="00EC1F61" w:rsidRPr="007B348A" w:rsidRDefault="00EC1F61" w:rsidP="00EC1F61">
            <w:pPr>
              <w:rPr>
                <w:sz w:val="20"/>
                <w:szCs w:val="20"/>
              </w:rPr>
            </w:pPr>
            <w:r w:rsidRPr="007B348A">
              <w:rPr>
                <w:sz w:val="20"/>
                <w:szCs w:val="20"/>
              </w:rPr>
              <w:t>Clarification regarding the meaning of “airfare”.</w:t>
            </w:r>
          </w:p>
        </w:tc>
      </w:tr>
      <w:tr w:rsidR="00EC1F61" w:rsidTr="00B1225F">
        <w:tc>
          <w:tcPr>
            <w:tcW w:w="1176" w:type="dxa"/>
          </w:tcPr>
          <w:p w:rsidR="00EC1F61" w:rsidRPr="007B348A" w:rsidRDefault="00EC1F61" w:rsidP="00EC1F61">
            <w:pPr>
              <w:rPr>
                <w:sz w:val="20"/>
                <w:szCs w:val="20"/>
              </w:rPr>
            </w:pPr>
            <w:r w:rsidRPr="007B348A">
              <w:rPr>
                <w:sz w:val="20"/>
                <w:szCs w:val="20"/>
              </w:rPr>
              <w:t>38-39</w:t>
            </w:r>
          </w:p>
        </w:tc>
        <w:tc>
          <w:tcPr>
            <w:tcW w:w="10074" w:type="dxa"/>
          </w:tcPr>
          <w:p w:rsidR="00EC1F61" w:rsidRPr="007B348A" w:rsidRDefault="00EC1F61" w:rsidP="00EC1F61">
            <w:pPr>
              <w:rPr>
                <w:sz w:val="20"/>
                <w:szCs w:val="20"/>
              </w:rPr>
            </w:pPr>
            <w:r w:rsidRPr="007B348A">
              <w:rPr>
                <w:sz w:val="20"/>
                <w:szCs w:val="20"/>
              </w:rPr>
              <w:t>Clarification on reference rates and basis for per diem calculations.</w:t>
            </w:r>
          </w:p>
        </w:tc>
      </w:tr>
      <w:tr w:rsidR="00EC1F61" w:rsidTr="00B1225F">
        <w:tc>
          <w:tcPr>
            <w:tcW w:w="1176" w:type="dxa"/>
          </w:tcPr>
          <w:p w:rsidR="00EC1F61" w:rsidRPr="007B348A" w:rsidRDefault="00921140" w:rsidP="00EC1F61">
            <w:pPr>
              <w:rPr>
                <w:sz w:val="20"/>
                <w:szCs w:val="20"/>
              </w:rPr>
            </w:pPr>
            <w:r w:rsidRPr="007B348A">
              <w:rPr>
                <w:sz w:val="20"/>
                <w:szCs w:val="20"/>
              </w:rPr>
              <w:t>41</w:t>
            </w:r>
          </w:p>
        </w:tc>
        <w:tc>
          <w:tcPr>
            <w:tcW w:w="10074" w:type="dxa"/>
          </w:tcPr>
          <w:p w:rsidR="00EC1F61" w:rsidRPr="007B348A" w:rsidRDefault="00921140" w:rsidP="00EC1F61">
            <w:pPr>
              <w:rPr>
                <w:sz w:val="20"/>
                <w:szCs w:val="20"/>
              </w:rPr>
            </w:pPr>
            <w:r w:rsidRPr="007B348A">
              <w:rPr>
                <w:sz w:val="20"/>
                <w:szCs w:val="20"/>
              </w:rPr>
              <w:t>Clarification</w:t>
            </w:r>
            <w:r w:rsidR="00442388" w:rsidRPr="007B348A">
              <w:rPr>
                <w:sz w:val="20"/>
                <w:szCs w:val="20"/>
              </w:rPr>
              <w:t>s</w:t>
            </w:r>
            <w:r w:rsidRPr="007B348A">
              <w:rPr>
                <w:sz w:val="20"/>
                <w:szCs w:val="20"/>
              </w:rPr>
              <w:t xml:space="preserve"> regarding </w:t>
            </w:r>
            <w:r w:rsidR="00442388" w:rsidRPr="007B348A">
              <w:rPr>
                <w:sz w:val="20"/>
                <w:szCs w:val="20"/>
              </w:rPr>
              <w:t>per diem and other aspects of non-allowable travel expenses; and PO travel expenses.</w:t>
            </w:r>
          </w:p>
        </w:tc>
      </w:tr>
      <w:tr w:rsidR="00EC1F61" w:rsidTr="00B1225F">
        <w:tc>
          <w:tcPr>
            <w:tcW w:w="1176" w:type="dxa"/>
          </w:tcPr>
          <w:p w:rsidR="00EC1F61" w:rsidRPr="007B348A" w:rsidRDefault="00442388" w:rsidP="00EC1F61">
            <w:pPr>
              <w:rPr>
                <w:sz w:val="20"/>
                <w:szCs w:val="20"/>
              </w:rPr>
            </w:pPr>
            <w:r w:rsidRPr="007B348A">
              <w:rPr>
                <w:sz w:val="20"/>
                <w:szCs w:val="20"/>
              </w:rPr>
              <w:t>43</w:t>
            </w:r>
          </w:p>
        </w:tc>
        <w:tc>
          <w:tcPr>
            <w:tcW w:w="10074" w:type="dxa"/>
          </w:tcPr>
          <w:p w:rsidR="00EC1F61" w:rsidRPr="007B348A" w:rsidRDefault="00442388" w:rsidP="00EC1F61">
            <w:pPr>
              <w:rPr>
                <w:sz w:val="20"/>
                <w:szCs w:val="20"/>
              </w:rPr>
            </w:pPr>
            <w:r w:rsidRPr="007B348A">
              <w:rPr>
                <w:sz w:val="20"/>
                <w:szCs w:val="20"/>
              </w:rPr>
              <w:t>Clarification of policy regarding the expenses for translation and reproduction of final project reports.</w:t>
            </w:r>
          </w:p>
        </w:tc>
      </w:tr>
      <w:tr w:rsidR="00EC1F61" w:rsidTr="00B1225F">
        <w:tc>
          <w:tcPr>
            <w:tcW w:w="1176" w:type="dxa"/>
          </w:tcPr>
          <w:p w:rsidR="00EC1F61" w:rsidRPr="007B348A" w:rsidRDefault="00442388" w:rsidP="00EC1F61">
            <w:pPr>
              <w:rPr>
                <w:sz w:val="20"/>
                <w:szCs w:val="20"/>
              </w:rPr>
            </w:pPr>
            <w:r w:rsidRPr="007B348A">
              <w:rPr>
                <w:sz w:val="20"/>
                <w:szCs w:val="20"/>
              </w:rPr>
              <w:t>43</w:t>
            </w:r>
          </w:p>
        </w:tc>
        <w:tc>
          <w:tcPr>
            <w:tcW w:w="10074" w:type="dxa"/>
          </w:tcPr>
          <w:p w:rsidR="00EC1F61" w:rsidRPr="007B348A" w:rsidRDefault="00442388" w:rsidP="00EC1F61">
            <w:pPr>
              <w:rPr>
                <w:sz w:val="20"/>
                <w:szCs w:val="20"/>
              </w:rPr>
            </w:pPr>
            <w:r w:rsidRPr="007B348A">
              <w:rPr>
                <w:sz w:val="20"/>
                <w:szCs w:val="20"/>
              </w:rPr>
              <w:t>Clarification regarding the funding of items such as stationery, communication, portable memory devices, or items deemed to promotional, or as gifts. Also clarification regarding translation costs.</w:t>
            </w:r>
          </w:p>
        </w:tc>
      </w:tr>
      <w:tr w:rsidR="00EC1F61" w:rsidTr="00B1225F">
        <w:tc>
          <w:tcPr>
            <w:tcW w:w="1176" w:type="dxa"/>
          </w:tcPr>
          <w:p w:rsidR="00EC1F61" w:rsidRPr="007B348A" w:rsidRDefault="00190B74" w:rsidP="00EC1F61">
            <w:pPr>
              <w:rPr>
                <w:sz w:val="20"/>
                <w:szCs w:val="20"/>
              </w:rPr>
            </w:pPr>
            <w:r>
              <w:rPr>
                <w:sz w:val="20"/>
                <w:szCs w:val="20"/>
              </w:rPr>
              <w:t>46-47</w:t>
            </w:r>
          </w:p>
        </w:tc>
        <w:tc>
          <w:tcPr>
            <w:tcW w:w="10074" w:type="dxa"/>
          </w:tcPr>
          <w:p w:rsidR="00EC1F61" w:rsidRPr="007B348A" w:rsidRDefault="00D80182" w:rsidP="00EC1F61">
            <w:pPr>
              <w:rPr>
                <w:sz w:val="20"/>
                <w:szCs w:val="20"/>
              </w:rPr>
            </w:pPr>
            <w:r w:rsidRPr="007B348A">
              <w:rPr>
                <w:sz w:val="20"/>
                <w:szCs w:val="20"/>
              </w:rPr>
              <w:t>Clarification regarding disbursements, including deadlines, and honoraria, travel expenses and other payment types.</w:t>
            </w:r>
          </w:p>
        </w:tc>
      </w:tr>
      <w:tr w:rsidR="00EC1F61" w:rsidTr="00B1225F">
        <w:tc>
          <w:tcPr>
            <w:tcW w:w="1176" w:type="dxa"/>
          </w:tcPr>
          <w:p w:rsidR="00EC1F61" w:rsidRPr="007B348A" w:rsidRDefault="00190B74" w:rsidP="00EC1F61">
            <w:pPr>
              <w:rPr>
                <w:sz w:val="20"/>
                <w:szCs w:val="20"/>
              </w:rPr>
            </w:pPr>
            <w:r>
              <w:rPr>
                <w:sz w:val="20"/>
                <w:szCs w:val="20"/>
              </w:rPr>
              <w:t>48</w:t>
            </w:r>
          </w:p>
        </w:tc>
        <w:tc>
          <w:tcPr>
            <w:tcW w:w="10074" w:type="dxa"/>
          </w:tcPr>
          <w:p w:rsidR="00EC1F61" w:rsidRPr="007B348A" w:rsidRDefault="00D80182" w:rsidP="00EC1F61">
            <w:pPr>
              <w:rPr>
                <w:sz w:val="20"/>
                <w:szCs w:val="20"/>
              </w:rPr>
            </w:pPr>
            <w:r w:rsidRPr="007B348A">
              <w:rPr>
                <w:sz w:val="20"/>
                <w:szCs w:val="20"/>
              </w:rPr>
              <w:t>Clarification regarding advance payments, instalments etc.</w:t>
            </w:r>
          </w:p>
        </w:tc>
      </w:tr>
      <w:tr w:rsidR="00EC1F61" w:rsidTr="00B1225F">
        <w:tc>
          <w:tcPr>
            <w:tcW w:w="11250" w:type="dxa"/>
            <w:gridSpan w:val="2"/>
          </w:tcPr>
          <w:p w:rsidR="00EC1F61" w:rsidRPr="007B348A" w:rsidRDefault="00EC1F61" w:rsidP="00EC1F61">
            <w:pPr>
              <w:rPr>
                <w:b/>
                <w:sz w:val="20"/>
                <w:szCs w:val="20"/>
              </w:rPr>
            </w:pPr>
            <w:r w:rsidRPr="007B348A">
              <w:rPr>
                <w:b/>
                <w:sz w:val="20"/>
                <w:szCs w:val="20"/>
              </w:rPr>
              <w:t>Chapter 12. Contracting</w:t>
            </w:r>
          </w:p>
        </w:tc>
      </w:tr>
      <w:tr w:rsidR="00EC1F61" w:rsidTr="00B1225F">
        <w:tc>
          <w:tcPr>
            <w:tcW w:w="1176" w:type="dxa"/>
          </w:tcPr>
          <w:p w:rsidR="00EC1F61" w:rsidRPr="007B348A" w:rsidRDefault="00190B74" w:rsidP="00EC1F61">
            <w:pPr>
              <w:rPr>
                <w:sz w:val="20"/>
                <w:szCs w:val="20"/>
              </w:rPr>
            </w:pPr>
            <w:r>
              <w:rPr>
                <w:sz w:val="20"/>
                <w:szCs w:val="20"/>
              </w:rPr>
              <w:t>51</w:t>
            </w:r>
          </w:p>
        </w:tc>
        <w:tc>
          <w:tcPr>
            <w:tcW w:w="10074" w:type="dxa"/>
          </w:tcPr>
          <w:p w:rsidR="00EC1F61" w:rsidRPr="007B348A" w:rsidRDefault="00EC1F61" w:rsidP="00EC1F61">
            <w:pPr>
              <w:rPr>
                <w:sz w:val="20"/>
                <w:szCs w:val="20"/>
              </w:rPr>
            </w:pPr>
            <w:r w:rsidRPr="007B348A">
              <w:rPr>
                <w:sz w:val="20"/>
                <w:szCs w:val="20"/>
              </w:rPr>
              <w:t>Clarification on the extent to which APEC meets the travel and per diem expenses of contractors engaged to provide clerical, administrative or logistical support.</w:t>
            </w:r>
          </w:p>
        </w:tc>
      </w:tr>
      <w:tr w:rsidR="00EC1F61" w:rsidTr="00B1225F">
        <w:tc>
          <w:tcPr>
            <w:tcW w:w="1176" w:type="dxa"/>
          </w:tcPr>
          <w:p w:rsidR="00EC1F61" w:rsidRPr="007B348A" w:rsidRDefault="00190B74" w:rsidP="00EC1F61">
            <w:pPr>
              <w:rPr>
                <w:sz w:val="20"/>
                <w:szCs w:val="20"/>
              </w:rPr>
            </w:pPr>
            <w:r>
              <w:rPr>
                <w:sz w:val="20"/>
                <w:szCs w:val="20"/>
              </w:rPr>
              <w:t>51-54</w:t>
            </w:r>
          </w:p>
        </w:tc>
        <w:tc>
          <w:tcPr>
            <w:tcW w:w="10074" w:type="dxa"/>
          </w:tcPr>
          <w:p w:rsidR="00EC1F61" w:rsidRPr="007B348A" w:rsidRDefault="00EC1F61" w:rsidP="00F05070">
            <w:pPr>
              <w:rPr>
                <w:sz w:val="20"/>
                <w:szCs w:val="20"/>
              </w:rPr>
            </w:pPr>
            <w:r w:rsidRPr="007B348A">
              <w:rPr>
                <w:sz w:val="20"/>
                <w:szCs w:val="20"/>
              </w:rPr>
              <w:t>Explanation of the ‘notice of declaration’ requirements for contractors, across</w:t>
            </w:r>
            <w:r w:rsidR="00F05070" w:rsidRPr="007B348A">
              <w:rPr>
                <w:sz w:val="20"/>
                <w:szCs w:val="20"/>
              </w:rPr>
              <w:t xml:space="preserve"> all </w:t>
            </w:r>
            <w:r w:rsidRPr="007B348A">
              <w:rPr>
                <w:sz w:val="20"/>
                <w:szCs w:val="20"/>
              </w:rPr>
              <w:t>procurement thresholds.</w:t>
            </w:r>
          </w:p>
        </w:tc>
      </w:tr>
      <w:tr w:rsidR="00EC1F61" w:rsidTr="00B1225F">
        <w:tc>
          <w:tcPr>
            <w:tcW w:w="11250" w:type="dxa"/>
            <w:gridSpan w:val="2"/>
          </w:tcPr>
          <w:p w:rsidR="00EC1F61" w:rsidRPr="007B348A" w:rsidRDefault="00EC1F61" w:rsidP="00EC1F61">
            <w:pPr>
              <w:rPr>
                <w:b/>
                <w:sz w:val="20"/>
                <w:szCs w:val="20"/>
              </w:rPr>
            </w:pPr>
            <w:r w:rsidRPr="007B348A">
              <w:rPr>
                <w:b/>
                <w:sz w:val="20"/>
                <w:szCs w:val="20"/>
              </w:rPr>
              <w:t>Appendices</w:t>
            </w:r>
          </w:p>
        </w:tc>
      </w:tr>
      <w:tr w:rsidR="00EC1F61" w:rsidTr="00B1225F">
        <w:tc>
          <w:tcPr>
            <w:tcW w:w="1176" w:type="dxa"/>
          </w:tcPr>
          <w:p w:rsidR="00EC1F61" w:rsidRPr="007B348A" w:rsidRDefault="00EC1F61" w:rsidP="00EC1F61">
            <w:pPr>
              <w:rPr>
                <w:sz w:val="20"/>
                <w:szCs w:val="20"/>
              </w:rPr>
            </w:pPr>
            <w:r w:rsidRPr="007B348A">
              <w:rPr>
                <w:sz w:val="20"/>
                <w:szCs w:val="20"/>
              </w:rPr>
              <w:t>Appendix A</w:t>
            </w:r>
          </w:p>
        </w:tc>
        <w:tc>
          <w:tcPr>
            <w:tcW w:w="10074" w:type="dxa"/>
          </w:tcPr>
          <w:p w:rsidR="00EC1F61" w:rsidRPr="007B348A" w:rsidRDefault="00EC1F61" w:rsidP="00EC1F61">
            <w:pPr>
              <w:rPr>
                <w:sz w:val="20"/>
                <w:szCs w:val="20"/>
              </w:rPr>
            </w:pPr>
            <w:r w:rsidRPr="007B348A">
              <w:rPr>
                <w:sz w:val="20"/>
                <w:szCs w:val="20"/>
              </w:rPr>
              <w:t>Concept Note template modified to reflect new project selection and scoring process, and for POs to specify the developing economy beneficiaries of ASF projects (to assist eligibility checking).</w:t>
            </w:r>
          </w:p>
        </w:tc>
      </w:tr>
      <w:tr w:rsidR="00EC1F61" w:rsidTr="00B1225F">
        <w:tc>
          <w:tcPr>
            <w:tcW w:w="1176" w:type="dxa"/>
          </w:tcPr>
          <w:p w:rsidR="00EC1F61" w:rsidRPr="007B348A" w:rsidRDefault="00EC1F61" w:rsidP="00EC1F61">
            <w:pPr>
              <w:rPr>
                <w:sz w:val="20"/>
                <w:szCs w:val="20"/>
              </w:rPr>
            </w:pPr>
            <w:r w:rsidRPr="007B348A">
              <w:rPr>
                <w:sz w:val="20"/>
                <w:szCs w:val="20"/>
              </w:rPr>
              <w:t>Appendix B</w:t>
            </w:r>
          </w:p>
        </w:tc>
        <w:tc>
          <w:tcPr>
            <w:tcW w:w="10074" w:type="dxa"/>
          </w:tcPr>
          <w:p w:rsidR="00EC1F61" w:rsidRPr="007B348A" w:rsidRDefault="00EC1F61" w:rsidP="00EC1F61">
            <w:pPr>
              <w:rPr>
                <w:sz w:val="20"/>
                <w:szCs w:val="20"/>
              </w:rPr>
            </w:pPr>
            <w:r w:rsidRPr="007B348A">
              <w:rPr>
                <w:sz w:val="20"/>
                <w:szCs w:val="20"/>
              </w:rPr>
              <w:t>Project Proposal template aligned to modifications in Concept Note template.</w:t>
            </w:r>
          </w:p>
        </w:tc>
      </w:tr>
      <w:tr w:rsidR="00F05070" w:rsidTr="00B1225F">
        <w:tc>
          <w:tcPr>
            <w:tcW w:w="1176" w:type="dxa"/>
          </w:tcPr>
          <w:p w:rsidR="00F05070" w:rsidRPr="007B348A" w:rsidRDefault="00F05070" w:rsidP="00EC1F61">
            <w:pPr>
              <w:rPr>
                <w:sz w:val="20"/>
                <w:szCs w:val="20"/>
              </w:rPr>
            </w:pPr>
            <w:r w:rsidRPr="007B348A">
              <w:rPr>
                <w:sz w:val="20"/>
                <w:szCs w:val="20"/>
              </w:rPr>
              <w:t>Appendix C</w:t>
            </w:r>
          </w:p>
        </w:tc>
        <w:tc>
          <w:tcPr>
            <w:tcW w:w="10074" w:type="dxa"/>
          </w:tcPr>
          <w:p w:rsidR="00F05070" w:rsidRPr="007B348A" w:rsidRDefault="00F05070" w:rsidP="00EC1F61">
            <w:pPr>
              <w:rPr>
                <w:sz w:val="20"/>
                <w:szCs w:val="20"/>
              </w:rPr>
            </w:pPr>
            <w:r w:rsidRPr="007B348A">
              <w:rPr>
                <w:sz w:val="20"/>
                <w:szCs w:val="20"/>
              </w:rPr>
              <w:t>Self-Funded Coversheet expanded to include ‘Self-Funded Project Synopsis’.</w:t>
            </w:r>
          </w:p>
        </w:tc>
      </w:tr>
      <w:tr w:rsidR="00EC1F61" w:rsidTr="00B1225F">
        <w:tc>
          <w:tcPr>
            <w:tcW w:w="1176" w:type="dxa"/>
          </w:tcPr>
          <w:p w:rsidR="00EC1F61" w:rsidRPr="007B348A" w:rsidRDefault="00EC1F61" w:rsidP="00EC1F61">
            <w:pPr>
              <w:rPr>
                <w:sz w:val="20"/>
                <w:szCs w:val="20"/>
              </w:rPr>
            </w:pPr>
            <w:r w:rsidRPr="007B348A">
              <w:rPr>
                <w:sz w:val="20"/>
                <w:szCs w:val="20"/>
              </w:rPr>
              <w:t>Appendix E</w:t>
            </w:r>
          </w:p>
        </w:tc>
        <w:tc>
          <w:tcPr>
            <w:tcW w:w="10074" w:type="dxa"/>
          </w:tcPr>
          <w:p w:rsidR="00EC1F61" w:rsidRPr="007B348A" w:rsidRDefault="00EC1F61" w:rsidP="00EC1F61">
            <w:pPr>
              <w:rPr>
                <w:sz w:val="20"/>
                <w:szCs w:val="20"/>
              </w:rPr>
            </w:pPr>
            <w:r w:rsidRPr="007B348A">
              <w:rPr>
                <w:sz w:val="20"/>
                <w:szCs w:val="20"/>
              </w:rPr>
              <w:t xml:space="preserve">Monitoring Report modified to reflect the new annual reporting requirement. </w:t>
            </w:r>
          </w:p>
        </w:tc>
      </w:tr>
      <w:tr w:rsidR="00F05070" w:rsidTr="00B1225F">
        <w:tc>
          <w:tcPr>
            <w:tcW w:w="1176" w:type="dxa"/>
          </w:tcPr>
          <w:p w:rsidR="00F05070" w:rsidRPr="007B348A" w:rsidRDefault="00F05070" w:rsidP="00EC1F61">
            <w:pPr>
              <w:rPr>
                <w:sz w:val="20"/>
                <w:szCs w:val="20"/>
              </w:rPr>
            </w:pPr>
            <w:r w:rsidRPr="007B348A">
              <w:rPr>
                <w:sz w:val="20"/>
                <w:szCs w:val="20"/>
              </w:rPr>
              <w:t>Appendix K</w:t>
            </w:r>
          </w:p>
        </w:tc>
        <w:tc>
          <w:tcPr>
            <w:tcW w:w="10074" w:type="dxa"/>
          </w:tcPr>
          <w:p w:rsidR="00F05070" w:rsidRPr="007B348A" w:rsidRDefault="00F05070" w:rsidP="00EC1F61">
            <w:pPr>
              <w:rPr>
                <w:sz w:val="20"/>
                <w:szCs w:val="20"/>
              </w:rPr>
            </w:pPr>
            <w:r w:rsidRPr="007B348A">
              <w:rPr>
                <w:sz w:val="20"/>
                <w:szCs w:val="20"/>
              </w:rPr>
              <w:t>New appendix: Capacity Building Goals, Objectives and Principles</w:t>
            </w:r>
          </w:p>
        </w:tc>
      </w:tr>
    </w:tbl>
    <w:p w:rsidR="00EF141B" w:rsidRPr="00190B74" w:rsidRDefault="00190B74" w:rsidP="00190B74">
      <w:pPr>
        <w:jc w:val="center"/>
        <w:rPr>
          <w:i/>
          <w:sz w:val="16"/>
        </w:rPr>
      </w:pPr>
      <w:r w:rsidRPr="00190B74">
        <w:rPr>
          <w:i/>
          <w:sz w:val="16"/>
        </w:rPr>
        <w:t>Revised version 31 October 2017</w:t>
      </w:r>
      <w:bookmarkStart w:id="0" w:name="_GoBack"/>
      <w:bookmarkEnd w:id="0"/>
    </w:p>
    <w:sectPr w:rsidR="00EF141B" w:rsidRPr="00190B74" w:rsidSect="00C529D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79"/>
    <w:rsid w:val="00017B40"/>
    <w:rsid w:val="000B05C8"/>
    <w:rsid w:val="000B3698"/>
    <w:rsid w:val="00102C3E"/>
    <w:rsid w:val="00136E00"/>
    <w:rsid w:val="00190B74"/>
    <w:rsid w:val="00240265"/>
    <w:rsid w:val="002469EA"/>
    <w:rsid w:val="00287BE9"/>
    <w:rsid w:val="002E2400"/>
    <w:rsid w:val="003C04D0"/>
    <w:rsid w:val="003E459D"/>
    <w:rsid w:val="00407161"/>
    <w:rsid w:val="00442388"/>
    <w:rsid w:val="0055195C"/>
    <w:rsid w:val="00565C75"/>
    <w:rsid w:val="0066681A"/>
    <w:rsid w:val="006C4235"/>
    <w:rsid w:val="006C58A2"/>
    <w:rsid w:val="007915A8"/>
    <w:rsid w:val="007B348A"/>
    <w:rsid w:val="008210D1"/>
    <w:rsid w:val="00823C44"/>
    <w:rsid w:val="0089616B"/>
    <w:rsid w:val="00921140"/>
    <w:rsid w:val="00926CC0"/>
    <w:rsid w:val="009F0393"/>
    <w:rsid w:val="00A34A0B"/>
    <w:rsid w:val="00A4524B"/>
    <w:rsid w:val="00AC6DD0"/>
    <w:rsid w:val="00B1225F"/>
    <w:rsid w:val="00B145E2"/>
    <w:rsid w:val="00B44378"/>
    <w:rsid w:val="00B571AF"/>
    <w:rsid w:val="00C529DC"/>
    <w:rsid w:val="00C72B4F"/>
    <w:rsid w:val="00C94F3C"/>
    <w:rsid w:val="00CE0620"/>
    <w:rsid w:val="00D80182"/>
    <w:rsid w:val="00DC1279"/>
    <w:rsid w:val="00DC641A"/>
    <w:rsid w:val="00DF61F5"/>
    <w:rsid w:val="00E70A30"/>
    <w:rsid w:val="00E91D88"/>
    <w:rsid w:val="00EC1F61"/>
    <w:rsid w:val="00EF141B"/>
    <w:rsid w:val="00F05070"/>
    <w:rsid w:val="00F96E90"/>
    <w:rsid w:val="00FA0D9B"/>
    <w:rsid w:val="00FC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3</cp:revision>
  <dcterms:created xsi:type="dcterms:W3CDTF">2017-10-30T09:01:00Z</dcterms:created>
  <dcterms:modified xsi:type="dcterms:W3CDTF">2017-10-31T07:04:00Z</dcterms:modified>
</cp:coreProperties>
</file>