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444" w:rsidRDefault="00D75EBA" w:rsidP="00D75EBA">
      <w:pPr>
        <w:pStyle w:val="ListParagraph"/>
        <w:adjustRightInd w:val="0"/>
        <w:snapToGrid w:val="0"/>
        <w:ind w:left="0"/>
        <w:jc w:val="right"/>
        <w:rPr>
          <w:rFonts w:ascii="Cambria" w:hAnsi="Cambria" w:cs="Times New Roman"/>
          <w:noProof/>
          <w:lang w:eastAsia="zh-CN"/>
        </w:rPr>
      </w:pPr>
      <w:r w:rsidRPr="00B21C3B">
        <w:rPr>
          <w:rFonts w:ascii="Cambria" w:hAnsi="Cambria" w:cs="Times New Roman"/>
          <w:noProof/>
          <w:lang w:eastAsia="zh-CN"/>
        </w:rPr>
        <w:drawing>
          <wp:anchor distT="0" distB="0" distL="114300" distR="114300" simplePos="0" relativeHeight="251659264" behindDoc="0" locked="0" layoutInCell="0" hidden="0" allowOverlap="1" wp14:anchorId="65F83235" wp14:editId="44AC80B9">
            <wp:simplePos x="0" y="0"/>
            <wp:positionH relativeFrom="margin">
              <wp:align>left</wp:align>
            </wp:positionH>
            <wp:positionV relativeFrom="paragraph">
              <wp:posOffset>6985</wp:posOffset>
            </wp:positionV>
            <wp:extent cx="1175385" cy="902970"/>
            <wp:effectExtent l="0" t="0" r="5715"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175385" cy="90297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0D6523A" wp14:editId="09AF69E8">
            <wp:extent cx="1220004" cy="94629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5250" cy="981393"/>
                    </a:xfrm>
                    <a:prstGeom prst="rect">
                      <a:avLst/>
                    </a:prstGeom>
                    <a:noFill/>
                    <a:ln>
                      <a:noFill/>
                    </a:ln>
                  </pic:spPr>
                </pic:pic>
              </a:graphicData>
            </a:graphic>
          </wp:inline>
        </w:drawing>
      </w:r>
    </w:p>
    <w:p w:rsidR="00ED2444" w:rsidRDefault="00ED2444" w:rsidP="00ED2444">
      <w:pPr>
        <w:pStyle w:val="ListParagraph"/>
        <w:adjustRightInd w:val="0"/>
        <w:snapToGrid w:val="0"/>
        <w:ind w:left="0"/>
        <w:rPr>
          <w:rFonts w:ascii="Cambria" w:hAnsi="Cambria" w:cs="Times New Roman"/>
          <w:noProof/>
          <w:lang w:eastAsia="zh-CN"/>
        </w:rPr>
      </w:pPr>
    </w:p>
    <w:p w:rsidR="00ED2444" w:rsidRDefault="00ED2444" w:rsidP="00ED2444">
      <w:pPr>
        <w:pStyle w:val="ListParagraph"/>
        <w:adjustRightInd w:val="0"/>
        <w:snapToGrid w:val="0"/>
        <w:ind w:left="0"/>
        <w:rPr>
          <w:rFonts w:ascii="Cambria" w:hAnsi="Cambria" w:cs="Times New Roman"/>
          <w:noProof/>
          <w:lang w:eastAsia="zh-CN"/>
        </w:rPr>
      </w:pPr>
    </w:p>
    <w:p w:rsidR="00ED2444" w:rsidRDefault="00ED2444" w:rsidP="00ED2444">
      <w:pPr>
        <w:pStyle w:val="ListParagraph"/>
        <w:adjustRightInd w:val="0"/>
        <w:snapToGrid w:val="0"/>
        <w:ind w:left="0"/>
        <w:rPr>
          <w:rFonts w:ascii="Cambria" w:hAnsi="Cambria" w:cs="Times New Roman"/>
          <w:noProof/>
          <w:lang w:eastAsia="zh-CN"/>
        </w:rPr>
      </w:pPr>
    </w:p>
    <w:p w:rsidR="00ED2444" w:rsidRDefault="00ED2444" w:rsidP="00ED2444">
      <w:pPr>
        <w:pStyle w:val="ListParagraph"/>
        <w:adjustRightInd w:val="0"/>
        <w:snapToGrid w:val="0"/>
        <w:ind w:left="0"/>
        <w:rPr>
          <w:rFonts w:ascii="Cambria" w:hAnsi="Cambria" w:cs="Times New Roman"/>
          <w:noProof/>
          <w:lang w:eastAsia="zh-CN"/>
        </w:rPr>
      </w:pPr>
    </w:p>
    <w:p w:rsidR="00ED2444" w:rsidRDefault="00ED2444" w:rsidP="00ED2444">
      <w:pPr>
        <w:pStyle w:val="ListParagraph"/>
        <w:adjustRightInd w:val="0"/>
        <w:snapToGrid w:val="0"/>
        <w:ind w:left="0"/>
        <w:rPr>
          <w:rFonts w:ascii="Cambria" w:hAnsi="Cambria" w:cs="Times New Roman"/>
          <w:noProof/>
          <w:lang w:eastAsia="zh-CN"/>
        </w:rPr>
      </w:pPr>
    </w:p>
    <w:p w:rsidR="00ED2444" w:rsidRDefault="00ED2444" w:rsidP="00ED2444">
      <w:pPr>
        <w:pStyle w:val="ListParagraph"/>
        <w:adjustRightInd w:val="0"/>
        <w:snapToGrid w:val="0"/>
        <w:ind w:left="0"/>
        <w:jc w:val="center"/>
        <w:rPr>
          <w:rFonts w:ascii="Arial" w:hAnsi="Arial" w:cs="Arial"/>
          <w:b/>
          <w:sz w:val="28"/>
          <w:szCs w:val="24"/>
          <w:lang w:val="en-US"/>
        </w:rPr>
      </w:pPr>
    </w:p>
    <w:p w:rsidR="00ED2444" w:rsidRPr="007720B1" w:rsidRDefault="00ED2444" w:rsidP="00ED2444">
      <w:pPr>
        <w:pStyle w:val="ListParagraph"/>
        <w:adjustRightInd w:val="0"/>
        <w:snapToGrid w:val="0"/>
        <w:ind w:left="0"/>
        <w:jc w:val="center"/>
        <w:rPr>
          <w:rFonts w:asciiTheme="majorHAnsi" w:hAnsiTheme="majorHAnsi" w:cstheme="majorHAnsi"/>
          <w:b/>
          <w:sz w:val="28"/>
          <w:szCs w:val="24"/>
          <w:lang w:val="en-US"/>
        </w:rPr>
      </w:pPr>
    </w:p>
    <w:p w:rsidR="00BB13F2" w:rsidRDefault="00BB13F2" w:rsidP="00ED2444">
      <w:pPr>
        <w:pStyle w:val="ListParagraph"/>
        <w:adjustRightInd w:val="0"/>
        <w:snapToGrid w:val="0"/>
        <w:ind w:left="0"/>
        <w:jc w:val="center"/>
        <w:rPr>
          <w:rFonts w:asciiTheme="majorHAnsi" w:hAnsiTheme="majorHAnsi" w:cstheme="majorHAnsi"/>
          <w:b/>
          <w:sz w:val="36"/>
          <w:szCs w:val="36"/>
          <w:lang w:val="en-US"/>
        </w:rPr>
      </w:pPr>
    </w:p>
    <w:p w:rsidR="00BB13F2" w:rsidRDefault="00BB13F2" w:rsidP="00ED2444">
      <w:pPr>
        <w:pStyle w:val="ListParagraph"/>
        <w:adjustRightInd w:val="0"/>
        <w:snapToGrid w:val="0"/>
        <w:ind w:left="0"/>
        <w:jc w:val="center"/>
        <w:rPr>
          <w:rFonts w:asciiTheme="majorHAnsi" w:hAnsiTheme="majorHAnsi" w:cstheme="majorHAnsi"/>
          <w:b/>
          <w:sz w:val="36"/>
          <w:szCs w:val="36"/>
          <w:lang w:val="en-US"/>
        </w:rPr>
      </w:pPr>
    </w:p>
    <w:p w:rsidR="00ED2444" w:rsidRPr="00E56AF4" w:rsidRDefault="00ED2444" w:rsidP="00ED2444">
      <w:pPr>
        <w:pStyle w:val="ListParagraph"/>
        <w:adjustRightInd w:val="0"/>
        <w:snapToGrid w:val="0"/>
        <w:ind w:left="0"/>
        <w:jc w:val="center"/>
        <w:rPr>
          <w:rFonts w:asciiTheme="majorHAnsi" w:hAnsiTheme="majorHAnsi" w:cstheme="majorHAnsi"/>
          <w:sz w:val="36"/>
          <w:szCs w:val="36"/>
        </w:rPr>
      </w:pPr>
      <w:r w:rsidRPr="00E56AF4">
        <w:rPr>
          <w:rFonts w:asciiTheme="majorHAnsi" w:hAnsiTheme="majorHAnsi" w:cstheme="majorHAnsi"/>
          <w:b/>
          <w:sz w:val="36"/>
          <w:szCs w:val="36"/>
          <w:lang w:val="en-US"/>
        </w:rPr>
        <w:t>PPFS Work Plan 2021</w:t>
      </w:r>
    </w:p>
    <w:p w:rsidR="00ED2444" w:rsidRPr="00E56AF4" w:rsidRDefault="00ED2444" w:rsidP="00ED2444">
      <w:pPr>
        <w:pStyle w:val="ListParagraph"/>
        <w:adjustRightInd w:val="0"/>
        <w:snapToGrid w:val="0"/>
        <w:ind w:left="0"/>
        <w:jc w:val="center"/>
        <w:rPr>
          <w:rFonts w:asciiTheme="majorHAnsi" w:hAnsiTheme="majorHAnsi" w:cstheme="majorHAnsi"/>
          <w:sz w:val="36"/>
          <w:szCs w:val="36"/>
          <w:lang w:val="en-US"/>
        </w:rPr>
      </w:pPr>
    </w:p>
    <w:p w:rsidR="00ED2444" w:rsidRPr="00E56AF4" w:rsidRDefault="00ED2444" w:rsidP="00ED2444">
      <w:pPr>
        <w:pStyle w:val="ListParagraph"/>
        <w:adjustRightInd w:val="0"/>
        <w:snapToGrid w:val="0"/>
        <w:ind w:left="0"/>
        <w:jc w:val="center"/>
        <w:rPr>
          <w:rFonts w:asciiTheme="majorHAnsi" w:hAnsiTheme="majorHAnsi" w:cstheme="majorHAnsi"/>
          <w:sz w:val="36"/>
          <w:szCs w:val="36"/>
          <w:lang w:val="en-US"/>
        </w:rPr>
      </w:pPr>
      <w:r w:rsidRPr="00E56AF4">
        <w:rPr>
          <w:rFonts w:asciiTheme="majorHAnsi" w:hAnsiTheme="majorHAnsi" w:cstheme="majorHAnsi"/>
          <w:sz w:val="36"/>
          <w:szCs w:val="36"/>
          <w:lang w:val="en-US"/>
        </w:rPr>
        <w:t>Purpose: consideration and comment</w:t>
      </w:r>
    </w:p>
    <w:p w:rsidR="00ED2444" w:rsidRPr="00E56AF4" w:rsidRDefault="00ED2444" w:rsidP="00ED2444">
      <w:pPr>
        <w:pStyle w:val="ListParagraph"/>
        <w:adjustRightInd w:val="0"/>
        <w:snapToGrid w:val="0"/>
        <w:ind w:left="0"/>
        <w:jc w:val="center"/>
        <w:rPr>
          <w:rFonts w:asciiTheme="majorHAnsi" w:hAnsiTheme="majorHAnsi" w:cstheme="majorHAnsi"/>
          <w:sz w:val="36"/>
          <w:szCs w:val="36"/>
          <w:lang w:val="en-US"/>
        </w:rPr>
      </w:pPr>
      <w:r w:rsidRPr="00E56AF4">
        <w:rPr>
          <w:rFonts w:asciiTheme="majorHAnsi" w:hAnsiTheme="majorHAnsi" w:cstheme="majorHAnsi"/>
          <w:sz w:val="36"/>
          <w:szCs w:val="36"/>
          <w:lang w:val="en-US"/>
        </w:rPr>
        <w:t>Submitted by: PPFS Chair</w:t>
      </w:r>
    </w:p>
    <w:tbl>
      <w:tblPr>
        <w:tblStyle w:val="TableGrid"/>
        <w:tblW w:w="0" w:type="auto"/>
        <w:tblLook w:val="04A0" w:firstRow="1" w:lastRow="0" w:firstColumn="1" w:lastColumn="0" w:noHBand="0" w:noVBand="1"/>
      </w:tblPr>
      <w:tblGrid>
        <w:gridCol w:w="9026"/>
      </w:tblGrid>
      <w:tr w:rsidR="00ED2444" w:rsidRPr="007720B1" w:rsidTr="005B776F">
        <w:tc>
          <w:tcPr>
            <w:tcW w:w="9242" w:type="dxa"/>
            <w:tcBorders>
              <w:top w:val="nil"/>
              <w:left w:val="nil"/>
              <w:bottom w:val="nil"/>
              <w:right w:val="nil"/>
            </w:tcBorders>
          </w:tcPr>
          <w:p w:rsidR="00ED2444" w:rsidRPr="007720B1" w:rsidRDefault="00ED2444" w:rsidP="005B776F">
            <w:pPr>
              <w:adjustRightInd w:val="0"/>
              <w:snapToGrid w:val="0"/>
              <w:jc w:val="center"/>
              <w:rPr>
                <w:rFonts w:asciiTheme="majorHAnsi" w:hAnsiTheme="majorHAnsi" w:cstheme="majorHAnsi"/>
                <w:sz w:val="24"/>
                <w:szCs w:val="24"/>
                <w:lang w:val="en-US"/>
              </w:rPr>
            </w:pPr>
            <w:r w:rsidRPr="007720B1">
              <w:rPr>
                <w:rFonts w:asciiTheme="majorHAnsi" w:hAnsiTheme="majorHAnsi" w:cstheme="majorHAnsi"/>
                <w:sz w:val="24"/>
                <w:szCs w:val="24"/>
                <w:lang w:val="en-US"/>
              </w:rPr>
              <w:br w:type="page"/>
            </w:r>
          </w:p>
          <w:p w:rsidR="00ED2444" w:rsidRPr="007720B1" w:rsidRDefault="00ED2444" w:rsidP="005B776F">
            <w:pPr>
              <w:adjustRightInd w:val="0"/>
              <w:snapToGrid w:val="0"/>
              <w:jc w:val="center"/>
              <w:rPr>
                <w:rFonts w:asciiTheme="majorHAnsi" w:hAnsiTheme="majorHAnsi" w:cstheme="majorHAnsi"/>
                <w:sz w:val="24"/>
                <w:szCs w:val="24"/>
                <w:lang w:val="en-US"/>
              </w:rPr>
            </w:pPr>
          </w:p>
          <w:p w:rsidR="00ED2444" w:rsidRPr="007720B1" w:rsidRDefault="00ED2444" w:rsidP="005B776F">
            <w:pPr>
              <w:adjustRightInd w:val="0"/>
              <w:snapToGrid w:val="0"/>
              <w:jc w:val="center"/>
              <w:rPr>
                <w:rFonts w:asciiTheme="majorHAnsi" w:hAnsiTheme="majorHAnsi" w:cstheme="majorHAnsi"/>
                <w:sz w:val="24"/>
                <w:szCs w:val="24"/>
                <w:lang w:val="en-US"/>
              </w:rPr>
            </w:pPr>
          </w:p>
          <w:p w:rsidR="00ED2444" w:rsidRPr="007720B1" w:rsidRDefault="00ED2444" w:rsidP="005B776F">
            <w:pPr>
              <w:adjustRightInd w:val="0"/>
              <w:snapToGrid w:val="0"/>
              <w:jc w:val="center"/>
              <w:rPr>
                <w:rFonts w:asciiTheme="majorHAnsi" w:hAnsiTheme="majorHAnsi" w:cstheme="majorHAnsi"/>
                <w:sz w:val="24"/>
                <w:szCs w:val="24"/>
                <w:lang w:val="en-US"/>
              </w:rPr>
            </w:pPr>
          </w:p>
          <w:p w:rsidR="00ED2444" w:rsidRPr="007720B1" w:rsidRDefault="00ED2444" w:rsidP="005B776F">
            <w:pPr>
              <w:adjustRightInd w:val="0"/>
              <w:snapToGrid w:val="0"/>
              <w:jc w:val="center"/>
              <w:rPr>
                <w:rFonts w:asciiTheme="majorHAnsi" w:hAnsiTheme="majorHAnsi" w:cstheme="majorHAnsi"/>
                <w:sz w:val="24"/>
                <w:szCs w:val="24"/>
                <w:lang w:val="en-US"/>
              </w:rPr>
            </w:pPr>
          </w:p>
          <w:p w:rsidR="00ED2444" w:rsidRPr="007720B1" w:rsidRDefault="00ED2444" w:rsidP="005B776F">
            <w:pPr>
              <w:adjustRightInd w:val="0"/>
              <w:snapToGrid w:val="0"/>
              <w:jc w:val="center"/>
              <w:rPr>
                <w:rFonts w:asciiTheme="majorHAnsi" w:hAnsiTheme="majorHAnsi" w:cstheme="majorHAnsi"/>
                <w:sz w:val="24"/>
                <w:szCs w:val="24"/>
                <w:lang w:val="en-US"/>
              </w:rPr>
            </w:pPr>
          </w:p>
          <w:p w:rsidR="00ED2444" w:rsidRPr="007720B1" w:rsidRDefault="00ED2444" w:rsidP="005B776F">
            <w:pPr>
              <w:adjustRightInd w:val="0"/>
              <w:snapToGrid w:val="0"/>
              <w:jc w:val="center"/>
              <w:rPr>
                <w:rFonts w:asciiTheme="majorHAnsi" w:hAnsiTheme="majorHAnsi" w:cstheme="majorHAnsi"/>
                <w:sz w:val="24"/>
                <w:szCs w:val="24"/>
                <w:lang w:val="en-US"/>
              </w:rPr>
            </w:pPr>
          </w:p>
          <w:p w:rsidR="00ED2444" w:rsidRPr="007720B1" w:rsidRDefault="00D17732" w:rsidP="00D17732">
            <w:pPr>
              <w:tabs>
                <w:tab w:val="left" w:pos="3920"/>
              </w:tabs>
              <w:adjustRightInd w:val="0"/>
              <w:snapToGrid w:val="0"/>
              <w:rPr>
                <w:rFonts w:asciiTheme="majorHAnsi" w:hAnsiTheme="majorHAnsi" w:cstheme="majorHAnsi"/>
                <w:sz w:val="24"/>
                <w:szCs w:val="24"/>
                <w:lang w:val="en-US"/>
              </w:rPr>
            </w:pPr>
            <w:r w:rsidRPr="007720B1">
              <w:rPr>
                <w:rFonts w:asciiTheme="majorHAnsi" w:hAnsiTheme="majorHAnsi" w:cstheme="majorHAnsi"/>
                <w:sz w:val="24"/>
                <w:szCs w:val="24"/>
                <w:lang w:val="en-US"/>
              </w:rPr>
              <w:tab/>
            </w:r>
          </w:p>
          <w:p w:rsidR="00ED2444" w:rsidRPr="007720B1" w:rsidRDefault="00ED2444" w:rsidP="005B776F">
            <w:pPr>
              <w:adjustRightInd w:val="0"/>
              <w:snapToGrid w:val="0"/>
              <w:jc w:val="center"/>
              <w:rPr>
                <w:rFonts w:asciiTheme="majorHAnsi" w:hAnsiTheme="majorHAnsi" w:cstheme="majorHAnsi"/>
                <w:sz w:val="24"/>
                <w:szCs w:val="24"/>
                <w:lang w:val="en-US"/>
              </w:rPr>
            </w:pPr>
          </w:p>
          <w:p w:rsidR="00ED2444" w:rsidRPr="007720B1" w:rsidRDefault="00ED2444" w:rsidP="005B776F">
            <w:pPr>
              <w:adjustRightInd w:val="0"/>
              <w:snapToGrid w:val="0"/>
              <w:jc w:val="center"/>
              <w:rPr>
                <w:rFonts w:asciiTheme="majorHAnsi" w:hAnsiTheme="majorHAnsi" w:cstheme="majorHAnsi"/>
                <w:sz w:val="24"/>
                <w:szCs w:val="24"/>
                <w:lang w:val="en-US"/>
              </w:rPr>
            </w:pPr>
          </w:p>
          <w:p w:rsidR="00ED2444" w:rsidRPr="007720B1" w:rsidRDefault="00ED2444" w:rsidP="005B776F">
            <w:pPr>
              <w:adjustRightInd w:val="0"/>
              <w:snapToGrid w:val="0"/>
              <w:jc w:val="center"/>
              <w:rPr>
                <w:rFonts w:asciiTheme="majorHAnsi" w:hAnsiTheme="majorHAnsi" w:cstheme="majorHAnsi"/>
                <w:sz w:val="24"/>
                <w:szCs w:val="24"/>
                <w:lang w:val="en-US"/>
              </w:rPr>
            </w:pPr>
          </w:p>
          <w:p w:rsidR="00ED2444" w:rsidRPr="007720B1" w:rsidRDefault="00ED2444" w:rsidP="005B776F">
            <w:pPr>
              <w:adjustRightInd w:val="0"/>
              <w:snapToGrid w:val="0"/>
              <w:jc w:val="center"/>
              <w:rPr>
                <w:rFonts w:asciiTheme="majorHAnsi" w:hAnsiTheme="majorHAnsi" w:cstheme="majorHAnsi"/>
                <w:sz w:val="24"/>
                <w:szCs w:val="24"/>
                <w:lang w:val="en-US"/>
              </w:rPr>
            </w:pPr>
          </w:p>
          <w:p w:rsidR="00ED2444" w:rsidRPr="007720B1" w:rsidRDefault="00ED2444" w:rsidP="005B776F">
            <w:pPr>
              <w:adjustRightInd w:val="0"/>
              <w:snapToGrid w:val="0"/>
              <w:jc w:val="center"/>
              <w:rPr>
                <w:rFonts w:asciiTheme="majorHAnsi" w:hAnsiTheme="majorHAnsi" w:cstheme="majorHAnsi"/>
                <w:sz w:val="24"/>
                <w:szCs w:val="24"/>
                <w:lang w:val="en-US"/>
              </w:rPr>
            </w:pPr>
          </w:p>
          <w:p w:rsidR="00ED2444" w:rsidRPr="007720B1" w:rsidRDefault="00ED2444" w:rsidP="005B776F">
            <w:pPr>
              <w:adjustRightInd w:val="0"/>
              <w:snapToGrid w:val="0"/>
              <w:jc w:val="center"/>
              <w:rPr>
                <w:rFonts w:asciiTheme="majorHAnsi" w:hAnsiTheme="majorHAnsi" w:cstheme="majorHAnsi"/>
                <w:sz w:val="24"/>
                <w:szCs w:val="24"/>
                <w:lang w:val="en-US"/>
              </w:rPr>
            </w:pPr>
          </w:p>
          <w:p w:rsidR="00ED2444" w:rsidRPr="007720B1" w:rsidRDefault="00ED2444" w:rsidP="005B776F">
            <w:pPr>
              <w:adjustRightInd w:val="0"/>
              <w:snapToGrid w:val="0"/>
              <w:jc w:val="center"/>
              <w:rPr>
                <w:rFonts w:asciiTheme="majorHAnsi" w:hAnsiTheme="majorHAnsi" w:cstheme="majorHAnsi"/>
                <w:sz w:val="24"/>
                <w:szCs w:val="24"/>
                <w:lang w:val="en-US"/>
              </w:rPr>
            </w:pPr>
          </w:p>
          <w:p w:rsidR="00ED2444" w:rsidRPr="007720B1" w:rsidRDefault="00ED2444" w:rsidP="005B776F">
            <w:pPr>
              <w:adjustRightInd w:val="0"/>
              <w:snapToGrid w:val="0"/>
              <w:jc w:val="center"/>
              <w:rPr>
                <w:rFonts w:asciiTheme="majorHAnsi" w:hAnsiTheme="majorHAnsi" w:cstheme="majorHAnsi"/>
                <w:sz w:val="24"/>
                <w:szCs w:val="24"/>
                <w:lang w:val="en-US"/>
              </w:rPr>
            </w:pPr>
          </w:p>
          <w:p w:rsidR="00ED2444" w:rsidRPr="007720B1" w:rsidRDefault="00ED2444" w:rsidP="005B776F">
            <w:pPr>
              <w:adjustRightInd w:val="0"/>
              <w:snapToGrid w:val="0"/>
              <w:rPr>
                <w:rFonts w:asciiTheme="majorHAnsi" w:hAnsiTheme="majorHAnsi" w:cstheme="majorHAnsi"/>
                <w:sz w:val="24"/>
                <w:szCs w:val="24"/>
                <w:lang w:val="en-US"/>
              </w:rPr>
            </w:pPr>
          </w:p>
          <w:p w:rsidR="00ED2444" w:rsidRPr="007720B1" w:rsidRDefault="00ED2444" w:rsidP="005B776F">
            <w:pPr>
              <w:adjustRightInd w:val="0"/>
              <w:snapToGrid w:val="0"/>
              <w:jc w:val="center"/>
              <w:rPr>
                <w:rFonts w:asciiTheme="majorHAnsi" w:hAnsiTheme="majorHAnsi" w:cstheme="majorHAnsi"/>
                <w:sz w:val="24"/>
                <w:szCs w:val="24"/>
                <w:lang w:val="en-US"/>
              </w:rPr>
            </w:pPr>
          </w:p>
        </w:tc>
      </w:tr>
    </w:tbl>
    <w:p w:rsidR="00ED2444" w:rsidRPr="007720B1" w:rsidRDefault="00ED2444" w:rsidP="00ED2444">
      <w:pPr>
        <w:spacing w:line="300" w:lineRule="auto"/>
        <w:jc w:val="center"/>
        <w:rPr>
          <w:rFonts w:asciiTheme="majorHAnsi" w:eastAsia="Times New Roman" w:hAnsiTheme="majorHAnsi" w:cstheme="majorHAnsi"/>
          <w:b/>
          <w:color w:val="333333"/>
          <w:sz w:val="24"/>
          <w:szCs w:val="24"/>
          <w:lang w:val="en-US"/>
        </w:rPr>
      </w:pPr>
      <w:r w:rsidRPr="007720B1">
        <w:rPr>
          <w:rFonts w:asciiTheme="majorHAnsi" w:eastAsia="Times New Roman" w:hAnsiTheme="majorHAnsi" w:cstheme="majorHAnsi"/>
          <w:b/>
          <w:color w:val="333333"/>
          <w:sz w:val="24"/>
          <w:szCs w:val="24"/>
          <w:lang w:val="en-US"/>
        </w:rPr>
        <w:t>APEC Policy Partnership on Food Security (PPFS)</w:t>
      </w:r>
    </w:p>
    <w:p w:rsidR="00ED2444" w:rsidRPr="007720B1" w:rsidRDefault="00ED2444" w:rsidP="00ED2444">
      <w:pPr>
        <w:spacing w:line="300" w:lineRule="auto"/>
        <w:jc w:val="center"/>
        <w:rPr>
          <w:rFonts w:asciiTheme="majorHAnsi" w:eastAsia="Times New Roman" w:hAnsiTheme="majorHAnsi" w:cstheme="majorHAnsi"/>
          <w:b/>
          <w:color w:val="333333"/>
          <w:sz w:val="24"/>
          <w:szCs w:val="24"/>
          <w:lang w:val="en-US"/>
        </w:rPr>
      </w:pPr>
      <w:r w:rsidRPr="007720B1">
        <w:rPr>
          <w:rFonts w:asciiTheme="majorHAnsi" w:eastAsia="Times New Roman" w:hAnsiTheme="majorHAnsi" w:cstheme="majorHAnsi"/>
          <w:b/>
          <w:color w:val="333333"/>
          <w:sz w:val="24"/>
          <w:szCs w:val="24"/>
          <w:lang w:val="en-US"/>
        </w:rPr>
        <w:t>Work Plan 2021</w:t>
      </w:r>
    </w:p>
    <w:p w:rsidR="00ED2444" w:rsidRPr="00ED2444" w:rsidRDefault="00ED2444">
      <w:pPr>
        <w:rPr>
          <w:sz w:val="32"/>
          <w:szCs w:val="32"/>
        </w:rPr>
      </w:pPr>
    </w:p>
    <w:p w:rsidR="00ED2444" w:rsidRDefault="00ED2444">
      <w:pPr>
        <w:rPr>
          <w:rFonts w:asciiTheme="majorHAnsi" w:eastAsiaTheme="majorEastAsia" w:hAnsiTheme="majorHAnsi" w:cstheme="majorBidi"/>
          <w:spacing w:val="-10"/>
          <w:kern w:val="28"/>
          <w:sz w:val="32"/>
          <w:szCs w:val="32"/>
        </w:rPr>
      </w:pPr>
      <w:r>
        <w:rPr>
          <w:sz w:val="32"/>
          <w:szCs w:val="32"/>
        </w:rPr>
        <w:br w:type="page"/>
      </w:r>
    </w:p>
    <w:p w:rsidR="007303DA" w:rsidRPr="00800033" w:rsidRDefault="007303DA" w:rsidP="00800033">
      <w:pPr>
        <w:pStyle w:val="Title"/>
        <w:jc w:val="center"/>
        <w:rPr>
          <w:sz w:val="32"/>
          <w:szCs w:val="32"/>
        </w:rPr>
      </w:pPr>
      <w:r w:rsidRPr="00800033">
        <w:rPr>
          <w:sz w:val="32"/>
          <w:szCs w:val="32"/>
        </w:rPr>
        <w:lastRenderedPageBreak/>
        <w:t>APEC Policy Partnership on Food Security (PPFS)</w:t>
      </w:r>
    </w:p>
    <w:p w:rsidR="007303DA" w:rsidRPr="00800033" w:rsidRDefault="007303DA" w:rsidP="00800033">
      <w:pPr>
        <w:pStyle w:val="Title"/>
        <w:jc w:val="center"/>
        <w:rPr>
          <w:sz w:val="32"/>
          <w:szCs w:val="32"/>
        </w:rPr>
      </w:pPr>
      <w:r w:rsidRPr="00800033">
        <w:rPr>
          <w:sz w:val="32"/>
          <w:szCs w:val="32"/>
        </w:rPr>
        <w:t xml:space="preserve">Workplan for </w:t>
      </w:r>
      <w:r w:rsidR="00DB071D" w:rsidRPr="00800033">
        <w:rPr>
          <w:sz w:val="32"/>
          <w:szCs w:val="32"/>
        </w:rPr>
        <w:t>2021</w:t>
      </w:r>
    </w:p>
    <w:p w:rsidR="008C2CEA" w:rsidRPr="008C2CEA" w:rsidRDefault="008C2CEA" w:rsidP="008C2CEA">
      <w:pPr>
        <w:spacing w:after="0" w:line="360" w:lineRule="auto"/>
      </w:pPr>
    </w:p>
    <w:p w:rsidR="007303DA" w:rsidRDefault="007303DA" w:rsidP="008C2CEA">
      <w:pPr>
        <w:pStyle w:val="Heading2"/>
        <w:spacing w:before="0" w:line="360" w:lineRule="auto"/>
      </w:pPr>
      <w:r w:rsidRPr="007B3BBD">
        <w:t>Introduction</w:t>
      </w:r>
    </w:p>
    <w:p w:rsidR="008C2CEA" w:rsidRPr="008C2CEA" w:rsidRDefault="008C2CEA" w:rsidP="008C2CEA">
      <w:pPr>
        <w:spacing w:after="0" w:line="360" w:lineRule="auto"/>
      </w:pPr>
    </w:p>
    <w:p w:rsidR="008C2CEA" w:rsidRPr="00784E18" w:rsidRDefault="007B3BBD" w:rsidP="000D2F14">
      <w:pPr>
        <w:pStyle w:val="ListParagraph"/>
        <w:numPr>
          <w:ilvl w:val="0"/>
          <w:numId w:val="17"/>
        </w:numPr>
        <w:spacing w:after="0" w:line="360" w:lineRule="auto"/>
        <w:ind w:left="357" w:hanging="357"/>
        <w:contextualSpacing w:val="0"/>
        <w:jc w:val="both"/>
        <w:rPr>
          <w:rFonts w:asciiTheme="majorHAnsi" w:hAnsiTheme="majorHAnsi" w:cstheme="majorHAnsi"/>
          <w:lang w:val="en-US"/>
        </w:rPr>
      </w:pPr>
      <w:bookmarkStart w:id="0" w:name="_Hlk31391705"/>
      <w:r w:rsidRPr="00784E18">
        <w:rPr>
          <w:rFonts w:asciiTheme="majorHAnsi" w:hAnsiTheme="majorHAnsi" w:cstheme="majorHAnsi"/>
          <w:lang w:val="en-US"/>
        </w:rPr>
        <w:t>In 2021, PPFS will continue to work on initiatives and projects to strengthen regional food security, work towards a sustainable</w:t>
      </w:r>
      <w:r w:rsidR="00416386">
        <w:rPr>
          <w:rFonts w:asciiTheme="majorHAnsi" w:hAnsiTheme="majorHAnsi" w:cstheme="majorHAnsi"/>
          <w:lang w:val="en-US"/>
        </w:rPr>
        <w:t xml:space="preserve"> and inclusive</w:t>
      </w:r>
      <w:r w:rsidRPr="00784E18">
        <w:rPr>
          <w:rFonts w:asciiTheme="majorHAnsi" w:hAnsiTheme="majorHAnsi" w:cstheme="majorHAnsi"/>
          <w:lang w:val="en-US"/>
        </w:rPr>
        <w:t xml:space="preserve"> food system and </w:t>
      </w:r>
      <w:r w:rsidRPr="00784E18">
        <w:rPr>
          <w:rFonts w:asciiTheme="majorHAnsi" w:hAnsiTheme="majorHAnsi" w:cstheme="majorHAnsi"/>
        </w:rPr>
        <w:t xml:space="preserve">address the challenges posed by </w:t>
      </w:r>
      <w:r w:rsidR="0011406C">
        <w:rPr>
          <w:rFonts w:asciiTheme="majorHAnsi" w:hAnsiTheme="majorHAnsi" w:cstheme="majorHAnsi"/>
          <w:lang w:eastAsia="zh-TW"/>
        </w:rPr>
        <w:t>the COVID</w:t>
      </w:r>
      <w:r w:rsidR="00784E18">
        <w:rPr>
          <w:rFonts w:asciiTheme="majorHAnsi" w:hAnsiTheme="majorHAnsi" w:cstheme="majorHAnsi" w:hint="eastAsia"/>
          <w:lang w:eastAsia="zh-TW"/>
        </w:rPr>
        <w:t>-19 pandemic</w:t>
      </w:r>
      <w:r w:rsidR="00784E18">
        <w:rPr>
          <w:rFonts w:asciiTheme="majorHAnsi" w:hAnsiTheme="majorHAnsi" w:cstheme="majorHAnsi"/>
          <w:lang w:eastAsia="zh-TW"/>
        </w:rPr>
        <w:t>.</w:t>
      </w:r>
    </w:p>
    <w:bookmarkEnd w:id="0"/>
    <w:p w:rsidR="008C2CEA" w:rsidRPr="008C2CEA" w:rsidRDefault="008C2CEA" w:rsidP="008C2CEA">
      <w:pPr>
        <w:pStyle w:val="ListParagraph"/>
        <w:spacing w:after="0" w:line="360" w:lineRule="auto"/>
        <w:rPr>
          <w:rFonts w:asciiTheme="majorHAnsi" w:eastAsia="Times New Roman" w:hAnsiTheme="majorHAnsi" w:cstheme="majorHAnsi"/>
          <w:color w:val="0A0A0A"/>
          <w:lang w:eastAsia="en-NZ"/>
        </w:rPr>
      </w:pPr>
    </w:p>
    <w:p w:rsidR="00F04AC5" w:rsidRPr="008C2CEA" w:rsidRDefault="00F04AC5" w:rsidP="008C2CEA">
      <w:pPr>
        <w:pStyle w:val="ListParagraph"/>
        <w:numPr>
          <w:ilvl w:val="0"/>
          <w:numId w:val="17"/>
        </w:numPr>
        <w:shd w:val="clear" w:color="auto" w:fill="FFFFFF"/>
        <w:spacing w:after="0" w:line="360" w:lineRule="auto"/>
        <w:ind w:left="357" w:hanging="357"/>
        <w:contextualSpacing w:val="0"/>
        <w:jc w:val="both"/>
        <w:rPr>
          <w:rFonts w:asciiTheme="majorHAnsi" w:eastAsia="Times New Roman" w:hAnsiTheme="majorHAnsi" w:cstheme="majorHAnsi"/>
          <w:color w:val="0A0A0A"/>
          <w:lang w:val="en-US" w:eastAsia="en-NZ"/>
        </w:rPr>
      </w:pPr>
      <w:r w:rsidRPr="00052624">
        <w:rPr>
          <w:rFonts w:asciiTheme="majorHAnsi" w:hAnsiTheme="majorHAnsi" w:cstheme="majorHAnsi"/>
          <w:lang w:val="en-US"/>
        </w:rPr>
        <w:t xml:space="preserve">Building on the APEC 2021 theme </w:t>
      </w:r>
      <w:r w:rsidRPr="00052624">
        <w:rPr>
          <w:rFonts w:asciiTheme="majorHAnsi" w:hAnsiTheme="majorHAnsi" w:cstheme="majorHAnsi"/>
          <w:i/>
          <w:iCs/>
          <w:lang w:val="en-US"/>
        </w:rPr>
        <w:t>Join, Work, Grow. Together Haumi ē, Hui ē, Tāiki ē</w:t>
      </w:r>
      <w:r w:rsidRPr="00052624">
        <w:rPr>
          <w:rFonts w:asciiTheme="majorHAnsi" w:hAnsiTheme="majorHAnsi" w:cstheme="majorHAnsi"/>
          <w:lang w:val="en-US"/>
        </w:rPr>
        <w:t>, PPFS will develop</w:t>
      </w:r>
      <w:r w:rsidR="00FE5B78" w:rsidRPr="00052624">
        <w:rPr>
          <w:rFonts w:asciiTheme="majorHAnsi" w:hAnsiTheme="majorHAnsi" w:cstheme="majorHAnsi"/>
          <w:lang w:val="en-US"/>
        </w:rPr>
        <w:t xml:space="preserve"> </w:t>
      </w:r>
      <w:r w:rsidRPr="00052624">
        <w:rPr>
          <w:rFonts w:asciiTheme="majorHAnsi" w:hAnsiTheme="majorHAnsi" w:cstheme="majorHAnsi"/>
          <w:lang w:val="en-US"/>
        </w:rPr>
        <w:t xml:space="preserve">the Food Security Roadmap Towards 2030 to ensure </w:t>
      </w:r>
      <w:r w:rsidR="00FE5B78" w:rsidRPr="00052624">
        <w:rPr>
          <w:rFonts w:asciiTheme="majorHAnsi" w:hAnsiTheme="majorHAnsi" w:cstheme="majorHAnsi"/>
          <w:lang w:val="en-US"/>
        </w:rPr>
        <w:t xml:space="preserve">the </w:t>
      </w:r>
      <w:r w:rsidR="00FE5B78" w:rsidRPr="00052624">
        <w:rPr>
          <w:rFonts w:asciiTheme="majorHAnsi" w:hAnsiTheme="majorHAnsi" w:cstheme="majorHAnsi"/>
          <w:color w:val="000000"/>
        </w:rPr>
        <w:t>key challenges facing the region on food security are addressed</w:t>
      </w:r>
      <w:r w:rsidR="00052624" w:rsidRPr="00052624">
        <w:rPr>
          <w:rFonts w:asciiTheme="majorHAnsi" w:hAnsiTheme="majorHAnsi" w:cstheme="majorHAnsi"/>
          <w:color w:val="000000"/>
        </w:rPr>
        <w:t xml:space="preserve">, including </w:t>
      </w:r>
      <w:r w:rsidR="00052624">
        <w:rPr>
          <w:rFonts w:asciiTheme="majorHAnsi" w:hAnsiTheme="majorHAnsi" w:cstheme="majorHAnsi"/>
          <w:color w:val="000000"/>
        </w:rPr>
        <w:t xml:space="preserve">incorporating </w:t>
      </w:r>
      <w:r w:rsidR="00052624" w:rsidRPr="00052624">
        <w:rPr>
          <w:rFonts w:asciiTheme="majorHAnsi" w:hAnsiTheme="majorHAnsi" w:cstheme="majorHAnsi"/>
          <w:color w:val="000000"/>
        </w:rPr>
        <w:t xml:space="preserve">high level </w:t>
      </w:r>
      <w:r w:rsidR="00FE5B78" w:rsidRPr="00052624">
        <w:rPr>
          <w:rFonts w:asciiTheme="majorHAnsi" w:hAnsiTheme="majorHAnsi" w:cstheme="majorHAnsi"/>
          <w:color w:val="000000"/>
        </w:rPr>
        <w:t>goals, strategies and objectives</w:t>
      </w:r>
      <w:r w:rsidR="00052624">
        <w:rPr>
          <w:rFonts w:asciiTheme="majorHAnsi" w:hAnsiTheme="majorHAnsi" w:cstheme="majorHAnsi"/>
          <w:color w:val="000000"/>
        </w:rPr>
        <w:t xml:space="preserve"> to ensure economies are resilient to future pandemics and other traumas.</w:t>
      </w:r>
    </w:p>
    <w:p w:rsidR="008C2CEA" w:rsidRPr="008C2CEA" w:rsidRDefault="008C2CEA" w:rsidP="008C2CEA">
      <w:pPr>
        <w:shd w:val="clear" w:color="auto" w:fill="FFFFFF"/>
        <w:spacing w:after="0" w:line="360" w:lineRule="auto"/>
        <w:jc w:val="both"/>
        <w:rPr>
          <w:rFonts w:asciiTheme="majorHAnsi" w:eastAsia="Times New Roman" w:hAnsiTheme="majorHAnsi" w:cstheme="majorHAnsi"/>
          <w:color w:val="0A0A0A"/>
          <w:lang w:val="en-US" w:eastAsia="en-NZ"/>
        </w:rPr>
      </w:pPr>
    </w:p>
    <w:p w:rsidR="00406D3C" w:rsidRPr="0011406C" w:rsidRDefault="00052624" w:rsidP="008C2CEA">
      <w:pPr>
        <w:pStyle w:val="ListParagraph"/>
        <w:numPr>
          <w:ilvl w:val="0"/>
          <w:numId w:val="17"/>
        </w:numPr>
        <w:shd w:val="clear" w:color="auto" w:fill="FFFFFF"/>
        <w:spacing w:after="0" w:line="360" w:lineRule="auto"/>
        <w:ind w:left="357" w:hanging="357"/>
        <w:contextualSpacing w:val="0"/>
        <w:jc w:val="both"/>
      </w:pPr>
      <w:r w:rsidRPr="003A7F82">
        <w:rPr>
          <w:rFonts w:asciiTheme="majorHAnsi" w:eastAsia="Times New Roman" w:hAnsiTheme="majorHAnsi" w:cstheme="majorHAnsi"/>
          <w:color w:val="0A0A0A"/>
          <w:lang w:eastAsia="en-NZ"/>
        </w:rPr>
        <w:t xml:space="preserve">PPFS acknowledges the importance of the private sector in the food sector and their role in food security.  PPFS will focus on </w:t>
      </w:r>
      <w:r w:rsidR="00EC3557" w:rsidRPr="003A7F82">
        <w:rPr>
          <w:rFonts w:asciiTheme="majorHAnsi" w:eastAsia="Times New Roman" w:hAnsiTheme="majorHAnsi" w:cstheme="majorHAnsi"/>
          <w:color w:val="0A0A0A"/>
          <w:lang w:eastAsia="en-NZ"/>
        </w:rPr>
        <w:t xml:space="preserve">promoting public-private partnerships and investments </w:t>
      </w:r>
      <w:r w:rsidRPr="003A7F82">
        <w:rPr>
          <w:rFonts w:asciiTheme="majorHAnsi" w:eastAsia="Times New Roman" w:hAnsiTheme="majorHAnsi" w:cstheme="majorHAnsi"/>
          <w:color w:val="0A0A0A"/>
          <w:lang w:eastAsia="en-NZ"/>
        </w:rPr>
        <w:t xml:space="preserve">to ensure </w:t>
      </w:r>
      <w:r w:rsidR="00EC3557" w:rsidRPr="003A7F82">
        <w:rPr>
          <w:rFonts w:asciiTheme="majorHAnsi" w:eastAsia="Times New Roman" w:hAnsiTheme="majorHAnsi" w:cstheme="majorHAnsi"/>
          <w:color w:val="0A0A0A"/>
          <w:lang w:eastAsia="en-NZ"/>
        </w:rPr>
        <w:t>greater resilience in the food systems</w:t>
      </w:r>
      <w:r w:rsidR="003A7F82" w:rsidRPr="003A7F82">
        <w:rPr>
          <w:rFonts w:asciiTheme="majorHAnsi" w:eastAsia="Times New Roman" w:hAnsiTheme="majorHAnsi" w:cstheme="majorHAnsi"/>
          <w:color w:val="0A0A0A"/>
          <w:lang w:eastAsia="en-NZ"/>
        </w:rPr>
        <w:t xml:space="preserve"> and </w:t>
      </w:r>
      <w:r w:rsidR="00EC3557" w:rsidRPr="003A7F82">
        <w:rPr>
          <w:rFonts w:asciiTheme="majorHAnsi" w:eastAsia="Times New Roman" w:hAnsiTheme="majorHAnsi" w:cstheme="majorHAnsi"/>
          <w:color w:val="0A0A0A"/>
          <w:lang w:eastAsia="en-NZ"/>
        </w:rPr>
        <w:t>ABAC’s recommendations for a whole-of-system approach for food production</w:t>
      </w:r>
      <w:r w:rsidR="00406D3C">
        <w:rPr>
          <w:rFonts w:asciiTheme="majorHAnsi" w:eastAsia="Times New Roman" w:hAnsiTheme="majorHAnsi" w:cstheme="majorHAnsi"/>
          <w:color w:val="0A0A0A"/>
          <w:lang w:eastAsia="en-NZ"/>
        </w:rPr>
        <w:t>.</w:t>
      </w:r>
    </w:p>
    <w:p w:rsidR="0011406C" w:rsidRDefault="0011406C" w:rsidP="0011406C">
      <w:pPr>
        <w:pStyle w:val="ListParagraph"/>
      </w:pPr>
    </w:p>
    <w:p w:rsidR="0011406C" w:rsidRDefault="0011406C" w:rsidP="0011406C">
      <w:pPr>
        <w:pStyle w:val="ListParagraph"/>
        <w:numPr>
          <w:ilvl w:val="0"/>
          <w:numId w:val="17"/>
        </w:numPr>
        <w:shd w:val="clear" w:color="auto" w:fill="FFFFFF"/>
        <w:spacing w:after="0" w:line="360" w:lineRule="auto"/>
        <w:ind w:left="357" w:hanging="357"/>
        <w:contextualSpacing w:val="0"/>
        <w:jc w:val="both"/>
        <w:rPr>
          <w:rFonts w:asciiTheme="majorHAnsi" w:eastAsia="Times New Roman" w:hAnsiTheme="majorHAnsi" w:cstheme="majorHAnsi"/>
          <w:color w:val="0A0A0A"/>
          <w:lang w:eastAsia="en-NZ"/>
        </w:rPr>
      </w:pPr>
      <w:r w:rsidRPr="00810204">
        <w:rPr>
          <w:rFonts w:asciiTheme="majorHAnsi" w:eastAsia="Times New Roman" w:hAnsiTheme="majorHAnsi" w:cstheme="majorHAnsi"/>
          <w:color w:val="0A0A0A"/>
          <w:lang w:eastAsia="en-NZ"/>
        </w:rPr>
        <w:t xml:space="preserve">This </w:t>
      </w:r>
      <w:r>
        <w:rPr>
          <w:rFonts w:asciiTheme="majorHAnsi" w:eastAsia="Times New Roman" w:hAnsiTheme="majorHAnsi" w:cstheme="majorHAnsi"/>
          <w:color w:val="0A0A0A"/>
          <w:lang w:eastAsia="en-NZ"/>
        </w:rPr>
        <w:t xml:space="preserve">work </w:t>
      </w:r>
      <w:r w:rsidRPr="00810204">
        <w:rPr>
          <w:rFonts w:asciiTheme="majorHAnsi" w:eastAsia="Times New Roman" w:hAnsiTheme="majorHAnsi" w:cstheme="majorHAnsi"/>
          <w:color w:val="0A0A0A"/>
          <w:lang w:eastAsia="en-NZ"/>
        </w:rPr>
        <w:t>is in line with the APEC Putrajaya Vision 2040 (the successor of the Bogor Goals from 1994) of “</w:t>
      </w:r>
      <w:r w:rsidRPr="00810204">
        <w:rPr>
          <w:rFonts w:asciiTheme="majorHAnsi" w:eastAsia="Times New Roman" w:hAnsiTheme="majorHAnsi" w:cstheme="majorHAnsi"/>
          <w:i/>
          <w:iCs/>
          <w:color w:val="0A0A0A"/>
          <w:lang w:eastAsia="en-NZ"/>
        </w:rPr>
        <w:t>an open, dynamic, resilient and peaceful Asia-Pacific community by 2040, for the prosperity of all our people and future generations</w:t>
      </w:r>
      <w:r w:rsidRPr="00810204">
        <w:rPr>
          <w:rFonts w:asciiTheme="majorHAnsi" w:eastAsia="Times New Roman" w:hAnsiTheme="majorHAnsi" w:cstheme="majorHAnsi"/>
          <w:color w:val="0A0A0A"/>
          <w:lang w:eastAsia="en-NZ"/>
        </w:rPr>
        <w:t>”</w:t>
      </w:r>
      <w:r>
        <w:rPr>
          <w:rFonts w:asciiTheme="majorHAnsi" w:eastAsia="Times New Roman" w:hAnsiTheme="majorHAnsi" w:cstheme="majorHAnsi"/>
          <w:color w:val="0A0A0A"/>
          <w:lang w:eastAsia="en-NZ"/>
        </w:rPr>
        <w:t xml:space="preserve">.  The </w:t>
      </w:r>
      <w:r w:rsidRPr="00810204">
        <w:rPr>
          <w:rFonts w:asciiTheme="majorHAnsi" w:eastAsia="Times New Roman" w:hAnsiTheme="majorHAnsi" w:cstheme="majorHAnsi"/>
          <w:color w:val="0A0A0A"/>
          <w:lang w:eastAsia="en-NZ"/>
        </w:rPr>
        <w:t xml:space="preserve">initiatives and projects will be performed in collaboration with the United Nations, its agencies and other relevant international and regional organisations and consistent with World Trade Organization (WTO) commitments. </w:t>
      </w:r>
    </w:p>
    <w:p w:rsidR="0011406C" w:rsidRDefault="0011406C" w:rsidP="008C2CEA">
      <w:pPr>
        <w:pStyle w:val="Heading2"/>
        <w:spacing w:before="0" w:line="360" w:lineRule="auto"/>
      </w:pPr>
    </w:p>
    <w:p w:rsidR="00842A31" w:rsidRDefault="00320CA6" w:rsidP="008C2CEA">
      <w:pPr>
        <w:pStyle w:val="Heading2"/>
        <w:spacing w:before="0" w:line="360" w:lineRule="auto"/>
      </w:pPr>
      <w:r w:rsidRPr="002633FC">
        <w:t>APEC Priorities for 2021</w:t>
      </w:r>
    </w:p>
    <w:p w:rsidR="008C2CEA" w:rsidRPr="008C2CEA" w:rsidRDefault="008C2CEA" w:rsidP="008C2CEA">
      <w:pPr>
        <w:spacing w:after="0" w:line="360" w:lineRule="auto"/>
      </w:pPr>
    </w:p>
    <w:p w:rsidR="001E5053" w:rsidRDefault="00E0295C" w:rsidP="008C2CEA">
      <w:pPr>
        <w:pStyle w:val="ListParagraph"/>
        <w:numPr>
          <w:ilvl w:val="0"/>
          <w:numId w:val="4"/>
        </w:numPr>
        <w:spacing w:after="0" w:line="360" w:lineRule="auto"/>
        <w:rPr>
          <w:rFonts w:asciiTheme="majorHAnsi" w:hAnsiTheme="majorHAnsi" w:cstheme="majorHAnsi"/>
          <w:b/>
          <w:bCs/>
        </w:rPr>
      </w:pPr>
      <w:r w:rsidRPr="002633FC">
        <w:rPr>
          <w:rFonts w:asciiTheme="majorHAnsi" w:hAnsiTheme="majorHAnsi" w:cstheme="majorHAnsi"/>
          <w:b/>
          <w:bCs/>
        </w:rPr>
        <w:t xml:space="preserve">APEC Food Security Roadmap Towards </w:t>
      </w:r>
      <w:r w:rsidR="001E5053" w:rsidRPr="002633FC">
        <w:rPr>
          <w:rFonts w:asciiTheme="majorHAnsi" w:hAnsiTheme="majorHAnsi" w:cstheme="majorHAnsi"/>
          <w:b/>
          <w:bCs/>
        </w:rPr>
        <w:t>2030</w:t>
      </w:r>
    </w:p>
    <w:p w:rsidR="008C2CEA" w:rsidRPr="008C2CEA" w:rsidRDefault="008C2CEA" w:rsidP="008C2CEA">
      <w:pPr>
        <w:spacing w:after="0" w:line="360" w:lineRule="auto"/>
        <w:rPr>
          <w:rFonts w:asciiTheme="majorHAnsi" w:hAnsiTheme="majorHAnsi" w:cstheme="majorHAnsi"/>
          <w:b/>
          <w:bCs/>
        </w:rPr>
      </w:pPr>
    </w:p>
    <w:p w:rsidR="008C2CEA" w:rsidRDefault="0036664E" w:rsidP="008C2CEA">
      <w:pPr>
        <w:spacing w:after="0" w:line="360" w:lineRule="auto"/>
        <w:jc w:val="both"/>
        <w:rPr>
          <w:rFonts w:asciiTheme="majorHAnsi" w:eastAsia="Times New Roman" w:hAnsiTheme="majorHAnsi" w:cstheme="majorHAnsi"/>
          <w:color w:val="000000"/>
          <w:lang w:eastAsia="en-NZ"/>
        </w:rPr>
      </w:pPr>
      <w:r w:rsidRPr="002633FC">
        <w:rPr>
          <w:rFonts w:asciiTheme="majorHAnsi" w:hAnsiTheme="majorHAnsi" w:cstheme="majorHAnsi"/>
        </w:rPr>
        <w:t xml:space="preserve">The Food Security Roadmap is an important guiding document for APEC member economies.  </w:t>
      </w:r>
      <w:r w:rsidRPr="002633FC">
        <w:rPr>
          <w:rFonts w:asciiTheme="majorHAnsi" w:eastAsia="Times New Roman" w:hAnsiTheme="majorHAnsi" w:cstheme="majorHAnsi"/>
          <w:color w:val="000000"/>
          <w:lang w:eastAsia="en-NZ"/>
        </w:rPr>
        <w:t>In 2021 New Zealand will lead the development of a new food security roadmap to replace the APEC Food Security Road Map</w:t>
      </w:r>
      <w:r w:rsidR="00800033">
        <w:rPr>
          <w:rFonts w:asciiTheme="majorHAnsi" w:eastAsia="Times New Roman" w:hAnsiTheme="majorHAnsi" w:cstheme="majorHAnsi"/>
          <w:color w:val="000000"/>
          <w:lang w:eastAsia="en-NZ"/>
        </w:rPr>
        <w:t xml:space="preserve"> T</w:t>
      </w:r>
      <w:r w:rsidRPr="002633FC">
        <w:rPr>
          <w:rFonts w:asciiTheme="majorHAnsi" w:eastAsia="Times New Roman" w:hAnsiTheme="majorHAnsi" w:cstheme="majorHAnsi"/>
          <w:color w:val="000000"/>
          <w:lang w:eastAsia="en-NZ"/>
        </w:rPr>
        <w:t xml:space="preserve">owards 2020. </w:t>
      </w:r>
    </w:p>
    <w:p w:rsidR="009C7F15" w:rsidRDefault="009C7F15" w:rsidP="008C2CEA">
      <w:pPr>
        <w:spacing w:after="0" w:line="360" w:lineRule="auto"/>
        <w:jc w:val="both"/>
        <w:rPr>
          <w:rFonts w:asciiTheme="majorHAnsi" w:eastAsia="Times New Roman" w:hAnsiTheme="majorHAnsi" w:cstheme="majorHAnsi"/>
          <w:color w:val="000000"/>
          <w:lang w:eastAsia="en-NZ"/>
        </w:rPr>
      </w:pPr>
    </w:p>
    <w:p w:rsidR="0036664E" w:rsidRDefault="0036664E" w:rsidP="008C2CEA">
      <w:pPr>
        <w:spacing w:after="0" w:line="360" w:lineRule="auto"/>
        <w:jc w:val="both"/>
        <w:rPr>
          <w:rFonts w:asciiTheme="majorHAnsi" w:eastAsia="Times New Roman" w:hAnsiTheme="majorHAnsi" w:cstheme="majorHAnsi"/>
          <w:color w:val="000000"/>
          <w:lang w:eastAsia="en-NZ"/>
        </w:rPr>
      </w:pPr>
      <w:r w:rsidRPr="002633FC">
        <w:rPr>
          <w:rFonts w:asciiTheme="majorHAnsi" w:eastAsia="Times New Roman" w:hAnsiTheme="majorHAnsi" w:cstheme="majorHAnsi"/>
          <w:color w:val="000000"/>
          <w:lang w:eastAsia="en-NZ"/>
        </w:rPr>
        <w:t>The COVID-19 crisis has impacted food security regionally</w:t>
      </w:r>
      <w:r w:rsidR="00416386">
        <w:rPr>
          <w:rFonts w:asciiTheme="majorHAnsi" w:eastAsia="Times New Roman" w:hAnsiTheme="majorHAnsi" w:cstheme="majorHAnsi"/>
          <w:color w:val="000000"/>
          <w:lang w:eastAsia="en-NZ"/>
        </w:rPr>
        <w:t xml:space="preserve"> and globally </w:t>
      </w:r>
      <w:r w:rsidRPr="002633FC">
        <w:rPr>
          <w:rFonts w:asciiTheme="majorHAnsi" w:eastAsia="Times New Roman" w:hAnsiTheme="majorHAnsi" w:cstheme="majorHAnsi"/>
          <w:color w:val="000000"/>
          <w:lang w:eastAsia="en-NZ"/>
        </w:rPr>
        <w:t>by disrupting supply chains and affecting food production. The region’s food systems were already facing significant challenges in terms of population growth, urbanisation, climate change, the depletion of natural resources, and new technological developments that are expected to transform the sector.</w:t>
      </w:r>
    </w:p>
    <w:p w:rsidR="008C2CEA" w:rsidRPr="002633FC" w:rsidRDefault="008C2CEA" w:rsidP="008C2CEA">
      <w:pPr>
        <w:spacing w:after="0" w:line="360" w:lineRule="auto"/>
        <w:jc w:val="both"/>
        <w:rPr>
          <w:rFonts w:asciiTheme="majorHAnsi" w:eastAsia="Times New Roman" w:hAnsiTheme="majorHAnsi" w:cstheme="majorHAnsi"/>
          <w:color w:val="000000"/>
          <w:lang w:eastAsia="en-NZ"/>
        </w:rPr>
      </w:pPr>
    </w:p>
    <w:p w:rsidR="00DD23F7" w:rsidRDefault="00E0295C" w:rsidP="00071C75">
      <w:pPr>
        <w:spacing w:after="0" w:line="360" w:lineRule="auto"/>
        <w:jc w:val="both"/>
        <w:rPr>
          <w:rFonts w:asciiTheme="majorHAnsi" w:hAnsiTheme="majorHAnsi" w:cstheme="majorHAnsi"/>
        </w:rPr>
      </w:pPr>
      <w:r w:rsidRPr="002633FC">
        <w:rPr>
          <w:rFonts w:asciiTheme="majorHAnsi" w:hAnsiTheme="majorHAnsi" w:cstheme="majorHAnsi"/>
        </w:rPr>
        <w:t xml:space="preserve">The new Roadmap will </w:t>
      </w:r>
      <w:r w:rsidR="00662807" w:rsidRPr="002633FC">
        <w:rPr>
          <w:rFonts w:asciiTheme="majorHAnsi" w:hAnsiTheme="majorHAnsi" w:cstheme="majorHAnsi"/>
        </w:rPr>
        <w:t xml:space="preserve">assist economies in responding to </w:t>
      </w:r>
      <w:r w:rsidR="000B5684" w:rsidRPr="002633FC">
        <w:rPr>
          <w:rFonts w:asciiTheme="majorHAnsi" w:hAnsiTheme="majorHAnsi" w:cstheme="majorHAnsi"/>
        </w:rPr>
        <w:t xml:space="preserve">food security </w:t>
      </w:r>
      <w:r w:rsidR="003A2498" w:rsidRPr="002633FC">
        <w:rPr>
          <w:rFonts w:asciiTheme="majorHAnsi" w:hAnsiTheme="majorHAnsi" w:cstheme="majorHAnsi"/>
        </w:rPr>
        <w:t>challenges</w:t>
      </w:r>
      <w:r w:rsidR="00DD23F7" w:rsidRPr="002633FC">
        <w:rPr>
          <w:rFonts w:asciiTheme="majorHAnsi" w:hAnsiTheme="majorHAnsi" w:cstheme="majorHAnsi"/>
        </w:rPr>
        <w:t xml:space="preserve">, </w:t>
      </w:r>
      <w:r w:rsidR="003A2498" w:rsidRPr="002633FC">
        <w:rPr>
          <w:rFonts w:asciiTheme="majorHAnsi" w:hAnsiTheme="majorHAnsi" w:cstheme="majorHAnsi"/>
        </w:rPr>
        <w:t>establish objectives</w:t>
      </w:r>
      <w:r w:rsidR="00DD23F7" w:rsidRPr="002633FC">
        <w:rPr>
          <w:rFonts w:asciiTheme="majorHAnsi" w:hAnsiTheme="majorHAnsi" w:cstheme="majorHAnsi"/>
        </w:rPr>
        <w:t xml:space="preserve"> and i</w:t>
      </w:r>
      <w:r w:rsidR="003A2498" w:rsidRPr="002633FC">
        <w:rPr>
          <w:rFonts w:asciiTheme="majorHAnsi" w:hAnsiTheme="majorHAnsi" w:cstheme="majorHAnsi"/>
        </w:rPr>
        <w:t xml:space="preserve">ncorporate high-level </w:t>
      </w:r>
      <w:r w:rsidR="00DD23F7" w:rsidRPr="002633FC">
        <w:rPr>
          <w:rFonts w:asciiTheme="majorHAnsi" w:hAnsiTheme="majorHAnsi" w:cstheme="majorHAnsi"/>
        </w:rPr>
        <w:t>strategies. It</w:t>
      </w:r>
      <w:r w:rsidR="000B5684" w:rsidRPr="002633FC">
        <w:rPr>
          <w:rFonts w:asciiTheme="majorHAnsi" w:hAnsiTheme="majorHAnsi" w:cstheme="majorHAnsi"/>
        </w:rPr>
        <w:t xml:space="preserve"> will also set </w:t>
      </w:r>
      <w:r w:rsidR="003A2498" w:rsidRPr="002633FC">
        <w:rPr>
          <w:rFonts w:asciiTheme="majorHAnsi" w:hAnsiTheme="majorHAnsi" w:cstheme="majorHAnsi"/>
        </w:rPr>
        <w:t>out the implementation strategies for goals within the respective Working</w:t>
      </w:r>
      <w:r w:rsidR="00662807" w:rsidRPr="002633FC">
        <w:rPr>
          <w:rFonts w:asciiTheme="majorHAnsi" w:hAnsiTheme="majorHAnsi" w:cstheme="majorHAnsi"/>
        </w:rPr>
        <w:t xml:space="preserve"> Groups</w:t>
      </w:r>
      <w:r w:rsidR="003A2498" w:rsidRPr="002633FC">
        <w:rPr>
          <w:rFonts w:asciiTheme="majorHAnsi" w:hAnsiTheme="majorHAnsi" w:cstheme="majorHAnsi"/>
        </w:rPr>
        <w:t xml:space="preserve">. </w:t>
      </w:r>
      <w:r w:rsidR="00071C75">
        <w:rPr>
          <w:rFonts w:asciiTheme="majorHAnsi" w:hAnsiTheme="majorHAnsi" w:cstheme="majorHAnsi"/>
        </w:rPr>
        <w:t xml:space="preserve"> </w:t>
      </w:r>
      <w:r w:rsidR="0068471F" w:rsidRPr="002633FC">
        <w:rPr>
          <w:rFonts w:asciiTheme="majorHAnsi" w:hAnsiTheme="majorHAnsi" w:cstheme="majorHAnsi"/>
        </w:rPr>
        <w:t>The process will</w:t>
      </w:r>
      <w:r w:rsidR="00DD23F7" w:rsidRPr="002633FC">
        <w:rPr>
          <w:rFonts w:asciiTheme="majorHAnsi" w:hAnsiTheme="majorHAnsi" w:cstheme="majorHAnsi"/>
        </w:rPr>
        <w:t xml:space="preserve"> be conducted virtually</w:t>
      </w:r>
      <w:r w:rsidR="002468E6" w:rsidRPr="002633FC">
        <w:rPr>
          <w:rFonts w:asciiTheme="majorHAnsi" w:hAnsiTheme="majorHAnsi" w:cstheme="majorHAnsi"/>
        </w:rPr>
        <w:t xml:space="preserve"> with the </w:t>
      </w:r>
      <w:r w:rsidR="00290EE0" w:rsidRPr="002633FC">
        <w:rPr>
          <w:rFonts w:asciiTheme="majorHAnsi" w:hAnsiTheme="majorHAnsi" w:cstheme="majorHAnsi"/>
        </w:rPr>
        <w:t>following timetable</w:t>
      </w:r>
      <w:r w:rsidR="00F37EF6">
        <w:rPr>
          <w:rFonts w:asciiTheme="majorHAnsi" w:hAnsiTheme="majorHAnsi" w:cstheme="majorHAnsi"/>
        </w:rPr>
        <w:t>:</w:t>
      </w:r>
    </w:p>
    <w:p w:rsidR="00071C75" w:rsidRDefault="00071C75" w:rsidP="00071C75">
      <w:pPr>
        <w:spacing w:after="0" w:line="360" w:lineRule="auto"/>
        <w:jc w:val="both"/>
        <w:rPr>
          <w:rFonts w:asciiTheme="majorHAnsi" w:hAnsiTheme="majorHAnsi" w:cstheme="majorHAnsi"/>
        </w:rPr>
      </w:pPr>
    </w:p>
    <w:tbl>
      <w:tblPr>
        <w:tblStyle w:val="TableGrid"/>
        <w:tblW w:w="0" w:type="auto"/>
        <w:tblLook w:val="04A0" w:firstRow="1" w:lastRow="0" w:firstColumn="1" w:lastColumn="0" w:noHBand="0" w:noVBand="1"/>
      </w:tblPr>
      <w:tblGrid>
        <w:gridCol w:w="1980"/>
        <w:gridCol w:w="3260"/>
        <w:gridCol w:w="3776"/>
      </w:tblGrid>
      <w:tr w:rsidR="0036664E" w:rsidRPr="002633FC" w:rsidTr="00290EE0">
        <w:tc>
          <w:tcPr>
            <w:tcW w:w="1980" w:type="dxa"/>
          </w:tcPr>
          <w:p w:rsidR="0036664E" w:rsidRPr="002633FC" w:rsidRDefault="0036664E" w:rsidP="00F37EF6">
            <w:pPr>
              <w:spacing w:before="120" w:after="120"/>
              <w:jc w:val="center"/>
              <w:rPr>
                <w:rFonts w:asciiTheme="majorHAnsi" w:hAnsiTheme="majorHAnsi" w:cstheme="majorHAnsi"/>
                <w:b/>
                <w:bCs/>
              </w:rPr>
            </w:pPr>
            <w:r w:rsidRPr="002633FC">
              <w:rPr>
                <w:rFonts w:asciiTheme="majorHAnsi" w:hAnsiTheme="majorHAnsi" w:cstheme="majorHAnsi"/>
                <w:b/>
                <w:bCs/>
              </w:rPr>
              <w:t>Date</w:t>
            </w:r>
          </w:p>
        </w:tc>
        <w:tc>
          <w:tcPr>
            <w:tcW w:w="3260" w:type="dxa"/>
          </w:tcPr>
          <w:p w:rsidR="0036664E" w:rsidRPr="002633FC" w:rsidRDefault="0036664E" w:rsidP="00F37EF6">
            <w:pPr>
              <w:spacing w:before="120" w:after="120"/>
              <w:jc w:val="center"/>
              <w:rPr>
                <w:rFonts w:asciiTheme="majorHAnsi" w:hAnsiTheme="majorHAnsi" w:cstheme="majorHAnsi"/>
                <w:b/>
                <w:bCs/>
              </w:rPr>
            </w:pPr>
            <w:r w:rsidRPr="002633FC">
              <w:rPr>
                <w:rFonts w:asciiTheme="majorHAnsi" w:hAnsiTheme="majorHAnsi" w:cstheme="majorHAnsi"/>
                <w:b/>
                <w:bCs/>
              </w:rPr>
              <w:t>Event</w:t>
            </w:r>
          </w:p>
        </w:tc>
        <w:tc>
          <w:tcPr>
            <w:tcW w:w="3776" w:type="dxa"/>
          </w:tcPr>
          <w:p w:rsidR="0036664E" w:rsidRPr="002633FC" w:rsidRDefault="0036664E" w:rsidP="00F37EF6">
            <w:pPr>
              <w:spacing w:before="120" w:after="120"/>
              <w:jc w:val="center"/>
              <w:rPr>
                <w:rFonts w:asciiTheme="majorHAnsi" w:hAnsiTheme="majorHAnsi" w:cstheme="majorHAnsi"/>
                <w:b/>
                <w:bCs/>
              </w:rPr>
            </w:pPr>
            <w:r w:rsidRPr="002633FC">
              <w:rPr>
                <w:rFonts w:asciiTheme="majorHAnsi" w:hAnsiTheme="majorHAnsi" w:cstheme="majorHAnsi"/>
                <w:b/>
                <w:bCs/>
              </w:rPr>
              <w:t>Action</w:t>
            </w:r>
          </w:p>
        </w:tc>
      </w:tr>
      <w:tr w:rsidR="0036664E" w:rsidRPr="002633FC" w:rsidTr="00290EE0">
        <w:tc>
          <w:tcPr>
            <w:tcW w:w="1980" w:type="dxa"/>
          </w:tcPr>
          <w:p w:rsidR="0036664E" w:rsidRPr="002633FC" w:rsidRDefault="0036664E" w:rsidP="00F37EF6">
            <w:pPr>
              <w:spacing w:before="120" w:after="120"/>
              <w:jc w:val="both"/>
              <w:rPr>
                <w:rFonts w:asciiTheme="majorHAnsi" w:hAnsiTheme="majorHAnsi" w:cstheme="majorHAnsi"/>
                <w:b/>
                <w:bCs/>
              </w:rPr>
            </w:pPr>
            <w:r w:rsidRPr="002633FC">
              <w:rPr>
                <w:rFonts w:asciiTheme="majorHAnsi" w:hAnsiTheme="majorHAnsi" w:cstheme="majorHAnsi"/>
                <w:b/>
                <w:bCs/>
              </w:rPr>
              <w:t>2-3 March 2021</w:t>
            </w:r>
          </w:p>
        </w:tc>
        <w:tc>
          <w:tcPr>
            <w:tcW w:w="3260" w:type="dxa"/>
          </w:tcPr>
          <w:p w:rsidR="0036664E" w:rsidRPr="002633FC" w:rsidRDefault="0036664E" w:rsidP="00F37EF6">
            <w:pPr>
              <w:spacing w:before="120" w:after="120"/>
              <w:jc w:val="both"/>
              <w:rPr>
                <w:rFonts w:asciiTheme="majorHAnsi" w:hAnsiTheme="majorHAnsi" w:cstheme="majorHAnsi"/>
              </w:rPr>
            </w:pPr>
            <w:r w:rsidRPr="002633FC">
              <w:rPr>
                <w:rFonts w:asciiTheme="majorHAnsi" w:hAnsiTheme="majorHAnsi" w:cstheme="majorHAnsi"/>
              </w:rPr>
              <w:t>PPFS Plenary Meeting One</w:t>
            </w:r>
          </w:p>
        </w:tc>
        <w:tc>
          <w:tcPr>
            <w:tcW w:w="3776" w:type="dxa"/>
          </w:tcPr>
          <w:p w:rsidR="0036664E" w:rsidRPr="002633FC" w:rsidRDefault="0036664E" w:rsidP="00F37EF6">
            <w:pPr>
              <w:spacing w:before="120" w:after="120"/>
              <w:jc w:val="both"/>
              <w:rPr>
                <w:rFonts w:asciiTheme="majorHAnsi" w:hAnsiTheme="majorHAnsi" w:cstheme="majorHAnsi"/>
                <w:b/>
                <w:bCs/>
              </w:rPr>
            </w:pPr>
            <w:r w:rsidRPr="002633FC">
              <w:rPr>
                <w:rFonts w:asciiTheme="majorHAnsi" w:hAnsiTheme="majorHAnsi" w:cstheme="majorHAnsi"/>
              </w:rPr>
              <w:t xml:space="preserve">Endorsement of the Roadmap Terms of Reference, keynote speeches and a </w:t>
            </w:r>
            <w:r w:rsidR="00145ADB" w:rsidRPr="002633FC">
              <w:rPr>
                <w:rFonts w:asciiTheme="majorHAnsi" w:hAnsiTheme="majorHAnsi" w:cstheme="majorHAnsi"/>
              </w:rPr>
              <w:t>high-level</w:t>
            </w:r>
            <w:r w:rsidRPr="002633FC">
              <w:rPr>
                <w:rFonts w:asciiTheme="majorHAnsi" w:hAnsiTheme="majorHAnsi" w:cstheme="majorHAnsi"/>
              </w:rPr>
              <w:t xml:space="preserve"> panel discussion on the vision for Roadmap 2030</w:t>
            </w:r>
          </w:p>
        </w:tc>
      </w:tr>
      <w:tr w:rsidR="0036664E" w:rsidRPr="002633FC" w:rsidTr="00290EE0">
        <w:tc>
          <w:tcPr>
            <w:tcW w:w="1980" w:type="dxa"/>
          </w:tcPr>
          <w:p w:rsidR="0036664E" w:rsidRPr="002633FC" w:rsidRDefault="003A7D7B" w:rsidP="00F37EF6">
            <w:pPr>
              <w:spacing w:before="120" w:after="120"/>
              <w:jc w:val="both"/>
              <w:rPr>
                <w:rFonts w:asciiTheme="majorHAnsi" w:hAnsiTheme="majorHAnsi" w:cstheme="majorHAnsi"/>
                <w:b/>
                <w:bCs/>
              </w:rPr>
            </w:pPr>
            <w:r w:rsidRPr="002633FC">
              <w:rPr>
                <w:rFonts w:asciiTheme="majorHAnsi" w:hAnsiTheme="majorHAnsi" w:cstheme="majorHAnsi"/>
                <w:b/>
                <w:bCs/>
              </w:rPr>
              <w:t>April/May 2021</w:t>
            </w:r>
          </w:p>
        </w:tc>
        <w:tc>
          <w:tcPr>
            <w:tcW w:w="3260" w:type="dxa"/>
          </w:tcPr>
          <w:p w:rsidR="0036664E" w:rsidRPr="002633FC" w:rsidRDefault="003A7D7B" w:rsidP="00F37EF6">
            <w:pPr>
              <w:spacing w:before="120" w:after="120"/>
              <w:jc w:val="both"/>
              <w:rPr>
                <w:rFonts w:asciiTheme="majorHAnsi" w:hAnsiTheme="majorHAnsi" w:cstheme="majorHAnsi"/>
              </w:rPr>
            </w:pPr>
            <w:r w:rsidRPr="002633FC">
              <w:rPr>
                <w:rFonts w:asciiTheme="majorHAnsi" w:hAnsiTheme="majorHAnsi" w:cstheme="majorHAnsi"/>
              </w:rPr>
              <w:t xml:space="preserve">Intersessional Webinars (1.5 hrs each) on key elements for APEC Food Security Roadmap Towards 2030 </w:t>
            </w:r>
          </w:p>
        </w:tc>
        <w:tc>
          <w:tcPr>
            <w:tcW w:w="3776" w:type="dxa"/>
          </w:tcPr>
          <w:p w:rsidR="0036664E" w:rsidRDefault="003A7D7B" w:rsidP="00F37EF6">
            <w:pPr>
              <w:spacing w:before="120" w:after="120"/>
              <w:jc w:val="both"/>
              <w:rPr>
                <w:rFonts w:asciiTheme="majorHAnsi" w:hAnsiTheme="majorHAnsi" w:cstheme="majorHAnsi"/>
              </w:rPr>
            </w:pPr>
            <w:r w:rsidRPr="002633FC">
              <w:rPr>
                <w:rFonts w:asciiTheme="majorHAnsi" w:hAnsiTheme="majorHAnsi" w:cstheme="majorHAnsi"/>
              </w:rPr>
              <w:t>Key elements of Roadmap 2030 are examined and discussed</w:t>
            </w:r>
            <w:r w:rsidR="00F04AC5">
              <w:rPr>
                <w:rFonts w:asciiTheme="majorHAnsi" w:hAnsiTheme="majorHAnsi" w:cstheme="majorHAnsi"/>
              </w:rPr>
              <w:t xml:space="preserve"> over the four sessions:</w:t>
            </w:r>
          </w:p>
          <w:p w:rsidR="00CC63D5" w:rsidRPr="00CC63D5" w:rsidRDefault="00F04AC5" w:rsidP="00F37EF6">
            <w:pPr>
              <w:pStyle w:val="ListParagraph"/>
              <w:numPr>
                <w:ilvl w:val="0"/>
                <w:numId w:val="16"/>
              </w:numPr>
              <w:spacing w:before="120" w:after="120"/>
              <w:jc w:val="both"/>
              <w:rPr>
                <w:rFonts w:asciiTheme="majorHAnsi" w:hAnsiTheme="majorHAnsi" w:cstheme="majorHAnsi"/>
                <w:color w:val="000000"/>
              </w:rPr>
            </w:pPr>
            <w:r w:rsidRPr="00CC63D5">
              <w:rPr>
                <w:rFonts w:asciiTheme="majorHAnsi" w:hAnsiTheme="majorHAnsi" w:cstheme="majorHAnsi"/>
                <w:color w:val="000000"/>
              </w:rPr>
              <w:t>Building in resilience in the APEC food system to stress, shocks and strains</w:t>
            </w:r>
          </w:p>
          <w:p w:rsidR="00CC63D5" w:rsidRPr="00CC63D5" w:rsidRDefault="00F04AC5" w:rsidP="00F37EF6">
            <w:pPr>
              <w:pStyle w:val="ListParagraph"/>
              <w:numPr>
                <w:ilvl w:val="0"/>
                <w:numId w:val="16"/>
              </w:numPr>
              <w:spacing w:before="120" w:after="120"/>
              <w:jc w:val="both"/>
              <w:rPr>
                <w:rFonts w:asciiTheme="majorHAnsi" w:hAnsiTheme="majorHAnsi" w:cstheme="majorHAnsi"/>
                <w:color w:val="000000"/>
              </w:rPr>
            </w:pPr>
            <w:r w:rsidRPr="00CC63D5">
              <w:rPr>
                <w:rFonts w:asciiTheme="majorHAnsi" w:hAnsiTheme="majorHAnsi" w:cstheme="majorHAnsi"/>
                <w:color w:val="000000"/>
              </w:rPr>
              <w:t>Encouraging an inclusive food system for SMEs, women and indigenous</w:t>
            </w:r>
            <w:r w:rsidR="00425CD0">
              <w:rPr>
                <w:rFonts w:asciiTheme="majorHAnsi" w:hAnsiTheme="majorHAnsi" w:cstheme="majorHAnsi"/>
                <w:color w:val="000000"/>
              </w:rPr>
              <w:t xml:space="preserve">, </w:t>
            </w:r>
            <w:r w:rsidR="00425CD0">
              <w:rPr>
                <w:rFonts w:asciiTheme="majorHAnsi" w:hAnsiTheme="majorHAnsi" w:cstheme="majorBidi"/>
                <w:color w:val="000000" w:themeColor="text1"/>
              </w:rPr>
              <w:t>peoples, including ways for these groups to lead on food security efforts in their economies</w:t>
            </w:r>
          </w:p>
          <w:p w:rsidR="00CC63D5" w:rsidRPr="00CC63D5" w:rsidRDefault="00F04AC5" w:rsidP="00F37EF6">
            <w:pPr>
              <w:pStyle w:val="ListParagraph"/>
              <w:numPr>
                <w:ilvl w:val="0"/>
                <w:numId w:val="16"/>
              </w:numPr>
              <w:spacing w:before="120" w:after="120"/>
              <w:jc w:val="both"/>
              <w:rPr>
                <w:rFonts w:asciiTheme="majorHAnsi" w:hAnsiTheme="majorHAnsi" w:cstheme="majorHAnsi"/>
                <w:color w:val="000000"/>
              </w:rPr>
            </w:pPr>
            <w:r w:rsidRPr="00CC63D5">
              <w:rPr>
                <w:rFonts w:asciiTheme="majorHAnsi" w:hAnsiTheme="majorHAnsi" w:cstheme="majorHAnsi"/>
                <w:color w:val="000000"/>
              </w:rPr>
              <w:t>Increasing productivity, efficiency and innovation</w:t>
            </w:r>
          </w:p>
          <w:p w:rsidR="00F04AC5" w:rsidRPr="00CC63D5" w:rsidRDefault="00F04AC5" w:rsidP="00F37EF6">
            <w:pPr>
              <w:pStyle w:val="ListParagraph"/>
              <w:numPr>
                <w:ilvl w:val="0"/>
                <w:numId w:val="16"/>
              </w:numPr>
              <w:spacing w:before="120" w:after="120"/>
              <w:jc w:val="both"/>
              <w:rPr>
                <w:rFonts w:asciiTheme="majorHAnsi" w:hAnsiTheme="majorHAnsi" w:cstheme="majorHAnsi"/>
              </w:rPr>
            </w:pPr>
            <w:r w:rsidRPr="00CC63D5">
              <w:rPr>
                <w:rFonts w:asciiTheme="majorHAnsi" w:hAnsiTheme="majorHAnsi" w:cstheme="majorHAnsi"/>
                <w:color w:val="000000"/>
              </w:rPr>
              <w:t>SMART goals and tracking effective implementation</w:t>
            </w:r>
          </w:p>
        </w:tc>
      </w:tr>
      <w:tr w:rsidR="0036664E" w:rsidRPr="002633FC" w:rsidTr="00290EE0">
        <w:tc>
          <w:tcPr>
            <w:tcW w:w="1980" w:type="dxa"/>
          </w:tcPr>
          <w:p w:rsidR="003A7D7B" w:rsidRPr="002633FC" w:rsidRDefault="003A7D7B" w:rsidP="00F37EF6">
            <w:pPr>
              <w:spacing w:before="120" w:after="120"/>
              <w:jc w:val="both"/>
              <w:rPr>
                <w:rFonts w:asciiTheme="majorHAnsi" w:hAnsiTheme="majorHAnsi" w:cstheme="majorHAnsi"/>
                <w:b/>
                <w:bCs/>
              </w:rPr>
            </w:pPr>
            <w:r w:rsidRPr="002633FC">
              <w:rPr>
                <w:rFonts w:asciiTheme="majorHAnsi" w:hAnsiTheme="majorHAnsi" w:cstheme="majorHAnsi"/>
                <w:b/>
                <w:bCs/>
              </w:rPr>
              <w:t>May-August 2021</w:t>
            </w:r>
          </w:p>
          <w:p w:rsidR="0036664E" w:rsidRPr="002633FC" w:rsidRDefault="0036664E" w:rsidP="00F37EF6">
            <w:pPr>
              <w:spacing w:before="120" w:after="120"/>
              <w:jc w:val="both"/>
              <w:rPr>
                <w:rFonts w:asciiTheme="majorHAnsi" w:hAnsiTheme="majorHAnsi" w:cstheme="majorHAnsi"/>
                <w:b/>
                <w:bCs/>
              </w:rPr>
            </w:pPr>
          </w:p>
        </w:tc>
        <w:tc>
          <w:tcPr>
            <w:tcW w:w="3260" w:type="dxa"/>
          </w:tcPr>
          <w:p w:rsidR="0036664E" w:rsidRPr="002633FC" w:rsidRDefault="009A0983" w:rsidP="00F37EF6">
            <w:pPr>
              <w:spacing w:before="120" w:after="120"/>
              <w:jc w:val="both"/>
              <w:rPr>
                <w:rFonts w:asciiTheme="majorHAnsi" w:hAnsiTheme="majorHAnsi" w:cstheme="majorHAnsi"/>
                <w:b/>
                <w:bCs/>
              </w:rPr>
            </w:pPr>
            <w:r w:rsidRPr="002633FC">
              <w:rPr>
                <w:rFonts w:asciiTheme="majorHAnsi" w:eastAsia="Times New Roman" w:hAnsiTheme="majorHAnsi" w:cstheme="majorHAnsi"/>
                <w:color w:val="000000"/>
                <w:lang w:eastAsia="en-NZ"/>
              </w:rPr>
              <w:t>Small working group (Chaired by PPFS Chair) of interested economies, including public and private sector representatives</w:t>
            </w:r>
          </w:p>
        </w:tc>
        <w:tc>
          <w:tcPr>
            <w:tcW w:w="3776" w:type="dxa"/>
          </w:tcPr>
          <w:p w:rsidR="00C62A26" w:rsidRPr="002633FC" w:rsidRDefault="009A0983" w:rsidP="00F37EF6">
            <w:pPr>
              <w:spacing w:before="120" w:after="120"/>
              <w:jc w:val="both"/>
              <w:rPr>
                <w:rFonts w:asciiTheme="majorHAnsi" w:hAnsiTheme="majorHAnsi" w:cstheme="majorHAnsi"/>
                <w:b/>
                <w:bCs/>
              </w:rPr>
            </w:pPr>
            <w:r w:rsidRPr="002633FC">
              <w:rPr>
                <w:rFonts w:asciiTheme="majorHAnsi" w:eastAsia="Times New Roman" w:hAnsiTheme="majorHAnsi" w:cstheme="majorHAnsi"/>
                <w:color w:val="000000"/>
                <w:lang w:eastAsia="en-NZ"/>
              </w:rPr>
              <w:t>Two drafting sessions and three drafts of Roadmap 2030 circulated to all economies</w:t>
            </w:r>
          </w:p>
        </w:tc>
      </w:tr>
      <w:tr w:rsidR="0036664E" w:rsidRPr="002633FC" w:rsidTr="00290EE0">
        <w:tc>
          <w:tcPr>
            <w:tcW w:w="1980" w:type="dxa"/>
          </w:tcPr>
          <w:p w:rsidR="003A7D7B" w:rsidRPr="002633FC" w:rsidRDefault="003A7D7B" w:rsidP="00F37EF6">
            <w:pPr>
              <w:spacing w:before="120" w:after="120"/>
              <w:jc w:val="both"/>
              <w:rPr>
                <w:rFonts w:asciiTheme="majorHAnsi" w:hAnsiTheme="majorHAnsi" w:cstheme="majorHAnsi"/>
                <w:b/>
                <w:bCs/>
              </w:rPr>
            </w:pPr>
            <w:r w:rsidRPr="002633FC">
              <w:rPr>
                <w:rFonts w:asciiTheme="majorHAnsi" w:hAnsiTheme="majorHAnsi" w:cstheme="majorHAnsi"/>
                <w:b/>
                <w:bCs/>
              </w:rPr>
              <w:t>August 2021</w:t>
            </w:r>
          </w:p>
          <w:p w:rsidR="0036664E" w:rsidRPr="002633FC" w:rsidRDefault="0036664E" w:rsidP="00F37EF6">
            <w:pPr>
              <w:spacing w:before="120" w:after="120"/>
              <w:jc w:val="both"/>
              <w:rPr>
                <w:rFonts w:asciiTheme="majorHAnsi" w:hAnsiTheme="majorHAnsi" w:cstheme="majorHAnsi"/>
                <w:b/>
                <w:bCs/>
              </w:rPr>
            </w:pPr>
          </w:p>
        </w:tc>
        <w:tc>
          <w:tcPr>
            <w:tcW w:w="3260" w:type="dxa"/>
          </w:tcPr>
          <w:p w:rsidR="0036664E" w:rsidRPr="002633FC" w:rsidRDefault="003A7D7B" w:rsidP="00F37EF6">
            <w:pPr>
              <w:spacing w:before="120" w:after="120"/>
              <w:jc w:val="both"/>
              <w:rPr>
                <w:rFonts w:asciiTheme="majorHAnsi" w:hAnsiTheme="majorHAnsi" w:cstheme="majorHAnsi"/>
                <w:b/>
                <w:bCs/>
              </w:rPr>
            </w:pPr>
            <w:r w:rsidRPr="002633FC">
              <w:rPr>
                <w:rFonts w:asciiTheme="majorHAnsi" w:hAnsiTheme="majorHAnsi" w:cstheme="majorHAnsi"/>
              </w:rPr>
              <w:t xml:space="preserve">PPFS2 2 August </w:t>
            </w:r>
          </w:p>
        </w:tc>
        <w:tc>
          <w:tcPr>
            <w:tcW w:w="3776" w:type="dxa"/>
          </w:tcPr>
          <w:p w:rsidR="0036664E" w:rsidRPr="002633FC" w:rsidRDefault="00AA68D4" w:rsidP="00F37EF6">
            <w:pPr>
              <w:spacing w:before="120" w:after="120"/>
              <w:jc w:val="both"/>
              <w:rPr>
                <w:rFonts w:asciiTheme="majorHAnsi" w:hAnsiTheme="majorHAnsi" w:cstheme="majorHAnsi"/>
                <w:b/>
                <w:bCs/>
              </w:rPr>
            </w:pPr>
            <w:r w:rsidRPr="002633FC">
              <w:rPr>
                <w:rFonts w:asciiTheme="majorHAnsi" w:hAnsiTheme="majorHAnsi" w:cstheme="majorHAnsi"/>
              </w:rPr>
              <w:t>Substantive public/private sector discussion on Roadmap 2030. Draft agreed on final text for Roadmap 2030</w:t>
            </w:r>
          </w:p>
        </w:tc>
      </w:tr>
      <w:tr w:rsidR="0036664E" w:rsidRPr="002633FC" w:rsidTr="00290EE0">
        <w:tc>
          <w:tcPr>
            <w:tcW w:w="1980" w:type="dxa"/>
          </w:tcPr>
          <w:p w:rsidR="0036664E" w:rsidRPr="002633FC" w:rsidRDefault="00AA68D4" w:rsidP="00F37EF6">
            <w:pPr>
              <w:spacing w:before="120" w:after="120"/>
              <w:jc w:val="both"/>
              <w:rPr>
                <w:rFonts w:asciiTheme="majorHAnsi" w:hAnsiTheme="majorHAnsi" w:cstheme="majorHAnsi"/>
                <w:b/>
                <w:bCs/>
              </w:rPr>
            </w:pPr>
            <w:r w:rsidRPr="002633FC">
              <w:rPr>
                <w:rFonts w:asciiTheme="majorHAnsi" w:hAnsiTheme="majorHAnsi" w:cstheme="majorHAnsi"/>
                <w:b/>
                <w:bCs/>
              </w:rPr>
              <w:t>TBC</w:t>
            </w:r>
          </w:p>
        </w:tc>
        <w:tc>
          <w:tcPr>
            <w:tcW w:w="3260" w:type="dxa"/>
          </w:tcPr>
          <w:p w:rsidR="0036664E" w:rsidRPr="002633FC" w:rsidRDefault="003A7D7B" w:rsidP="00F37EF6">
            <w:pPr>
              <w:spacing w:before="120" w:after="120"/>
              <w:jc w:val="both"/>
              <w:rPr>
                <w:rFonts w:asciiTheme="majorHAnsi" w:hAnsiTheme="majorHAnsi" w:cstheme="majorHAnsi"/>
                <w:b/>
                <w:bCs/>
              </w:rPr>
            </w:pPr>
            <w:r w:rsidRPr="002633FC">
              <w:rPr>
                <w:rFonts w:asciiTheme="majorHAnsi" w:hAnsiTheme="majorHAnsi" w:cstheme="majorHAnsi"/>
              </w:rPr>
              <w:t xml:space="preserve">Food Security Ministerial Meeting </w:t>
            </w:r>
          </w:p>
        </w:tc>
        <w:tc>
          <w:tcPr>
            <w:tcW w:w="3776" w:type="dxa"/>
          </w:tcPr>
          <w:p w:rsidR="0036664E" w:rsidRPr="002633FC" w:rsidRDefault="00AA68D4" w:rsidP="00F37EF6">
            <w:pPr>
              <w:spacing w:before="120" w:after="120"/>
              <w:jc w:val="both"/>
              <w:rPr>
                <w:rFonts w:asciiTheme="majorHAnsi" w:hAnsiTheme="majorHAnsi" w:cstheme="majorHAnsi"/>
                <w:b/>
                <w:bCs/>
              </w:rPr>
            </w:pPr>
            <w:r w:rsidRPr="002633FC">
              <w:rPr>
                <w:rFonts w:asciiTheme="majorHAnsi" w:hAnsiTheme="majorHAnsi" w:cstheme="majorHAnsi"/>
              </w:rPr>
              <w:t xml:space="preserve">High Level Policy </w:t>
            </w:r>
            <w:r w:rsidR="00F37EF6" w:rsidRPr="002633FC">
              <w:rPr>
                <w:rFonts w:asciiTheme="majorHAnsi" w:hAnsiTheme="majorHAnsi" w:cstheme="majorHAnsi"/>
              </w:rPr>
              <w:t>Dialogue and</w:t>
            </w:r>
            <w:r w:rsidRPr="002633FC">
              <w:rPr>
                <w:rFonts w:asciiTheme="majorHAnsi" w:hAnsiTheme="majorHAnsi" w:cstheme="majorHAnsi"/>
              </w:rPr>
              <w:t xml:space="preserve"> endorsement of new APEC Food Security Roadmap</w:t>
            </w:r>
          </w:p>
        </w:tc>
      </w:tr>
    </w:tbl>
    <w:p w:rsidR="00071C75" w:rsidRDefault="00071C75" w:rsidP="008C2CEA">
      <w:pPr>
        <w:spacing w:before="120" w:after="120" w:line="240" w:lineRule="auto"/>
        <w:rPr>
          <w:rFonts w:asciiTheme="majorHAnsi" w:hAnsiTheme="majorHAnsi" w:cstheme="majorHAnsi"/>
          <w:b/>
          <w:bCs/>
        </w:rPr>
      </w:pPr>
    </w:p>
    <w:p w:rsidR="00D21194" w:rsidRPr="00857509" w:rsidRDefault="00D21194" w:rsidP="00857509">
      <w:pPr>
        <w:pStyle w:val="ListParagraph"/>
        <w:numPr>
          <w:ilvl w:val="0"/>
          <w:numId w:val="4"/>
        </w:numPr>
        <w:spacing w:before="120" w:after="120" w:line="240" w:lineRule="auto"/>
        <w:rPr>
          <w:rFonts w:asciiTheme="majorHAnsi" w:hAnsiTheme="majorHAnsi" w:cstheme="majorHAnsi"/>
          <w:b/>
          <w:bCs/>
        </w:rPr>
      </w:pPr>
      <w:r w:rsidRPr="00857509">
        <w:rPr>
          <w:rFonts w:asciiTheme="majorHAnsi" w:hAnsiTheme="majorHAnsi" w:cstheme="majorHAnsi"/>
          <w:b/>
          <w:bCs/>
        </w:rPr>
        <w:t>Private Sector Participation in PPFS</w:t>
      </w:r>
    </w:p>
    <w:p w:rsidR="006650F4" w:rsidRDefault="006650F4" w:rsidP="006650F4">
      <w:pPr>
        <w:spacing w:before="100" w:beforeAutospacing="1" w:line="360" w:lineRule="auto"/>
        <w:rPr>
          <w:rFonts w:asciiTheme="majorHAnsi" w:hAnsiTheme="majorHAnsi" w:cstheme="majorHAnsi"/>
        </w:rPr>
      </w:pPr>
      <w:r w:rsidRPr="006650F4">
        <w:rPr>
          <w:rFonts w:asciiTheme="majorHAnsi" w:hAnsiTheme="majorHAnsi" w:cstheme="majorHAnsi"/>
        </w:rPr>
        <w:t xml:space="preserve">A priority for PPFS is increasing quality private sector engagement, considering its contribution to enhancing food security.  While policymakers take the lead in developing policy, without the input of primary producers, processors, distributors and import/exporters; the food system would not function.  For this reason, PPFS will be seeking the enhanced involvement of the private sector in the development of Roadmap 2030 to ensure an innovative refreshed food system to meet food security challenges of the future, acknowledging also the valuable role and inputs of ABAC as Vice Chair of PPFS.  </w:t>
      </w:r>
    </w:p>
    <w:p w:rsidR="00D21194" w:rsidRDefault="003E16B0" w:rsidP="00071C75">
      <w:pPr>
        <w:pStyle w:val="Heading2"/>
        <w:spacing w:before="0" w:line="360" w:lineRule="auto"/>
      </w:pPr>
      <w:r w:rsidRPr="002633FC">
        <w:t>Expected Outcomes / Deliverables</w:t>
      </w:r>
    </w:p>
    <w:p w:rsidR="00F37EF6" w:rsidRPr="00F37EF6" w:rsidRDefault="00F37EF6" w:rsidP="00071C75">
      <w:pPr>
        <w:spacing w:after="0" w:line="360" w:lineRule="auto"/>
      </w:pPr>
    </w:p>
    <w:p w:rsidR="003E16B0" w:rsidRDefault="003E16B0" w:rsidP="00071C75">
      <w:pPr>
        <w:pStyle w:val="ListParagraph"/>
        <w:numPr>
          <w:ilvl w:val="0"/>
          <w:numId w:val="15"/>
        </w:numPr>
        <w:spacing w:after="0" w:line="360" w:lineRule="auto"/>
        <w:rPr>
          <w:rFonts w:asciiTheme="majorHAnsi" w:hAnsiTheme="majorHAnsi" w:cstheme="majorHAnsi"/>
        </w:rPr>
      </w:pPr>
      <w:r w:rsidRPr="002633FC">
        <w:rPr>
          <w:rFonts w:asciiTheme="majorHAnsi" w:hAnsiTheme="majorHAnsi" w:cstheme="majorHAnsi"/>
        </w:rPr>
        <w:t>Completion of Food Security Roadmap Towards 2030</w:t>
      </w:r>
    </w:p>
    <w:p w:rsidR="00EA3702" w:rsidRDefault="00CC0B18" w:rsidP="00071C75">
      <w:pPr>
        <w:pStyle w:val="ListParagraph"/>
        <w:numPr>
          <w:ilvl w:val="0"/>
          <w:numId w:val="15"/>
        </w:numPr>
        <w:spacing w:after="0" w:line="360" w:lineRule="auto"/>
        <w:rPr>
          <w:rFonts w:asciiTheme="majorHAnsi" w:hAnsiTheme="majorHAnsi" w:cstheme="majorHAnsi"/>
        </w:rPr>
      </w:pPr>
      <w:r>
        <w:rPr>
          <w:rFonts w:asciiTheme="majorHAnsi" w:hAnsiTheme="majorHAnsi" w:cstheme="majorHAnsi"/>
        </w:rPr>
        <w:t>PPFS Plenary Meeting One; 2-3 March 2021</w:t>
      </w:r>
    </w:p>
    <w:p w:rsidR="00CC0B18" w:rsidRDefault="00CC0B18" w:rsidP="00071C75">
      <w:pPr>
        <w:pStyle w:val="ListParagraph"/>
        <w:numPr>
          <w:ilvl w:val="0"/>
          <w:numId w:val="15"/>
        </w:numPr>
        <w:spacing w:after="0" w:line="360" w:lineRule="auto"/>
        <w:rPr>
          <w:rFonts w:asciiTheme="majorHAnsi" w:hAnsiTheme="majorHAnsi" w:cstheme="majorHAnsi"/>
        </w:rPr>
      </w:pPr>
      <w:r>
        <w:rPr>
          <w:rFonts w:asciiTheme="majorHAnsi" w:hAnsiTheme="majorHAnsi" w:cstheme="majorHAnsi"/>
        </w:rPr>
        <w:t>PPFS Plenary Meeting Two; 2 August 2021</w:t>
      </w:r>
    </w:p>
    <w:p w:rsidR="00CC0B18" w:rsidRDefault="00CC0B18" w:rsidP="00071C75">
      <w:pPr>
        <w:pStyle w:val="ListParagraph"/>
        <w:numPr>
          <w:ilvl w:val="0"/>
          <w:numId w:val="15"/>
        </w:numPr>
        <w:spacing w:after="0" w:line="360" w:lineRule="auto"/>
        <w:rPr>
          <w:rFonts w:asciiTheme="majorHAnsi" w:hAnsiTheme="majorHAnsi" w:cstheme="majorHAnsi"/>
        </w:rPr>
      </w:pPr>
      <w:r>
        <w:rPr>
          <w:rFonts w:asciiTheme="majorHAnsi" w:hAnsiTheme="majorHAnsi" w:cstheme="majorHAnsi"/>
        </w:rPr>
        <w:t>Food Security Ministerial Meeting; date TBC</w:t>
      </w:r>
    </w:p>
    <w:p w:rsidR="00CC0B18" w:rsidRDefault="00CC0B18" w:rsidP="00071C75">
      <w:pPr>
        <w:pStyle w:val="ListParagraph"/>
        <w:spacing w:after="0" w:line="360" w:lineRule="auto"/>
        <w:ind w:left="360"/>
        <w:rPr>
          <w:rFonts w:asciiTheme="majorHAnsi" w:hAnsiTheme="majorHAnsi" w:cstheme="majorHAnsi"/>
        </w:rPr>
      </w:pPr>
    </w:p>
    <w:p w:rsidR="00BB4D8B" w:rsidRDefault="005738B0" w:rsidP="00071C75">
      <w:pPr>
        <w:pStyle w:val="Heading2"/>
        <w:spacing w:before="0" w:line="360" w:lineRule="auto"/>
      </w:pPr>
      <w:r>
        <w:t xml:space="preserve">Virtual </w:t>
      </w:r>
      <w:r w:rsidR="009B0812" w:rsidRPr="002633FC">
        <w:t xml:space="preserve">PPFS </w:t>
      </w:r>
      <w:r w:rsidR="00BB4D8B" w:rsidRPr="002633FC">
        <w:t>Plenary Meetings</w:t>
      </w:r>
    </w:p>
    <w:p w:rsidR="00B6544C" w:rsidRPr="00B6544C" w:rsidRDefault="00B6544C" w:rsidP="00B6544C"/>
    <w:tbl>
      <w:tblPr>
        <w:tblStyle w:val="TableGrid"/>
        <w:tblW w:w="9918" w:type="dxa"/>
        <w:tblLook w:val="04A0" w:firstRow="1" w:lastRow="0" w:firstColumn="1" w:lastColumn="0" w:noHBand="0" w:noVBand="1"/>
      </w:tblPr>
      <w:tblGrid>
        <w:gridCol w:w="4853"/>
        <w:gridCol w:w="5065"/>
      </w:tblGrid>
      <w:tr w:rsidR="009B0812" w:rsidRPr="002633FC" w:rsidTr="00402144">
        <w:trPr>
          <w:trHeight w:val="131"/>
        </w:trPr>
        <w:tc>
          <w:tcPr>
            <w:tcW w:w="4853" w:type="dxa"/>
          </w:tcPr>
          <w:p w:rsidR="009B0812" w:rsidRPr="002633FC" w:rsidRDefault="009B0812" w:rsidP="008C2CEA">
            <w:pPr>
              <w:spacing w:before="120" w:after="120"/>
              <w:jc w:val="center"/>
              <w:rPr>
                <w:rFonts w:asciiTheme="majorHAnsi" w:hAnsiTheme="majorHAnsi" w:cstheme="majorHAnsi"/>
                <w:b/>
                <w:bCs/>
              </w:rPr>
            </w:pPr>
            <w:r w:rsidRPr="002633FC">
              <w:rPr>
                <w:rFonts w:asciiTheme="majorHAnsi" w:hAnsiTheme="majorHAnsi" w:cstheme="majorHAnsi"/>
                <w:b/>
                <w:bCs/>
              </w:rPr>
              <w:t>Event</w:t>
            </w:r>
          </w:p>
        </w:tc>
        <w:tc>
          <w:tcPr>
            <w:tcW w:w="5065" w:type="dxa"/>
          </w:tcPr>
          <w:p w:rsidR="009B0812" w:rsidRPr="002633FC" w:rsidRDefault="009B0812" w:rsidP="008C2CEA">
            <w:pPr>
              <w:spacing w:before="120" w:after="120"/>
              <w:jc w:val="center"/>
              <w:rPr>
                <w:rFonts w:asciiTheme="majorHAnsi" w:hAnsiTheme="majorHAnsi" w:cstheme="majorHAnsi"/>
                <w:b/>
                <w:bCs/>
              </w:rPr>
            </w:pPr>
            <w:r w:rsidRPr="002633FC">
              <w:rPr>
                <w:rFonts w:asciiTheme="majorHAnsi" w:hAnsiTheme="majorHAnsi" w:cstheme="majorHAnsi"/>
                <w:b/>
                <w:bCs/>
              </w:rPr>
              <w:t>Date / Format</w:t>
            </w:r>
          </w:p>
        </w:tc>
      </w:tr>
      <w:tr w:rsidR="009B0812" w:rsidRPr="002633FC" w:rsidTr="00402144">
        <w:trPr>
          <w:trHeight w:val="96"/>
        </w:trPr>
        <w:tc>
          <w:tcPr>
            <w:tcW w:w="4853" w:type="dxa"/>
          </w:tcPr>
          <w:p w:rsidR="009B0812" w:rsidRPr="002633FC" w:rsidRDefault="009B0812" w:rsidP="008C2CEA">
            <w:pPr>
              <w:spacing w:before="120" w:after="120"/>
              <w:rPr>
                <w:rFonts w:asciiTheme="majorHAnsi" w:hAnsiTheme="majorHAnsi" w:cstheme="majorHAnsi"/>
              </w:rPr>
            </w:pPr>
            <w:r w:rsidRPr="002633FC">
              <w:rPr>
                <w:rFonts w:asciiTheme="majorHAnsi" w:hAnsiTheme="majorHAnsi" w:cstheme="majorHAnsi"/>
              </w:rPr>
              <w:t>Policy Partnership for Food Security (PPFS) Plenary Meeting 1</w:t>
            </w:r>
          </w:p>
        </w:tc>
        <w:tc>
          <w:tcPr>
            <w:tcW w:w="5065" w:type="dxa"/>
          </w:tcPr>
          <w:p w:rsidR="009B0812" w:rsidRPr="002633FC" w:rsidRDefault="009B0812" w:rsidP="008C2CEA">
            <w:pPr>
              <w:spacing w:before="120" w:after="120"/>
              <w:rPr>
                <w:rFonts w:asciiTheme="majorHAnsi" w:hAnsiTheme="majorHAnsi" w:cstheme="majorHAnsi"/>
              </w:rPr>
            </w:pPr>
            <w:r w:rsidRPr="002633FC">
              <w:rPr>
                <w:rFonts w:asciiTheme="majorHAnsi" w:hAnsiTheme="majorHAnsi" w:cstheme="majorHAnsi"/>
              </w:rPr>
              <w:t>2-3 March 2021</w:t>
            </w:r>
          </w:p>
          <w:p w:rsidR="009B0812" w:rsidRPr="00800033" w:rsidRDefault="009B0812" w:rsidP="008C2CEA">
            <w:pPr>
              <w:pStyle w:val="ListParagraph"/>
              <w:numPr>
                <w:ilvl w:val="0"/>
                <w:numId w:val="11"/>
              </w:numPr>
              <w:spacing w:before="120" w:after="120"/>
              <w:rPr>
                <w:rFonts w:asciiTheme="majorHAnsi" w:hAnsiTheme="majorHAnsi" w:cstheme="majorHAnsi"/>
              </w:rPr>
            </w:pPr>
            <w:r w:rsidRPr="00800033">
              <w:rPr>
                <w:rFonts w:asciiTheme="majorHAnsi" w:hAnsiTheme="majorHAnsi" w:cstheme="majorHAnsi"/>
              </w:rPr>
              <w:t>2 sessions (2-3hrs each)</w:t>
            </w:r>
          </w:p>
        </w:tc>
      </w:tr>
      <w:tr w:rsidR="009B0812" w:rsidRPr="002633FC" w:rsidTr="00402144">
        <w:trPr>
          <w:trHeight w:val="129"/>
        </w:trPr>
        <w:tc>
          <w:tcPr>
            <w:tcW w:w="4853" w:type="dxa"/>
          </w:tcPr>
          <w:p w:rsidR="009B0812" w:rsidRPr="002633FC" w:rsidRDefault="009B0812" w:rsidP="008C2CEA">
            <w:pPr>
              <w:spacing w:before="120" w:after="120"/>
              <w:rPr>
                <w:rFonts w:asciiTheme="majorHAnsi" w:hAnsiTheme="majorHAnsi" w:cstheme="majorHAnsi"/>
              </w:rPr>
            </w:pPr>
            <w:r w:rsidRPr="002633FC">
              <w:rPr>
                <w:rFonts w:asciiTheme="majorHAnsi" w:hAnsiTheme="majorHAnsi" w:cstheme="majorHAnsi"/>
              </w:rPr>
              <w:t xml:space="preserve">Drafting sessions for PPFS Ministerial Statement </w:t>
            </w:r>
          </w:p>
        </w:tc>
        <w:tc>
          <w:tcPr>
            <w:tcW w:w="5065" w:type="dxa"/>
          </w:tcPr>
          <w:p w:rsidR="009B0812" w:rsidRPr="002633FC" w:rsidRDefault="009B0812" w:rsidP="008C2CEA">
            <w:pPr>
              <w:spacing w:before="120" w:after="120"/>
              <w:rPr>
                <w:rFonts w:asciiTheme="majorHAnsi" w:hAnsiTheme="majorHAnsi" w:cstheme="majorHAnsi"/>
              </w:rPr>
            </w:pPr>
            <w:r w:rsidRPr="002633FC">
              <w:rPr>
                <w:rFonts w:asciiTheme="majorHAnsi" w:hAnsiTheme="majorHAnsi" w:cstheme="majorHAnsi"/>
              </w:rPr>
              <w:t>July</w:t>
            </w:r>
          </w:p>
          <w:p w:rsidR="009B0812" w:rsidRPr="00800033" w:rsidRDefault="009B0812" w:rsidP="008C2CEA">
            <w:pPr>
              <w:pStyle w:val="ListParagraph"/>
              <w:numPr>
                <w:ilvl w:val="0"/>
                <w:numId w:val="11"/>
              </w:numPr>
              <w:spacing w:before="120" w:after="120"/>
              <w:rPr>
                <w:rFonts w:asciiTheme="majorHAnsi" w:hAnsiTheme="majorHAnsi" w:cstheme="majorHAnsi"/>
              </w:rPr>
            </w:pPr>
            <w:r w:rsidRPr="00800033">
              <w:rPr>
                <w:rFonts w:asciiTheme="majorHAnsi" w:hAnsiTheme="majorHAnsi" w:cstheme="majorHAnsi"/>
              </w:rPr>
              <w:t>2-3 sessions, one per week</w:t>
            </w:r>
          </w:p>
        </w:tc>
      </w:tr>
      <w:tr w:rsidR="009B0812" w:rsidRPr="002633FC" w:rsidTr="00402144">
        <w:trPr>
          <w:trHeight w:val="96"/>
        </w:trPr>
        <w:tc>
          <w:tcPr>
            <w:tcW w:w="4853" w:type="dxa"/>
          </w:tcPr>
          <w:p w:rsidR="009B0812" w:rsidRPr="002633FC" w:rsidRDefault="009B0812" w:rsidP="008C2CEA">
            <w:pPr>
              <w:spacing w:before="120" w:after="120"/>
              <w:rPr>
                <w:rFonts w:asciiTheme="majorHAnsi" w:hAnsiTheme="majorHAnsi" w:cstheme="majorHAnsi"/>
              </w:rPr>
            </w:pPr>
            <w:r w:rsidRPr="002633FC">
              <w:rPr>
                <w:rFonts w:asciiTheme="majorHAnsi" w:hAnsiTheme="majorHAnsi" w:cstheme="majorHAnsi"/>
              </w:rPr>
              <w:t>PPFS Plenary Meeting 2</w:t>
            </w:r>
          </w:p>
        </w:tc>
        <w:tc>
          <w:tcPr>
            <w:tcW w:w="5065" w:type="dxa"/>
          </w:tcPr>
          <w:p w:rsidR="009B0812" w:rsidRPr="002633FC" w:rsidRDefault="009B0812" w:rsidP="008C2CEA">
            <w:pPr>
              <w:spacing w:before="120" w:after="120"/>
              <w:rPr>
                <w:rFonts w:asciiTheme="majorHAnsi" w:hAnsiTheme="majorHAnsi" w:cstheme="majorHAnsi"/>
              </w:rPr>
            </w:pPr>
            <w:r w:rsidRPr="002633FC">
              <w:rPr>
                <w:rFonts w:asciiTheme="majorHAnsi" w:hAnsiTheme="majorHAnsi" w:cstheme="majorHAnsi"/>
              </w:rPr>
              <w:t>August</w:t>
            </w:r>
          </w:p>
          <w:p w:rsidR="009B0812" w:rsidRPr="00800033" w:rsidRDefault="009B0812" w:rsidP="008C2CEA">
            <w:pPr>
              <w:pStyle w:val="ListParagraph"/>
              <w:numPr>
                <w:ilvl w:val="0"/>
                <w:numId w:val="11"/>
              </w:numPr>
              <w:spacing w:before="120" w:after="120"/>
              <w:rPr>
                <w:rFonts w:asciiTheme="majorHAnsi" w:hAnsiTheme="majorHAnsi" w:cstheme="majorHAnsi"/>
              </w:rPr>
            </w:pPr>
            <w:r w:rsidRPr="00800033">
              <w:rPr>
                <w:rFonts w:asciiTheme="majorHAnsi" w:hAnsiTheme="majorHAnsi" w:cstheme="majorHAnsi"/>
              </w:rPr>
              <w:t>2 sessions (2-3hrs each)</w:t>
            </w:r>
          </w:p>
        </w:tc>
      </w:tr>
      <w:tr w:rsidR="009B0812" w:rsidRPr="002633FC" w:rsidTr="00402144">
        <w:trPr>
          <w:trHeight w:val="31"/>
        </w:trPr>
        <w:tc>
          <w:tcPr>
            <w:tcW w:w="4853" w:type="dxa"/>
          </w:tcPr>
          <w:p w:rsidR="009B0812" w:rsidRPr="002633FC" w:rsidRDefault="009B0812" w:rsidP="008C2CEA">
            <w:pPr>
              <w:spacing w:before="120" w:after="120"/>
              <w:rPr>
                <w:rFonts w:asciiTheme="majorHAnsi" w:hAnsiTheme="majorHAnsi" w:cstheme="majorHAnsi"/>
              </w:rPr>
            </w:pPr>
            <w:r w:rsidRPr="002633FC">
              <w:rPr>
                <w:rFonts w:asciiTheme="majorHAnsi" w:hAnsiTheme="majorHAnsi" w:cstheme="majorHAnsi"/>
              </w:rPr>
              <w:t xml:space="preserve">Food Security Ministerial Meeting </w:t>
            </w:r>
          </w:p>
        </w:tc>
        <w:tc>
          <w:tcPr>
            <w:tcW w:w="5065" w:type="dxa"/>
          </w:tcPr>
          <w:p w:rsidR="009B0812" w:rsidRPr="002633FC" w:rsidRDefault="009B0812" w:rsidP="008C2CEA">
            <w:pPr>
              <w:spacing w:before="120" w:after="120"/>
              <w:rPr>
                <w:rFonts w:asciiTheme="majorHAnsi" w:hAnsiTheme="majorHAnsi" w:cstheme="majorHAnsi"/>
              </w:rPr>
            </w:pPr>
            <w:r w:rsidRPr="002633FC">
              <w:rPr>
                <w:rFonts w:asciiTheme="majorHAnsi" w:hAnsiTheme="majorHAnsi" w:cstheme="majorHAnsi"/>
              </w:rPr>
              <w:t>TBC</w:t>
            </w:r>
          </w:p>
        </w:tc>
      </w:tr>
    </w:tbl>
    <w:p w:rsidR="00942478" w:rsidRDefault="00942478" w:rsidP="00942478"/>
    <w:p w:rsidR="00BB4D8B" w:rsidRDefault="00BB4D8B" w:rsidP="00942478">
      <w:r w:rsidRPr="002633FC">
        <w:t xml:space="preserve">Other </w:t>
      </w:r>
      <w:r w:rsidR="005738B0">
        <w:t xml:space="preserve">Virtual </w:t>
      </w:r>
      <w:r w:rsidRPr="002633FC">
        <w:t>PPFS</w:t>
      </w:r>
      <w:r w:rsidR="00B270FD">
        <w:t xml:space="preserve"> Related</w:t>
      </w:r>
      <w:r w:rsidRPr="002633FC">
        <w:t xml:space="preserve"> 2021 Activities of Members</w:t>
      </w:r>
    </w:p>
    <w:p w:rsidR="00942478" w:rsidRDefault="00942478" w:rsidP="008C2CEA">
      <w:pPr>
        <w:spacing w:before="120" w:after="120" w:line="240" w:lineRule="auto"/>
        <w:rPr>
          <w:rFonts w:asciiTheme="majorHAnsi" w:hAnsiTheme="majorHAnsi" w:cstheme="majorHAnsi"/>
          <w:b/>
          <w:bCs/>
        </w:rPr>
      </w:pPr>
    </w:p>
    <w:p w:rsidR="00D449DD" w:rsidRDefault="00D449DD">
      <w:pPr>
        <w:rPr>
          <w:rFonts w:asciiTheme="majorHAnsi" w:hAnsiTheme="majorHAnsi" w:cstheme="majorHAnsi"/>
          <w:b/>
          <w:bCs/>
        </w:rPr>
      </w:pPr>
      <w:r>
        <w:rPr>
          <w:rFonts w:asciiTheme="majorHAnsi" w:hAnsiTheme="majorHAnsi" w:cstheme="majorHAnsi"/>
          <w:b/>
          <w:bCs/>
        </w:rPr>
        <w:br w:type="page"/>
      </w:r>
    </w:p>
    <w:p w:rsidR="00F56CF1" w:rsidRDefault="00F56CF1" w:rsidP="008C2CEA">
      <w:pPr>
        <w:spacing w:before="120" w:after="120" w:line="240" w:lineRule="auto"/>
        <w:rPr>
          <w:rFonts w:asciiTheme="majorHAnsi" w:hAnsiTheme="majorHAnsi" w:cstheme="majorHAnsi"/>
          <w:b/>
          <w:bCs/>
        </w:rPr>
      </w:pPr>
      <w:r w:rsidRPr="002633FC">
        <w:rPr>
          <w:rFonts w:asciiTheme="majorHAnsi" w:hAnsiTheme="majorHAnsi" w:cstheme="majorHAnsi"/>
          <w:b/>
          <w:bCs/>
        </w:rPr>
        <w:t>Workshops</w:t>
      </w:r>
    </w:p>
    <w:p w:rsidR="0096053A" w:rsidRDefault="0096053A" w:rsidP="008C2CEA">
      <w:pPr>
        <w:spacing w:before="120" w:after="120" w:line="240" w:lineRule="auto"/>
        <w:rPr>
          <w:rFonts w:asciiTheme="majorHAnsi" w:hAnsiTheme="majorHAnsi" w:cstheme="majorHAnsi"/>
          <w:b/>
          <w:bCs/>
        </w:rPr>
      </w:pPr>
    </w:p>
    <w:tbl>
      <w:tblPr>
        <w:tblStyle w:val="TableGrid"/>
        <w:tblW w:w="9918" w:type="dxa"/>
        <w:tblLook w:val="04A0" w:firstRow="1" w:lastRow="0" w:firstColumn="1" w:lastColumn="0" w:noHBand="0" w:noVBand="1"/>
      </w:tblPr>
      <w:tblGrid>
        <w:gridCol w:w="4853"/>
        <w:gridCol w:w="5065"/>
      </w:tblGrid>
      <w:tr w:rsidR="0096053A" w:rsidRPr="003C1AB0" w:rsidTr="00155640">
        <w:trPr>
          <w:trHeight w:val="129"/>
        </w:trPr>
        <w:tc>
          <w:tcPr>
            <w:tcW w:w="4853" w:type="dxa"/>
          </w:tcPr>
          <w:p w:rsidR="0096053A" w:rsidRPr="002633FC" w:rsidRDefault="0096053A" w:rsidP="00155640">
            <w:pPr>
              <w:spacing w:before="120" w:after="120"/>
              <w:rPr>
                <w:rFonts w:asciiTheme="majorHAnsi" w:hAnsiTheme="majorHAnsi" w:cstheme="majorHAnsi"/>
              </w:rPr>
            </w:pPr>
            <w:r w:rsidRPr="002633FC">
              <w:rPr>
                <w:rFonts w:asciiTheme="majorHAnsi" w:hAnsiTheme="majorHAnsi" w:cstheme="majorHAnsi"/>
              </w:rPr>
              <w:t xml:space="preserve">Services and the Food System </w:t>
            </w:r>
          </w:p>
        </w:tc>
        <w:tc>
          <w:tcPr>
            <w:tcW w:w="5065" w:type="dxa"/>
          </w:tcPr>
          <w:p w:rsidR="0096053A" w:rsidRPr="002633FC" w:rsidRDefault="0096053A" w:rsidP="00155640">
            <w:pPr>
              <w:spacing w:before="120" w:after="120"/>
              <w:rPr>
                <w:rFonts w:asciiTheme="majorHAnsi" w:hAnsiTheme="majorHAnsi" w:cstheme="majorHAnsi"/>
              </w:rPr>
            </w:pPr>
            <w:r w:rsidRPr="002633FC">
              <w:rPr>
                <w:rFonts w:asciiTheme="majorHAnsi" w:hAnsiTheme="majorHAnsi" w:cstheme="majorHAnsi"/>
              </w:rPr>
              <w:t>13-16 April</w:t>
            </w:r>
          </w:p>
          <w:p w:rsidR="0096053A" w:rsidRPr="003C1AB0" w:rsidRDefault="0096053A" w:rsidP="00155640">
            <w:pPr>
              <w:pStyle w:val="ListParagraph"/>
              <w:numPr>
                <w:ilvl w:val="0"/>
                <w:numId w:val="11"/>
              </w:numPr>
              <w:spacing w:before="120" w:after="120"/>
              <w:rPr>
                <w:rFonts w:asciiTheme="majorHAnsi" w:hAnsiTheme="majorHAnsi" w:cstheme="majorHAnsi"/>
              </w:rPr>
            </w:pPr>
            <w:r w:rsidRPr="003C1AB0">
              <w:rPr>
                <w:rFonts w:asciiTheme="majorHAnsi" w:hAnsiTheme="majorHAnsi" w:cstheme="majorHAnsi"/>
              </w:rPr>
              <w:t>4 sessions (3x3hrs, 1x2.5hrs) over 4 consecutive days</w:t>
            </w:r>
          </w:p>
        </w:tc>
      </w:tr>
      <w:tr w:rsidR="0096053A" w:rsidRPr="003C1AB0" w:rsidTr="00155640">
        <w:trPr>
          <w:trHeight w:val="131"/>
        </w:trPr>
        <w:tc>
          <w:tcPr>
            <w:tcW w:w="4853" w:type="dxa"/>
          </w:tcPr>
          <w:p w:rsidR="0096053A" w:rsidRPr="002633FC" w:rsidRDefault="0096053A" w:rsidP="00155640">
            <w:pPr>
              <w:spacing w:before="120" w:after="120"/>
              <w:rPr>
                <w:rFonts w:asciiTheme="majorHAnsi" w:hAnsiTheme="majorHAnsi" w:cstheme="majorHAnsi"/>
              </w:rPr>
            </w:pPr>
            <w:r w:rsidRPr="002633FC">
              <w:rPr>
                <w:rFonts w:asciiTheme="majorHAnsi" w:hAnsiTheme="majorHAnsi" w:cstheme="majorHAnsi"/>
              </w:rPr>
              <w:t>APEC-Global Research Alliance Virtual Farm Study Tour</w:t>
            </w:r>
          </w:p>
        </w:tc>
        <w:tc>
          <w:tcPr>
            <w:tcW w:w="5065" w:type="dxa"/>
          </w:tcPr>
          <w:p w:rsidR="0096053A" w:rsidRPr="002633FC" w:rsidRDefault="0096053A" w:rsidP="00155640">
            <w:pPr>
              <w:spacing w:before="120" w:after="120"/>
              <w:rPr>
                <w:rFonts w:asciiTheme="majorHAnsi" w:hAnsiTheme="majorHAnsi" w:cstheme="majorHAnsi"/>
              </w:rPr>
            </w:pPr>
            <w:r w:rsidRPr="002633FC">
              <w:rPr>
                <w:rFonts w:asciiTheme="majorHAnsi" w:hAnsiTheme="majorHAnsi" w:cstheme="majorHAnsi"/>
              </w:rPr>
              <w:t>Launch week of 12</w:t>
            </w:r>
            <w:r w:rsidRPr="002633FC">
              <w:rPr>
                <w:rFonts w:asciiTheme="majorHAnsi" w:hAnsiTheme="majorHAnsi" w:cstheme="majorHAnsi"/>
                <w:vertAlign w:val="superscript"/>
              </w:rPr>
              <w:t>th</w:t>
            </w:r>
            <w:r w:rsidRPr="002633FC">
              <w:rPr>
                <w:rFonts w:asciiTheme="majorHAnsi" w:hAnsiTheme="majorHAnsi" w:cstheme="majorHAnsi"/>
              </w:rPr>
              <w:t xml:space="preserve"> April 2021 (tentative)</w:t>
            </w:r>
          </w:p>
          <w:p w:rsidR="0096053A" w:rsidRPr="003C1AB0" w:rsidRDefault="0096053A" w:rsidP="00155640">
            <w:pPr>
              <w:pStyle w:val="ListParagraph"/>
              <w:numPr>
                <w:ilvl w:val="0"/>
                <w:numId w:val="11"/>
              </w:numPr>
              <w:spacing w:before="120" w:after="120"/>
              <w:rPr>
                <w:rFonts w:asciiTheme="majorHAnsi" w:hAnsiTheme="majorHAnsi" w:cstheme="majorHAnsi"/>
              </w:rPr>
            </w:pPr>
            <w:r w:rsidRPr="003C1AB0">
              <w:rPr>
                <w:rFonts w:asciiTheme="majorHAnsi" w:hAnsiTheme="majorHAnsi" w:cstheme="majorHAnsi"/>
              </w:rPr>
              <w:t>1 panel discussion session (2 hrs) on a Thurs or Fri</w:t>
            </w:r>
          </w:p>
        </w:tc>
      </w:tr>
      <w:tr w:rsidR="0096053A" w:rsidRPr="003C1AB0" w:rsidTr="00155640">
        <w:trPr>
          <w:trHeight w:val="129"/>
        </w:trPr>
        <w:tc>
          <w:tcPr>
            <w:tcW w:w="4853" w:type="dxa"/>
          </w:tcPr>
          <w:p w:rsidR="0096053A" w:rsidRPr="002633FC" w:rsidRDefault="0096053A" w:rsidP="00155640">
            <w:pPr>
              <w:spacing w:before="120" w:after="120"/>
              <w:rPr>
                <w:rFonts w:asciiTheme="majorHAnsi" w:hAnsiTheme="majorHAnsi" w:cstheme="majorHAnsi"/>
              </w:rPr>
            </w:pPr>
            <w:r w:rsidRPr="002633FC">
              <w:rPr>
                <w:rFonts w:asciiTheme="majorHAnsi" w:hAnsiTheme="majorHAnsi" w:cstheme="majorHAnsi"/>
              </w:rPr>
              <w:t>Capacity-building Workshop on Implementation of Port State Measures under the APEC Roadmap on Combatting Illegal Unreported and Unregulated Fishing</w:t>
            </w:r>
          </w:p>
        </w:tc>
        <w:tc>
          <w:tcPr>
            <w:tcW w:w="5065" w:type="dxa"/>
          </w:tcPr>
          <w:p w:rsidR="0096053A" w:rsidRPr="002633FC" w:rsidRDefault="0096053A" w:rsidP="00155640">
            <w:pPr>
              <w:spacing w:before="120" w:after="120"/>
              <w:rPr>
                <w:rFonts w:asciiTheme="majorHAnsi" w:hAnsiTheme="majorHAnsi" w:cstheme="majorHAnsi"/>
              </w:rPr>
            </w:pPr>
            <w:r w:rsidRPr="002633FC">
              <w:rPr>
                <w:rFonts w:asciiTheme="majorHAnsi" w:hAnsiTheme="majorHAnsi" w:cstheme="majorHAnsi"/>
              </w:rPr>
              <w:t xml:space="preserve">June 2021 </w:t>
            </w:r>
          </w:p>
          <w:p w:rsidR="0096053A" w:rsidRPr="003C1AB0" w:rsidRDefault="0096053A" w:rsidP="00155640">
            <w:pPr>
              <w:pStyle w:val="ListParagraph"/>
              <w:numPr>
                <w:ilvl w:val="0"/>
                <w:numId w:val="11"/>
              </w:numPr>
              <w:spacing w:before="120" w:after="120"/>
              <w:rPr>
                <w:rFonts w:asciiTheme="majorHAnsi" w:hAnsiTheme="majorHAnsi" w:cstheme="majorHAnsi"/>
              </w:rPr>
            </w:pPr>
            <w:r w:rsidRPr="003C1AB0">
              <w:rPr>
                <w:rFonts w:asciiTheme="majorHAnsi" w:hAnsiTheme="majorHAnsi" w:cstheme="majorHAnsi"/>
              </w:rPr>
              <w:t>2 sessions (2hrs each) over 2 consecutive days</w:t>
            </w:r>
          </w:p>
        </w:tc>
      </w:tr>
      <w:tr w:rsidR="0096053A" w:rsidRPr="003C1AB0" w:rsidTr="00155640">
        <w:trPr>
          <w:trHeight w:val="129"/>
        </w:trPr>
        <w:tc>
          <w:tcPr>
            <w:tcW w:w="4853" w:type="dxa"/>
          </w:tcPr>
          <w:p w:rsidR="0096053A" w:rsidRPr="00EA2908" w:rsidRDefault="0096053A" w:rsidP="00155640">
            <w:pPr>
              <w:spacing w:before="120" w:after="120"/>
              <w:rPr>
                <w:rFonts w:asciiTheme="majorHAnsi" w:hAnsiTheme="majorHAnsi" w:cstheme="majorHAnsi"/>
                <w:lang w:eastAsia="zh-TW"/>
              </w:rPr>
            </w:pPr>
            <w:r>
              <w:rPr>
                <w:rFonts w:asciiTheme="majorHAnsi" w:hAnsiTheme="majorHAnsi" w:cstheme="majorHAnsi" w:hint="eastAsia"/>
                <w:lang w:eastAsia="zh-TW"/>
              </w:rPr>
              <w:t>APEC</w:t>
            </w:r>
            <w:r w:rsidRPr="00EA2908">
              <w:rPr>
                <w:rFonts w:asciiTheme="majorHAnsi" w:hAnsiTheme="majorHAnsi" w:cstheme="majorHAnsi"/>
              </w:rPr>
              <w:t xml:space="preserve"> </w:t>
            </w:r>
            <w:r>
              <w:rPr>
                <w:rFonts w:asciiTheme="majorHAnsi" w:hAnsiTheme="majorHAnsi" w:cstheme="majorHAnsi" w:hint="eastAsia"/>
                <w:lang w:eastAsia="zh-TW"/>
              </w:rPr>
              <w:t xml:space="preserve">Workshop on </w:t>
            </w:r>
            <w:r w:rsidRPr="00EA2908">
              <w:rPr>
                <w:rFonts w:asciiTheme="majorHAnsi" w:hAnsiTheme="majorHAnsi" w:cstheme="majorHAnsi"/>
              </w:rPr>
              <w:t xml:space="preserve">Reducing Food Loss and Waste along the Food Value Chain in APEC During and Post COVID-19 Pandemic </w:t>
            </w:r>
          </w:p>
        </w:tc>
        <w:tc>
          <w:tcPr>
            <w:tcW w:w="5065" w:type="dxa"/>
          </w:tcPr>
          <w:p w:rsidR="0096053A" w:rsidRPr="002633FC" w:rsidRDefault="0096053A" w:rsidP="00155640">
            <w:pPr>
              <w:spacing w:before="120" w:after="120"/>
              <w:rPr>
                <w:rFonts w:asciiTheme="majorHAnsi" w:hAnsiTheme="majorHAnsi" w:cstheme="majorHAnsi"/>
              </w:rPr>
            </w:pPr>
            <w:r w:rsidRPr="002633FC">
              <w:rPr>
                <w:rFonts w:asciiTheme="majorHAnsi" w:hAnsiTheme="majorHAnsi" w:cstheme="majorHAnsi"/>
              </w:rPr>
              <w:t xml:space="preserve">June 2021 </w:t>
            </w:r>
          </w:p>
          <w:p w:rsidR="0096053A" w:rsidRPr="003C1AB0" w:rsidRDefault="0096053A" w:rsidP="00155640">
            <w:pPr>
              <w:pStyle w:val="ListParagraph"/>
              <w:numPr>
                <w:ilvl w:val="0"/>
                <w:numId w:val="11"/>
              </w:numPr>
              <w:spacing w:before="120" w:after="120"/>
              <w:rPr>
                <w:rFonts w:asciiTheme="majorHAnsi" w:hAnsiTheme="majorHAnsi" w:cstheme="majorHAnsi"/>
              </w:rPr>
            </w:pPr>
            <w:r w:rsidRPr="003C1AB0">
              <w:rPr>
                <w:rFonts w:asciiTheme="majorHAnsi" w:hAnsiTheme="majorHAnsi" w:cstheme="majorHAnsi"/>
              </w:rPr>
              <w:t>2 sessions (</w:t>
            </w:r>
            <w:r>
              <w:rPr>
                <w:rFonts w:asciiTheme="majorHAnsi" w:hAnsiTheme="majorHAnsi" w:cstheme="majorHAnsi" w:hint="eastAsia"/>
                <w:lang w:eastAsia="zh-TW"/>
              </w:rPr>
              <w:t>3</w:t>
            </w:r>
            <w:r w:rsidRPr="003C1AB0">
              <w:rPr>
                <w:rFonts w:asciiTheme="majorHAnsi" w:hAnsiTheme="majorHAnsi" w:cstheme="majorHAnsi"/>
              </w:rPr>
              <w:t>hrs each) over 2 consecutive days</w:t>
            </w:r>
          </w:p>
        </w:tc>
      </w:tr>
      <w:tr w:rsidR="0096053A" w:rsidRPr="003C1AB0" w:rsidTr="00155640">
        <w:trPr>
          <w:trHeight w:val="129"/>
        </w:trPr>
        <w:tc>
          <w:tcPr>
            <w:tcW w:w="4853" w:type="dxa"/>
          </w:tcPr>
          <w:p w:rsidR="0096053A" w:rsidRPr="002633FC" w:rsidRDefault="0096053A" w:rsidP="00155640">
            <w:pPr>
              <w:spacing w:before="120" w:after="120"/>
              <w:rPr>
                <w:rFonts w:asciiTheme="majorHAnsi" w:hAnsiTheme="majorHAnsi" w:cstheme="majorHAnsi"/>
              </w:rPr>
            </w:pPr>
            <w:r w:rsidRPr="002633FC">
              <w:rPr>
                <w:rFonts w:asciiTheme="majorHAnsi" w:hAnsiTheme="majorHAnsi" w:cstheme="majorHAnsi"/>
              </w:rPr>
              <w:t>APEC-GRA Joint Workshop on E</w:t>
            </w:r>
            <w:r>
              <w:rPr>
                <w:rFonts w:asciiTheme="majorHAnsi" w:hAnsiTheme="majorHAnsi" w:cstheme="majorHAnsi"/>
              </w:rPr>
              <w:t>6</w:t>
            </w:r>
            <w:r w:rsidRPr="002633FC">
              <w:rPr>
                <w:rFonts w:asciiTheme="majorHAnsi" w:hAnsiTheme="majorHAnsi" w:cstheme="majorHAnsi"/>
              </w:rPr>
              <w:t>nhancing Livestock GHG Inventory Methodology</w:t>
            </w:r>
          </w:p>
        </w:tc>
        <w:tc>
          <w:tcPr>
            <w:tcW w:w="5065" w:type="dxa"/>
          </w:tcPr>
          <w:p w:rsidR="0096053A" w:rsidRPr="002633FC" w:rsidRDefault="0096053A" w:rsidP="00155640">
            <w:pPr>
              <w:spacing w:before="120" w:after="120"/>
              <w:rPr>
                <w:rFonts w:asciiTheme="majorHAnsi" w:hAnsiTheme="majorHAnsi" w:cstheme="majorHAnsi"/>
              </w:rPr>
            </w:pPr>
            <w:r w:rsidRPr="002633FC">
              <w:rPr>
                <w:rFonts w:asciiTheme="majorHAnsi" w:hAnsiTheme="majorHAnsi" w:cstheme="majorHAnsi"/>
              </w:rPr>
              <w:t>September 2021 (date TBC)</w:t>
            </w:r>
          </w:p>
          <w:p w:rsidR="0096053A" w:rsidRPr="003C1AB0" w:rsidRDefault="0096053A" w:rsidP="00155640">
            <w:pPr>
              <w:pStyle w:val="ListParagraph"/>
              <w:numPr>
                <w:ilvl w:val="0"/>
                <w:numId w:val="11"/>
              </w:numPr>
              <w:spacing w:before="120" w:after="120"/>
              <w:rPr>
                <w:rFonts w:asciiTheme="majorHAnsi" w:hAnsiTheme="majorHAnsi" w:cstheme="majorHAnsi"/>
              </w:rPr>
            </w:pPr>
            <w:r w:rsidRPr="003C1AB0">
              <w:rPr>
                <w:rFonts w:asciiTheme="majorHAnsi" w:hAnsiTheme="majorHAnsi" w:cstheme="majorHAnsi"/>
              </w:rPr>
              <w:t>3 sessions (2-3hrs each) over three consecutive days</w:t>
            </w:r>
          </w:p>
        </w:tc>
      </w:tr>
      <w:tr w:rsidR="0096053A" w:rsidRPr="003C1AB0" w:rsidTr="00155640">
        <w:trPr>
          <w:trHeight w:val="131"/>
        </w:trPr>
        <w:tc>
          <w:tcPr>
            <w:tcW w:w="4853" w:type="dxa"/>
          </w:tcPr>
          <w:p w:rsidR="0096053A" w:rsidRPr="002633FC" w:rsidRDefault="0096053A" w:rsidP="00155640">
            <w:pPr>
              <w:spacing w:before="120" w:after="120"/>
              <w:rPr>
                <w:rFonts w:asciiTheme="majorHAnsi" w:hAnsiTheme="majorHAnsi" w:cstheme="majorHAnsi"/>
              </w:rPr>
            </w:pPr>
            <w:r w:rsidRPr="002633FC">
              <w:rPr>
                <w:rFonts w:asciiTheme="majorHAnsi" w:hAnsiTheme="majorHAnsi" w:cstheme="majorHAnsi"/>
              </w:rPr>
              <w:t>E-commerce Opportunities and Ethnic Minorities: Bringing Innovation, Expanding Markets and Unleashing Potential</w:t>
            </w:r>
          </w:p>
        </w:tc>
        <w:tc>
          <w:tcPr>
            <w:tcW w:w="5065" w:type="dxa"/>
          </w:tcPr>
          <w:p w:rsidR="0096053A" w:rsidRPr="002633FC" w:rsidRDefault="0096053A" w:rsidP="00155640">
            <w:pPr>
              <w:spacing w:before="120" w:after="120"/>
              <w:rPr>
                <w:rFonts w:asciiTheme="majorHAnsi" w:hAnsiTheme="majorHAnsi" w:cstheme="majorHAnsi"/>
              </w:rPr>
            </w:pPr>
            <w:r w:rsidRPr="002633FC">
              <w:rPr>
                <w:rFonts w:asciiTheme="majorHAnsi" w:hAnsiTheme="majorHAnsi" w:cstheme="majorHAnsi"/>
              </w:rPr>
              <w:t>October 2021</w:t>
            </w:r>
          </w:p>
          <w:p w:rsidR="0096053A" w:rsidRPr="003C1AB0" w:rsidRDefault="0096053A" w:rsidP="00155640">
            <w:pPr>
              <w:pStyle w:val="ListParagraph"/>
              <w:numPr>
                <w:ilvl w:val="0"/>
                <w:numId w:val="11"/>
              </w:numPr>
              <w:spacing w:before="120" w:after="120"/>
              <w:rPr>
                <w:rFonts w:asciiTheme="majorHAnsi" w:hAnsiTheme="majorHAnsi" w:cstheme="majorHAnsi"/>
              </w:rPr>
            </w:pPr>
            <w:r w:rsidRPr="003C1AB0">
              <w:rPr>
                <w:rFonts w:asciiTheme="majorHAnsi" w:hAnsiTheme="majorHAnsi" w:cstheme="majorHAnsi"/>
              </w:rPr>
              <w:t xml:space="preserve">3 sessions (3hrs each) over three non-consecutive days </w:t>
            </w:r>
          </w:p>
        </w:tc>
      </w:tr>
      <w:tr w:rsidR="00416386" w:rsidRPr="003C1AB0" w:rsidTr="00155640">
        <w:trPr>
          <w:trHeight w:val="131"/>
        </w:trPr>
        <w:tc>
          <w:tcPr>
            <w:tcW w:w="4853" w:type="dxa"/>
          </w:tcPr>
          <w:p w:rsidR="00416386" w:rsidRPr="00416386" w:rsidRDefault="00416386" w:rsidP="00416386">
            <w:pPr>
              <w:spacing w:before="120" w:after="120"/>
              <w:rPr>
                <w:rFonts w:asciiTheme="majorHAnsi" w:hAnsiTheme="majorHAnsi" w:cstheme="majorHAnsi"/>
              </w:rPr>
            </w:pPr>
            <w:r w:rsidRPr="00416386">
              <w:rPr>
                <w:rFonts w:asciiTheme="majorHAnsi" w:hAnsiTheme="majorHAnsi"/>
              </w:rPr>
              <w:t>Workshop on promotion of healthy diets and information sharing on Food Security</w:t>
            </w:r>
            <w:r w:rsidRPr="00416386">
              <w:rPr>
                <w:rFonts w:asciiTheme="majorHAnsi" w:eastAsia="MS Mincho" w:hAnsiTheme="majorHAnsi" w:cs="MS Mincho"/>
              </w:rPr>
              <w:t>（</w:t>
            </w:r>
            <w:r w:rsidRPr="00416386">
              <w:rPr>
                <w:rFonts w:asciiTheme="majorHAnsi" w:hAnsiTheme="majorHAnsi"/>
              </w:rPr>
              <w:t>TBC</w:t>
            </w:r>
            <w:r w:rsidRPr="00416386">
              <w:rPr>
                <w:rFonts w:asciiTheme="majorHAnsi" w:eastAsia="MS Mincho" w:hAnsiTheme="majorHAnsi" w:cs="MS Mincho"/>
              </w:rPr>
              <w:t>）</w:t>
            </w:r>
          </w:p>
        </w:tc>
        <w:tc>
          <w:tcPr>
            <w:tcW w:w="5065" w:type="dxa"/>
          </w:tcPr>
          <w:p w:rsidR="00416386" w:rsidRPr="00416386" w:rsidRDefault="00416386" w:rsidP="00416386">
            <w:pPr>
              <w:spacing w:before="120" w:after="120"/>
              <w:rPr>
                <w:rFonts w:asciiTheme="majorHAnsi" w:hAnsiTheme="majorHAnsi" w:cstheme="majorHAnsi"/>
              </w:rPr>
            </w:pPr>
            <w:r w:rsidRPr="00416386">
              <w:rPr>
                <w:rFonts w:asciiTheme="majorHAnsi" w:hAnsiTheme="majorHAnsi"/>
              </w:rPr>
              <w:t>October 2021(date TBC)</w:t>
            </w:r>
          </w:p>
        </w:tc>
      </w:tr>
    </w:tbl>
    <w:p w:rsidR="0096053A" w:rsidRDefault="0096053A" w:rsidP="008C2CEA">
      <w:pPr>
        <w:spacing w:before="120" w:after="120" w:line="240" w:lineRule="auto"/>
        <w:rPr>
          <w:rFonts w:asciiTheme="majorHAnsi" w:hAnsiTheme="majorHAnsi" w:cstheme="majorHAnsi"/>
          <w:b/>
          <w:bCs/>
        </w:rPr>
      </w:pPr>
    </w:p>
    <w:p w:rsidR="00BB4D8B" w:rsidRPr="002633FC" w:rsidRDefault="00450477" w:rsidP="008C2CEA">
      <w:pPr>
        <w:pStyle w:val="Heading2"/>
        <w:spacing w:before="120" w:after="120" w:line="240" w:lineRule="auto"/>
      </w:pPr>
      <w:r w:rsidRPr="002633FC">
        <w:t>PPFS Working Group Workplans</w:t>
      </w:r>
    </w:p>
    <w:p w:rsidR="00450477" w:rsidRDefault="00855FA3" w:rsidP="008C2CEA">
      <w:pPr>
        <w:spacing w:before="120" w:after="120" w:line="240" w:lineRule="auto"/>
        <w:rPr>
          <w:rFonts w:asciiTheme="majorHAnsi" w:hAnsiTheme="majorHAnsi" w:cstheme="majorHAnsi"/>
        </w:rPr>
      </w:pPr>
      <w:r w:rsidRPr="002633FC">
        <w:rPr>
          <w:rFonts w:asciiTheme="majorHAnsi" w:hAnsiTheme="majorHAnsi" w:cstheme="majorHAnsi"/>
        </w:rPr>
        <w:t>Attachment A</w:t>
      </w:r>
    </w:p>
    <w:p w:rsidR="00677643" w:rsidRPr="009078ED" w:rsidRDefault="009078ED" w:rsidP="009078ED">
      <w:pPr>
        <w:pStyle w:val="ListParagraph"/>
        <w:numPr>
          <w:ilvl w:val="0"/>
          <w:numId w:val="11"/>
        </w:numPr>
        <w:spacing w:before="120" w:after="120" w:line="240" w:lineRule="auto"/>
        <w:rPr>
          <w:rFonts w:asciiTheme="majorHAnsi" w:hAnsiTheme="majorHAnsi" w:cstheme="majorHAnsi"/>
        </w:rPr>
      </w:pPr>
      <w:r w:rsidRPr="009078ED">
        <w:rPr>
          <w:rFonts w:asciiTheme="majorHAnsi" w:hAnsiTheme="majorHAnsi" w:cstheme="majorHAnsi"/>
        </w:rPr>
        <w:t>Working Group One</w:t>
      </w:r>
    </w:p>
    <w:p w:rsidR="00855FA3" w:rsidRPr="00CB1C9A" w:rsidRDefault="00855FA3" w:rsidP="008C2CEA">
      <w:pPr>
        <w:spacing w:before="120" w:after="120" w:line="240" w:lineRule="auto"/>
        <w:rPr>
          <w:rFonts w:asciiTheme="majorHAnsi" w:hAnsiTheme="majorHAnsi" w:cstheme="majorHAnsi"/>
        </w:rPr>
      </w:pPr>
    </w:p>
    <w:p w:rsidR="00450477" w:rsidRPr="00CB1C9A" w:rsidRDefault="00450477" w:rsidP="008C2CEA">
      <w:pPr>
        <w:pStyle w:val="Heading2"/>
        <w:spacing w:before="120" w:after="120" w:line="240" w:lineRule="auto"/>
        <w:rPr>
          <w:rFonts w:cstheme="majorHAnsi"/>
        </w:rPr>
      </w:pPr>
      <w:r w:rsidRPr="00CB1C9A">
        <w:rPr>
          <w:rFonts w:cstheme="majorHAnsi"/>
        </w:rPr>
        <w:t>PPFS Joint Meetings</w:t>
      </w:r>
    </w:p>
    <w:p w:rsidR="00450477" w:rsidRPr="00CB1C9A" w:rsidRDefault="00247A22" w:rsidP="008C2CEA">
      <w:pPr>
        <w:spacing w:before="120" w:after="120" w:line="240" w:lineRule="auto"/>
        <w:rPr>
          <w:rFonts w:asciiTheme="majorHAnsi" w:hAnsiTheme="majorHAnsi" w:cstheme="majorHAnsi"/>
          <w:color w:val="000000" w:themeColor="text1"/>
        </w:rPr>
      </w:pPr>
      <w:r w:rsidRPr="00CB1C9A">
        <w:rPr>
          <w:rFonts w:asciiTheme="majorHAnsi" w:hAnsiTheme="majorHAnsi" w:cstheme="majorHAnsi"/>
          <w:color w:val="000000" w:themeColor="text1"/>
        </w:rPr>
        <w:t>Meeting with Policy Partnership on Women &amp; the Economy (TBC)</w:t>
      </w:r>
    </w:p>
    <w:p w:rsidR="00416386" w:rsidRPr="00CB1C9A" w:rsidRDefault="00416386" w:rsidP="008C2CEA">
      <w:pPr>
        <w:spacing w:before="120" w:after="120" w:line="240" w:lineRule="auto"/>
        <w:rPr>
          <w:rFonts w:asciiTheme="majorHAnsi" w:hAnsiTheme="majorHAnsi" w:cstheme="majorHAnsi"/>
          <w:b/>
          <w:bCs/>
        </w:rPr>
      </w:pPr>
    </w:p>
    <w:p w:rsidR="00CB1C9A" w:rsidRPr="00CB1C9A" w:rsidRDefault="00CB1C9A" w:rsidP="00CB1C9A">
      <w:pPr>
        <w:pStyle w:val="Heading2"/>
        <w:spacing w:before="120" w:after="120" w:line="240" w:lineRule="auto"/>
        <w:rPr>
          <w:rFonts w:cstheme="majorHAnsi"/>
        </w:rPr>
      </w:pPr>
      <w:r w:rsidRPr="00CB1C9A">
        <w:rPr>
          <w:rFonts w:cstheme="majorHAnsi"/>
        </w:rPr>
        <w:t>Fora Assessment, ToR and Mandate Review</w:t>
      </w:r>
    </w:p>
    <w:p w:rsidR="00CB1C9A" w:rsidRPr="00CB1C9A" w:rsidRDefault="00CB1C9A" w:rsidP="00CB1C9A">
      <w:pPr>
        <w:rPr>
          <w:rFonts w:asciiTheme="majorHAnsi" w:hAnsiTheme="majorHAnsi" w:cstheme="majorHAnsi"/>
        </w:rPr>
      </w:pPr>
      <w:r w:rsidRPr="00CB1C9A">
        <w:rPr>
          <w:rFonts w:asciiTheme="majorHAnsi" w:hAnsiTheme="majorHAnsi" w:cstheme="majorHAnsi"/>
        </w:rPr>
        <w:t>The PPFS has a term of four years starting from 2018. At the expiration of this and any subsequent term, the mandate of PPFS and its Terms of Reference shall be reviewed by the PPFS and a recommendation on renewal put to Senior Officials for approval. In 2021, the PPFS is required to undertake this review.</w:t>
      </w:r>
    </w:p>
    <w:p w:rsidR="00CB1C9A" w:rsidRDefault="00CB1C9A" w:rsidP="008C2CEA">
      <w:pPr>
        <w:spacing w:before="120" w:after="120" w:line="240" w:lineRule="auto"/>
        <w:rPr>
          <w:rFonts w:asciiTheme="majorHAnsi" w:hAnsiTheme="majorHAnsi" w:cstheme="majorHAnsi"/>
          <w:b/>
          <w:bCs/>
        </w:rPr>
      </w:pPr>
    </w:p>
    <w:p w:rsidR="000038FD" w:rsidRPr="00CB1C9A" w:rsidRDefault="000038FD" w:rsidP="008C2CEA">
      <w:pPr>
        <w:spacing w:before="120" w:after="120" w:line="240" w:lineRule="auto"/>
        <w:rPr>
          <w:rFonts w:asciiTheme="majorHAnsi" w:hAnsiTheme="majorHAnsi" w:cstheme="majorHAnsi"/>
          <w:b/>
          <w:bCs/>
        </w:rPr>
      </w:pPr>
    </w:p>
    <w:p w:rsidR="00D23B79" w:rsidRDefault="00450477" w:rsidP="008C2CEA">
      <w:pPr>
        <w:pStyle w:val="Heading2"/>
        <w:spacing w:before="120" w:after="120" w:line="240" w:lineRule="auto"/>
      </w:pPr>
      <w:r w:rsidRPr="002633FC">
        <w:t xml:space="preserve">Related Initiatives of Other APEC </w:t>
      </w:r>
      <w:r w:rsidR="0096053A">
        <w:t>Fora</w:t>
      </w:r>
    </w:p>
    <w:p w:rsidR="0096053A" w:rsidRPr="00396F13" w:rsidRDefault="0096053A" w:rsidP="0096053A">
      <w:pPr>
        <w:rPr>
          <w:lang w:eastAsia="zh-TW"/>
        </w:rPr>
      </w:pPr>
      <w:r>
        <w:rPr>
          <w:rFonts w:hint="eastAsia"/>
          <w:lang w:eastAsia="zh-TW"/>
        </w:rPr>
        <w:t>ATCWG</w:t>
      </w:r>
    </w:p>
    <w:p w:rsidR="0096053A" w:rsidRPr="00216C7F" w:rsidRDefault="0096053A" w:rsidP="0096053A">
      <w:pPr>
        <w:pStyle w:val="ListParagraph"/>
        <w:numPr>
          <w:ilvl w:val="0"/>
          <w:numId w:val="11"/>
        </w:numPr>
        <w:spacing w:before="120" w:after="120" w:line="240" w:lineRule="auto"/>
        <w:rPr>
          <w:lang w:eastAsia="zh-TW"/>
        </w:rPr>
      </w:pPr>
      <w:r w:rsidRPr="00155640">
        <w:rPr>
          <w:rFonts w:asciiTheme="majorHAnsi" w:eastAsiaTheme="minorEastAsia" w:hAnsiTheme="majorHAnsi" w:cstheme="majorHAnsi"/>
        </w:rPr>
        <w:t>APEC-Global Research Alliance Virtual Farm Study Tour</w:t>
      </w:r>
      <w:r>
        <w:rPr>
          <w:rFonts w:asciiTheme="majorHAnsi" w:hAnsiTheme="majorHAnsi" w:cstheme="majorHAnsi" w:hint="eastAsia"/>
          <w:lang w:eastAsia="zh-TW"/>
        </w:rPr>
        <w:t xml:space="preserve"> (Self-funded by New Zealand, to be launched in the week of 12 </w:t>
      </w:r>
      <w:r w:rsidR="00D5625B">
        <w:rPr>
          <w:rFonts w:asciiTheme="majorHAnsi" w:hAnsiTheme="majorHAnsi" w:cstheme="majorHAnsi"/>
          <w:lang w:eastAsia="zh-TW"/>
        </w:rPr>
        <w:t>April</w:t>
      </w:r>
      <w:r>
        <w:rPr>
          <w:rFonts w:asciiTheme="majorHAnsi" w:hAnsiTheme="majorHAnsi" w:cstheme="majorHAnsi" w:hint="eastAsia"/>
          <w:lang w:eastAsia="zh-TW"/>
        </w:rPr>
        <w:t xml:space="preserve"> 2020)</w:t>
      </w:r>
    </w:p>
    <w:p w:rsidR="0096053A" w:rsidRPr="00216C7F" w:rsidRDefault="0096053A" w:rsidP="0096053A">
      <w:pPr>
        <w:pStyle w:val="ListParagraph"/>
        <w:numPr>
          <w:ilvl w:val="0"/>
          <w:numId w:val="11"/>
        </w:numPr>
        <w:spacing w:before="120" w:after="120" w:line="240" w:lineRule="auto"/>
        <w:rPr>
          <w:lang w:eastAsia="zh-TW"/>
        </w:rPr>
      </w:pPr>
      <w:r>
        <w:rPr>
          <w:rFonts w:asciiTheme="majorHAnsi" w:hAnsiTheme="majorHAnsi" w:cstheme="majorHAnsi" w:hint="eastAsia"/>
          <w:lang w:eastAsia="zh-TW"/>
        </w:rPr>
        <w:t xml:space="preserve">APEC Workshop on </w:t>
      </w:r>
      <w:r w:rsidRPr="00EA2908">
        <w:rPr>
          <w:rFonts w:asciiTheme="majorHAnsi" w:hAnsiTheme="majorHAnsi" w:cstheme="majorHAnsi"/>
        </w:rPr>
        <w:t>Reducing Food Loss and Waste along the Food Value Chain in APEC During and Post COVID-19 Pandemic</w:t>
      </w:r>
      <w:r>
        <w:rPr>
          <w:rFonts w:asciiTheme="majorHAnsi" w:hAnsiTheme="majorHAnsi" w:cstheme="majorHAnsi" w:hint="eastAsia"/>
          <w:lang w:eastAsia="zh-TW"/>
        </w:rPr>
        <w:t xml:space="preserve"> (Funded by APEC, to be hosted by Chinese Taipei in June 2021)</w:t>
      </w:r>
    </w:p>
    <w:p w:rsidR="0096053A" w:rsidRPr="00216C7F" w:rsidRDefault="0096053A" w:rsidP="0096053A">
      <w:pPr>
        <w:pStyle w:val="ListParagraph"/>
        <w:numPr>
          <w:ilvl w:val="0"/>
          <w:numId w:val="11"/>
        </w:numPr>
        <w:spacing w:before="120" w:after="120" w:line="240" w:lineRule="auto"/>
        <w:rPr>
          <w:lang w:eastAsia="zh-TW"/>
        </w:rPr>
      </w:pPr>
      <w:r w:rsidRPr="002633FC">
        <w:rPr>
          <w:rFonts w:asciiTheme="majorHAnsi" w:hAnsiTheme="majorHAnsi" w:cstheme="majorHAnsi"/>
        </w:rPr>
        <w:t>APEC-GRA Joint Workshop on Enhancing Livestock GHG Inventory Methodology</w:t>
      </w:r>
      <w:r>
        <w:rPr>
          <w:rFonts w:asciiTheme="majorHAnsi" w:hAnsiTheme="majorHAnsi" w:cstheme="majorHAnsi" w:hint="eastAsia"/>
          <w:lang w:eastAsia="zh-TW"/>
        </w:rPr>
        <w:t xml:space="preserve"> (Self-funded by New Zealand, date TBC) </w:t>
      </w:r>
    </w:p>
    <w:p w:rsidR="0096053A" w:rsidRPr="00155640" w:rsidRDefault="0096053A" w:rsidP="0096053A">
      <w:pPr>
        <w:pStyle w:val="ListParagraph"/>
        <w:numPr>
          <w:ilvl w:val="0"/>
          <w:numId w:val="11"/>
        </w:numPr>
        <w:spacing w:before="120" w:after="120" w:line="240" w:lineRule="auto"/>
        <w:rPr>
          <w:rFonts w:eastAsiaTheme="minorEastAsia" w:cstheme="majorHAnsi"/>
        </w:rPr>
      </w:pPr>
      <w:r w:rsidRPr="00155640">
        <w:rPr>
          <w:rFonts w:asciiTheme="majorHAnsi" w:eastAsiaTheme="minorEastAsia" w:hAnsiTheme="majorHAnsi" w:cstheme="majorHAnsi"/>
        </w:rPr>
        <w:t>APEC Workshop on Practices and Promotion of Circular Agriculture (</w:t>
      </w:r>
      <w:r>
        <w:rPr>
          <w:rFonts w:asciiTheme="majorHAnsi" w:hAnsiTheme="majorHAnsi" w:cstheme="majorHAnsi" w:hint="eastAsia"/>
          <w:lang w:eastAsia="zh-TW"/>
        </w:rPr>
        <w:t>Funded by APEC, to be h</w:t>
      </w:r>
      <w:r w:rsidRPr="00155640">
        <w:rPr>
          <w:rFonts w:asciiTheme="majorHAnsi" w:eastAsiaTheme="minorEastAsia" w:hAnsiTheme="majorHAnsi" w:cstheme="majorHAnsi"/>
        </w:rPr>
        <w:t>osted by Chinese Taipei</w:t>
      </w:r>
      <w:r>
        <w:rPr>
          <w:rFonts w:asciiTheme="majorHAnsi" w:hAnsiTheme="majorHAnsi" w:cstheme="majorHAnsi" w:hint="eastAsia"/>
          <w:lang w:eastAsia="zh-TW"/>
        </w:rPr>
        <w:t>, date TBC</w:t>
      </w:r>
      <w:r w:rsidRPr="00155640">
        <w:rPr>
          <w:rFonts w:asciiTheme="majorHAnsi" w:eastAsiaTheme="minorEastAsia" w:hAnsiTheme="majorHAnsi" w:cstheme="majorHAnsi"/>
        </w:rPr>
        <w:t>)</w:t>
      </w:r>
    </w:p>
    <w:p w:rsidR="0096053A" w:rsidRPr="0096053A" w:rsidRDefault="0096053A" w:rsidP="0096053A"/>
    <w:sectPr w:rsidR="0096053A" w:rsidRPr="0096053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BF8" w:rsidRDefault="00D42BF8" w:rsidP="00B41BBF">
      <w:pPr>
        <w:spacing w:after="0" w:line="240" w:lineRule="auto"/>
      </w:pPr>
      <w:r>
        <w:separator/>
      </w:r>
    </w:p>
  </w:endnote>
  <w:endnote w:type="continuationSeparator" w:id="0">
    <w:p w:rsidR="00D42BF8" w:rsidRDefault="00D42BF8" w:rsidP="00B41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BBF" w:rsidRDefault="00B41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BBF" w:rsidRDefault="00B41B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BBF" w:rsidRDefault="00B41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BF8" w:rsidRDefault="00D42BF8" w:rsidP="00B41BBF">
      <w:pPr>
        <w:spacing w:after="0" w:line="240" w:lineRule="auto"/>
      </w:pPr>
      <w:r>
        <w:separator/>
      </w:r>
    </w:p>
  </w:footnote>
  <w:footnote w:type="continuationSeparator" w:id="0">
    <w:p w:rsidR="00D42BF8" w:rsidRDefault="00D42BF8" w:rsidP="00B41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BBF" w:rsidRDefault="00B41B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BBF" w:rsidRDefault="00B41B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BBF" w:rsidRDefault="00B41B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0DA5"/>
    <w:multiLevelType w:val="hybridMultilevel"/>
    <w:tmpl w:val="274E41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18D09D8"/>
    <w:multiLevelType w:val="hybridMultilevel"/>
    <w:tmpl w:val="86063EA6"/>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2E20AA4"/>
    <w:multiLevelType w:val="hybridMultilevel"/>
    <w:tmpl w:val="87A8AC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7932344"/>
    <w:multiLevelType w:val="hybridMultilevel"/>
    <w:tmpl w:val="3928450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20517AB8"/>
    <w:multiLevelType w:val="hybridMultilevel"/>
    <w:tmpl w:val="75BAFE8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4311D3F"/>
    <w:multiLevelType w:val="hybridMultilevel"/>
    <w:tmpl w:val="4F96AD9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250D2495"/>
    <w:multiLevelType w:val="multilevel"/>
    <w:tmpl w:val="300EF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6C4FB9"/>
    <w:multiLevelType w:val="hybridMultilevel"/>
    <w:tmpl w:val="04966C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30363BE0"/>
    <w:multiLevelType w:val="hybridMultilevel"/>
    <w:tmpl w:val="E55A5A9C"/>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821073C"/>
    <w:multiLevelType w:val="hybridMultilevel"/>
    <w:tmpl w:val="1AE6319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3D3560CD"/>
    <w:multiLevelType w:val="hybridMultilevel"/>
    <w:tmpl w:val="F2CE4E1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414364D8"/>
    <w:multiLevelType w:val="hybridMultilevel"/>
    <w:tmpl w:val="3A4C0054"/>
    <w:lvl w:ilvl="0" w:tplc="F16091CE">
      <w:start w:val="1"/>
      <w:numFmt w:val="decimal"/>
      <w:lvlText w:val="%1."/>
      <w:lvlJc w:val="left"/>
      <w:pPr>
        <w:ind w:left="-2160" w:hanging="360"/>
      </w:pPr>
      <w:rPr>
        <w:rFonts w:ascii="Arial" w:hAnsi="Arial" w:cs="Arial" w:hint="default"/>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720" w:hanging="180"/>
      </w:pPr>
    </w:lvl>
    <w:lvl w:ilvl="3" w:tplc="340A000F" w:tentative="1">
      <w:start w:val="1"/>
      <w:numFmt w:val="decimal"/>
      <w:lvlText w:val="%4."/>
      <w:lvlJc w:val="left"/>
      <w:pPr>
        <w:ind w:left="0" w:hanging="360"/>
      </w:pPr>
    </w:lvl>
    <w:lvl w:ilvl="4" w:tplc="340A0019" w:tentative="1">
      <w:start w:val="1"/>
      <w:numFmt w:val="lowerLetter"/>
      <w:lvlText w:val="%5."/>
      <w:lvlJc w:val="left"/>
      <w:pPr>
        <w:ind w:left="720" w:hanging="360"/>
      </w:pPr>
    </w:lvl>
    <w:lvl w:ilvl="5" w:tplc="340A001B" w:tentative="1">
      <w:start w:val="1"/>
      <w:numFmt w:val="lowerRoman"/>
      <w:lvlText w:val="%6."/>
      <w:lvlJc w:val="right"/>
      <w:pPr>
        <w:ind w:left="1440" w:hanging="180"/>
      </w:pPr>
    </w:lvl>
    <w:lvl w:ilvl="6" w:tplc="340A000F" w:tentative="1">
      <w:start w:val="1"/>
      <w:numFmt w:val="decimal"/>
      <w:lvlText w:val="%7."/>
      <w:lvlJc w:val="left"/>
      <w:pPr>
        <w:ind w:left="2160" w:hanging="360"/>
      </w:pPr>
    </w:lvl>
    <w:lvl w:ilvl="7" w:tplc="340A0019" w:tentative="1">
      <w:start w:val="1"/>
      <w:numFmt w:val="lowerLetter"/>
      <w:lvlText w:val="%8."/>
      <w:lvlJc w:val="left"/>
      <w:pPr>
        <w:ind w:left="2880" w:hanging="360"/>
      </w:pPr>
    </w:lvl>
    <w:lvl w:ilvl="8" w:tplc="340A001B" w:tentative="1">
      <w:start w:val="1"/>
      <w:numFmt w:val="lowerRoman"/>
      <w:lvlText w:val="%9."/>
      <w:lvlJc w:val="right"/>
      <w:pPr>
        <w:ind w:left="3600" w:hanging="180"/>
      </w:pPr>
    </w:lvl>
  </w:abstractNum>
  <w:abstractNum w:abstractNumId="12" w15:restartNumberingAfterBreak="0">
    <w:nsid w:val="537507DF"/>
    <w:multiLevelType w:val="hybridMultilevel"/>
    <w:tmpl w:val="6D2CCFC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8324BCC"/>
    <w:multiLevelType w:val="hybridMultilevel"/>
    <w:tmpl w:val="F2CE4E1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5D456184"/>
    <w:multiLevelType w:val="hybridMultilevel"/>
    <w:tmpl w:val="E55A5A9C"/>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5E3B4C62"/>
    <w:multiLevelType w:val="hybridMultilevel"/>
    <w:tmpl w:val="059A2B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42E63FB"/>
    <w:multiLevelType w:val="hybridMultilevel"/>
    <w:tmpl w:val="CEF2AD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16"/>
  </w:num>
  <w:num w:numId="2">
    <w:abstractNumId w:val="7"/>
  </w:num>
  <w:num w:numId="3">
    <w:abstractNumId w:val="2"/>
  </w:num>
  <w:num w:numId="4">
    <w:abstractNumId w:val="10"/>
  </w:num>
  <w:num w:numId="5">
    <w:abstractNumId w:val="6"/>
  </w:num>
  <w:num w:numId="6">
    <w:abstractNumId w:val="0"/>
  </w:num>
  <w:num w:numId="7">
    <w:abstractNumId w:val="14"/>
  </w:num>
  <w:num w:numId="8">
    <w:abstractNumId w:val="8"/>
  </w:num>
  <w:num w:numId="9">
    <w:abstractNumId w:val="3"/>
  </w:num>
  <w:num w:numId="10">
    <w:abstractNumId w:val="9"/>
  </w:num>
  <w:num w:numId="11">
    <w:abstractNumId w:val="12"/>
  </w:num>
  <w:num w:numId="12">
    <w:abstractNumId w:val="11"/>
  </w:num>
  <w:num w:numId="13">
    <w:abstractNumId w:val="15"/>
  </w:num>
  <w:num w:numId="14">
    <w:abstractNumId w:val="5"/>
  </w:num>
  <w:num w:numId="15">
    <w:abstractNumId w:val="1"/>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56E"/>
    <w:rsid w:val="000038FD"/>
    <w:rsid w:val="00033EC6"/>
    <w:rsid w:val="00052624"/>
    <w:rsid w:val="00071C75"/>
    <w:rsid w:val="000B5684"/>
    <w:rsid w:val="000C7A21"/>
    <w:rsid w:val="000E4468"/>
    <w:rsid w:val="0011406C"/>
    <w:rsid w:val="00145ADB"/>
    <w:rsid w:val="00170F73"/>
    <w:rsid w:val="001B5577"/>
    <w:rsid w:val="001C057B"/>
    <w:rsid w:val="001C6169"/>
    <w:rsid w:val="001E4066"/>
    <w:rsid w:val="001E5053"/>
    <w:rsid w:val="001E535B"/>
    <w:rsid w:val="002468E6"/>
    <w:rsid w:val="00247A22"/>
    <w:rsid w:val="002633FC"/>
    <w:rsid w:val="002638E1"/>
    <w:rsid w:val="00280742"/>
    <w:rsid w:val="00290EE0"/>
    <w:rsid w:val="002A5CED"/>
    <w:rsid w:val="002C0B8B"/>
    <w:rsid w:val="00313887"/>
    <w:rsid w:val="00320CA6"/>
    <w:rsid w:val="00321DCE"/>
    <w:rsid w:val="00326D67"/>
    <w:rsid w:val="0033022B"/>
    <w:rsid w:val="0036664E"/>
    <w:rsid w:val="00367E98"/>
    <w:rsid w:val="00380C78"/>
    <w:rsid w:val="003A2498"/>
    <w:rsid w:val="003A7D7B"/>
    <w:rsid w:val="003A7F82"/>
    <w:rsid w:val="003B6133"/>
    <w:rsid w:val="003C1AB0"/>
    <w:rsid w:val="003E16B0"/>
    <w:rsid w:val="00406D3C"/>
    <w:rsid w:val="00416386"/>
    <w:rsid w:val="00425CD0"/>
    <w:rsid w:val="00450477"/>
    <w:rsid w:val="004645F4"/>
    <w:rsid w:val="00494EA1"/>
    <w:rsid w:val="004C1AF6"/>
    <w:rsid w:val="004F2DA9"/>
    <w:rsid w:val="005738B0"/>
    <w:rsid w:val="00592A2A"/>
    <w:rsid w:val="00607AC2"/>
    <w:rsid w:val="006159DC"/>
    <w:rsid w:val="0061656E"/>
    <w:rsid w:val="006277F0"/>
    <w:rsid w:val="00637F68"/>
    <w:rsid w:val="00656243"/>
    <w:rsid w:val="00662807"/>
    <w:rsid w:val="006650F4"/>
    <w:rsid w:val="00677643"/>
    <w:rsid w:val="0068471F"/>
    <w:rsid w:val="007303DA"/>
    <w:rsid w:val="00743D03"/>
    <w:rsid w:val="00750EC1"/>
    <w:rsid w:val="007720B1"/>
    <w:rsid w:val="00784E18"/>
    <w:rsid w:val="007B009C"/>
    <w:rsid w:val="007B3BBD"/>
    <w:rsid w:val="007B5C0D"/>
    <w:rsid w:val="007D7723"/>
    <w:rsid w:val="00800033"/>
    <w:rsid w:val="00810204"/>
    <w:rsid w:val="00842A31"/>
    <w:rsid w:val="00855FA3"/>
    <w:rsid w:val="00857509"/>
    <w:rsid w:val="00880665"/>
    <w:rsid w:val="008B3F03"/>
    <w:rsid w:val="008C2CEA"/>
    <w:rsid w:val="008E08BB"/>
    <w:rsid w:val="009078ED"/>
    <w:rsid w:val="00942166"/>
    <w:rsid w:val="00942478"/>
    <w:rsid w:val="0096053A"/>
    <w:rsid w:val="00987A63"/>
    <w:rsid w:val="009A0983"/>
    <w:rsid w:val="009B0812"/>
    <w:rsid w:val="009C7F15"/>
    <w:rsid w:val="009E1C05"/>
    <w:rsid w:val="00AA68D4"/>
    <w:rsid w:val="00AC571B"/>
    <w:rsid w:val="00AD6224"/>
    <w:rsid w:val="00AE7BF0"/>
    <w:rsid w:val="00B270FD"/>
    <w:rsid w:val="00B41BBF"/>
    <w:rsid w:val="00B6544C"/>
    <w:rsid w:val="00BA1E7D"/>
    <w:rsid w:val="00BB13F2"/>
    <w:rsid w:val="00BB4954"/>
    <w:rsid w:val="00BB4D8B"/>
    <w:rsid w:val="00BD2B9E"/>
    <w:rsid w:val="00BD34D2"/>
    <w:rsid w:val="00BE491A"/>
    <w:rsid w:val="00C17D16"/>
    <w:rsid w:val="00C33C45"/>
    <w:rsid w:val="00C55226"/>
    <w:rsid w:val="00C62A26"/>
    <w:rsid w:val="00CB1C9A"/>
    <w:rsid w:val="00CC0B18"/>
    <w:rsid w:val="00CC63D5"/>
    <w:rsid w:val="00CC7E5F"/>
    <w:rsid w:val="00D16990"/>
    <w:rsid w:val="00D16F1F"/>
    <w:rsid w:val="00D17732"/>
    <w:rsid w:val="00D21194"/>
    <w:rsid w:val="00D23B79"/>
    <w:rsid w:val="00D42BF8"/>
    <w:rsid w:val="00D449DD"/>
    <w:rsid w:val="00D5625B"/>
    <w:rsid w:val="00D75EBA"/>
    <w:rsid w:val="00DB071D"/>
    <w:rsid w:val="00DD23F7"/>
    <w:rsid w:val="00E0295C"/>
    <w:rsid w:val="00E56AF4"/>
    <w:rsid w:val="00E6052D"/>
    <w:rsid w:val="00E81945"/>
    <w:rsid w:val="00E84852"/>
    <w:rsid w:val="00E90725"/>
    <w:rsid w:val="00E9215F"/>
    <w:rsid w:val="00EA3702"/>
    <w:rsid w:val="00EA73CA"/>
    <w:rsid w:val="00EC3557"/>
    <w:rsid w:val="00ED2444"/>
    <w:rsid w:val="00F04AC5"/>
    <w:rsid w:val="00F37EF6"/>
    <w:rsid w:val="00F41DBF"/>
    <w:rsid w:val="00F56CF1"/>
    <w:rsid w:val="00F74F3C"/>
    <w:rsid w:val="00F92367"/>
    <w:rsid w:val="00FA6555"/>
    <w:rsid w:val="00FE5B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FA1A9"/>
  <w15:chartTrackingRefBased/>
  <w15:docId w15:val="{4C6E08AC-DCA2-4421-ACA1-943F2B5C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0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3B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2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367"/>
    <w:rPr>
      <w:rFonts w:ascii="Segoe UI" w:hAnsi="Segoe UI" w:cs="Segoe UI"/>
      <w:sz w:val="18"/>
      <w:szCs w:val="18"/>
    </w:rPr>
  </w:style>
  <w:style w:type="paragraph" w:styleId="ListParagraph">
    <w:name w:val="List Paragraph"/>
    <w:basedOn w:val="Normal"/>
    <w:uiPriority w:val="34"/>
    <w:qFormat/>
    <w:rsid w:val="001E5053"/>
    <w:pPr>
      <w:ind w:left="720"/>
      <w:contextualSpacing/>
    </w:pPr>
  </w:style>
  <w:style w:type="paragraph" w:styleId="NormalWeb">
    <w:name w:val="Normal (Web)"/>
    <w:basedOn w:val="Normal"/>
    <w:uiPriority w:val="99"/>
    <w:semiHidden/>
    <w:unhideWhenUsed/>
    <w:rsid w:val="0068471F"/>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
    <w:name w:val="Table Grid"/>
    <w:basedOn w:val="TableNormal"/>
    <w:uiPriority w:val="59"/>
    <w:rsid w:val="003B6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23B79"/>
    <w:rPr>
      <w:b/>
      <w:bCs/>
    </w:rPr>
  </w:style>
  <w:style w:type="paragraph" w:customStyle="1" w:styleId="cf-tweet-this">
    <w:name w:val="cf-tweet-this"/>
    <w:basedOn w:val="Normal"/>
    <w:rsid w:val="00D23B79"/>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semiHidden/>
    <w:unhideWhenUsed/>
    <w:rsid w:val="004F2DA9"/>
    <w:rPr>
      <w:color w:val="0000FF"/>
      <w:u w:val="single"/>
    </w:rPr>
  </w:style>
  <w:style w:type="character" w:styleId="Emphasis">
    <w:name w:val="Emphasis"/>
    <w:basedOn w:val="DefaultParagraphFont"/>
    <w:uiPriority w:val="20"/>
    <w:qFormat/>
    <w:rsid w:val="004F2DA9"/>
    <w:rPr>
      <w:i/>
      <w:iCs/>
    </w:rPr>
  </w:style>
  <w:style w:type="character" w:customStyle="1" w:styleId="Heading1Char">
    <w:name w:val="Heading 1 Char"/>
    <w:basedOn w:val="DefaultParagraphFont"/>
    <w:link w:val="Heading1"/>
    <w:uiPriority w:val="9"/>
    <w:rsid w:val="0080003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000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03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B3BB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41B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BBF"/>
  </w:style>
  <w:style w:type="paragraph" w:styleId="Footer">
    <w:name w:val="footer"/>
    <w:basedOn w:val="Normal"/>
    <w:link w:val="FooterChar"/>
    <w:uiPriority w:val="99"/>
    <w:unhideWhenUsed/>
    <w:rsid w:val="00B41B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BBF"/>
  </w:style>
  <w:style w:type="character" w:styleId="CommentReference">
    <w:name w:val="annotation reference"/>
    <w:basedOn w:val="DefaultParagraphFont"/>
    <w:uiPriority w:val="99"/>
    <w:semiHidden/>
    <w:unhideWhenUsed/>
    <w:rsid w:val="0096053A"/>
    <w:rPr>
      <w:sz w:val="18"/>
      <w:szCs w:val="18"/>
    </w:rPr>
  </w:style>
  <w:style w:type="paragraph" w:styleId="CommentText">
    <w:name w:val="annotation text"/>
    <w:basedOn w:val="Normal"/>
    <w:link w:val="CommentTextChar"/>
    <w:uiPriority w:val="99"/>
    <w:semiHidden/>
    <w:unhideWhenUsed/>
    <w:rsid w:val="0096053A"/>
    <w:rPr>
      <w:rFonts w:eastAsiaTheme="minorEastAsia"/>
    </w:rPr>
  </w:style>
  <w:style w:type="character" w:customStyle="1" w:styleId="CommentTextChar">
    <w:name w:val="Comment Text Char"/>
    <w:basedOn w:val="DefaultParagraphFont"/>
    <w:link w:val="CommentText"/>
    <w:uiPriority w:val="99"/>
    <w:semiHidden/>
    <w:rsid w:val="0096053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30249">
      <w:bodyDiv w:val="1"/>
      <w:marLeft w:val="0"/>
      <w:marRight w:val="0"/>
      <w:marTop w:val="0"/>
      <w:marBottom w:val="0"/>
      <w:divBdr>
        <w:top w:val="none" w:sz="0" w:space="0" w:color="auto"/>
        <w:left w:val="none" w:sz="0" w:space="0" w:color="auto"/>
        <w:bottom w:val="none" w:sz="0" w:space="0" w:color="auto"/>
        <w:right w:val="none" w:sz="0" w:space="0" w:color="auto"/>
      </w:divBdr>
    </w:div>
    <w:div w:id="97876184">
      <w:bodyDiv w:val="1"/>
      <w:marLeft w:val="0"/>
      <w:marRight w:val="0"/>
      <w:marTop w:val="0"/>
      <w:marBottom w:val="0"/>
      <w:divBdr>
        <w:top w:val="none" w:sz="0" w:space="0" w:color="auto"/>
        <w:left w:val="none" w:sz="0" w:space="0" w:color="auto"/>
        <w:bottom w:val="none" w:sz="0" w:space="0" w:color="auto"/>
        <w:right w:val="none" w:sz="0" w:space="0" w:color="auto"/>
      </w:divBdr>
    </w:div>
    <w:div w:id="268968972">
      <w:bodyDiv w:val="1"/>
      <w:marLeft w:val="0"/>
      <w:marRight w:val="0"/>
      <w:marTop w:val="0"/>
      <w:marBottom w:val="0"/>
      <w:divBdr>
        <w:top w:val="none" w:sz="0" w:space="0" w:color="auto"/>
        <w:left w:val="none" w:sz="0" w:space="0" w:color="auto"/>
        <w:bottom w:val="none" w:sz="0" w:space="0" w:color="auto"/>
        <w:right w:val="none" w:sz="0" w:space="0" w:color="auto"/>
      </w:divBdr>
    </w:div>
    <w:div w:id="361247748">
      <w:bodyDiv w:val="1"/>
      <w:marLeft w:val="0"/>
      <w:marRight w:val="0"/>
      <w:marTop w:val="0"/>
      <w:marBottom w:val="0"/>
      <w:divBdr>
        <w:top w:val="none" w:sz="0" w:space="0" w:color="auto"/>
        <w:left w:val="none" w:sz="0" w:space="0" w:color="auto"/>
        <w:bottom w:val="none" w:sz="0" w:space="0" w:color="auto"/>
        <w:right w:val="none" w:sz="0" w:space="0" w:color="auto"/>
      </w:divBdr>
    </w:div>
    <w:div w:id="465045391">
      <w:bodyDiv w:val="1"/>
      <w:marLeft w:val="0"/>
      <w:marRight w:val="0"/>
      <w:marTop w:val="0"/>
      <w:marBottom w:val="0"/>
      <w:divBdr>
        <w:top w:val="none" w:sz="0" w:space="0" w:color="auto"/>
        <w:left w:val="none" w:sz="0" w:space="0" w:color="auto"/>
        <w:bottom w:val="none" w:sz="0" w:space="0" w:color="auto"/>
        <w:right w:val="none" w:sz="0" w:space="0" w:color="auto"/>
      </w:divBdr>
    </w:div>
    <w:div w:id="685592184">
      <w:bodyDiv w:val="1"/>
      <w:marLeft w:val="0"/>
      <w:marRight w:val="0"/>
      <w:marTop w:val="0"/>
      <w:marBottom w:val="0"/>
      <w:divBdr>
        <w:top w:val="none" w:sz="0" w:space="0" w:color="auto"/>
        <w:left w:val="none" w:sz="0" w:space="0" w:color="auto"/>
        <w:bottom w:val="none" w:sz="0" w:space="0" w:color="auto"/>
        <w:right w:val="none" w:sz="0" w:space="0" w:color="auto"/>
      </w:divBdr>
    </w:div>
    <w:div w:id="774637199">
      <w:bodyDiv w:val="1"/>
      <w:marLeft w:val="0"/>
      <w:marRight w:val="0"/>
      <w:marTop w:val="0"/>
      <w:marBottom w:val="0"/>
      <w:divBdr>
        <w:top w:val="none" w:sz="0" w:space="0" w:color="auto"/>
        <w:left w:val="none" w:sz="0" w:space="0" w:color="auto"/>
        <w:bottom w:val="none" w:sz="0" w:space="0" w:color="auto"/>
        <w:right w:val="none" w:sz="0" w:space="0" w:color="auto"/>
      </w:divBdr>
    </w:div>
    <w:div w:id="1432434321">
      <w:bodyDiv w:val="1"/>
      <w:marLeft w:val="0"/>
      <w:marRight w:val="0"/>
      <w:marTop w:val="0"/>
      <w:marBottom w:val="0"/>
      <w:divBdr>
        <w:top w:val="none" w:sz="0" w:space="0" w:color="auto"/>
        <w:left w:val="none" w:sz="0" w:space="0" w:color="auto"/>
        <w:bottom w:val="none" w:sz="0" w:space="0" w:color="auto"/>
        <w:right w:val="none" w:sz="0" w:space="0" w:color="auto"/>
      </w:divBdr>
    </w:div>
    <w:div w:id="1586376849">
      <w:bodyDiv w:val="1"/>
      <w:marLeft w:val="0"/>
      <w:marRight w:val="0"/>
      <w:marTop w:val="0"/>
      <w:marBottom w:val="0"/>
      <w:divBdr>
        <w:top w:val="none" w:sz="0" w:space="0" w:color="auto"/>
        <w:left w:val="none" w:sz="0" w:space="0" w:color="auto"/>
        <w:bottom w:val="none" w:sz="0" w:space="0" w:color="auto"/>
        <w:right w:val="none" w:sz="0" w:space="0" w:color="auto"/>
      </w:divBdr>
    </w:div>
    <w:div w:id="1783068844">
      <w:bodyDiv w:val="1"/>
      <w:marLeft w:val="0"/>
      <w:marRight w:val="0"/>
      <w:marTop w:val="0"/>
      <w:marBottom w:val="0"/>
      <w:divBdr>
        <w:top w:val="none" w:sz="0" w:space="0" w:color="auto"/>
        <w:left w:val="none" w:sz="0" w:space="0" w:color="auto"/>
        <w:bottom w:val="none" w:sz="0" w:space="0" w:color="auto"/>
        <w:right w:val="none" w:sz="0" w:space="0" w:color="auto"/>
      </w:divBdr>
    </w:div>
    <w:div w:id="205877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E4C11-DA7B-463E-8AED-C31CEAEDD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Ministry fo Primary Industries</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Casey (Michelle)</dc:creator>
  <cp:keywords/>
  <dc:description/>
  <cp:lastModifiedBy>Clem Arlidge</cp:lastModifiedBy>
  <cp:revision>2</cp:revision>
  <dcterms:created xsi:type="dcterms:W3CDTF">2021-04-30T05:14:00Z</dcterms:created>
  <dcterms:modified xsi:type="dcterms:W3CDTF">2021-04-30T05:14:00Z</dcterms:modified>
</cp:coreProperties>
</file>