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9770F" w:rsidR="00390C99" w:rsidP="0059770F" w:rsidRDefault="00390C99" w14:paraId="63970F94" w14:textId="770DCF58">
      <w:pPr>
        <w:pStyle w:val="BodyText"/>
        <w:spacing w:after="0"/>
        <w:ind w:firstLine="0"/>
        <w:jc w:val="center"/>
        <w:rPr>
          <w:rFonts w:asciiTheme="minorHAnsi" w:hAnsiTheme="minorHAnsi" w:cstheme="minorHAnsi"/>
          <w:b/>
          <w:color w:val="FF0000"/>
        </w:rPr>
      </w:pPr>
      <w:r w:rsidRPr="0059770F">
        <w:rPr>
          <w:rFonts w:asciiTheme="minorHAnsi" w:hAnsiTheme="minorHAnsi" w:cstheme="minorHAnsi"/>
          <w:b/>
          <w:color w:val="FF0000"/>
        </w:rPr>
        <w:t>DRAFT</w:t>
      </w:r>
      <w:r w:rsidRPr="0059770F" w:rsidR="006E7A00">
        <w:rPr>
          <w:rFonts w:asciiTheme="minorHAnsi" w:hAnsiTheme="minorHAnsi" w:cstheme="minorHAnsi"/>
          <w:b/>
          <w:color w:val="FF0000"/>
        </w:rPr>
        <w:t xml:space="preserve"> </w:t>
      </w:r>
      <w:r w:rsidR="00AB7F23">
        <w:rPr>
          <w:rFonts w:asciiTheme="minorHAnsi" w:hAnsiTheme="minorHAnsi" w:cstheme="minorHAnsi"/>
          <w:b/>
          <w:color w:val="FF0000"/>
        </w:rPr>
        <w:t>REVIEWED</w:t>
      </w:r>
      <w:r w:rsidRPr="0059770F" w:rsidR="006E7A00">
        <w:rPr>
          <w:rFonts w:asciiTheme="minorHAnsi" w:hAnsiTheme="minorHAnsi" w:cstheme="minorHAnsi"/>
          <w:b/>
          <w:color w:val="FF0000"/>
        </w:rPr>
        <w:t xml:space="preserve"> </w:t>
      </w:r>
      <w:r w:rsidR="00AB7F23">
        <w:rPr>
          <w:rFonts w:asciiTheme="minorHAnsi" w:hAnsiTheme="minorHAnsi" w:cstheme="minorHAnsi"/>
          <w:b/>
          <w:color w:val="FF0000"/>
        </w:rPr>
        <w:t>23</w:t>
      </w:r>
      <w:r w:rsidR="00195C22">
        <w:rPr>
          <w:rFonts w:asciiTheme="minorHAnsi" w:hAnsiTheme="minorHAnsi" w:cstheme="minorHAnsi"/>
          <w:b/>
          <w:color w:val="FF0000"/>
        </w:rPr>
        <w:t xml:space="preserve"> </w:t>
      </w:r>
      <w:r w:rsidR="00AB7F23">
        <w:rPr>
          <w:rFonts w:asciiTheme="minorHAnsi" w:hAnsiTheme="minorHAnsi" w:cstheme="minorHAnsi"/>
          <w:b/>
          <w:color w:val="FF0000"/>
        </w:rPr>
        <w:t>APRIL</w:t>
      </w:r>
      <w:r w:rsidRPr="0059770F" w:rsidR="006E7A00">
        <w:rPr>
          <w:rFonts w:asciiTheme="minorHAnsi" w:hAnsiTheme="minorHAnsi" w:cstheme="minorHAnsi"/>
          <w:b/>
          <w:color w:val="FF0000"/>
        </w:rPr>
        <w:t xml:space="preserve"> </w:t>
      </w:r>
      <w:r w:rsidR="0095760A">
        <w:rPr>
          <w:rFonts w:asciiTheme="minorHAnsi" w:hAnsiTheme="minorHAnsi" w:cstheme="minorHAnsi"/>
          <w:b/>
          <w:color w:val="FF0000"/>
        </w:rPr>
        <w:t>2020</w:t>
      </w:r>
    </w:p>
    <w:p w:rsidRPr="0059770F" w:rsidR="00220165" w:rsidP="0059770F" w:rsidRDefault="00220165" w14:paraId="353D8BFD" w14:textId="77777777">
      <w:pPr>
        <w:pStyle w:val="BodyText"/>
        <w:spacing w:after="0"/>
        <w:ind w:firstLine="0"/>
        <w:jc w:val="center"/>
        <w:rPr>
          <w:rFonts w:asciiTheme="minorHAnsi" w:hAnsiTheme="minorHAnsi" w:cstheme="minorHAnsi"/>
          <w:b/>
          <w:sz w:val="28"/>
        </w:rPr>
      </w:pPr>
    </w:p>
    <w:p w:rsidRPr="0059770F" w:rsidR="00220165" w:rsidP="0059770F" w:rsidRDefault="00220165" w14:paraId="15303FFB" w14:textId="77777777">
      <w:pPr>
        <w:pStyle w:val="BodyText"/>
        <w:spacing w:after="0"/>
        <w:ind w:firstLine="0"/>
        <w:jc w:val="center"/>
        <w:rPr>
          <w:rFonts w:asciiTheme="minorHAnsi" w:hAnsiTheme="minorHAnsi" w:cstheme="minorHAnsi"/>
          <w:b/>
          <w:sz w:val="28"/>
        </w:rPr>
      </w:pPr>
    </w:p>
    <w:p w:rsidRPr="0059770F" w:rsidR="00220165" w:rsidP="0059770F" w:rsidRDefault="00220165" w14:paraId="77133634" w14:textId="77777777">
      <w:pPr>
        <w:pStyle w:val="BodyText"/>
        <w:spacing w:after="0"/>
        <w:ind w:firstLine="0"/>
        <w:jc w:val="center"/>
        <w:rPr>
          <w:rFonts w:asciiTheme="minorHAnsi" w:hAnsiTheme="minorHAnsi" w:cstheme="minorHAnsi"/>
          <w:b/>
          <w:sz w:val="28"/>
        </w:rPr>
      </w:pPr>
    </w:p>
    <w:p w:rsidRPr="0059770F" w:rsidR="00220165" w:rsidP="0059770F" w:rsidRDefault="00220165" w14:paraId="371367AC" w14:textId="77777777">
      <w:pPr>
        <w:pStyle w:val="BodyText"/>
        <w:spacing w:after="0"/>
        <w:ind w:firstLine="0"/>
        <w:jc w:val="center"/>
        <w:rPr>
          <w:rFonts w:asciiTheme="minorHAnsi" w:hAnsiTheme="minorHAnsi" w:cstheme="minorHAnsi"/>
          <w:b/>
          <w:sz w:val="28"/>
        </w:rPr>
      </w:pPr>
    </w:p>
    <w:p w:rsidRPr="0059770F" w:rsidR="00220165" w:rsidP="0059770F" w:rsidRDefault="00220165" w14:paraId="7E7CF1D8" w14:textId="77777777">
      <w:pPr>
        <w:pStyle w:val="BodyText"/>
        <w:spacing w:after="0"/>
        <w:ind w:firstLine="0"/>
        <w:jc w:val="center"/>
        <w:rPr>
          <w:rFonts w:asciiTheme="minorHAnsi" w:hAnsiTheme="minorHAnsi" w:cstheme="minorHAnsi"/>
          <w:b/>
          <w:sz w:val="40"/>
        </w:rPr>
      </w:pPr>
      <w:r w:rsidRPr="0059770F">
        <w:rPr>
          <w:rFonts w:asciiTheme="minorHAnsi" w:hAnsiTheme="minorHAnsi" w:cstheme="minorHAnsi"/>
          <w:b/>
          <w:sz w:val="40"/>
        </w:rPr>
        <w:t>Asia-Pacific Economic Cooperation</w:t>
      </w:r>
    </w:p>
    <w:p w:rsidRPr="0059770F" w:rsidR="00220165" w:rsidP="0059770F" w:rsidRDefault="00220165" w14:paraId="1A56ECCC" w14:textId="77777777">
      <w:pPr>
        <w:pStyle w:val="BodyText"/>
        <w:spacing w:after="0"/>
        <w:ind w:firstLine="0"/>
        <w:jc w:val="center"/>
        <w:rPr>
          <w:rFonts w:asciiTheme="minorHAnsi" w:hAnsiTheme="minorHAnsi" w:cstheme="minorHAnsi"/>
          <w:b/>
          <w:sz w:val="40"/>
        </w:rPr>
      </w:pPr>
      <w:r w:rsidRPr="0059770F">
        <w:rPr>
          <w:rFonts w:asciiTheme="minorHAnsi" w:hAnsiTheme="minorHAnsi" w:cstheme="minorHAnsi"/>
          <w:b/>
          <w:sz w:val="40"/>
        </w:rPr>
        <w:t>Life Sciences Innovation Forum</w:t>
      </w:r>
    </w:p>
    <w:p w:rsidRPr="0059770F" w:rsidR="00220165" w:rsidP="0059770F" w:rsidRDefault="00220165" w14:paraId="13C7155F" w14:textId="77777777">
      <w:pPr>
        <w:pStyle w:val="BodyText"/>
        <w:spacing w:after="0"/>
        <w:ind w:firstLine="0"/>
        <w:jc w:val="center"/>
        <w:rPr>
          <w:rFonts w:asciiTheme="minorHAnsi" w:hAnsiTheme="minorHAnsi" w:cstheme="minorHAnsi"/>
          <w:b/>
          <w:sz w:val="40"/>
        </w:rPr>
      </w:pPr>
      <w:r w:rsidRPr="0059770F">
        <w:rPr>
          <w:rFonts w:asciiTheme="minorHAnsi" w:hAnsiTheme="minorHAnsi" w:cstheme="minorHAnsi"/>
          <w:b/>
          <w:sz w:val="40"/>
        </w:rPr>
        <w:t>(APEC LSIF)</w:t>
      </w:r>
    </w:p>
    <w:p w:rsidRPr="0059770F" w:rsidR="00220165" w:rsidP="0059770F" w:rsidRDefault="00220165" w14:paraId="578B8705" w14:textId="77777777">
      <w:pPr>
        <w:pStyle w:val="BodyText"/>
        <w:spacing w:after="0"/>
        <w:ind w:firstLine="0"/>
        <w:jc w:val="center"/>
        <w:rPr>
          <w:rFonts w:asciiTheme="minorHAnsi" w:hAnsiTheme="minorHAnsi" w:cstheme="minorHAnsi"/>
          <w:b/>
          <w:sz w:val="36"/>
        </w:rPr>
      </w:pPr>
    </w:p>
    <w:p w:rsidRPr="0059770F" w:rsidR="00220165" w:rsidP="0059770F" w:rsidRDefault="00220165" w14:paraId="1EC7BCC9" w14:textId="77777777">
      <w:pPr>
        <w:pStyle w:val="BodyText"/>
        <w:spacing w:after="0"/>
        <w:ind w:firstLine="0"/>
        <w:jc w:val="center"/>
        <w:rPr>
          <w:rFonts w:asciiTheme="minorHAnsi" w:hAnsiTheme="minorHAnsi" w:cstheme="minorHAnsi"/>
          <w:b/>
          <w:sz w:val="36"/>
        </w:rPr>
      </w:pPr>
      <w:r w:rsidRPr="0059770F">
        <w:rPr>
          <w:rFonts w:asciiTheme="minorHAnsi" w:hAnsiTheme="minorHAnsi" w:cstheme="minorHAnsi"/>
          <w:b/>
          <w:sz w:val="36"/>
        </w:rPr>
        <w:t xml:space="preserve">Regulatory Harmonization Steering </w:t>
      </w:r>
      <w:r w:rsidRPr="0059770F" w:rsidR="003D43BE">
        <w:rPr>
          <w:rFonts w:asciiTheme="minorHAnsi" w:hAnsiTheme="minorHAnsi" w:cstheme="minorHAnsi"/>
          <w:b/>
          <w:sz w:val="36"/>
        </w:rPr>
        <w:t xml:space="preserve">Committee </w:t>
      </w:r>
      <w:r w:rsidRPr="0059770F" w:rsidR="001705AC">
        <w:rPr>
          <w:rFonts w:asciiTheme="minorHAnsi" w:hAnsiTheme="minorHAnsi" w:cstheme="minorHAnsi"/>
          <w:b/>
          <w:sz w:val="36"/>
        </w:rPr>
        <w:br/>
        <w:t>(RHSC)</w:t>
      </w:r>
    </w:p>
    <w:p w:rsidRPr="0059770F" w:rsidR="00220165" w:rsidP="0059770F" w:rsidRDefault="00220165" w14:paraId="6FA2290F" w14:textId="77777777">
      <w:pPr>
        <w:pStyle w:val="BodyText"/>
        <w:spacing w:after="0"/>
        <w:ind w:firstLine="0"/>
        <w:jc w:val="center"/>
        <w:rPr>
          <w:rFonts w:asciiTheme="minorHAnsi" w:hAnsiTheme="minorHAnsi" w:cstheme="minorHAnsi"/>
          <w:b/>
          <w:sz w:val="28"/>
        </w:rPr>
      </w:pPr>
    </w:p>
    <w:p w:rsidRPr="0059770F" w:rsidR="001572B6" w:rsidP="0059770F" w:rsidRDefault="001572B6" w14:paraId="3B0E0D93" w14:textId="77777777">
      <w:pPr>
        <w:pStyle w:val="BodyText"/>
        <w:spacing w:after="0"/>
        <w:ind w:firstLine="0"/>
        <w:jc w:val="center"/>
        <w:rPr>
          <w:rFonts w:asciiTheme="minorHAnsi" w:hAnsiTheme="minorHAnsi" w:cstheme="minorHAnsi"/>
          <w:b/>
          <w:sz w:val="32"/>
        </w:rPr>
      </w:pPr>
      <w:r w:rsidRPr="0059770F">
        <w:rPr>
          <w:rFonts w:asciiTheme="minorHAnsi" w:hAnsiTheme="minorHAnsi" w:cstheme="minorHAnsi"/>
          <w:b/>
          <w:sz w:val="32"/>
        </w:rPr>
        <w:t>Vision 2030</w:t>
      </w:r>
    </w:p>
    <w:p w:rsidRPr="0059770F" w:rsidR="001572B6" w:rsidP="0059770F" w:rsidRDefault="001572B6" w14:paraId="252B9440" w14:textId="77777777">
      <w:pPr>
        <w:pStyle w:val="BodyText"/>
        <w:spacing w:after="0"/>
        <w:ind w:firstLine="0"/>
        <w:jc w:val="center"/>
        <w:rPr>
          <w:rFonts w:asciiTheme="minorHAnsi" w:hAnsiTheme="minorHAnsi" w:cstheme="minorHAnsi"/>
          <w:b/>
          <w:sz w:val="32"/>
        </w:rPr>
      </w:pPr>
      <w:r w:rsidRPr="0059770F">
        <w:rPr>
          <w:rFonts w:asciiTheme="minorHAnsi" w:hAnsiTheme="minorHAnsi" w:cstheme="minorHAnsi"/>
          <w:b/>
          <w:sz w:val="32"/>
        </w:rPr>
        <w:t>&amp;</w:t>
      </w:r>
    </w:p>
    <w:p w:rsidRPr="0059770F" w:rsidR="001572B6" w:rsidP="0059770F" w:rsidRDefault="001572B6" w14:paraId="13E3188B" w14:textId="77777777">
      <w:pPr>
        <w:pStyle w:val="BodyText"/>
        <w:spacing w:after="0"/>
        <w:ind w:firstLine="0"/>
        <w:jc w:val="center"/>
        <w:rPr>
          <w:rFonts w:asciiTheme="minorHAnsi" w:hAnsiTheme="minorHAnsi" w:cstheme="minorHAnsi"/>
          <w:b/>
          <w:sz w:val="36"/>
        </w:rPr>
      </w:pPr>
      <w:r w:rsidRPr="0059770F">
        <w:rPr>
          <w:rFonts w:asciiTheme="minorHAnsi" w:hAnsiTheme="minorHAnsi" w:cstheme="minorHAnsi"/>
          <w:b/>
          <w:sz w:val="32"/>
        </w:rPr>
        <w:t>Strategic Framework</w:t>
      </w:r>
    </w:p>
    <w:p w:rsidRPr="0059770F" w:rsidR="001572B6" w:rsidP="0059770F" w:rsidRDefault="001572B6" w14:paraId="0A31564E" w14:textId="77777777">
      <w:pPr>
        <w:pStyle w:val="BodyText"/>
        <w:spacing w:after="0"/>
        <w:ind w:firstLine="0"/>
        <w:jc w:val="center"/>
        <w:rPr>
          <w:rFonts w:asciiTheme="minorHAnsi" w:hAnsiTheme="minorHAnsi" w:cstheme="minorHAnsi"/>
          <w:b/>
          <w:sz w:val="36"/>
        </w:rPr>
      </w:pPr>
    </w:p>
    <w:p w:rsidRPr="0059770F" w:rsidR="001572B6" w:rsidP="0059770F" w:rsidRDefault="001572B6" w14:paraId="21C89E98" w14:textId="77777777">
      <w:pPr>
        <w:pStyle w:val="BodyText"/>
        <w:spacing w:after="0"/>
        <w:ind w:firstLine="0"/>
        <w:jc w:val="center"/>
        <w:rPr>
          <w:rFonts w:asciiTheme="minorHAnsi" w:hAnsiTheme="minorHAnsi" w:cstheme="minorHAnsi"/>
          <w:b/>
          <w:i/>
          <w:sz w:val="32"/>
        </w:rPr>
      </w:pPr>
      <w:r w:rsidRPr="0059770F">
        <w:rPr>
          <w:rFonts w:asciiTheme="minorHAnsi" w:hAnsiTheme="minorHAnsi" w:cstheme="minorHAnsi"/>
          <w:b/>
          <w:i/>
          <w:sz w:val="32"/>
        </w:rPr>
        <w:t>Regulatory Convergence for Medical Products by 2030</w:t>
      </w:r>
    </w:p>
    <w:p w:rsidRPr="0059770F" w:rsidR="00220165" w:rsidP="0059770F" w:rsidRDefault="00220165" w14:paraId="2878DFCC" w14:textId="77777777">
      <w:pPr>
        <w:rPr>
          <w:rFonts w:asciiTheme="minorHAnsi" w:hAnsiTheme="minorHAnsi" w:cstheme="minorHAnsi"/>
          <w:b/>
        </w:rPr>
      </w:pPr>
      <w:r w:rsidRPr="0059770F">
        <w:rPr>
          <w:rFonts w:asciiTheme="minorHAnsi" w:hAnsiTheme="minorHAnsi" w:cstheme="minorHAnsi"/>
          <w:b/>
        </w:rPr>
        <w:br w:type="page"/>
      </w:r>
    </w:p>
    <w:p w:rsidRPr="0059770F" w:rsidR="00535E0A" w:rsidP="0059770F" w:rsidRDefault="00535E0A" w14:paraId="402E5FE3" w14:textId="77777777">
      <w:pPr>
        <w:pStyle w:val="BodyText"/>
        <w:spacing w:after="0"/>
        <w:ind w:firstLine="0"/>
        <w:jc w:val="center"/>
        <w:rPr>
          <w:rFonts w:asciiTheme="minorHAnsi" w:hAnsiTheme="minorHAnsi" w:cstheme="minorHAnsi"/>
          <w:b/>
          <w:u w:val="single"/>
        </w:rPr>
      </w:pPr>
      <w:r w:rsidRPr="0059770F">
        <w:rPr>
          <w:rFonts w:asciiTheme="minorHAnsi" w:hAnsiTheme="minorHAnsi" w:cstheme="minorHAnsi"/>
          <w:b/>
          <w:u w:val="single"/>
        </w:rPr>
        <w:lastRenderedPageBreak/>
        <w:t>Table of Contents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78"/>
        <w:gridCol w:w="7380"/>
        <w:gridCol w:w="918"/>
      </w:tblGrid>
      <w:tr w:rsidRPr="0059770F" w:rsidR="006613B8" w:rsidTr="001876EB" w14:paraId="20778EFE" w14:textId="77777777">
        <w:trPr>
          <w:trHeight w:val="576"/>
        </w:trPr>
        <w:tc>
          <w:tcPr>
            <w:tcW w:w="1278" w:type="dxa"/>
            <w:vAlign w:val="center"/>
          </w:tcPr>
          <w:p w:rsidRPr="0059770F" w:rsidR="006613B8" w:rsidP="0059770F" w:rsidRDefault="006613B8" w14:paraId="4E216BF1"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1</w:t>
            </w:r>
          </w:p>
        </w:tc>
        <w:tc>
          <w:tcPr>
            <w:tcW w:w="7380" w:type="dxa"/>
            <w:vAlign w:val="center"/>
          </w:tcPr>
          <w:p w:rsidRPr="0059770F" w:rsidR="006613B8" w:rsidP="0059770F" w:rsidRDefault="006613B8" w14:paraId="7336ECA4" w14:textId="77777777">
            <w:pPr>
              <w:pStyle w:val="BodyText"/>
              <w:spacing w:after="0"/>
              <w:ind w:firstLine="0"/>
              <w:rPr>
                <w:rFonts w:asciiTheme="minorHAnsi" w:hAnsiTheme="minorHAnsi" w:cstheme="minorHAnsi"/>
                <w:b/>
                <w:sz w:val="22"/>
              </w:rPr>
            </w:pPr>
            <w:r w:rsidRPr="0059770F">
              <w:rPr>
                <w:rFonts w:asciiTheme="minorHAnsi" w:hAnsiTheme="minorHAnsi" w:cstheme="minorHAnsi"/>
                <w:b/>
                <w:sz w:val="22"/>
              </w:rPr>
              <w:t>Background</w:t>
            </w:r>
          </w:p>
        </w:tc>
        <w:tc>
          <w:tcPr>
            <w:tcW w:w="918" w:type="dxa"/>
            <w:vAlign w:val="center"/>
          </w:tcPr>
          <w:p w:rsidRPr="0059770F" w:rsidR="006613B8" w:rsidP="0059770F" w:rsidRDefault="006613B8" w14:paraId="1D214598"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3-4</w:t>
            </w:r>
          </w:p>
        </w:tc>
      </w:tr>
      <w:tr w:rsidRPr="0059770F" w:rsidR="006613B8" w:rsidTr="001876EB" w14:paraId="5E06FD41" w14:textId="77777777">
        <w:trPr>
          <w:trHeight w:val="576"/>
        </w:trPr>
        <w:tc>
          <w:tcPr>
            <w:tcW w:w="1278" w:type="dxa"/>
            <w:vAlign w:val="center"/>
          </w:tcPr>
          <w:p w:rsidRPr="0059770F" w:rsidR="006613B8" w:rsidP="0059770F" w:rsidRDefault="006613B8" w14:paraId="25B577A6"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2</w:t>
            </w:r>
          </w:p>
        </w:tc>
        <w:tc>
          <w:tcPr>
            <w:tcW w:w="7380" w:type="dxa"/>
            <w:vAlign w:val="center"/>
          </w:tcPr>
          <w:p w:rsidRPr="0059770F" w:rsidR="006613B8" w:rsidP="0059770F" w:rsidRDefault="006613B8" w14:paraId="3DBBD8D2" w14:textId="77777777">
            <w:pPr>
              <w:pStyle w:val="BodyText"/>
              <w:spacing w:after="0"/>
              <w:ind w:firstLine="0"/>
              <w:rPr>
                <w:rFonts w:asciiTheme="minorHAnsi" w:hAnsiTheme="minorHAnsi" w:cstheme="minorHAnsi"/>
                <w:b/>
                <w:sz w:val="22"/>
              </w:rPr>
            </w:pPr>
            <w:r w:rsidRPr="0059770F">
              <w:rPr>
                <w:rFonts w:asciiTheme="minorHAnsi" w:hAnsiTheme="minorHAnsi" w:cstheme="minorHAnsi"/>
                <w:b/>
                <w:sz w:val="22"/>
              </w:rPr>
              <w:t>Purpose</w:t>
            </w:r>
          </w:p>
        </w:tc>
        <w:tc>
          <w:tcPr>
            <w:tcW w:w="918" w:type="dxa"/>
            <w:vAlign w:val="center"/>
          </w:tcPr>
          <w:p w:rsidRPr="0059770F" w:rsidR="006613B8" w:rsidP="0059770F" w:rsidRDefault="006613B8" w14:paraId="6A79CEFF"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5</w:t>
            </w:r>
          </w:p>
        </w:tc>
      </w:tr>
      <w:tr w:rsidRPr="0059770F" w:rsidR="006613B8" w:rsidTr="001876EB" w14:paraId="05F14E7A" w14:textId="77777777">
        <w:trPr>
          <w:trHeight w:val="576"/>
        </w:trPr>
        <w:tc>
          <w:tcPr>
            <w:tcW w:w="1278" w:type="dxa"/>
            <w:vAlign w:val="center"/>
          </w:tcPr>
          <w:p w:rsidRPr="0059770F" w:rsidR="006613B8" w:rsidP="0059770F" w:rsidRDefault="006613B8" w14:paraId="4D2E80AD"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3</w:t>
            </w:r>
          </w:p>
        </w:tc>
        <w:tc>
          <w:tcPr>
            <w:tcW w:w="7380" w:type="dxa"/>
            <w:vAlign w:val="center"/>
          </w:tcPr>
          <w:p w:rsidRPr="0059770F" w:rsidR="006613B8" w:rsidP="0059770F" w:rsidRDefault="006613B8" w14:paraId="0C0B536E" w14:textId="77777777">
            <w:pPr>
              <w:pStyle w:val="BodyText"/>
              <w:spacing w:after="0"/>
              <w:ind w:firstLine="0"/>
              <w:rPr>
                <w:rFonts w:asciiTheme="minorHAnsi" w:hAnsiTheme="minorHAnsi" w:cstheme="minorHAnsi"/>
                <w:b/>
                <w:sz w:val="22"/>
              </w:rPr>
            </w:pPr>
            <w:r w:rsidRPr="0059770F">
              <w:rPr>
                <w:rFonts w:asciiTheme="minorHAnsi" w:hAnsiTheme="minorHAnsi" w:cstheme="minorHAnsi"/>
                <w:b/>
                <w:sz w:val="22"/>
              </w:rPr>
              <w:t>Strategic Framework</w:t>
            </w:r>
          </w:p>
        </w:tc>
        <w:tc>
          <w:tcPr>
            <w:tcW w:w="918" w:type="dxa"/>
            <w:vAlign w:val="center"/>
          </w:tcPr>
          <w:p w:rsidRPr="0059770F" w:rsidR="006613B8" w:rsidP="0059770F" w:rsidRDefault="006613B8" w14:paraId="298C49A0"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6</w:t>
            </w:r>
            <w:r w:rsidRPr="0059770F" w:rsidR="0049369B">
              <w:rPr>
                <w:rFonts w:asciiTheme="minorHAnsi" w:hAnsiTheme="minorHAnsi" w:cstheme="minorHAnsi"/>
                <w:sz w:val="22"/>
              </w:rPr>
              <w:t>-11</w:t>
            </w:r>
          </w:p>
        </w:tc>
      </w:tr>
      <w:tr w:rsidRPr="0059770F" w:rsidR="006613B8" w:rsidTr="001876EB" w14:paraId="379389B1" w14:textId="77777777">
        <w:trPr>
          <w:trHeight w:val="432"/>
        </w:trPr>
        <w:tc>
          <w:tcPr>
            <w:tcW w:w="1278" w:type="dxa"/>
            <w:vAlign w:val="center"/>
          </w:tcPr>
          <w:p w:rsidRPr="0059770F" w:rsidR="006613B8" w:rsidP="0059770F" w:rsidRDefault="006613B8" w14:paraId="155C5F83"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3.1</w:t>
            </w:r>
          </w:p>
        </w:tc>
        <w:tc>
          <w:tcPr>
            <w:tcW w:w="7380" w:type="dxa"/>
            <w:vAlign w:val="center"/>
          </w:tcPr>
          <w:p w:rsidRPr="0059770F" w:rsidR="006613B8" w:rsidP="0059770F" w:rsidRDefault="006613B8" w14:paraId="13C8D91E"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Vision 2030</w:t>
            </w:r>
          </w:p>
        </w:tc>
        <w:tc>
          <w:tcPr>
            <w:tcW w:w="918" w:type="dxa"/>
            <w:vAlign w:val="center"/>
          </w:tcPr>
          <w:p w:rsidRPr="0059770F" w:rsidR="006613B8" w:rsidP="0059770F" w:rsidRDefault="0049369B" w14:paraId="1B3E140A"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6</w:t>
            </w:r>
          </w:p>
        </w:tc>
      </w:tr>
      <w:tr w:rsidRPr="0059770F" w:rsidR="006613B8" w:rsidTr="001876EB" w14:paraId="51F57411" w14:textId="77777777">
        <w:trPr>
          <w:trHeight w:val="432"/>
        </w:trPr>
        <w:tc>
          <w:tcPr>
            <w:tcW w:w="1278" w:type="dxa"/>
            <w:vAlign w:val="center"/>
          </w:tcPr>
          <w:p w:rsidRPr="0059770F" w:rsidR="006613B8" w:rsidP="0059770F" w:rsidRDefault="006613B8" w14:paraId="32161EC6"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3.2</w:t>
            </w:r>
          </w:p>
        </w:tc>
        <w:tc>
          <w:tcPr>
            <w:tcW w:w="7380" w:type="dxa"/>
            <w:vAlign w:val="center"/>
          </w:tcPr>
          <w:p w:rsidRPr="0059770F" w:rsidR="006613B8" w:rsidP="0059770F" w:rsidRDefault="006613B8" w14:paraId="15A752BF"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Mission</w:t>
            </w:r>
          </w:p>
        </w:tc>
        <w:tc>
          <w:tcPr>
            <w:tcW w:w="918" w:type="dxa"/>
            <w:vAlign w:val="center"/>
          </w:tcPr>
          <w:p w:rsidRPr="0059770F" w:rsidR="006613B8" w:rsidP="0059770F" w:rsidRDefault="0049369B" w14:paraId="4F1E216F"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6</w:t>
            </w:r>
          </w:p>
        </w:tc>
      </w:tr>
      <w:tr w:rsidRPr="0059770F" w:rsidR="006613B8" w:rsidTr="001876EB" w14:paraId="3502EAE5" w14:textId="77777777">
        <w:trPr>
          <w:trHeight w:val="432"/>
        </w:trPr>
        <w:tc>
          <w:tcPr>
            <w:tcW w:w="1278" w:type="dxa"/>
            <w:vAlign w:val="center"/>
          </w:tcPr>
          <w:p w:rsidRPr="0059770F" w:rsidR="006613B8" w:rsidP="0059770F" w:rsidRDefault="006613B8" w14:paraId="50729AB9"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3.3</w:t>
            </w:r>
          </w:p>
        </w:tc>
        <w:tc>
          <w:tcPr>
            <w:tcW w:w="7380" w:type="dxa"/>
            <w:vAlign w:val="center"/>
          </w:tcPr>
          <w:p w:rsidRPr="0059770F" w:rsidR="006613B8" w:rsidP="0059770F" w:rsidRDefault="006613B8" w14:paraId="57A69049"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Values</w:t>
            </w:r>
          </w:p>
        </w:tc>
        <w:tc>
          <w:tcPr>
            <w:tcW w:w="918" w:type="dxa"/>
            <w:vAlign w:val="center"/>
          </w:tcPr>
          <w:p w:rsidRPr="0059770F" w:rsidR="006613B8" w:rsidP="0059770F" w:rsidRDefault="0049369B" w14:paraId="2BFA1BA2"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6</w:t>
            </w:r>
          </w:p>
        </w:tc>
      </w:tr>
      <w:tr w:rsidRPr="0059770F" w:rsidR="006613B8" w:rsidTr="001876EB" w14:paraId="54945D96" w14:textId="77777777">
        <w:trPr>
          <w:trHeight w:val="432"/>
        </w:trPr>
        <w:tc>
          <w:tcPr>
            <w:tcW w:w="1278" w:type="dxa"/>
            <w:vAlign w:val="center"/>
          </w:tcPr>
          <w:p w:rsidRPr="0059770F" w:rsidR="006613B8" w:rsidP="0059770F" w:rsidRDefault="006613B8" w14:paraId="4BFA3340"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3.4</w:t>
            </w:r>
          </w:p>
        </w:tc>
        <w:tc>
          <w:tcPr>
            <w:tcW w:w="7380" w:type="dxa"/>
            <w:vAlign w:val="center"/>
          </w:tcPr>
          <w:p w:rsidRPr="0059770F" w:rsidR="0059770F" w:rsidP="0059770F" w:rsidRDefault="006613B8" w14:paraId="588CF2D8"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Definitions</w:t>
            </w:r>
          </w:p>
        </w:tc>
        <w:tc>
          <w:tcPr>
            <w:tcW w:w="918" w:type="dxa"/>
            <w:vAlign w:val="center"/>
          </w:tcPr>
          <w:p w:rsidRPr="0059770F" w:rsidR="006613B8" w:rsidP="0059770F" w:rsidRDefault="006B7A5D" w14:paraId="324D2515"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6-7</w:t>
            </w:r>
          </w:p>
        </w:tc>
      </w:tr>
      <w:tr w:rsidRPr="0059770F" w:rsidR="0059770F" w:rsidTr="001876EB" w14:paraId="6B7067AD" w14:textId="77777777">
        <w:trPr>
          <w:trHeight w:val="432"/>
        </w:trPr>
        <w:tc>
          <w:tcPr>
            <w:tcW w:w="1278" w:type="dxa"/>
            <w:vAlign w:val="center"/>
          </w:tcPr>
          <w:p w:rsidRPr="0059770F" w:rsidR="0059770F" w:rsidP="0059770F" w:rsidRDefault="0059770F" w14:paraId="5AD71DDB" w14:textId="77777777">
            <w:pPr>
              <w:pStyle w:val="BodyText"/>
              <w:spacing w:after="0"/>
              <w:ind w:firstLine="0"/>
              <w:rPr>
                <w:rFonts w:asciiTheme="minorHAnsi" w:hAnsiTheme="minorHAnsi" w:cstheme="minorHAnsi"/>
                <w:sz w:val="22"/>
              </w:rPr>
            </w:pPr>
            <w:r>
              <w:rPr>
                <w:rFonts w:asciiTheme="minorHAnsi" w:hAnsiTheme="minorHAnsi" w:cstheme="minorHAnsi"/>
                <w:sz w:val="22"/>
              </w:rPr>
              <w:t>3.5</w:t>
            </w:r>
          </w:p>
        </w:tc>
        <w:tc>
          <w:tcPr>
            <w:tcW w:w="7380" w:type="dxa"/>
            <w:vAlign w:val="center"/>
          </w:tcPr>
          <w:p w:rsidRPr="0059770F" w:rsidR="0059770F" w:rsidP="0059770F" w:rsidRDefault="0059770F" w14:paraId="09A136A6" w14:textId="77777777">
            <w:pPr>
              <w:pStyle w:val="BodyText"/>
              <w:spacing w:after="0"/>
              <w:ind w:firstLine="0"/>
              <w:rPr>
                <w:rFonts w:asciiTheme="minorHAnsi" w:hAnsiTheme="minorHAnsi" w:cstheme="minorHAnsi"/>
                <w:sz w:val="22"/>
              </w:rPr>
            </w:pPr>
            <w:r>
              <w:rPr>
                <w:rFonts w:asciiTheme="minorHAnsi" w:hAnsiTheme="minorHAnsi" w:cstheme="minorHAnsi"/>
                <w:sz w:val="22"/>
              </w:rPr>
              <w:t>Guiding Principles</w:t>
            </w:r>
          </w:p>
        </w:tc>
        <w:tc>
          <w:tcPr>
            <w:tcW w:w="918" w:type="dxa"/>
            <w:vAlign w:val="center"/>
          </w:tcPr>
          <w:p w:rsidRPr="0059770F" w:rsidR="0059770F" w:rsidP="0059770F" w:rsidRDefault="0059770F" w14:paraId="08BA3ADA" w14:textId="77777777">
            <w:pPr>
              <w:pStyle w:val="BodyText"/>
              <w:spacing w:after="0"/>
              <w:ind w:firstLine="0"/>
              <w:rPr>
                <w:rFonts w:asciiTheme="minorHAnsi" w:hAnsiTheme="minorHAnsi" w:cstheme="minorHAnsi"/>
                <w:sz w:val="22"/>
              </w:rPr>
            </w:pPr>
            <w:r>
              <w:rPr>
                <w:rFonts w:asciiTheme="minorHAnsi" w:hAnsiTheme="minorHAnsi" w:cstheme="minorHAnsi"/>
                <w:sz w:val="22"/>
              </w:rPr>
              <w:t>7</w:t>
            </w:r>
          </w:p>
        </w:tc>
      </w:tr>
      <w:tr w:rsidRPr="0059770F" w:rsidR="006613B8" w:rsidTr="001876EB" w14:paraId="611D5EC5" w14:textId="77777777">
        <w:trPr>
          <w:trHeight w:val="432"/>
        </w:trPr>
        <w:tc>
          <w:tcPr>
            <w:tcW w:w="1278" w:type="dxa"/>
            <w:vAlign w:val="center"/>
          </w:tcPr>
          <w:p w:rsidRPr="0059770F" w:rsidR="006613B8" w:rsidP="0059770F" w:rsidRDefault="0059770F" w14:paraId="524657AD" w14:textId="77777777">
            <w:pPr>
              <w:pStyle w:val="BodyText"/>
              <w:spacing w:after="0"/>
              <w:ind w:firstLine="0"/>
              <w:rPr>
                <w:rFonts w:asciiTheme="minorHAnsi" w:hAnsiTheme="minorHAnsi" w:cstheme="minorHAnsi"/>
                <w:sz w:val="22"/>
              </w:rPr>
            </w:pPr>
            <w:r>
              <w:rPr>
                <w:rFonts w:asciiTheme="minorHAnsi" w:hAnsiTheme="minorHAnsi" w:cstheme="minorHAnsi"/>
                <w:sz w:val="22"/>
              </w:rPr>
              <w:t>3.6</w:t>
            </w:r>
          </w:p>
        </w:tc>
        <w:tc>
          <w:tcPr>
            <w:tcW w:w="7380" w:type="dxa"/>
            <w:vAlign w:val="center"/>
          </w:tcPr>
          <w:p w:rsidRPr="0059770F" w:rsidR="006613B8" w:rsidP="0059770F" w:rsidRDefault="00D97F01" w14:paraId="6F9E5D30"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 xml:space="preserve">Goals, </w:t>
            </w:r>
            <w:r w:rsidRPr="0059770F" w:rsidR="006613B8">
              <w:rPr>
                <w:rFonts w:asciiTheme="minorHAnsi" w:hAnsiTheme="minorHAnsi" w:cstheme="minorHAnsi"/>
                <w:sz w:val="22"/>
              </w:rPr>
              <w:t xml:space="preserve">Strategies </w:t>
            </w:r>
            <w:r w:rsidRPr="0059770F">
              <w:rPr>
                <w:rFonts w:asciiTheme="minorHAnsi" w:hAnsiTheme="minorHAnsi" w:cstheme="minorHAnsi"/>
                <w:sz w:val="22"/>
              </w:rPr>
              <w:t>&amp;</w:t>
            </w:r>
            <w:r w:rsidRPr="0059770F" w:rsidR="006613B8">
              <w:rPr>
                <w:rFonts w:asciiTheme="minorHAnsi" w:hAnsiTheme="minorHAnsi" w:cstheme="minorHAnsi"/>
                <w:sz w:val="22"/>
              </w:rPr>
              <w:t xml:space="preserve"> Tactics</w:t>
            </w:r>
          </w:p>
        </w:tc>
        <w:tc>
          <w:tcPr>
            <w:tcW w:w="918" w:type="dxa"/>
            <w:vAlign w:val="center"/>
          </w:tcPr>
          <w:p w:rsidRPr="0059770F" w:rsidR="006613B8" w:rsidP="0059770F" w:rsidRDefault="006B7A5D" w14:paraId="2969F65F"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8-10</w:t>
            </w:r>
          </w:p>
        </w:tc>
      </w:tr>
      <w:tr w:rsidRPr="0059770F" w:rsidR="00AA4AAC" w:rsidTr="001876EB" w14:paraId="767E37E7" w14:textId="77777777">
        <w:trPr>
          <w:trHeight w:val="432"/>
        </w:trPr>
        <w:tc>
          <w:tcPr>
            <w:tcW w:w="1278" w:type="dxa"/>
            <w:vAlign w:val="center"/>
          </w:tcPr>
          <w:p w:rsidRPr="0059770F" w:rsidR="00AA4AAC" w:rsidP="0059770F" w:rsidRDefault="0059770F" w14:paraId="3EC9979D" w14:textId="77777777">
            <w:pPr>
              <w:pStyle w:val="BodyText"/>
              <w:spacing w:after="0"/>
              <w:ind w:firstLine="0"/>
              <w:rPr>
                <w:rFonts w:asciiTheme="minorHAnsi" w:hAnsiTheme="minorHAnsi" w:cstheme="minorHAnsi"/>
                <w:sz w:val="22"/>
              </w:rPr>
            </w:pPr>
            <w:r>
              <w:rPr>
                <w:rFonts w:asciiTheme="minorHAnsi" w:hAnsiTheme="minorHAnsi" w:cstheme="minorHAnsi"/>
                <w:sz w:val="22"/>
              </w:rPr>
              <w:t>3.7</w:t>
            </w:r>
          </w:p>
        </w:tc>
        <w:tc>
          <w:tcPr>
            <w:tcW w:w="7380" w:type="dxa"/>
            <w:vAlign w:val="center"/>
          </w:tcPr>
          <w:p w:rsidRPr="0059770F" w:rsidR="00AA4AAC" w:rsidP="0059770F" w:rsidRDefault="00AA4AAC" w14:paraId="56CA3907"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Indicators</w:t>
            </w:r>
          </w:p>
        </w:tc>
        <w:tc>
          <w:tcPr>
            <w:tcW w:w="918" w:type="dxa"/>
            <w:vAlign w:val="center"/>
          </w:tcPr>
          <w:p w:rsidRPr="0059770F" w:rsidR="00AA4AAC" w:rsidP="0059770F" w:rsidRDefault="006B7A5D" w14:paraId="26FA96F7"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11</w:t>
            </w:r>
          </w:p>
        </w:tc>
      </w:tr>
      <w:tr w:rsidRPr="0059770F" w:rsidR="006613B8" w:rsidTr="001876EB" w14:paraId="29112F09" w14:textId="77777777">
        <w:trPr>
          <w:trHeight w:val="432"/>
        </w:trPr>
        <w:tc>
          <w:tcPr>
            <w:tcW w:w="1278" w:type="dxa"/>
            <w:vAlign w:val="center"/>
          </w:tcPr>
          <w:p w:rsidRPr="0059770F" w:rsidR="006613B8" w:rsidP="0059770F" w:rsidRDefault="0059770F" w14:paraId="63337F45" w14:textId="77777777">
            <w:pPr>
              <w:pStyle w:val="BodyText"/>
              <w:spacing w:after="0"/>
              <w:ind w:firstLine="0"/>
              <w:rPr>
                <w:rFonts w:asciiTheme="minorHAnsi" w:hAnsiTheme="minorHAnsi" w:cstheme="minorHAnsi"/>
                <w:sz w:val="22"/>
              </w:rPr>
            </w:pPr>
            <w:r>
              <w:rPr>
                <w:rFonts w:asciiTheme="minorHAnsi" w:hAnsiTheme="minorHAnsi" w:cstheme="minorHAnsi"/>
                <w:sz w:val="22"/>
              </w:rPr>
              <w:t>3.8</w:t>
            </w:r>
          </w:p>
        </w:tc>
        <w:tc>
          <w:tcPr>
            <w:tcW w:w="7380" w:type="dxa"/>
            <w:vAlign w:val="center"/>
          </w:tcPr>
          <w:p w:rsidRPr="0059770F" w:rsidR="006613B8" w:rsidP="0059770F" w:rsidRDefault="006613B8" w14:paraId="49A658B3" w14:textId="77777777">
            <w:pPr>
              <w:pStyle w:val="BodyText"/>
              <w:spacing w:after="0"/>
              <w:ind w:firstLine="0"/>
              <w:rPr>
                <w:rFonts w:asciiTheme="minorHAnsi" w:hAnsiTheme="minorHAnsi" w:cstheme="minorHAnsi"/>
                <w:sz w:val="22"/>
              </w:rPr>
            </w:pPr>
            <w:r w:rsidRPr="0059770F">
              <w:rPr>
                <w:rFonts w:asciiTheme="minorHAnsi" w:hAnsiTheme="minorHAnsi" w:cstheme="minorHAnsi"/>
                <w:sz w:val="22"/>
              </w:rPr>
              <w:t>Anticipated Impacts</w:t>
            </w:r>
          </w:p>
        </w:tc>
        <w:tc>
          <w:tcPr>
            <w:tcW w:w="918" w:type="dxa"/>
            <w:vAlign w:val="center"/>
          </w:tcPr>
          <w:p w:rsidRPr="0059770F" w:rsidR="006613B8" w:rsidP="0059770F" w:rsidRDefault="006B7A5D" w14:paraId="0DA5B4AE" w14:textId="13CAF76A">
            <w:pPr>
              <w:pStyle w:val="BodyText"/>
              <w:spacing w:after="0"/>
              <w:ind w:firstLine="0"/>
              <w:rPr>
                <w:rFonts w:asciiTheme="minorHAnsi" w:hAnsiTheme="minorHAnsi" w:cstheme="minorHAnsi"/>
                <w:sz w:val="22"/>
              </w:rPr>
            </w:pPr>
            <w:r w:rsidRPr="0059770F">
              <w:rPr>
                <w:rFonts w:asciiTheme="minorHAnsi" w:hAnsiTheme="minorHAnsi" w:cstheme="minorHAnsi"/>
                <w:sz w:val="22"/>
              </w:rPr>
              <w:t>11</w:t>
            </w:r>
            <w:r w:rsidR="005044AF">
              <w:rPr>
                <w:rFonts w:asciiTheme="minorHAnsi" w:hAnsiTheme="minorHAnsi" w:cstheme="minorHAnsi"/>
                <w:sz w:val="22"/>
              </w:rPr>
              <w:t>-12</w:t>
            </w:r>
          </w:p>
        </w:tc>
      </w:tr>
    </w:tbl>
    <w:p w:rsidRPr="0059770F" w:rsidR="00535E0A" w:rsidP="0059770F" w:rsidRDefault="00535E0A" w14:paraId="13462C1D" w14:textId="77777777">
      <w:pPr>
        <w:pStyle w:val="BodyText"/>
        <w:spacing w:after="0"/>
        <w:ind w:firstLine="0"/>
        <w:jc w:val="center"/>
        <w:rPr>
          <w:rFonts w:asciiTheme="minorHAnsi" w:hAnsiTheme="minorHAnsi" w:cstheme="minorHAnsi"/>
        </w:rPr>
      </w:pPr>
    </w:p>
    <w:p w:rsidRPr="0059770F" w:rsidR="00535E0A" w:rsidP="0059770F" w:rsidRDefault="00535E0A" w14:paraId="0616FEB9" w14:textId="77777777">
      <w:pPr>
        <w:rPr>
          <w:rFonts w:asciiTheme="minorHAnsi" w:hAnsiTheme="minorHAnsi" w:cstheme="minorHAnsi"/>
          <w:b/>
          <w:u w:val="single"/>
        </w:rPr>
      </w:pPr>
      <w:r w:rsidRPr="0059770F">
        <w:rPr>
          <w:rFonts w:asciiTheme="minorHAnsi" w:hAnsiTheme="minorHAnsi" w:cstheme="minorHAnsi"/>
          <w:b/>
          <w:u w:val="single"/>
        </w:rPr>
        <w:br w:type="page"/>
      </w:r>
    </w:p>
    <w:p w:rsidRPr="0059770F" w:rsidR="003A679D" w:rsidP="0059770F" w:rsidRDefault="00535E0A" w14:paraId="3B36BCCC" w14:textId="77777777">
      <w:pPr>
        <w:pStyle w:val="BodyText"/>
        <w:spacing w:after="0"/>
        <w:ind w:firstLine="0"/>
        <w:jc w:val="center"/>
        <w:rPr>
          <w:rFonts w:asciiTheme="minorHAnsi" w:hAnsiTheme="minorHAnsi" w:cstheme="minorHAnsi"/>
          <w:b/>
          <w:u w:val="single"/>
        </w:rPr>
      </w:pPr>
      <w:r w:rsidRPr="0059770F">
        <w:rPr>
          <w:rFonts w:asciiTheme="minorHAnsi" w:hAnsiTheme="minorHAnsi" w:cstheme="minorHAnsi"/>
          <w:b/>
          <w:u w:val="single"/>
        </w:rPr>
        <w:t xml:space="preserve">1. </w:t>
      </w:r>
      <w:r w:rsidRPr="0059770F" w:rsidR="000F0484">
        <w:rPr>
          <w:rFonts w:asciiTheme="minorHAnsi" w:hAnsiTheme="minorHAnsi" w:cstheme="minorHAnsi"/>
          <w:b/>
          <w:u w:val="single"/>
        </w:rPr>
        <w:t>Background</w:t>
      </w:r>
    </w:p>
    <w:p w:rsidRPr="0059770F" w:rsidR="005F3011" w:rsidP="0059770F" w:rsidRDefault="005F3011" w14:paraId="3DF5C3CA" w14:textId="77777777">
      <w:pPr>
        <w:pStyle w:val="BodyText"/>
        <w:spacing w:after="0"/>
        <w:ind w:firstLine="0"/>
        <w:jc w:val="center"/>
        <w:rPr>
          <w:rFonts w:asciiTheme="minorHAnsi" w:hAnsiTheme="minorHAnsi" w:cstheme="minorHAnsi"/>
          <w:b/>
          <w:sz w:val="22"/>
          <w:u w:val="single"/>
        </w:rPr>
      </w:pPr>
    </w:p>
    <w:p w:rsidRPr="0059770F" w:rsidR="009E76FE" w:rsidP="0059770F" w:rsidRDefault="009E76FE" w14:paraId="1864E285" w14:textId="77777777">
      <w:pPr>
        <w:pStyle w:val="BodyText"/>
        <w:spacing w:after="0"/>
        <w:ind w:firstLine="0"/>
        <w:jc w:val="both"/>
        <w:rPr>
          <w:rFonts w:asciiTheme="minorHAnsi" w:hAnsiTheme="minorHAnsi" w:cstheme="minorHAnsi"/>
          <w:sz w:val="22"/>
        </w:rPr>
      </w:pPr>
      <w:r w:rsidRPr="0059770F">
        <w:rPr>
          <w:rFonts w:asciiTheme="minorHAnsi" w:hAnsiTheme="minorHAnsi" w:cstheme="minorHAnsi"/>
          <w:sz w:val="22"/>
        </w:rPr>
        <w:t xml:space="preserve">The </w:t>
      </w:r>
      <w:r w:rsidRPr="0059770F" w:rsidR="0057761E">
        <w:rPr>
          <w:rFonts w:asciiTheme="minorHAnsi" w:hAnsiTheme="minorHAnsi" w:cstheme="minorHAnsi"/>
          <w:sz w:val="22"/>
        </w:rPr>
        <w:t>Asia-Pacific Economic Cooperation (APEC)</w:t>
      </w:r>
      <w:r w:rsidRPr="0059770F">
        <w:rPr>
          <w:rFonts w:asciiTheme="minorHAnsi" w:hAnsiTheme="minorHAnsi" w:cstheme="minorHAnsi"/>
          <w:sz w:val="22"/>
        </w:rPr>
        <w:t xml:space="preserve"> </w:t>
      </w:r>
      <w:r w:rsidRPr="0059770F" w:rsidR="000551C7">
        <w:rPr>
          <w:rFonts w:asciiTheme="minorHAnsi" w:hAnsiTheme="minorHAnsi" w:cstheme="minorHAnsi"/>
          <w:sz w:val="22"/>
        </w:rPr>
        <w:t>Life Sciences Innovation Forum (LSIF) and its</w:t>
      </w:r>
      <w:r w:rsidRPr="0059770F">
        <w:rPr>
          <w:rFonts w:asciiTheme="minorHAnsi" w:hAnsiTheme="minorHAnsi" w:cstheme="minorHAnsi"/>
          <w:sz w:val="22"/>
        </w:rPr>
        <w:t xml:space="preserve"> Regulatory Harmonization Steering Committee (RHSC)</w:t>
      </w:r>
      <w:r w:rsidRPr="0059770F" w:rsidR="00406CEB">
        <w:rPr>
          <w:rFonts w:asciiTheme="minorHAnsi" w:hAnsiTheme="minorHAnsi" w:cstheme="minorHAnsi"/>
          <w:sz w:val="22"/>
        </w:rPr>
        <w:t xml:space="preserve"> adopted </w:t>
      </w:r>
      <w:r w:rsidRPr="0059770F" w:rsidR="000551C7">
        <w:rPr>
          <w:rFonts w:asciiTheme="minorHAnsi" w:hAnsiTheme="minorHAnsi" w:cstheme="minorHAnsi"/>
          <w:sz w:val="22"/>
        </w:rPr>
        <w:t>its strategic plan (</w:t>
      </w:r>
      <w:hyperlink w:history="1" r:id="rId8">
        <w:r w:rsidRPr="0059770F" w:rsidR="000551C7">
          <w:rPr>
            <w:rStyle w:val="Hyperlink"/>
            <w:rFonts w:asciiTheme="minorHAnsi" w:hAnsiTheme="minorHAnsi" w:cstheme="minorHAnsi"/>
            <w:i/>
            <w:sz w:val="22"/>
          </w:rPr>
          <w:t>Vision 2020: A Strategic Framework: Regulatory Convergence for Medical Products by 20</w:t>
        </w:r>
        <w:r w:rsidRPr="0059770F" w:rsidR="008557A8">
          <w:rPr>
            <w:rStyle w:val="Hyperlink"/>
            <w:rFonts w:asciiTheme="minorHAnsi" w:hAnsiTheme="minorHAnsi" w:cstheme="minorHAnsi"/>
            <w:i/>
            <w:sz w:val="22"/>
          </w:rPr>
          <w:t>2</w:t>
        </w:r>
        <w:r w:rsidRPr="0059770F" w:rsidR="000551C7">
          <w:rPr>
            <w:rStyle w:val="Hyperlink"/>
            <w:rFonts w:asciiTheme="minorHAnsi" w:hAnsiTheme="minorHAnsi" w:cstheme="minorHAnsi"/>
            <w:i/>
            <w:sz w:val="22"/>
          </w:rPr>
          <w:t>0</w:t>
        </w:r>
      </w:hyperlink>
      <w:r w:rsidRPr="0059770F" w:rsidR="000551C7">
        <w:rPr>
          <w:rFonts w:asciiTheme="minorHAnsi" w:hAnsiTheme="minorHAnsi" w:cstheme="minorHAnsi"/>
          <w:sz w:val="22"/>
        </w:rPr>
        <w:t xml:space="preserve">) in 2010 in Sendai, Japan. This </w:t>
      </w:r>
      <w:r w:rsidRPr="0059770F" w:rsidR="00406CEB">
        <w:rPr>
          <w:rFonts w:asciiTheme="minorHAnsi" w:hAnsiTheme="minorHAnsi" w:cstheme="minorHAnsi"/>
          <w:sz w:val="22"/>
        </w:rPr>
        <w:t>strategic plan</w:t>
      </w:r>
      <w:r w:rsidRPr="0059770F" w:rsidR="000551C7">
        <w:rPr>
          <w:rFonts w:asciiTheme="minorHAnsi" w:hAnsiTheme="minorHAnsi" w:cstheme="minorHAnsi"/>
          <w:sz w:val="22"/>
        </w:rPr>
        <w:t xml:space="preserve"> provided the basic proposal and rationale for achieving regional regulatory convergence</w:t>
      </w:r>
      <w:r w:rsidRPr="0059770F" w:rsidR="000F0484">
        <w:rPr>
          <w:rFonts w:asciiTheme="minorHAnsi" w:hAnsiTheme="minorHAnsi" w:cstheme="minorHAnsi"/>
          <w:sz w:val="22"/>
        </w:rPr>
        <w:t xml:space="preserve"> </w:t>
      </w:r>
      <w:r w:rsidRPr="0059770F" w:rsidR="000551C7">
        <w:rPr>
          <w:rFonts w:asciiTheme="minorHAnsi" w:hAnsiTheme="minorHAnsi" w:cstheme="minorHAnsi"/>
          <w:sz w:val="22"/>
        </w:rPr>
        <w:t>of medical product</w:t>
      </w:r>
      <w:r w:rsidRPr="0059770F" w:rsidR="005532D0">
        <w:rPr>
          <w:rFonts w:asciiTheme="minorHAnsi" w:hAnsiTheme="minorHAnsi" w:cstheme="minorHAnsi"/>
          <w:sz w:val="22"/>
        </w:rPr>
        <w:t xml:space="preserve"> approval procedures</w:t>
      </w:r>
      <w:r w:rsidRPr="0059770F" w:rsidR="00406CEB">
        <w:rPr>
          <w:rFonts w:asciiTheme="minorHAnsi" w:hAnsiTheme="minorHAnsi" w:cstheme="minorHAnsi"/>
          <w:sz w:val="22"/>
        </w:rPr>
        <w:t xml:space="preserve">, which APEC Ministers reiterated in </w:t>
      </w:r>
      <w:r w:rsidRPr="0059770F" w:rsidR="00FB30BF">
        <w:rPr>
          <w:rFonts w:asciiTheme="minorHAnsi" w:hAnsiTheme="minorHAnsi" w:cstheme="minorHAnsi"/>
          <w:sz w:val="22"/>
        </w:rPr>
        <w:t xml:space="preserve">the </w:t>
      </w:r>
      <w:hyperlink w:history="1" r:id="rId9">
        <w:r w:rsidRPr="0059770F" w:rsidR="00FB30BF">
          <w:rPr>
            <w:rStyle w:val="Hyperlink"/>
            <w:rFonts w:asciiTheme="minorHAnsi" w:hAnsiTheme="minorHAnsi" w:cstheme="minorHAnsi"/>
            <w:sz w:val="22"/>
          </w:rPr>
          <w:t>Joint Ministerial Statement</w:t>
        </w:r>
      </w:hyperlink>
      <w:r w:rsidRPr="0059770F" w:rsidR="00406CEB">
        <w:rPr>
          <w:rFonts w:asciiTheme="minorHAnsi" w:hAnsiTheme="minorHAnsi" w:cstheme="minorHAnsi"/>
          <w:sz w:val="22"/>
        </w:rPr>
        <w:t xml:space="preserve"> in 2011</w:t>
      </w:r>
      <w:r w:rsidRPr="0059770F" w:rsidR="000551C7">
        <w:rPr>
          <w:rFonts w:asciiTheme="minorHAnsi" w:hAnsiTheme="minorHAnsi" w:cstheme="minorHAnsi"/>
          <w:sz w:val="22"/>
        </w:rPr>
        <w:t>.</w:t>
      </w:r>
      <w:r w:rsidRPr="0059770F" w:rsidR="005532D0">
        <w:rPr>
          <w:rFonts w:asciiTheme="minorHAnsi" w:hAnsiTheme="minorHAnsi" w:cstheme="minorHAnsi"/>
          <w:sz w:val="22"/>
        </w:rPr>
        <w:t xml:space="preserve"> While each </w:t>
      </w:r>
      <w:r w:rsidRPr="0059770F" w:rsidR="00753050">
        <w:rPr>
          <w:rFonts w:asciiTheme="minorHAnsi" w:hAnsiTheme="minorHAnsi" w:cstheme="minorHAnsi"/>
          <w:sz w:val="22"/>
        </w:rPr>
        <w:t xml:space="preserve">APEC member </w:t>
      </w:r>
      <w:r w:rsidRPr="0059770F" w:rsidR="005532D0">
        <w:rPr>
          <w:rFonts w:asciiTheme="minorHAnsi" w:hAnsiTheme="minorHAnsi" w:cstheme="minorHAnsi"/>
          <w:sz w:val="22"/>
        </w:rPr>
        <w:t>economy adopted each phase on its own timeframe, the ultimate aim was for APEC economies to achieve as much regulatory convergence as possible by 2020</w:t>
      </w:r>
      <w:r w:rsidRPr="0059770F" w:rsidR="004103BE">
        <w:rPr>
          <w:rFonts w:asciiTheme="minorHAnsi" w:hAnsiTheme="minorHAnsi" w:cstheme="minorHAnsi"/>
          <w:sz w:val="22"/>
        </w:rPr>
        <w:t>.</w:t>
      </w:r>
    </w:p>
    <w:p w:rsidRPr="0059770F" w:rsidR="008F32B1" w:rsidP="0059770F" w:rsidRDefault="008F32B1" w14:paraId="7152BC64" w14:textId="77777777">
      <w:pPr>
        <w:pStyle w:val="BodyText"/>
        <w:spacing w:after="0"/>
        <w:ind w:firstLine="0"/>
        <w:jc w:val="both"/>
        <w:rPr>
          <w:rFonts w:asciiTheme="minorHAnsi" w:hAnsiTheme="minorHAnsi" w:cstheme="minorHAnsi"/>
          <w:sz w:val="22"/>
        </w:rPr>
      </w:pPr>
    </w:p>
    <w:p w:rsidRPr="0059770F" w:rsidR="008F32B1" w:rsidP="0059770F" w:rsidRDefault="008F32B1" w14:paraId="0E122B63" w14:textId="77777777">
      <w:pPr>
        <w:pStyle w:val="BodyText"/>
        <w:spacing w:after="0"/>
        <w:ind w:firstLine="0"/>
        <w:jc w:val="both"/>
        <w:rPr>
          <w:rFonts w:asciiTheme="minorHAnsi" w:hAnsiTheme="minorHAnsi" w:cstheme="minorHAnsi"/>
          <w:sz w:val="22"/>
        </w:rPr>
      </w:pPr>
      <w:r w:rsidRPr="0059770F">
        <w:rPr>
          <w:rFonts w:asciiTheme="minorHAnsi" w:hAnsiTheme="minorHAnsi" w:cstheme="minorHAnsi"/>
          <w:sz w:val="22"/>
        </w:rPr>
        <w:t>Since 2010, the RHSC has facilitated a number of major accomplishments including but not limited to:</w:t>
      </w:r>
    </w:p>
    <w:p w:rsidRPr="0059770F" w:rsidR="008F32B1" w:rsidP="0059770F" w:rsidRDefault="008F32B1" w14:paraId="6A172D89" w14:textId="77777777">
      <w:pPr>
        <w:pStyle w:val="BodyText"/>
        <w:spacing w:after="0"/>
        <w:ind w:firstLine="0"/>
        <w:jc w:val="both"/>
        <w:rPr>
          <w:rFonts w:asciiTheme="minorHAnsi" w:hAnsiTheme="minorHAnsi" w:cstheme="minorHAnsi"/>
          <w:sz w:val="22"/>
        </w:rPr>
      </w:pPr>
    </w:p>
    <w:p w:rsidRPr="0059770F" w:rsidR="008F32B1" w:rsidP="0059770F" w:rsidRDefault="008F32B1" w14:paraId="163ABFEE" w14:textId="77777777">
      <w:pPr>
        <w:pStyle w:val="BodyText"/>
        <w:numPr>
          <w:ilvl w:val="0"/>
          <w:numId w:val="6"/>
        </w:numPr>
        <w:spacing w:after="0"/>
        <w:ind w:left="360" w:hanging="270"/>
        <w:jc w:val="both"/>
        <w:rPr>
          <w:rFonts w:asciiTheme="minorHAnsi" w:hAnsiTheme="minorHAnsi" w:cstheme="minorHAnsi"/>
          <w:sz w:val="22"/>
        </w:rPr>
      </w:pPr>
      <w:r w:rsidRPr="0059770F">
        <w:rPr>
          <w:rFonts w:asciiTheme="minorHAnsi" w:hAnsiTheme="minorHAnsi" w:cstheme="minorHAnsi"/>
          <w:sz w:val="22"/>
        </w:rPr>
        <w:t>Establishment of seven (7) Priority Work Areas (PWAs) including:</w:t>
      </w:r>
    </w:p>
    <w:p w:rsidRPr="0059770F" w:rsidR="008F32B1" w:rsidP="0059770F" w:rsidRDefault="008F32B1" w14:paraId="66E1DB29" w14:textId="77777777">
      <w:pPr>
        <w:pStyle w:val="BodyText"/>
        <w:numPr>
          <w:ilvl w:val="1"/>
          <w:numId w:val="6"/>
        </w:numPr>
        <w:spacing w:after="0"/>
        <w:ind w:left="1080"/>
        <w:jc w:val="both"/>
        <w:rPr>
          <w:rFonts w:asciiTheme="minorHAnsi" w:hAnsiTheme="minorHAnsi" w:cstheme="minorHAnsi"/>
          <w:sz w:val="22"/>
        </w:rPr>
      </w:pPr>
      <w:r w:rsidRPr="0059770F">
        <w:rPr>
          <w:rFonts w:asciiTheme="minorHAnsi" w:hAnsiTheme="minorHAnsi" w:cstheme="minorHAnsi"/>
          <w:sz w:val="22"/>
        </w:rPr>
        <w:t>Multi-Regional Clinical Trials (MRCT) + Good Clinical Practices (GCP) Inspection;</w:t>
      </w:r>
    </w:p>
    <w:p w:rsidRPr="0059770F" w:rsidR="008F32B1" w:rsidP="0059770F" w:rsidRDefault="008F32B1" w14:paraId="01A19B99" w14:textId="77777777">
      <w:pPr>
        <w:pStyle w:val="BodyText"/>
        <w:numPr>
          <w:ilvl w:val="1"/>
          <w:numId w:val="6"/>
        </w:numPr>
        <w:spacing w:after="0"/>
        <w:ind w:left="1080"/>
        <w:jc w:val="both"/>
        <w:rPr>
          <w:rFonts w:asciiTheme="minorHAnsi" w:hAnsiTheme="minorHAnsi" w:cstheme="minorHAnsi"/>
          <w:sz w:val="22"/>
        </w:rPr>
      </w:pPr>
      <w:r w:rsidRPr="0059770F">
        <w:rPr>
          <w:rFonts w:asciiTheme="minorHAnsi" w:hAnsiTheme="minorHAnsi" w:cstheme="minorHAnsi"/>
          <w:sz w:val="22"/>
        </w:rPr>
        <w:t>Good Registration Management (GRM);</w:t>
      </w:r>
    </w:p>
    <w:p w:rsidRPr="0059770F" w:rsidR="008F32B1" w:rsidP="0059770F" w:rsidRDefault="008F32B1" w14:paraId="2FDAFF0B" w14:textId="77777777">
      <w:pPr>
        <w:pStyle w:val="BodyText"/>
        <w:numPr>
          <w:ilvl w:val="1"/>
          <w:numId w:val="6"/>
        </w:numPr>
        <w:spacing w:after="0"/>
        <w:ind w:left="1080"/>
        <w:jc w:val="both"/>
        <w:rPr>
          <w:rFonts w:asciiTheme="minorHAnsi" w:hAnsiTheme="minorHAnsi" w:cstheme="minorHAnsi"/>
          <w:sz w:val="22"/>
        </w:rPr>
      </w:pPr>
      <w:r w:rsidRPr="0059770F">
        <w:rPr>
          <w:rFonts w:asciiTheme="minorHAnsi" w:hAnsiTheme="minorHAnsi" w:cstheme="minorHAnsi"/>
          <w:sz w:val="22"/>
        </w:rPr>
        <w:t>Pharmacovigilance;</w:t>
      </w:r>
    </w:p>
    <w:p w:rsidRPr="0059770F" w:rsidR="008F32B1" w:rsidP="0059770F" w:rsidRDefault="008F32B1" w14:paraId="7F772741" w14:textId="77777777">
      <w:pPr>
        <w:pStyle w:val="BodyText"/>
        <w:numPr>
          <w:ilvl w:val="1"/>
          <w:numId w:val="6"/>
        </w:numPr>
        <w:spacing w:after="0"/>
        <w:ind w:left="1080"/>
        <w:jc w:val="both"/>
        <w:rPr>
          <w:rFonts w:asciiTheme="minorHAnsi" w:hAnsiTheme="minorHAnsi" w:cstheme="minorHAnsi"/>
          <w:sz w:val="22"/>
        </w:rPr>
      </w:pPr>
      <w:r w:rsidRPr="0059770F">
        <w:rPr>
          <w:rFonts w:asciiTheme="minorHAnsi" w:hAnsiTheme="minorHAnsi" w:cstheme="minorHAnsi"/>
          <w:sz w:val="22"/>
        </w:rPr>
        <w:t>Global Supply Chain Integrity;</w:t>
      </w:r>
    </w:p>
    <w:p w:rsidRPr="0059770F" w:rsidR="008F32B1" w:rsidP="0059770F" w:rsidRDefault="008F32B1" w14:paraId="1929E14A" w14:textId="77777777">
      <w:pPr>
        <w:pStyle w:val="BodyText"/>
        <w:numPr>
          <w:ilvl w:val="1"/>
          <w:numId w:val="6"/>
        </w:numPr>
        <w:spacing w:after="0"/>
        <w:ind w:left="1080"/>
        <w:jc w:val="both"/>
        <w:rPr>
          <w:rFonts w:asciiTheme="minorHAnsi" w:hAnsiTheme="minorHAnsi" w:cstheme="minorHAnsi"/>
          <w:sz w:val="22"/>
        </w:rPr>
      </w:pPr>
      <w:r w:rsidRPr="0059770F">
        <w:rPr>
          <w:rFonts w:asciiTheme="minorHAnsi" w:hAnsiTheme="minorHAnsi" w:cstheme="minorHAnsi"/>
          <w:sz w:val="22"/>
        </w:rPr>
        <w:t>Biotherapeutics;</w:t>
      </w:r>
    </w:p>
    <w:p w:rsidRPr="0059770F" w:rsidR="008F32B1" w:rsidP="0059770F" w:rsidRDefault="008F32B1" w14:paraId="76B488B4" w14:textId="77777777">
      <w:pPr>
        <w:pStyle w:val="BodyText"/>
        <w:numPr>
          <w:ilvl w:val="1"/>
          <w:numId w:val="6"/>
        </w:numPr>
        <w:spacing w:after="0"/>
        <w:ind w:left="1080"/>
        <w:jc w:val="both"/>
        <w:rPr>
          <w:rFonts w:asciiTheme="minorHAnsi" w:hAnsiTheme="minorHAnsi" w:cstheme="minorHAnsi"/>
          <w:sz w:val="22"/>
        </w:rPr>
      </w:pPr>
      <w:r w:rsidRPr="0059770F">
        <w:rPr>
          <w:rFonts w:asciiTheme="minorHAnsi" w:hAnsiTheme="minorHAnsi" w:cstheme="minorHAnsi"/>
          <w:sz w:val="22"/>
        </w:rPr>
        <w:t>Advanced Therapies; and,</w:t>
      </w:r>
    </w:p>
    <w:p w:rsidRPr="0059770F" w:rsidR="008F32B1" w:rsidP="0059770F" w:rsidRDefault="008F32B1" w14:paraId="06ED63C5" w14:textId="77777777">
      <w:pPr>
        <w:pStyle w:val="BodyText"/>
        <w:numPr>
          <w:ilvl w:val="1"/>
          <w:numId w:val="6"/>
        </w:numPr>
        <w:spacing w:after="0"/>
        <w:ind w:left="1080"/>
        <w:jc w:val="both"/>
        <w:rPr>
          <w:rFonts w:asciiTheme="minorHAnsi" w:hAnsiTheme="minorHAnsi" w:cstheme="minorHAnsi"/>
          <w:sz w:val="22"/>
        </w:rPr>
      </w:pPr>
      <w:r w:rsidRPr="0059770F">
        <w:rPr>
          <w:rFonts w:asciiTheme="minorHAnsi" w:hAnsiTheme="minorHAnsi" w:cstheme="minorHAnsi"/>
          <w:sz w:val="22"/>
        </w:rPr>
        <w:t>Medical Devices;</w:t>
      </w:r>
    </w:p>
    <w:p w:rsidRPr="0059770F" w:rsidR="008F32B1" w:rsidP="0059770F" w:rsidRDefault="008F32B1" w14:paraId="5C193224" w14:textId="77777777">
      <w:pPr>
        <w:pStyle w:val="BodyText"/>
        <w:spacing w:after="0"/>
        <w:ind w:firstLine="0"/>
        <w:jc w:val="both"/>
        <w:rPr>
          <w:rFonts w:asciiTheme="minorHAnsi" w:hAnsiTheme="minorHAnsi" w:cstheme="minorHAnsi"/>
          <w:sz w:val="22"/>
        </w:rPr>
      </w:pPr>
    </w:p>
    <w:p w:rsidRPr="0059770F" w:rsidR="008F32B1" w:rsidP="0059770F" w:rsidRDefault="008F32B1" w14:paraId="4DA5640C" w14:textId="77777777">
      <w:pPr>
        <w:pStyle w:val="BodyText"/>
        <w:numPr>
          <w:ilvl w:val="0"/>
          <w:numId w:val="6"/>
        </w:numPr>
        <w:spacing w:after="0"/>
        <w:ind w:left="360" w:hanging="270"/>
        <w:jc w:val="both"/>
        <w:rPr>
          <w:rFonts w:asciiTheme="minorHAnsi" w:hAnsiTheme="minorHAnsi" w:cstheme="minorHAnsi"/>
          <w:sz w:val="22"/>
        </w:rPr>
      </w:pPr>
      <w:r w:rsidRPr="0059770F">
        <w:rPr>
          <w:rFonts w:asciiTheme="minorHAnsi" w:hAnsiTheme="minorHAnsi" w:cstheme="minorHAnsi"/>
          <w:sz w:val="22"/>
        </w:rPr>
        <w:t xml:space="preserve">Implementation of a PWA Roadmap in all seven </w:t>
      </w:r>
      <w:r w:rsidRPr="0059770F" w:rsidR="008144D3">
        <w:rPr>
          <w:rFonts w:asciiTheme="minorHAnsi" w:hAnsiTheme="minorHAnsi" w:cstheme="minorHAnsi"/>
          <w:sz w:val="22"/>
        </w:rPr>
        <w:t xml:space="preserve">(7) </w:t>
      </w:r>
      <w:r w:rsidRPr="0059770F">
        <w:rPr>
          <w:rFonts w:asciiTheme="minorHAnsi" w:hAnsiTheme="minorHAnsi" w:cstheme="minorHAnsi"/>
          <w:sz w:val="22"/>
        </w:rPr>
        <w:t>PWAs to define the key issue and its importance, identify gaps in capacity, prioritize needs, develop a strategic program to close those gaps, and evaluate progress along the way;</w:t>
      </w:r>
    </w:p>
    <w:p w:rsidRPr="0059770F" w:rsidR="008F32B1" w:rsidP="0059770F" w:rsidRDefault="008F32B1" w14:paraId="5CFBF973" w14:textId="77777777">
      <w:pPr>
        <w:pStyle w:val="BodyText"/>
        <w:spacing w:after="0"/>
        <w:ind w:left="360" w:hanging="270"/>
        <w:jc w:val="both"/>
        <w:rPr>
          <w:rFonts w:asciiTheme="minorHAnsi" w:hAnsiTheme="minorHAnsi" w:cstheme="minorHAnsi"/>
          <w:sz w:val="22"/>
        </w:rPr>
      </w:pPr>
    </w:p>
    <w:p w:rsidRPr="0059770F" w:rsidR="008F32B1" w:rsidP="0059770F" w:rsidRDefault="008F32B1" w14:paraId="499D897E" w14:textId="77777777">
      <w:pPr>
        <w:pStyle w:val="BodyText"/>
        <w:numPr>
          <w:ilvl w:val="0"/>
          <w:numId w:val="6"/>
        </w:numPr>
        <w:spacing w:after="0"/>
        <w:ind w:left="360" w:hanging="270"/>
        <w:jc w:val="both"/>
        <w:rPr>
          <w:rFonts w:asciiTheme="minorHAnsi" w:hAnsiTheme="minorHAnsi" w:cstheme="minorHAnsi"/>
          <w:sz w:val="22"/>
        </w:rPr>
      </w:pPr>
      <w:r w:rsidRPr="0059770F">
        <w:rPr>
          <w:rFonts w:asciiTheme="minorHAnsi" w:hAnsiTheme="minorHAnsi" w:cstheme="minorHAnsi"/>
          <w:sz w:val="22"/>
        </w:rPr>
        <w:t xml:space="preserve">Establishment of </w:t>
      </w:r>
      <w:r w:rsidRPr="0059770F" w:rsidR="007977F2">
        <w:rPr>
          <w:rFonts w:asciiTheme="minorHAnsi" w:hAnsiTheme="minorHAnsi" w:cstheme="minorHAnsi"/>
          <w:sz w:val="22"/>
        </w:rPr>
        <w:t>24</w:t>
      </w:r>
      <w:r w:rsidRPr="0059770F">
        <w:rPr>
          <w:rFonts w:asciiTheme="minorHAnsi" w:hAnsiTheme="minorHAnsi" w:cstheme="minorHAnsi"/>
          <w:sz w:val="22"/>
        </w:rPr>
        <w:t xml:space="preserve"> </w:t>
      </w:r>
      <w:r w:rsidRPr="0059770F" w:rsidR="007977F2">
        <w:rPr>
          <w:rFonts w:asciiTheme="minorHAnsi" w:hAnsiTheme="minorHAnsi" w:cstheme="minorHAnsi"/>
          <w:sz w:val="22"/>
        </w:rPr>
        <w:t xml:space="preserve">pilot and </w:t>
      </w:r>
      <w:r w:rsidRPr="0059770F" w:rsidR="00E133BB">
        <w:rPr>
          <w:rFonts w:asciiTheme="minorHAnsi" w:hAnsiTheme="minorHAnsi" w:cstheme="minorHAnsi"/>
          <w:sz w:val="22"/>
        </w:rPr>
        <w:t>formal</w:t>
      </w:r>
      <w:r w:rsidRPr="0059770F" w:rsidR="007977F2">
        <w:rPr>
          <w:rFonts w:asciiTheme="minorHAnsi" w:hAnsiTheme="minorHAnsi" w:cstheme="minorHAnsi"/>
          <w:sz w:val="22"/>
        </w:rPr>
        <w:t xml:space="preserve"> </w:t>
      </w:r>
      <w:r w:rsidRPr="0059770F">
        <w:rPr>
          <w:rFonts w:asciiTheme="minorHAnsi" w:hAnsiTheme="minorHAnsi" w:cstheme="minorHAnsi"/>
          <w:sz w:val="22"/>
        </w:rPr>
        <w:t>APEC Training Centers of Excellence for Regulatory Science (CoEs)</w:t>
      </w:r>
      <w:r w:rsidRPr="0059770F" w:rsidR="005708AE">
        <w:rPr>
          <w:rFonts w:asciiTheme="minorHAnsi" w:hAnsiTheme="minorHAnsi" w:cstheme="minorHAnsi"/>
          <w:sz w:val="22"/>
        </w:rPr>
        <w:t xml:space="preserve"> at 16 host institutions</w:t>
      </w:r>
      <w:r w:rsidRPr="0059770F">
        <w:rPr>
          <w:rFonts w:asciiTheme="minorHAnsi" w:hAnsiTheme="minorHAnsi" w:cstheme="minorHAnsi"/>
          <w:sz w:val="22"/>
        </w:rPr>
        <w:t xml:space="preserve"> across nine (9) APEC economies in all seven (7) PWAs to build skilled human capacity, promote dialogue with a view towards sharing understanding in science and best practices, achieve a model of sustainable operation, and avoid duplication of efforts;</w:t>
      </w:r>
    </w:p>
    <w:p w:rsidRPr="0059770F" w:rsidR="008F32B1" w:rsidP="0059770F" w:rsidRDefault="008F32B1" w14:paraId="3BB08303" w14:textId="77777777">
      <w:pPr>
        <w:pStyle w:val="BodyText"/>
        <w:spacing w:after="0"/>
        <w:ind w:left="360" w:hanging="270"/>
        <w:jc w:val="both"/>
        <w:rPr>
          <w:rFonts w:asciiTheme="minorHAnsi" w:hAnsiTheme="minorHAnsi" w:cstheme="minorHAnsi"/>
          <w:sz w:val="22"/>
        </w:rPr>
      </w:pPr>
    </w:p>
    <w:p w:rsidRPr="0059770F" w:rsidR="008F32B1" w:rsidP="0059770F" w:rsidRDefault="008F32B1" w14:paraId="7D9ED491" w14:textId="77777777">
      <w:pPr>
        <w:pStyle w:val="BodyText"/>
        <w:numPr>
          <w:ilvl w:val="0"/>
          <w:numId w:val="6"/>
        </w:numPr>
        <w:spacing w:after="0"/>
        <w:ind w:left="360" w:hanging="270"/>
        <w:jc w:val="both"/>
        <w:rPr>
          <w:rFonts w:asciiTheme="minorHAnsi" w:hAnsiTheme="minorHAnsi" w:cstheme="minorHAnsi"/>
          <w:sz w:val="22"/>
        </w:rPr>
      </w:pPr>
      <w:r w:rsidRPr="0059770F">
        <w:rPr>
          <w:rFonts w:asciiTheme="minorHAnsi" w:hAnsiTheme="minorHAnsi" w:cstheme="minorHAnsi"/>
          <w:sz w:val="22"/>
        </w:rPr>
        <w:t>Development and maintenance of a Core Curriculum in all seven (7) PWAs containing the required elements based on relevant international standards and guidelines from the Roadmap that are needed in order to meet the training objectives of the CoEs;</w:t>
      </w:r>
    </w:p>
    <w:p w:rsidRPr="0059770F" w:rsidR="008F32B1" w:rsidP="0059770F" w:rsidRDefault="008F32B1" w14:paraId="514DADA5" w14:textId="77777777">
      <w:pPr>
        <w:pStyle w:val="BodyText"/>
        <w:spacing w:after="0"/>
        <w:ind w:firstLine="0"/>
        <w:rPr>
          <w:rFonts w:asciiTheme="minorHAnsi" w:hAnsiTheme="minorHAnsi" w:cstheme="minorHAnsi"/>
          <w:sz w:val="22"/>
        </w:rPr>
      </w:pPr>
    </w:p>
    <w:p w:rsidRPr="0059770F" w:rsidR="008F32B1" w:rsidP="0059770F" w:rsidRDefault="008F32B1" w14:paraId="2C0B6D3B" w14:textId="0AB04BD3">
      <w:pPr>
        <w:pStyle w:val="BodyText"/>
        <w:numPr>
          <w:ilvl w:val="0"/>
          <w:numId w:val="6"/>
        </w:numPr>
        <w:spacing w:after="0"/>
        <w:ind w:left="360" w:hanging="270"/>
        <w:rPr>
          <w:rFonts w:asciiTheme="minorHAnsi" w:hAnsiTheme="minorHAnsi" w:cstheme="minorHAnsi"/>
          <w:sz w:val="22"/>
        </w:rPr>
      </w:pPr>
      <w:r w:rsidRPr="0059770F">
        <w:rPr>
          <w:rFonts w:asciiTheme="minorHAnsi" w:hAnsiTheme="minorHAnsi" w:cstheme="minorHAnsi"/>
          <w:sz w:val="22"/>
        </w:rPr>
        <w:t xml:space="preserve">Establishment and monitoring of </w:t>
      </w:r>
      <w:r w:rsidR="00960890">
        <w:rPr>
          <w:rFonts w:asciiTheme="minorHAnsi" w:hAnsiTheme="minorHAnsi" w:cstheme="minorHAnsi"/>
          <w:sz w:val="22"/>
        </w:rPr>
        <w:t>eleven (11</w:t>
      </w:r>
      <w:r w:rsidRPr="0059770F">
        <w:rPr>
          <w:rFonts w:asciiTheme="minorHAnsi" w:hAnsiTheme="minorHAnsi" w:cstheme="minorHAnsi"/>
          <w:sz w:val="22"/>
        </w:rPr>
        <w:t xml:space="preserve">) key performance indicators (KPIs) </w:t>
      </w:r>
      <w:r w:rsidR="007409E1">
        <w:rPr>
          <w:rFonts w:asciiTheme="minorHAnsi" w:hAnsiTheme="minorHAnsi" w:cstheme="minorHAnsi"/>
          <w:sz w:val="22"/>
        </w:rPr>
        <w:t>(</w:t>
      </w:r>
      <w:r w:rsidRPr="00754B70" w:rsidR="007409E1">
        <w:rPr>
          <w:rFonts w:asciiTheme="minorHAnsi" w:hAnsiTheme="minorHAnsi" w:cstheme="minorHAnsi"/>
          <w:i/>
          <w:sz w:val="22"/>
        </w:rPr>
        <w:t xml:space="preserve">see </w:t>
      </w:r>
      <w:r w:rsidR="007409E1">
        <w:rPr>
          <w:rFonts w:asciiTheme="minorHAnsi" w:hAnsiTheme="minorHAnsi" w:cstheme="minorHAnsi"/>
          <w:i/>
          <w:sz w:val="22"/>
        </w:rPr>
        <w:t>origina</w:t>
      </w:r>
      <w:r w:rsidRPr="0095760A" w:rsidR="007409E1">
        <w:rPr>
          <w:rFonts w:asciiTheme="minorHAnsi" w:hAnsiTheme="minorHAnsi" w:cstheme="minorHAnsi"/>
          <w:i/>
          <w:sz w:val="22"/>
        </w:rPr>
        <w:t xml:space="preserve">l </w:t>
      </w:r>
      <w:hyperlink w:history="1" r:id="rId10">
        <w:r w:rsidRPr="0095760A" w:rsidR="007409E1">
          <w:rPr>
            <w:rStyle w:val="Hyperlink"/>
            <w:rFonts w:asciiTheme="minorHAnsi" w:hAnsiTheme="minorHAnsi" w:cstheme="minorHAnsi"/>
            <w:i/>
          </w:rPr>
          <w:t>paper</w:t>
        </w:r>
      </w:hyperlink>
      <w:r w:rsidR="007409E1">
        <w:rPr>
          <w:rFonts w:asciiTheme="minorHAnsi" w:hAnsiTheme="minorHAnsi" w:cstheme="minorHAnsi"/>
          <w:sz w:val="22"/>
        </w:rPr>
        <w:t xml:space="preserve">) </w:t>
      </w:r>
      <w:r w:rsidRPr="0059770F">
        <w:rPr>
          <w:rFonts w:asciiTheme="minorHAnsi" w:hAnsiTheme="minorHAnsi" w:cstheme="minorHAnsi"/>
          <w:sz w:val="22"/>
        </w:rPr>
        <w:t xml:space="preserve">to measure </w:t>
      </w:r>
      <w:r w:rsidR="007409E1">
        <w:rPr>
          <w:rFonts w:asciiTheme="minorHAnsi" w:hAnsiTheme="minorHAnsi" w:cstheme="minorHAnsi"/>
          <w:sz w:val="22"/>
        </w:rPr>
        <w:t xml:space="preserve">and </w:t>
      </w:r>
      <w:hyperlink w:history="1" r:id="rId11">
        <w:r w:rsidRPr="007409E1" w:rsidR="007409E1">
          <w:rPr>
            <w:rStyle w:val="Hyperlink"/>
            <w:rFonts w:asciiTheme="minorHAnsi" w:hAnsiTheme="minorHAnsi" w:cstheme="minorHAnsi"/>
            <w:sz w:val="22"/>
          </w:rPr>
          <w:t>visualize</w:t>
        </w:r>
      </w:hyperlink>
      <w:r w:rsidR="007409E1">
        <w:rPr>
          <w:rFonts w:asciiTheme="minorHAnsi" w:hAnsiTheme="minorHAnsi" w:cstheme="minorHAnsi"/>
          <w:sz w:val="22"/>
        </w:rPr>
        <w:t xml:space="preserve"> </w:t>
      </w:r>
      <w:r w:rsidRPr="0059770F">
        <w:rPr>
          <w:rFonts w:asciiTheme="minorHAnsi" w:hAnsiTheme="minorHAnsi" w:cstheme="minorHAnsi"/>
          <w:sz w:val="22"/>
        </w:rPr>
        <w:t>progress towards achieving regulatory convergence for pharmaceutical products over the last decade and on an annual basis, including:</w:t>
      </w:r>
    </w:p>
    <w:p w:rsidRPr="0059770F" w:rsidR="008F32B1" w:rsidP="0059770F" w:rsidRDefault="008F32B1" w14:paraId="4D6A458D" w14:textId="77777777">
      <w:pPr>
        <w:pStyle w:val="ListParagraph"/>
        <w:numPr>
          <w:ilvl w:val="1"/>
          <w:numId w:val="6"/>
        </w:numPr>
        <w:spacing w:after="0" w:line="240" w:lineRule="auto"/>
        <w:ind w:left="1080"/>
        <w:rPr>
          <w:rFonts w:asciiTheme="minorHAnsi" w:hAnsiTheme="minorHAnsi" w:cstheme="minorHAnsi"/>
          <w:bCs/>
        </w:rPr>
      </w:pPr>
      <w:r w:rsidRPr="0059770F">
        <w:rPr>
          <w:rFonts w:asciiTheme="minorHAnsi" w:hAnsiTheme="minorHAnsi" w:cstheme="minorHAnsi"/>
          <w:bCs/>
        </w:rPr>
        <w:t xml:space="preserve">Number of economies engaging in information sharing; </w:t>
      </w:r>
    </w:p>
    <w:p w:rsidRPr="0059770F" w:rsidR="008F32B1" w:rsidP="0059770F" w:rsidRDefault="008F32B1" w14:paraId="00FB1941" w14:textId="77777777">
      <w:pPr>
        <w:pStyle w:val="ListParagraph"/>
        <w:numPr>
          <w:ilvl w:val="1"/>
          <w:numId w:val="6"/>
        </w:numPr>
        <w:spacing w:after="0" w:line="240" w:lineRule="auto"/>
        <w:ind w:left="1080"/>
        <w:rPr>
          <w:rFonts w:asciiTheme="minorHAnsi" w:hAnsiTheme="minorHAnsi" w:cstheme="minorHAnsi"/>
          <w:bCs/>
        </w:rPr>
      </w:pPr>
      <w:r w:rsidRPr="0059770F">
        <w:rPr>
          <w:rFonts w:asciiTheme="minorHAnsi" w:hAnsiTheme="minorHAnsi" w:cstheme="minorHAnsi"/>
          <w:bCs/>
        </w:rPr>
        <w:t xml:space="preserve">Number of economies establishing confidentiality commitments; </w:t>
      </w:r>
    </w:p>
    <w:p w:rsidRPr="0059770F" w:rsidR="008F32B1" w:rsidP="0059770F" w:rsidRDefault="008F32B1" w14:paraId="3C047CB9" w14:textId="3FC28F73">
      <w:pPr>
        <w:pStyle w:val="ListParagraph"/>
        <w:numPr>
          <w:ilvl w:val="1"/>
          <w:numId w:val="6"/>
        </w:numPr>
        <w:spacing w:after="0" w:line="240" w:lineRule="auto"/>
        <w:ind w:left="1080"/>
        <w:rPr>
          <w:rFonts w:asciiTheme="minorHAnsi" w:hAnsiTheme="minorHAnsi" w:cstheme="minorHAnsi"/>
          <w:bCs/>
        </w:rPr>
      </w:pPr>
      <w:r w:rsidRPr="0059770F">
        <w:rPr>
          <w:rFonts w:asciiTheme="minorHAnsi" w:hAnsiTheme="minorHAnsi" w:cstheme="minorHAnsi"/>
          <w:bCs/>
        </w:rPr>
        <w:t xml:space="preserve">Number of </w:t>
      </w:r>
      <w:r w:rsidRPr="00960890">
        <w:rPr>
          <w:rFonts w:asciiTheme="minorHAnsi" w:hAnsiTheme="minorHAnsi" w:cstheme="minorHAnsi"/>
          <w:bCs/>
        </w:rPr>
        <w:t xml:space="preserve">economies </w:t>
      </w:r>
      <w:r w:rsidRPr="00960890" w:rsidR="00FA0389">
        <w:rPr>
          <w:rFonts w:asciiTheme="minorHAnsi" w:hAnsiTheme="minorHAnsi" w:cstheme="minorHAnsi"/>
          <w:bCs/>
        </w:rPr>
        <w:t>accepting PIC/S</w:t>
      </w:r>
      <w:r w:rsidRPr="00960890">
        <w:rPr>
          <w:rFonts w:asciiTheme="minorHAnsi" w:hAnsiTheme="minorHAnsi" w:cstheme="minorHAnsi"/>
          <w:bCs/>
        </w:rPr>
        <w:t xml:space="preserve"> Good Manufacturing Practices (GMP) certificates</w:t>
      </w:r>
      <w:r w:rsidRPr="00960890" w:rsidR="00FA0389">
        <w:rPr>
          <w:rFonts w:asciiTheme="minorHAnsi" w:hAnsiTheme="minorHAnsi" w:cstheme="minorHAnsi"/>
          <w:bCs/>
        </w:rPr>
        <w:t xml:space="preserve"> to reduce the inspection burden</w:t>
      </w:r>
      <w:r w:rsidRPr="00960890">
        <w:rPr>
          <w:rFonts w:asciiTheme="minorHAnsi" w:hAnsiTheme="minorHAnsi" w:cstheme="minorHAnsi"/>
          <w:bCs/>
        </w:rPr>
        <w:t>;</w:t>
      </w:r>
      <w:r w:rsidRPr="0059770F">
        <w:rPr>
          <w:rFonts w:asciiTheme="minorHAnsi" w:hAnsiTheme="minorHAnsi" w:cstheme="minorHAnsi"/>
          <w:bCs/>
        </w:rPr>
        <w:t xml:space="preserve"> </w:t>
      </w:r>
    </w:p>
    <w:p w:rsidRPr="0059770F" w:rsidR="008F32B1" w:rsidP="0059770F" w:rsidRDefault="008F32B1" w14:paraId="1331A233" w14:textId="77777777">
      <w:pPr>
        <w:pStyle w:val="ListParagraph"/>
        <w:numPr>
          <w:ilvl w:val="1"/>
          <w:numId w:val="6"/>
        </w:numPr>
        <w:spacing w:after="0" w:line="240" w:lineRule="auto"/>
        <w:ind w:left="1080"/>
        <w:rPr>
          <w:rFonts w:asciiTheme="minorHAnsi" w:hAnsiTheme="minorHAnsi" w:cstheme="minorHAnsi"/>
          <w:bCs/>
        </w:rPr>
      </w:pPr>
      <w:r w:rsidRPr="0059770F">
        <w:rPr>
          <w:rFonts w:asciiTheme="minorHAnsi" w:hAnsiTheme="minorHAnsi" w:cstheme="minorHAnsi"/>
          <w:bCs/>
        </w:rPr>
        <w:t>Number of economies establishing Mutual Recognition Agreements (MRAs);</w:t>
      </w:r>
    </w:p>
    <w:p w:rsidRPr="0059770F" w:rsidR="008F32B1" w:rsidP="0059770F" w:rsidRDefault="008F32B1" w14:paraId="72282710" w14:textId="77777777">
      <w:pPr>
        <w:pStyle w:val="ListParagraph"/>
        <w:numPr>
          <w:ilvl w:val="1"/>
          <w:numId w:val="6"/>
        </w:numPr>
        <w:spacing w:after="0" w:line="240" w:lineRule="auto"/>
        <w:ind w:left="1080"/>
        <w:rPr>
          <w:rFonts w:asciiTheme="minorHAnsi" w:hAnsiTheme="minorHAnsi" w:cstheme="minorHAnsi"/>
          <w:bCs/>
        </w:rPr>
      </w:pPr>
      <w:r w:rsidRPr="0059770F">
        <w:rPr>
          <w:rFonts w:asciiTheme="minorHAnsi" w:hAnsiTheme="minorHAnsi" w:cstheme="minorHAnsi"/>
          <w:bCs/>
        </w:rPr>
        <w:t>Number of economies minimizing required Certificates of Pharmaceutical Product (CPPs);</w:t>
      </w:r>
    </w:p>
    <w:p w:rsidR="008F32B1" w:rsidP="0059770F" w:rsidRDefault="008F32B1" w14:paraId="096F74EC" w14:textId="3588ECCC">
      <w:pPr>
        <w:pStyle w:val="ListParagraph"/>
        <w:numPr>
          <w:ilvl w:val="1"/>
          <w:numId w:val="6"/>
        </w:numPr>
        <w:spacing w:after="0" w:line="240" w:lineRule="auto"/>
        <w:ind w:left="1080"/>
        <w:rPr>
          <w:rFonts w:asciiTheme="minorHAnsi" w:hAnsiTheme="minorHAnsi" w:cstheme="minorHAnsi"/>
          <w:bCs/>
        </w:rPr>
      </w:pPr>
      <w:r w:rsidRPr="0059770F">
        <w:rPr>
          <w:rFonts w:asciiTheme="minorHAnsi" w:hAnsiTheme="minorHAnsi" w:cstheme="minorHAnsi"/>
          <w:bCs/>
        </w:rPr>
        <w:t>Number of economies allowing multiple sites in a single license;</w:t>
      </w:r>
    </w:p>
    <w:p w:rsidR="00960890" w:rsidP="00FA0389" w:rsidRDefault="00FA0389" w14:paraId="528DAFA9" w14:textId="77777777">
      <w:pPr>
        <w:pStyle w:val="ListParagraph"/>
        <w:numPr>
          <w:ilvl w:val="1"/>
          <w:numId w:val="6"/>
        </w:numPr>
        <w:spacing w:after="0" w:line="240" w:lineRule="auto"/>
        <w:ind w:left="1080"/>
        <w:rPr>
          <w:rFonts w:asciiTheme="minorHAnsi" w:hAnsiTheme="minorHAnsi" w:cstheme="minorHAnsi"/>
          <w:bCs/>
        </w:rPr>
      </w:pPr>
      <w:r w:rsidRPr="00960890">
        <w:rPr>
          <w:rFonts w:asciiTheme="minorHAnsi" w:hAnsiTheme="minorHAnsi" w:cstheme="minorHAnsi"/>
          <w:bCs/>
        </w:rPr>
        <w:t>Number of economies utilizing reliance practices in the regulatory evaluation</w:t>
      </w:r>
      <w:r w:rsidR="00960890">
        <w:rPr>
          <w:rFonts w:asciiTheme="minorHAnsi" w:hAnsiTheme="minorHAnsi" w:cstheme="minorHAnsi"/>
          <w:bCs/>
        </w:rPr>
        <w:t>;</w:t>
      </w:r>
    </w:p>
    <w:p w:rsidRPr="00960890" w:rsidR="00FA0389" w:rsidP="00FA0389" w:rsidRDefault="00FA0389" w14:paraId="70F9B592" w14:textId="12105C8B">
      <w:pPr>
        <w:pStyle w:val="ListParagraph"/>
        <w:numPr>
          <w:ilvl w:val="1"/>
          <w:numId w:val="6"/>
        </w:numPr>
        <w:spacing w:after="0" w:line="240" w:lineRule="auto"/>
        <w:ind w:left="1080"/>
        <w:rPr>
          <w:rFonts w:asciiTheme="minorHAnsi" w:hAnsiTheme="minorHAnsi" w:cstheme="minorHAnsi"/>
          <w:bCs/>
        </w:rPr>
      </w:pPr>
      <w:r w:rsidRPr="00960890">
        <w:rPr>
          <w:rFonts w:asciiTheme="minorHAnsi" w:hAnsiTheme="minorHAnsi" w:cstheme="minorHAnsi"/>
          <w:bCs/>
        </w:rPr>
        <w:t>Number of economies utiliz</w:t>
      </w:r>
      <w:r w:rsidR="00960890">
        <w:rPr>
          <w:rFonts w:asciiTheme="minorHAnsi" w:hAnsiTheme="minorHAnsi" w:cstheme="minorHAnsi"/>
          <w:bCs/>
        </w:rPr>
        <w:t>ing reliance practices to waive</w:t>
      </w:r>
      <w:r w:rsidRPr="00960890">
        <w:rPr>
          <w:rFonts w:asciiTheme="minorHAnsi" w:hAnsiTheme="minorHAnsi" w:cstheme="minorHAnsi"/>
          <w:bCs/>
        </w:rPr>
        <w:t xml:space="preserve"> </w:t>
      </w:r>
      <w:r w:rsidR="00960890">
        <w:rPr>
          <w:rFonts w:asciiTheme="minorHAnsi" w:hAnsiTheme="minorHAnsi" w:cstheme="minorHAnsi"/>
          <w:bCs/>
        </w:rPr>
        <w:t>secondary quality control</w:t>
      </w:r>
      <w:r w:rsidRPr="00960890">
        <w:rPr>
          <w:rFonts w:asciiTheme="minorHAnsi" w:hAnsiTheme="minorHAnsi" w:cstheme="minorHAnsi"/>
          <w:bCs/>
        </w:rPr>
        <w:t xml:space="preserve"> testing</w:t>
      </w:r>
      <w:r w:rsidR="00960890">
        <w:rPr>
          <w:rFonts w:asciiTheme="minorHAnsi" w:hAnsiTheme="minorHAnsi" w:cstheme="minorHAnsi"/>
          <w:bCs/>
        </w:rPr>
        <w:t>;</w:t>
      </w:r>
    </w:p>
    <w:p w:rsidRPr="00FA0389" w:rsidR="008F32B1" w:rsidP="00FA0389" w:rsidRDefault="008F32B1" w14:paraId="13E528A0" w14:textId="682D372B">
      <w:pPr>
        <w:pStyle w:val="ListParagraph"/>
        <w:numPr>
          <w:ilvl w:val="1"/>
          <w:numId w:val="6"/>
        </w:numPr>
        <w:spacing w:after="0" w:line="240" w:lineRule="auto"/>
        <w:ind w:left="1080"/>
        <w:rPr>
          <w:rFonts w:asciiTheme="minorHAnsi" w:hAnsiTheme="minorHAnsi" w:cstheme="minorHAnsi"/>
          <w:bCs/>
        </w:rPr>
      </w:pPr>
      <w:r w:rsidRPr="00FA0389">
        <w:rPr>
          <w:rFonts w:asciiTheme="minorHAnsi" w:hAnsiTheme="minorHAnsi" w:cstheme="minorHAnsi"/>
          <w:bCs/>
        </w:rPr>
        <w:t xml:space="preserve">Number of economies </w:t>
      </w:r>
      <w:r w:rsidRPr="00FA0389" w:rsidR="00C16725">
        <w:rPr>
          <w:rFonts w:asciiTheme="minorHAnsi" w:hAnsiTheme="minorHAnsi" w:cstheme="minorHAnsi"/>
          <w:bCs/>
        </w:rPr>
        <w:t>in</w:t>
      </w:r>
      <w:r w:rsidRPr="00FA0389">
        <w:rPr>
          <w:rFonts w:asciiTheme="minorHAnsi" w:hAnsiTheme="minorHAnsi" w:cstheme="minorHAnsi"/>
          <w:bCs/>
        </w:rPr>
        <w:t xml:space="preserve"> </w:t>
      </w:r>
      <w:r w:rsidRPr="00FA0389" w:rsidR="00CE2A19">
        <w:rPr>
          <w:rFonts w:asciiTheme="minorHAnsi" w:hAnsiTheme="minorHAnsi" w:cstheme="minorHAnsi"/>
          <w:bCs/>
        </w:rPr>
        <w:t xml:space="preserve">the </w:t>
      </w:r>
      <w:hyperlink w:history="1" r:id="rId12">
        <w:r w:rsidRPr="00FA0389" w:rsidR="00CE2A19">
          <w:rPr>
            <w:rStyle w:val="Hyperlink"/>
            <w:rFonts w:asciiTheme="minorHAnsi" w:hAnsiTheme="minorHAnsi" w:cstheme="minorHAnsi"/>
            <w:bCs/>
          </w:rPr>
          <w:t>International Council on Harmonisation of Technical Requirements for Pharmaceuticals for Human Use</w:t>
        </w:r>
      </w:hyperlink>
      <w:r w:rsidRPr="00FA0389" w:rsidR="00CE2A19">
        <w:rPr>
          <w:rFonts w:asciiTheme="minorHAnsi" w:hAnsiTheme="minorHAnsi" w:cstheme="minorHAnsi"/>
          <w:bCs/>
        </w:rPr>
        <w:t xml:space="preserve"> (ICH);</w:t>
      </w:r>
    </w:p>
    <w:p w:rsidRPr="0059770F" w:rsidR="00CE2A19" w:rsidP="0059770F" w:rsidRDefault="00CE2A19" w14:paraId="59544004" w14:textId="77777777">
      <w:pPr>
        <w:pStyle w:val="ListParagraph"/>
        <w:numPr>
          <w:ilvl w:val="1"/>
          <w:numId w:val="6"/>
        </w:numPr>
        <w:spacing w:after="0" w:line="240" w:lineRule="auto"/>
        <w:ind w:left="1080"/>
        <w:rPr>
          <w:rFonts w:asciiTheme="minorHAnsi" w:hAnsiTheme="minorHAnsi" w:cstheme="minorHAnsi"/>
          <w:bCs/>
        </w:rPr>
      </w:pPr>
      <w:r w:rsidRPr="0059770F">
        <w:rPr>
          <w:rFonts w:asciiTheme="minorHAnsi" w:hAnsiTheme="minorHAnsi" w:cstheme="minorHAnsi"/>
          <w:bCs/>
        </w:rPr>
        <w:t xml:space="preserve">Number of economies </w:t>
      </w:r>
      <w:r w:rsidRPr="0059770F" w:rsidR="00C16725">
        <w:rPr>
          <w:rFonts w:asciiTheme="minorHAnsi" w:hAnsiTheme="minorHAnsi" w:cstheme="minorHAnsi"/>
          <w:bCs/>
        </w:rPr>
        <w:t>in</w:t>
      </w:r>
      <w:r w:rsidRPr="0059770F">
        <w:rPr>
          <w:rFonts w:asciiTheme="minorHAnsi" w:hAnsiTheme="minorHAnsi" w:cstheme="minorHAnsi"/>
          <w:bCs/>
        </w:rPr>
        <w:t xml:space="preserve"> the </w:t>
      </w:r>
      <w:hyperlink w:history="1" r:id="rId13">
        <w:r w:rsidRPr="0059770F">
          <w:rPr>
            <w:rStyle w:val="Hyperlink"/>
            <w:rFonts w:asciiTheme="minorHAnsi" w:hAnsiTheme="minorHAnsi" w:cstheme="minorHAnsi"/>
            <w:bCs/>
          </w:rPr>
          <w:t>International Pharmaceutical Regulators Programme</w:t>
        </w:r>
      </w:hyperlink>
      <w:r w:rsidRPr="0059770F">
        <w:rPr>
          <w:rFonts w:asciiTheme="minorHAnsi" w:hAnsiTheme="minorHAnsi" w:cstheme="minorHAnsi"/>
          <w:bCs/>
        </w:rPr>
        <w:t xml:space="preserve"> (IPRP);</w:t>
      </w:r>
    </w:p>
    <w:p w:rsidRPr="0059770F" w:rsidR="00CE2A19" w:rsidP="0059770F" w:rsidRDefault="00CE2A19" w14:paraId="1028B4A5" w14:textId="77777777">
      <w:pPr>
        <w:pStyle w:val="ListParagraph"/>
        <w:numPr>
          <w:ilvl w:val="1"/>
          <w:numId w:val="6"/>
        </w:numPr>
        <w:spacing w:after="0" w:line="240" w:lineRule="auto"/>
        <w:ind w:left="1080"/>
        <w:rPr>
          <w:rFonts w:asciiTheme="minorHAnsi" w:hAnsiTheme="minorHAnsi" w:cstheme="minorHAnsi"/>
          <w:bCs/>
        </w:rPr>
      </w:pPr>
      <w:r w:rsidRPr="0059770F">
        <w:rPr>
          <w:rFonts w:asciiTheme="minorHAnsi" w:hAnsiTheme="minorHAnsi" w:cstheme="minorHAnsi"/>
          <w:bCs/>
        </w:rPr>
        <w:t xml:space="preserve">Number of economies </w:t>
      </w:r>
      <w:r w:rsidRPr="0059770F" w:rsidR="00C16725">
        <w:rPr>
          <w:rFonts w:asciiTheme="minorHAnsi" w:hAnsiTheme="minorHAnsi" w:cstheme="minorHAnsi"/>
          <w:bCs/>
        </w:rPr>
        <w:t>in</w:t>
      </w:r>
      <w:r w:rsidRPr="0059770F">
        <w:rPr>
          <w:rFonts w:asciiTheme="minorHAnsi" w:hAnsiTheme="minorHAnsi" w:cstheme="minorHAnsi"/>
          <w:bCs/>
        </w:rPr>
        <w:t xml:space="preserve"> the </w:t>
      </w:r>
      <w:hyperlink w:history="1" r:id="rId14">
        <w:r w:rsidRPr="0059770F">
          <w:rPr>
            <w:rStyle w:val="Hyperlink"/>
            <w:rFonts w:asciiTheme="minorHAnsi" w:hAnsiTheme="minorHAnsi" w:cstheme="minorHAnsi"/>
            <w:bCs/>
          </w:rPr>
          <w:t>Pharmaceutical Inspection Co-operation Scheme</w:t>
        </w:r>
      </w:hyperlink>
      <w:r w:rsidRPr="0059770F" w:rsidR="001C6900">
        <w:rPr>
          <w:rFonts w:asciiTheme="minorHAnsi" w:hAnsiTheme="minorHAnsi" w:cstheme="minorHAnsi"/>
          <w:bCs/>
        </w:rPr>
        <w:t xml:space="preserve"> (PIC/S)</w:t>
      </w:r>
      <w:r w:rsidRPr="0059770F" w:rsidR="00C16725">
        <w:rPr>
          <w:rFonts w:asciiTheme="minorHAnsi" w:hAnsiTheme="minorHAnsi" w:cstheme="minorHAnsi"/>
          <w:bCs/>
        </w:rPr>
        <w:t>; and,</w:t>
      </w:r>
    </w:p>
    <w:p w:rsidRPr="0059770F" w:rsidR="008F32B1" w:rsidP="0059770F" w:rsidRDefault="008F32B1" w14:paraId="04A6D398" w14:textId="77777777">
      <w:pPr>
        <w:pStyle w:val="BodyText"/>
        <w:spacing w:after="0"/>
        <w:ind w:firstLine="0"/>
        <w:rPr>
          <w:rFonts w:asciiTheme="minorHAnsi" w:hAnsiTheme="minorHAnsi" w:cstheme="minorHAnsi"/>
          <w:sz w:val="22"/>
        </w:rPr>
      </w:pPr>
    </w:p>
    <w:p w:rsidRPr="0059770F" w:rsidR="00C16725" w:rsidP="0059770F" w:rsidRDefault="00C16725" w14:paraId="0F1023CC" w14:textId="77777777">
      <w:pPr>
        <w:pStyle w:val="BodyText"/>
        <w:numPr>
          <w:ilvl w:val="0"/>
          <w:numId w:val="6"/>
        </w:numPr>
        <w:spacing w:after="0"/>
        <w:ind w:left="360" w:hanging="270"/>
        <w:rPr>
          <w:rFonts w:asciiTheme="minorHAnsi" w:hAnsiTheme="minorHAnsi" w:cstheme="minorHAnsi"/>
          <w:sz w:val="22"/>
        </w:rPr>
      </w:pPr>
      <w:r w:rsidRPr="0059770F">
        <w:rPr>
          <w:rFonts w:asciiTheme="minorHAnsi" w:hAnsiTheme="minorHAnsi" w:cstheme="minorHAnsi"/>
          <w:sz w:val="22"/>
        </w:rPr>
        <w:t xml:space="preserve">Establishment and monitoring of </w:t>
      </w:r>
      <w:r w:rsidRPr="0059770F" w:rsidR="002A6359">
        <w:rPr>
          <w:rFonts w:asciiTheme="minorHAnsi" w:hAnsiTheme="minorHAnsi" w:cstheme="minorHAnsi"/>
          <w:sz w:val="22"/>
        </w:rPr>
        <w:t>eight</w:t>
      </w:r>
      <w:r w:rsidRPr="0059770F">
        <w:rPr>
          <w:rFonts w:asciiTheme="minorHAnsi" w:hAnsiTheme="minorHAnsi" w:cstheme="minorHAnsi"/>
          <w:sz w:val="22"/>
        </w:rPr>
        <w:t xml:space="preserve"> (</w:t>
      </w:r>
      <w:r w:rsidRPr="0059770F" w:rsidR="002A6359">
        <w:rPr>
          <w:rFonts w:asciiTheme="minorHAnsi" w:hAnsiTheme="minorHAnsi" w:cstheme="minorHAnsi"/>
          <w:sz w:val="22"/>
        </w:rPr>
        <w:t>8</w:t>
      </w:r>
      <w:r w:rsidRPr="0059770F">
        <w:rPr>
          <w:rFonts w:asciiTheme="minorHAnsi" w:hAnsiTheme="minorHAnsi" w:cstheme="minorHAnsi"/>
          <w:sz w:val="22"/>
        </w:rPr>
        <w:t>) key performance indicators (KPIs) to measure progress towards achieving regulatory convergence for medical devices over the last decade and on an annual basis, including:</w:t>
      </w:r>
    </w:p>
    <w:p w:rsidRPr="0059770F" w:rsidR="00C16725" w:rsidP="0059770F" w:rsidRDefault="00C16725" w14:paraId="7939F7B6" w14:textId="77777777">
      <w:pPr>
        <w:pStyle w:val="BodyText"/>
        <w:numPr>
          <w:ilvl w:val="1"/>
          <w:numId w:val="6"/>
        </w:numPr>
        <w:spacing w:after="0"/>
        <w:ind w:left="1080"/>
        <w:rPr>
          <w:rFonts w:asciiTheme="minorHAnsi" w:hAnsiTheme="minorHAnsi" w:cstheme="minorHAnsi"/>
          <w:sz w:val="22"/>
        </w:rPr>
      </w:pPr>
      <w:r w:rsidRPr="0059770F">
        <w:rPr>
          <w:rFonts w:asciiTheme="minorHAnsi" w:hAnsiTheme="minorHAnsi" w:cstheme="minorHAnsi"/>
          <w:sz w:val="22"/>
        </w:rPr>
        <w:t xml:space="preserve">Number of economies in the </w:t>
      </w:r>
      <w:hyperlink w:history="1" r:id="rId15">
        <w:r w:rsidRPr="0059770F">
          <w:rPr>
            <w:rStyle w:val="Hyperlink"/>
            <w:rFonts w:asciiTheme="minorHAnsi" w:hAnsiTheme="minorHAnsi" w:cstheme="minorHAnsi"/>
            <w:sz w:val="22"/>
          </w:rPr>
          <w:t>International Medical Device Regulators Forum</w:t>
        </w:r>
      </w:hyperlink>
      <w:r w:rsidRPr="0059770F">
        <w:rPr>
          <w:rFonts w:asciiTheme="minorHAnsi" w:hAnsiTheme="minorHAnsi" w:cstheme="minorHAnsi"/>
          <w:sz w:val="22"/>
        </w:rPr>
        <w:t xml:space="preserve"> (IMDRF);</w:t>
      </w:r>
    </w:p>
    <w:p w:rsidRPr="0059770F" w:rsidR="00CC4844" w:rsidP="0059770F" w:rsidRDefault="00CC4844" w14:paraId="3FE10092" w14:textId="77777777">
      <w:pPr>
        <w:pStyle w:val="BodyText"/>
        <w:numPr>
          <w:ilvl w:val="1"/>
          <w:numId w:val="6"/>
        </w:numPr>
        <w:spacing w:after="0"/>
        <w:ind w:left="1080"/>
        <w:rPr>
          <w:rFonts w:asciiTheme="minorHAnsi" w:hAnsiTheme="minorHAnsi" w:cstheme="minorHAnsi"/>
          <w:sz w:val="22"/>
        </w:rPr>
      </w:pPr>
      <w:r w:rsidRPr="0059770F">
        <w:rPr>
          <w:rFonts w:asciiTheme="minorHAnsi" w:hAnsiTheme="minorHAnsi" w:cstheme="minorHAnsi"/>
          <w:sz w:val="22"/>
        </w:rPr>
        <w:t xml:space="preserve">Number of economies in the </w:t>
      </w:r>
      <w:hyperlink w:history="1" r:id="rId16">
        <w:r w:rsidRPr="0059770F">
          <w:rPr>
            <w:rStyle w:val="Hyperlink"/>
            <w:rFonts w:asciiTheme="minorHAnsi" w:hAnsiTheme="minorHAnsi" w:cstheme="minorHAnsi"/>
            <w:sz w:val="22"/>
          </w:rPr>
          <w:t>Asian Harmonization Working Party</w:t>
        </w:r>
      </w:hyperlink>
      <w:r w:rsidRPr="0059770F">
        <w:rPr>
          <w:rFonts w:asciiTheme="minorHAnsi" w:hAnsiTheme="minorHAnsi" w:cstheme="minorHAnsi"/>
          <w:sz w:val="22"/>
        </w:rPr>
        <w:t xml:space="preserve"> (AHWP);</w:t>
      </w:r>
    </w:p>
    <w:p w:rsidRPr="0059770F" w:rsidR="00CC4844" w:rsidP="0059770F" w:rsidRDefault="002A6359" w14:paraId="35DFB9D4" w14:textId="77777777">
      <w:pPr>
        <w:pStyle w:val="BodyText"/>
        <w:numPr>
          <w:ilvl w:val="1"/>
          <w:numId w:val="6"/>
        </w:numPr>
        <w:spacing w:after="0"/>
        <w:ind w:left="1080"/>
        <w:rPr>
          <w:rFonts w:asciiTheme="minorHAnsi" w:hAnsiTheme="minorHAnsi" w:cstheme="minorHAnsi"/>
          <w:sz w:val="22"/>
        </w:rPr>
      </w:pPr>
      <w:r w:rsidRPr="0059770F">
        <w:rPr>
          <w:rFonts w:asciiTheme="minorHAnsi" w:hAnsiTheme="minorHAnsi" w:cstheme="minorHAnsi"/>
          <w:sz w:val="22"/>
        </w:rPr>
        <w:t>Number of economies in the APEC RHSC;</w:t>
      </w:r>
    </w:p>
    <w:p w:rsidRPr="0059770F" w:rsidR="002A6359" w:rsidP="0059770F" w:rsidRDefault="002A6359" w14:paraId="62E8DD38" w14:textId="77777777">
      <w:pPr>
        <w:pStyle w:val="BodyText"/>
        <w:numPr>
          <w:ilvl w:val="1"/>
          <w:numId w:val="6"/>
        </w:numPr>
        <w:spacing w:after="0"/>
        <w:ind w:left="1080"/>
        <w:rPr>
          <w:rFonts w:asciiTheme="minorHAnsi" w:hAnsiTheme="minorHAnsi" w:cstheme="minorHAnsi"/>
          <w:sz w:val="22"/>
        </w:rPr>
      </w:pPr>
      <w:r w:rsidRPr="0059770F">
        <w:rPr>
          <w:rFonts w:asciiTheme="minorHAnsi" w:hAnsiTheme="minorHAnsi" w:cstheme="minorHAnsi"/>
          <w:sz w:val="22"/>
        </w:rPr>
        <w:t>Number of economies accepting IMDRF Medical Device Single Audit Program reports;</w:t>
      </w:r>
    </w:p>
    <w:p w:rsidRPr="0059770F" w:rsidR="002A6359" w:rsidP="0059770F" w:rsidRDefault="002A6359" w14:paraId="1A7B9A11" w14:textId="77777777">
      <w:pPr>
        <w:pStyle w:val="BodyText"/>
        <w:numPr>
          <w:ilvl w:val="1"/>
          <w:numId w:val="6"/>
        </w:numPr>
        <w:spacing w:after="0"/>
        <w:ind w:left="1080"/>
        <w:rPr>
          <w:rFonts w:asciiTheme="minorHAnsi" w:hAnsiTheme="minorHAnsi" w:cstheme="minorHAnsi"/>
          <w:sz w:val="22"/>
        </w:rPr>
      </w:pPr>
      <w:r w:rsidRPr="0059770F">
        <w:rPr>
          <w:rFonts w:asciiTheme="minorHAnsi" w:hAnsiTheme="minorHAnsi" w:cstheme="minorHAnsi"/>
          <w:sz w:val="22"/>
        </w:rPr>
        <w:t>Number of economies establishing MRAs;</w:t>
      </w:r>
    </w:p>
    <w:p w:rsidRPr="0059770F" w:rsidR="002A6359" w:rsidP="0059770F" w:rsidRDefault="002A6359" w14:paraId="12D24729" w14:textId="77777777">
      <w:pPr>
        <w:pStyle w:val="BodyText"/>
        <w:numPr>
          <w:ilvl w:val="1"/>
          <w:numId w:val="6"/>
        </w:numPr>
        <w:spacing w:after="0"/>
        <w:ind w:left="1080"/>
        <w:rPr>
          <w:rFonts w:asciiTheme="minorHAnsi" w:hAnsiTheme="minorHAnsi" w:cstheme="minorHAnsi"/>
          <w:sz w:val="22"/>
        </w:rPr>
      </w:pPr>
      <w:r w:rsidRPr="0059770F">
        <w:rPr>
          <w:rFonts w:asciiTheme="minorHAnsi" w:hAnsiTheme="minorHAnsi" w:cstheme="minorHAnsi"/>
          <w:sz w:val="22"/>
        </w:rPr>
        <w:t>Number of economies implementing IMDRF/GHTF premarket documents;</w:t>
      </w:r>
    </w:p>
    <w:p w:rsidRPr="0059770F" w:rsidR="002A6359" w:rsidP="0059770F" w:rsidRDefault="002A6359" w14:paraId="2800A03A" w14:textId="77777777">
      <w:pPr>
        <w:pStyle w:val="BodyText"/>
        <w:numPr>
          <w:ilvl w:val="1"/>
          <w:numId w:val="6"/>
        </w:numPr>
        <w:spacing w:after="0"/>
        <w:ind w:left="1080"/>
        <w:rPr>
          <w:rFonts w:asciiTheme="minorHAnsi" w:hAnsiTheme="minorHAnsi" w:cstheme="minorHAnsi"/>
          <w:sz w:val="22"/>
        </w:rPr>
      </w:pPr>
      <w:r w:rsidRPr="0059770F">
        <w:rPr>
          <w:rFonts w:asciiTheme="minorHAnsi" w:hAnsiTheme="minorHAnsi" w:cstheme="minorHAnsi"/>
          <w:sz w:val="22"/>
        </w:rPr>
        <w:t>Number of economies implementing IMDRF/GHTF postmarket documents; and,</w:t>
      </w:r>
    </w:p>
    <w:p w:rsidRPr="0059770F" w:rsidR="00D5496D" w:rsidP="0059770F" w:rsidRDefault="002A6359" w14:paraId="3B0F8A9E" w14:textId="77777777">
      <w:pPr>
        <w:pStyle w:val="BodyText"/>
        <w:numPr>
          <w:ilvl w:val="1"/>
          <w:numId w:val="6"/>
        </w:numPr>
        <w:spacing w:after="0"/>
        <w:ind w:left="1080"/>
        <w:rPr>
          <w:rFonts w:asciiTheme="minorHAnsi" w:hAnsiTheme="minorHAnsi" w:cstheme="minorHAnsi"/>
          <w:sz w:val="22"/>
        </w:rPr>
      </w:pPr>
      <w:r w:rsidRPr="0059770F">
        <w:rPr>
          <w:rFonts w:asciiTheme="minorHAnsi" w:hAnsiTheme="minorHAnsi" w:cstheme="minorHAnsi"/>
          <w:sz w:val="22"/>
        </w:rPr>
        <w:t>Number of economies implementing IMDRF/GHTF quality documents.</w:t>
      </w:r>
    </w:p>
    <w:p w:rsidRPr="0059770F" w:rsidR="00D5496D" w:rsidP="0059770F" w:rsidRDefault="00D5496D" w14:paraId="779192C1" w14:textId="77777777">
      <w:pPr>
        <w:pStyle w:val="BodyText"/>
        <w:spacing w:after="0"/>
        <w:ind w:firstLine="0"/>
        <w:jc w:val="both"/>
        <w:rPr>
          <w:rFonts w:asciiTheme="minorHAnsi" w:hAnsiTheme="minorHAnsi" w:cstheme="minorHAnsi"/>
          <w:sz w:val="22"/>
        </w:rPr>
      </w:pPr>
    </w:p>
    <w:p w:rsidRPr="0059770F" w:rsidR="00442C56" w:rsidP="0059770F" w:rsidRDefault="00442C56" w14:paraId="26B7FDE3" w14:textId="77777777">
      <w:pPr>
        <w:pStyle w:val="BodyText"/>
        <w:spacing w:after="0"/>
        <w:ind w:firstLine="0"/>
        <w:jc w:val="both"/>
        <w:rPr>
          <w:rFonts w:asciiTheme="minorHAnsi" w:hAnsiTheme="minorHAnsi" w:cstheme="minorHAnsi"/>
          <w:sz w:val="22"/>
        </w:rPr>
      </w:pPr>
      <w:r w:rsidRPr="0059770F">
        <w:rPr>
          <w:rFonts w:asciiTheme="minorHAnsi" w:hAnsiTheme="minorHAnsi" w:cstheme="minorHAnsi"/>
          <w:sz w:val="22"/>
        </w:rPr>
        <w:t xml:space="preserve">In August 2019 in Puerto Varas, Chile, the LSIF with support from the APEC Harmonization Center (AHC) organized the </w:t>
      </w:r>
      <w:r w:rsidRPr="0059770F">
        <w:rPr>
          <w:rFonts w:asciiTheme="minorHAnsi" w:hAnsiTheme="minorHAnsi" w:cstheme="minorHAnsi"/>
          <w:i/>
          <w:sz w:val="22"/>
        </w:rPr>
        <w:t>2</w:t>
      </w:r>
      <w:r w:rsidRPr="0059770F">
        <w:rPr>
          <w:rFonts w:asciiTheme="minorHAnsi" w:hAnsiTheme="minorHAnsi" w:cstheme="minorHAnsi"/>
          <w:i/>
          <w:sz w:val="22"/>
          <w:vertAlign w:val="superscript"/>
        </w:rPr>
        <w:t>nd</w:t>
      </w:r>
      <w:r w:rsidRPr="0059770F">
        <w:rPr>
          <w:rFonts w:asciiTheme="minorHAnsi" w:hAnsiTheme="minorHAnsi" w:cstheme="minorHAnsi"/>
          <w:sz w:val="22"/>
        </w:rPr>
        <w:t xml:space="preserve"> </w:t>
      </w:r>
      <w:r w:rsidRPr="0059770F">
        <w:rPr>
          <w:rFonts w:asciiTheme="minorHAnsi" w:hAnsiTheme="minorHAnsi" w:cstheme="minorHAnsi"/>
          <w:i/>
          <w:sz w:val="22"/>
        </w:rPr>
        <w:t>LSIF Policy Dialogue on Innovation, Regulatory Systems, and Regulatory Convergence</w:t>
      </w:r>
      <w:r w:rsidRPr="0059770F">
        <w:rPr>
          <w:rFonts w:asciiTheme="minorHAnsi" w:hAnsiTheme="minorHAnsi" w:cstheme="minorHAnsi"/>
          <w:sz w:val="22"/>
        </w:rPr>
        <w:t>. The Policy Dialogue convened the leaders of pharmaceutical and medical device regulatory authorities and representatives from industry and academia to reflect on a decade of progress towards regulatory convergence in APEC and to envision the next iteration of a strategy for achieving regional regulatory convergence of medical product approval procedures by 2030.</w:t>
      </w:r>
    </w:p>
    <w:p w:rsidRPr="0059770F" w:rsidR="00442C56" w:rsidP="0059770F" w:rsidRDefault="00442C56" w14:paraId="7B93A608" w14:textId="77777777">
      <w:pPr>
        <w:pStyle w:val="BodyText"/>
        <w:spacing w:after="0"/>
        <w:ind w:firstLine="0"/>
        <w:jc w:val="both"/>
        <w:rPr>
          <w:rFonts w:asciiTheme="minorHAnsi" w:hAnsiTheme="minorHAnsi" w:cstheme="minorHAnsi"/>
          <w:sz w:val="22"/>
        </w:rPr>
      </w:pPr>
      <w:bookmarkStart w:name="_GoBack" w:id="0"/>
      <w:bookmarkEnd w:id="0"/>
    </w:p>
    <w:p w:rsidRPr="0059770F" w:rsidR="00442C56" w:rsidP="0059770F" w:rsidRDefault="00442C56" w14:paraId="6A55866D" w14:textId="77777777">
      <w:pPr>
        <w:rPr>
          <w:rFonts w:asciiTheme="minorHAnsi" w:hAnsiTheme="minorHAnsi" w:cstheme="minorHAnsi"/>
          <w:b/>
          <w:u w:val="single"/>
        </w:rPr>
      </w:pPr>
      <w:r w:rsidRPr="0059770F">
        <w:rPr>
          <w:rFonts w:asciiTheme="minorHAnsi" w:hAnsiTheme="minorHAnsi" w:cstheme="minorHAnsi"/>
          <w:b/>
          <w:u w:val="single"/>
        </w:rPr>
        <w:br w:type="page"/>
      </w:r>
    </w:p>
    <w:p w:rsidRPr="0059770F" w:rsidR="00AF1014" w:rsidP="0059770F" w:rsidRDefault="00442C56" w14:paraId="6E12F7CF" w14:textId="77777777">
      <w:pPr>
        <w:pStyle w:val="BodyText"/>
        <w:spacing w:after="0"/>
        <w:ind w:firstLine="0"/>
        <w:jc w:val="center"/>
        <w:rPr>
          <w:rFonts w:asciiTheme="minorHAnsi" w:hAnsiTheme="minorHAnsi" w:cstheme="minorHAnsi"/>
          <w:b/>
          <w:u w:val="single"/>
        </w:rPr>
      </w:pPr>
      <w:r w:rsidRPr="0059770F">
        <w:rPr>
          <w:rFonts w:asciiTheme="minorHAnsi" w:hAnsiTheme="minorHAnsi" w:cstheme="minorHAnsi"/>
          <w:b/>
          <w:u w:val="single"/>
        </w:rPr>
        <w:t xml:space="preserve">2. </w:t>
      </w:r>
      <w:r w:rsidRPr="0059770F" w:rsidR="000F0484">
        <w:rPr>
          <w:rFonts w:asciiTheme="minorHAnsi" w:hAnsiTheme="minorHAnsi" w:cstheme="minorHAnsi"/>
          <w:b/>
          <w:u w:val="single"/>
        </w:rPr>
        <w:t>Purpose</w:t>
      </w:r>
    </w:p>
    <w:p w:rsidRPr="0059770F" w:rsidR="005F3011" w:rsidP="0059770F" w:rsidRDefault="005F3011" w14:paraId="68B9B5D6" w14:textId="77777777">
      <w:pPr>
        <w:pStyle w:val="BodyText"/>
        <w:spacing w:after="0"/>
        <w:ind w:firstLine="0"/>
        <w:rPr>
          <w:rFonts w:asciiTheme="minorHAnsi" w:hAnsiTheme="minorHAnsi" w:cstheme="minorHAnsi"/>
          <w:b/>
          <w:sz w:val="22"/>
          <w:u w:val="single"/>
        </w:rPr>
      </w:pPr>
    </w:p>
    <w:p w:rsidRPr="0059770F" w:rsidR="003A25A0" w:rsidP="0059770F" w:rsidRDefault="00FC437F" w14:paraId="3781B37A" w14:textId="77777777">
      <w:pPr>
        <w:pStyle w:val="BodyText"/>
        <w:spacing w:after="0"/>
        <w:ind w:firstLine="0"/>
        <w:jc w:val="both"/>
        <w:rPr>
          <w:rFonts w:asciiTheme="minorHAnsi" w:hAnsiTheme="minorHAnsi" w:cstheme="minorHAnsi"/>
          <w:sz w:val="22"/>
        </w:rPr>
      </w:pPr>
      <w:r w:rsidRPr="0059770F">
        <w:rPr>
          <w:rFonts w:asciiTheme="minorHAnsi" w:hAnsiTheme="minorHAnsi" w:cstheme="minorHAnsi"/>
          <w:sz w:val="22"/>
        </w:rPr>
        <w:t xml:space="preserve">The purpose </w:t>
      </w:r>
      <w:r w:rsidRPr="0059770F" w:rsidR="002A6359">
        <w:rPr>
          <w:rFonts w:asciiTheme="minorHAnsi" w:hAnsiTheme="minorHAnsi" w:cstheme="minorHAnsi"/>
          <w:sz w:val="22"/>
        </w:rPr>
        <w:t xml:space="preserve">of this document is to outline </w:t>
      </w:r>
      <w:r w:rsidRPr="0059770F" w:rsidR="00442C56">
        <w:rPr>
          <w:rFonts w:asciiTheme="minorHAnsi" w:hAnsiTheme="minorHAnsi" w:cstheme="minorHAnsi"/>
          <w:sz w:val="22"/>
        </w:rPr>
        <w:t>a</w:t>
      </w:r>
      <w:r w:rsidRPr="0059770F">
        <w:rPr>
          <w:rFonts w:asciiTheme="minorHAnsi" w:hAnsiTheme="minorHAnsi" w:cstheme="minorHAnsi"/>
          <w:sz w:val="22"/>
        </w:rPr>
        <w:t xml:space="preserve"> new strategic </w:t>
      </w:r>
      <w:r w:rsidRPr="0059770F" w:rsidR="00BF25B6">
        <w:rPr>
          <w:rFonts w:asciiTheme="minorHAnsi" w:hAnsiTheme="minorHAnsi" w:cstheme="minorHAnsi"/>
          <w:sz w:val="22"/>
        </w:rPr>
        <w:t>framework</w:t>
      </w:r>
      <w:r w:rsidRPr="0059770F" w:rsidR="007E0F67">
        <w:rPr>
          <w:rFonts w:asciiTheme="minorHAnsi" w:hAnsiTheme="minorHAnsi" w:cstheme="minorHAnsi"/>
          <w:sz w:val="22"/>
        </w:rPr>
        <w:t xml:space="preserve"> to 2030</w:t>
      </w:r>
      <w:r w:rsidRPr="0059770F" w:rsidR="00BF25B6">
        <w:rPr>
          <w:rFonts w:asciiTheme="minorHAnsi" w:hAnsiTheme="minorHAnsi" w:cstheme="minorHAnsi"/>
          <w:sz w:val="22"/>
        </w:rPr>
        <w:t xml:space="preserve">—a structured method the RHSC will use to define how it supports the key objectives of its stakeholders including regulatory authorities, </w:t>
      </w:r>
      <w:r w:rsidRPr="0059770F" w:rsidR="002A6359">
        <w:rPr>
          <w:rFonts w:asciiTheme="minorHAnsi" w:hAnsiTheme="minorHAnsi" w:cstheme="minorHAnsi"/>
          <w:sz w:val="22"/>
        </w:rPr>
        <w:t xml:space="preserve">industry, </w:t>
      </w:r>
      <w:r w:rsidRPr="0059770F" w:rsidR="00BF25B6">
        <w:rPr>
          <w:rFonts w:asciiTheme="minorHAnsi" w:hAnsiTheme="minorHAnsi" w:cstheme="minorHAnsi"/>
          <w:sz w:val="22"/>
        </w:rPr>
        <w:t>academia</w:t>
      </w:r>
      <w:r w:rsidRPr="0059770F" w:rsidR="00006D4C">
        <w:rPr>
          <w:rFonts w:asciiTheme="minorHAnsi" w:hAnsiTheme="minorHAnsi" w:cstheme="minorHAnsi"/>
          <w:sz w:val="22"/>
        </w:rPr>
        <w:t>, and scientific organizations</w:t>
      </w:r>
      <w:r w:rsidRPr="0059770F" w:rsidR="00BF25B6">
        <w:rPr>
          <w:rFonts w:asciiTheme="minorHAnsi" w:hAnsiTheme="minorHAnsi" w:cstheme="minorHAnsi"/>
          <w:sz w:val="22"/>
        </w:rPr>
        <w:t xml:space="preserve">. </w:t>
      </w:r>
      <w:r w:rsidRPr="0059770F" w:rsidR="003A25A0">
        <w:rPr>
          <w:rFonts w:asciiTheme="minorHAnsi" w:hAnsiTheme="minorHAnsi" w:cstheme="minorHAnsi"/>
          <w:sz w:val="22"/>
        </w:rPr>
        <w:t>While t</w:t>
      </w:r>
      <w:r w:rsidRPr="0059770F" w:rsidR="00BF25B6">
        <w:rPr>
          <w:rFonts w:asciiTheme="minorHAnsi" w:hAnsiTheme="minorHAnsi" w:cstheme="minorHAnsi"/>
          <w:sz w:val="22"/>
        </w:rPr>
        <w:t>his strategic framework will establish an updated vision, mission, and set of goals for the RHSC</w:t>
      </w:r>
      <w:r w:rsidRPr="0059770F" w:rsidR="003A25A0">
        <w:rPr>
          <w:rFonts w:asciiTheme="minorHAnsi" w:hAnsiTheme="minorHAnsi" w:cstheme="minorHAnsi"/>
          <w:sz w:val="22"/>
        </w:rPr>
        <w:t>, it will more importantly</w:t>
      </w:r>
      <w:r w:rsidRPr="0059770F" w:rsidR="00BF25B6">
        <w:rPr>
          <w:rFonts w:asciiTheme="minorHAnsi" w:hAnsiTheme="minorHAnsi" w:cstheme="minorHAnsi"/>
          <w:sz w:val="22"/>
        </w:rPr>
        <w:t xml:space="preserve"> </w:t>
      </w:r>
      <w:r w:rsidRPr="0059770F" w:rsidR="003A25A0">
        <w:rPr>
          <w:rFonts w:asciiTheme="minorHAnsi" w:hAnsiTheme="minorHAnsi" w:cstheme="minorHAnsi"/>
          <w:sz w:val="22"/>
        </w:rPr>
        <w:t xml:space="preserve">describe how the RHSC will achieve these core elements, and do so </w:t>
      </w:r>
      <w:r w:rsidRPr="0059770F">
        <w:rPr>
          <w:rFonts w:asciiTheme="minorHAnsi" w:hAnsiTheme="minorHAnsi" w:cstheme="minorHAnsi"/>
          <w:sz w:val="22"/>
        </w:rPr>
        <w:t xml:space="preserve">in support of the broader goals of </w:t>
      </w:r>
      <w:r w:rsidRPr="0059770F" w:rsidR="00006D4C">
        <w:rPr>
          <w:rFonts w:asciiTheme="minorHAnsi" w:hAnsiTheme="minorHAnsi" w:cstheme="minorHAnsi"/>
          <w:sz w:val="22"/>
        </w:rPr>
        <w:t xml:space="preserve">access to medical products, </w:t>
      </w:r>
      <w:r w:rsidRPr="0059770F">
        <w:rPr>
          <w:rFonts w:asciiTheme="minorHAnsi" w:hAnsiTheme="minorHAnsi" w:cstheme="minorHAnsi"/>
          <w:sz w:val="22"/>
        </w:rPr>
        <w:t>improved public health</w:t>
      </w:r>
      <w:r w:rsidRPr="0059770F" w:rsidR="00006D4C">
        <w:rPr>
          <w:rFonts w:asciiTheme="minorHAnsi" w:hAnsiTheme="minorHAnsi" w:cstheme="minorHAnsi"/>
          <w:sz w:val="22"/>
        </w:rPr>
        <w:t>,</w:t>
      </w:r>
      <w:r w:rsidRPr="0059770F">
        <w:rPr>
          <w:rFonts w:asciiTheme="minorHAnsi" w:hAnsiTheme="minorHAnsi" w:cstheme="minorHAnsi"/>
          <w:sz w:val="22"/>
        </w:rPr>
        <w:t xml:space="preserve"> and economic develop</w:t>
      </w:r>
      <w:r w:rsidRPr="0059770F" w:rsidR="00006D4C">
        <w:rPr>
          <w:rFonts w:asciiTheme="minorHAnsi" w:hAnsiTheme="minorHAnsi" w:cstheme="minorHAnsi"/>
          <w:sz w:val="22"/>
        </w:rPr>
        <w:t>ment.</w:t>
      </w:r>
    </w:p>
    <w:p w:rsidRPr="0059770F" w:rsidR="008144D3" w:rsidP="0059770F" w:rsidRDefault="008144D3" w14:paraId="05CF15E8" w14:textId="77777777">
      <w:pPr>
        <w:pStyle w:val="BodyText"/>
        <w:spacing w:after="0"/>
        <w:ind w:firstLine="0"/>
        <w:jc w:val="both"/>
        <w:rPr>
          <w:rFonts w:asciiTheme="minorHAnsi" w:hAnsiTheme="minorHAnsi" w:cstheme="minorHAnsi"/>
          <w:sz w:val="22"/>
        </w:rPr>
      </w:pPr>
    </w:p>
    <w:p w:rsidRPr="0059770F" w:rsidR="008144D3" w:rsidP="0059770F" w:rsidRDefault="008144D3" w14:paraId="74881CCD" w14:textId="77777777">
      <w:pPr>
        <w:pStyle w:val="BodyText"/>
        <w:spacing w:after="0"/>
        <w:ind w:firstLine="0"/>
        <w:jc w:val="both"/>
        <w:rPr>
          <w:rFonts w:asciiTheme="minorHAnsi" w:hAnsiTheme="minorHAnsi" w:cstheme="minorHAnsi"/>
          <w:sz w:val="22"/>
        </w:rPr>
      </w:pPr>
      <w:r w:rsidRPr="0059770F">
        <w:rPr>
          <w:rFonts w:asciiTheme="minorHAnsi" w:hAnsiTheme="minorHAnsi" w:cstheme="minorHAnsi"/>
          <w:sz w:val="22"/>
        </w:rPr>
        <w:t xml:space="preserve">The intended audience for this document includes members of the APEC LSIF and APEC LSIF RHSC, including </w:t>
      </w:r>
      <w:r w:rsidRPr="0059770F" w:rsidR="006A7D73">
        <w:rPr>
          <w:rFonts w:asciiTheme="minorHAnsi" w:hAnsiTheme="minorHAnsi" w:cstheme="minorHAnsi"/>
          <w:sz w:val="22"/>
        </w:rPr>
        <w:t>representatives from government</w:t>
      </w:r>
      <w:r w:rsidRPr="0059770F">
        <w:rPr>
          <w:rFonts w:asciiTheme="minorHAnsi" w:hAnsiTheme="minorHAnsi" w:cstheme="minorHAnsi"/>
          <w:sz w:val="22"/>
        </w:rPr>
        <w:t xml:space="preserve">, </w:t>
      </w:r>
      <w:r w:rsidRPr="0059770F" w:rsidR="00245CD4">
        <w:rPr>
          <w:rFonts w:asciiTheme="minorHAnsi" w:hAnsiTheme="minorHAnsi" w:cstheme="minorHAnsi"/>
          <w:sz w:val="22"/>
        </w:rPr>
        <w:t xml:space="preserve">medical product </w:t>
      </w:r>
      <w:r w:rsidRPr="0059770F" w:rsidR="006B7A5D">
        <w:rPr>
          <w:rFonts w:asciiTheme="minorHAnsi" w:hAnsiTheme="minorHAnsi" w:cstheme="minorHAnsi"/>
          <w:sz w:val="22"/>
        </w:rPr>
        <w:t xml:space="preserve">researchers and </w:t>
      </w:r>
      <w:r w:rsidRPr="0059770F" w:rsidR="00245CD4">
        <w:rPr>
          <w:rFonts w:asciiTheme="minorHAnsi" w:hAnsiTheme="minorHAnsi" w:cstheme="minorHAnsi"/>
          <w:sz w:val="22"/>
        </w:rPr>
        <w:t>manufacturers</w:t>
      </w:r>
      <w:r w:rsidRPr="0059770F">
        <w:rPr>
          <w:rFonts w:asciiTheme="minorHAnsi" w:hAnsiTheme="minorHAnsi" w:cstheme="minorHAnsi"/>
          <w:sz w:val="22"/>
        </w:rPr>
        <w:t xml:space="preserve">, </w:t>
      </w:r>
      <w:r w:rsidRPr="0059770F" w:rsidR="006A7D73">
        <w:rPr>
          <w:rFonts w:asciiTheme="minorHAnsi" w:hAnsiTheme="minorHAnsi" w:cstheme="minorHAnsi"/>
          <w:sz w:val="22"/>
        </w:rPr>
        <w:t xml:space="preserve">academia, </w:t>
      </w:r>
      <w:r w:rsidRPr="0059770F">
        <w:rPr>
          <w:rFonts w:asciiTheme="minorHAnsi" w:hAnsiTheme="minorHAnsi" w:cstheme="minorHAnsi"/>
          <w:sz w:val="22"/>
        </w:rPr>
        <w:t xml:space="preserve">and </w:t>
      </w:r>
      <w:r w:rsidRPr="0059770F" w:rsidR="006B7A5D">
        <w:rPr>
          <w:rFonts w:asciiTheme="minorHAnsi" w:hAnsiTheme="minorHAnsi" w:cstheme="minorHAnsi"/>
          <w:sz w:val="22"/>
        </w:rPr>
        <w:t>scientific organizations</w:t>
      </w:r>
      <w:r w:rsidRPr="0059770F">
        <w:rPr>
          <w:rFonts w:asciiTheme="minorHAnsi" w:hAnsiTheme="minorHAnsi" w:cstheme="minorHAnsi"/>
          <w:sz w:val="22"/>
        </w:rPr>
        <w:t xml:space="preserve">; APEC Health Ministers, Trade Ministers, and other Senior Officials; and </w:t>
      </w:r>
      <w:r w:rsidRPr="0059770F" w:rsidR="006B7A5D">
        <w:rPr>
          <w:rFonts w:asciiTheme="minorHAnsi" w:hAnsiTheme="minorHAnsi" w:cstheme="minorHAnsi"/>
          <w:sz w:val="22"/>
        </w:rPr>
        <w:t xml:space="preserve">patients, caregivers, and other </w:t>
      </w:r>
      <w:r w:rsidRPr="0059770F" w:rsidR="00245CD4">
        <w:rPr>
          <w:rFonts w:asciiTheme="minorHAnsi" w:hAnsiTheme="minorHAnsi" w:cstheme="minorHAnsi"/>
          <w:sz w:val="22"/>
        </w:rPr>
        <w:t>end</w:t>
      </w:r>
      <w:r w:rsidRPr="0059770F" w:rsidR="006B7A5D">
        <w:rPr>
          <w:rFonts w:asciiTheme="minorHAnsi" w:hAnsiTheme="minorHAnsi" w:cstheme="minorHAnsi"/>
          <w:sz w:val="22"/>
        </w:rPr>
        <w:t>-users of regulated medical products.</w:t>
      </w:r>
    </w:p>
    <w:p w:rsidRPr="0059770F" w:rsidR="003A25A0" w:rsidP="0059770F" w:rsidRDefault="003A25A0" w14:paraId="24C5D52B" w14:textId="77777777">
      <w:pPr>
        <w:pStyle w:val="BodyText"/>
        <w:spacing w:after="0"/>
        <w:ind w:firstLine="0"/>
        <w:jc w:val="both"/>
        <w:rPr>
          <w:rFonts w:asciiTheme="minorHAnsi" w:hAnsiTheme="minorHAnsi" w:cstheme="minorHAnsi"/>
          <w:sz w:val="22"/>
        </w:rPr>
      </w:pPr>
    </w:p>
    <w:p w:rsidR="00754B70" w:rsidRDefault="00754B70" w14:paraId="5437A86E" w14:textId="77777777">
      <w:pPr>
        <w:spacing w:after="200" w:line="276" w:lineRule="auto"/>
        <w:rPr>
          <w:rFonts w:asciiTheme="minorHAnsi" w:hAnsiTheme="minorHAnsi" w:cstheme="minorHAnsi"/>
          <w:b/>
          <w:u w:val="single"/>
        </w:rPr>
      </w:pPr>
      <w:r>
        <w:rPr>
          <w:rFonts w:asciiTheme="minorHAnsi" w:hAnsiTheme="minorHAnsi" w:cstheme="minorHAnsi"/>
          <w:b/>
          <w:u w:val="single"/>
        </w:rPr>
        <w:br w:type="page"/>
      </w:r>
    </w:p>
    <w:p w:rsidRPr="0059770F" w:rsidR="00140657" w:rsidP="0059770F" w:rsidRDefault="00C63A7F" w14:paraId="222C3257" w14:textId="187178E5">
      <w:pPr>
        <w:pStyle w:val="BodyText"/>
        <w:spacing w:after="0"/>
        <w:ind w:firstLine="0"/>
        <w:jc w:val="center"/>
        <w:rPr>
          <w:rFonts w:asciiTheme="minorHAnsi" w:hAnsiTheme="minorHAnsi" w:cstheme="minorHAnsi"/>
          <w:b/>
          <w:u w:val="single"/>
        </w:rPr>
      </w:pPr>
      <w:r w:rsidRPr="0059770F">
        <w:rPr>
          <w:rFonts w:asciiTheme="minorHAnsi" w:hAnsiTheme="minorHAnsi" w:cstheme="minorHAnsi"/>
          <w:b/>
          <w:u w:val="single"/>
        </w:rPr>
        <w:t xml:space="preserve">3. </w:t>
      </w:r>
      <w:r w:rsidRPr="0059770F" w:rsidR="00140657">
        <w:rPr>
          <w:rFonts w:asciiTheme="minorHAnsi" w:hAnsiTheme="minorHAnsi" w:cstheme="minorHAnsi"/>
          <w:b/>
          <w:u w:val="single"/>
        </w:rPr>
        <w:t>Strategic Framework</w:t>
      </w:r>
    </w:p>
    <w:p w:rsidRPr="0059770F" w:rsidR="00A62597" w:rsidP="0059770F" w:rsidRDefault="00A62597" w14:paraId="14940102" w14:textId="77777777">
      <w:pPr>
        <w:pStyle w:val="BodyText"/>
        <w:spacing w:after="0"/>
        <w:ind w:firstLine="0"/>
        <w:rPr>
          <w:rFonts w:asciiTheme="minorHAnsi" w:hAnsiTheme="minorHAnsi" w:cstheme="minorHAnsi"/>
          <w:b/>
          <w:sz w:val="22"/>
        </w:rPr>
      </w:pPr>
    </w:p>
    <w:p w:rsidRPr="0059770F" w:rsidR="00F66CEC" w:rsidP="0059770F" w:rsidRDefault="00C63A7F" w14:paraId="0CF7758F" w14:textId="77777777">
      <w:pPr>
        <w:pStyle w:val="BodyText"/>
        <w:spacing w:after="0"/>
        <w:ind w:firstLine="0"/>
        <w:rPr>
          <w:rFonts w:asciiTheme="minorHAnsi" w:hAnsiTheme="minorHAnsi" w:cstheme="minorHAnsi"/>
          <w:b/>
          <w:sz w:val="22"/>
          <w:szCs w:val="22"/>
        </w:rPr>
      </w:pPr>
      <w:r w:rsidRPr="0059770F">
        <w:rPr>
          <w:rFonts w:asciiTheme="minorHAnsi" w:hAnsiTheme="minorHAnsi" w:cstheme="minorHAnsi"/>
          <w:b/>
          <w:sz w:val="22"/>
          <w:szCs w:val="22"/>
        </w:rPr>
        <w:t xml:space="preserve">3.1 </w:t>
      </w:r>
      <w:r w:rsidRPr="0059770F" w:rsidR="00F66CEC">
        <w:rPr>
          <w:rFonts w:asciiTheme="minorHAnsi" w:hAnsiTheme="minorHAnsi" w:cstheme="minorHAnsi"/>
          <w:b/>
          <w:sz w:val="22"/>
          <w:szCs w:val="22"/>
        </w:rPr>
        <w:t>Vision</w:t>
      </w:r>
      <w:r w:rsidRPr="0059770F" w:rsidR="00750846">
        <w:rPr>
          <w:rFonts w:asciiTheme="minorHAnsi" w:hAnsiTheme="minorHAnsi" w:cstheme="minorHAnsi"/>
          <w:b/>
          <w:sz w:val="22"/>
          <w:szCs w:val="22"/>
        </w:rPr>
        <w:t xml:space="preserve"> 2030</w:t>
      </w:r>
    </w:p>
    <w:p w:rsidRPr="0059770F" w:rsidR="00750846" w:rsidP="0059770F" w:rsidRDefault="00750846" w14:paraId="0C659B89" w14:textId="77777777">
      <w:pPr>
        <w:pStyle w:val="BodyText"/>
        <w:spacing w:after="0"/>
        <w:ind w:firstLine="0"/>
        <w:rPr>
          <w:rFonts w:asciiTheme="minorHAnsi" w:hAnsiTheme="minorHAnsi" w:cstheme="minorHAnsi"/>
          <w:sz w:val="22"/>
          <w:szCs w:val="22"/>
        </w:rPr>
      </w:pPr>
    </w:p>
    <w:p w:rsidRPr="0059770F" w:rsidR="001F0DC8" w:rsidP="0059770F" w:rsidRDefault="00FA5A01" w14:paraId="310C8D2B" w14:textId="1E1E3DAC">
      <w:pPr>
        <w:pStyle w:val="BodyText"/>
        <w:spacing w:after="0"/>
        <w:ind w:firstLine="0"/>
        <w:jc w:val="both"/>
        <w:rPr>
          <w:rFonts w:asciiTheme="minorHAnsi" w:hAnsiTheme="minorHAnsi" w:cstheme="minorHAnsi"/>
          <w:sz w:val="22"/>
          <w:szCs w:val="22"/>
        </w:rPr>
      </w:pPr>
      <w:r w:rsidRPr="0059770F">
        <w:rPr>
          <w:rFonts w:asciiTheme="minorHAnsi" w:hAnsiTheme="minorHAnsi" w:cstheme="minorHAnsi"/>
          <w:sz w:val="22"/>
          <w:szCs w:val="22"/>
        </w:rPr>
        <w:t>Our vision is t</w:t>
      </w:r>
      <w:r w:rsidRPr="0059770F" w:rsidR="00712A6E">
        <w:rPr>
          <w:rFonts w:asciiTheme="minorHAnsi" w:hAnsiTheme="minorHAnsi" w:cstheme="minorHAnsi"/>
          <w:sz w:val="22"/>
          <w:szCs w:val="22"/>
        </w:rPr>
        <w:t>o accelerate</w:t>
      </w:r>
      <w:r w:rsidRPr="0059770F" w:rsidR="00A11CCE">
        <w:rPr>
          <w:rFonts w:asciiTheme="minorHAnsi" w:hAnsiTheme="minorHAnsi" w:cstheme="minorHAnsi"/>
          <w:sz w:val="22"/>
          <w:szCs w:val="22"/>
        </w:rPr>
        <w:t xml:space="preserve"> </w:t>
      </w:r>
      <w:r w:rsidRPr="0059770F" w:rsidR="001F0DC8">
        <w:rPr>
          <w:rFonts w:asciiTheme="minorHAnsi" w:hAnsiTheme="minorHAnsi" w:cstheme="minorHAnsi"/>
          <w:sz w:val="22"/>
          <w:szCs w:val="22"/>
        </w:rPr>
        <w:t xml:space="preserve">regulatory convergence </w:t>
      </w:r>
      <w:r w:rsidRPr="0059770F" w:rsidR="00712A6E">
        <w:rPr>
          <w:rFonts w:asciiTheme="minorHAnsi" w:hAnsiTheme="minorHAnsi" w:cstheme="minorHAnsi"/>
          <w:sz w:val="22"/>
          <w:szCs w:val="22"/>
        </w:rPr>
        <w:t>for</w:t>
      </w:r>
      <w:r w:rsidRPr="0059770F" w:rsidR="001F0DC8">
        <w:rPr>
          <w:rFonts w:asciiTheme="minorHAnsi" w:hAnsiTheme="minorHAnsi" w:cstheme="minorHAnsi"/>
          <w:sz w:val="22"/>
          <w:szCs w:val="22"/>
        </w:rPr>
        <w:t xml:space="preserve"> medical product</w:t>
      </w:r>
      <w:r w:rsidRPr="0059770F" w:rsidR="00712A6E">
        <w:rPr>
          <w:rFonts w:asciiTheme="minorHAnsi" w:hAnsiTheme="minorHAnsi" w:cstheme="minorHAnsi"/>
          <w:sz w:val="22"/>
          <w:szCs w:val="22"/>
        </w:rPr>
        <w:t>s</w:t>
      </w:r>
      <w:r w:rsidRPr="0059770F" w:rsidR="001F0DC8">
        <w:rPr>
          <w:rFonts w:asciiTheme="minorHAnsi" w:hAnsiTheme="minorHAnsi" w:cstheme="minorHAnsi"/>
          <w:sz w:val="22"/>
          <w:szCs w:val="22"/>
        </w:rPr>
        <w:t xml:space="preserve"> </w:t>
      </w:r>
      <w:r w:rsidRPr="0059770F" w:rsidR="00950EB0">
        <w:rPr>
          <w:rFonts w:asciiTheme="minorHAnsi" w:hAnsiTheme="minorHAnsi" w:cstheme="minorHAnsi"/>
          <w:sz w:val="22"/>
          <w:szCs w:val="22"/>
        </w:rPr>
        <w:t xml:space="preserve">in the APEC region </w:t>
      </w:r>
      <w:r w:rsidRPr="0059770F" w:rsidR="00712A6E">
        <w:rPr>
          <w:rFonts w:asciiTheme="minorHAnsi" w:hAnsiTheme="minorHAnsi" w:cstheme="minorHAnsi"/>
          <w:sz w:val="22"/>
          <w:szCs w:val="22"/>
        </w:rPr>
        <w:t xml:space="preserve">as much as possible </w:t>
      </w:r>
      <w:r w:rsidRPr="0059770F" w:rsidR="00B068D2">
        <w:rPr>
          <w:rFonts w:asciiTheme="minorHAnsi" w:hAnsiTheme="minorHAnsi" w:cstheme="minorHAnsi"/>
          <w:sz w:val="22"/>
          <w:szCs w:val="22"/>
        </w:rPr>
        <w:t xml:space="preserve">by 2030 </w:t>
      </w:r>
      <w:r w:rsidRPr="0059770F" w:rsidR="002E46BD">
        <w:rPr>
          <w:rFonts w:asciiTheme="minorHAnsi" w:hAnsiTheme="minorHAnsi" w:cstheme="minorHAnsi"/>
          <w:sz w:val="22"/>
          <w:szCs w:val="22"/>
        </w:rPr>
        <w:t xml:space="preserve">in order to </w:t>
      </w:r>
      <w:r w:rsidRPr="0059770F" w:rsidR="00950EB0">
        <w:rPr>
          <w:rFonts w:asciiTheme="minorHAnsi" w:hAnsiTheme="minorHAnsi" w:cstheme="minorHAnsi"/>
          <w:sz w:val="22"/>
          <w:szCs w:val="22"/>
        </w:rPr>
        <w:t xml:space="preserve">protect people’s safety, make </w:t>
      </w:r>
      <w:r w:rsidRPr="0059770F" w:rsidR="00BA1140">
        <w:rPr>
          <w:rFonts w:asciiTheme="minorHAnsi" w:hAnsiTheme="minorHAnsi" w:cstheme="minorHAnsi"/>
          <w:sz w:val="22"/>
          <w:szCs w:val="22"/>
        </w:rPr>
        <w:t xml:space="preserve">life-saving </w:t>
      </w:r>
      <w:r w:rsidRPr="0059770F" w:rsidR="00950EB0">
        <w:rPr>
          <w:rFonts w:asciiTheme="minorHAnsi" w:hAnsiTheme="minorHAnsi" w:cstheme="minorHAnsi"/>
          <w:sz w:val="22"/>
          <w:szCs w:val="22"/>
        </w:rPr>
        <w:t xml:space="preserve">products available, save public resources, attract investment, </w:t>
      </w:r>
      <w:r w:rsidR="009C373D">
        <w:rPr>
          <w:rFonts w:asciiTheme="minorHAnsi" w:hAnsiTheme="minorHAnsi" w:cstheme="minorHAnsi"/>
          <w:sz w:val="22"/>
          <w:szCs w:val="22"/>
        </w:rPr>
        <w:t>mitigate</w:t>
      </w:r>
      <w:r w:rsidRPr="0059770F" w:rsidR="009C373D">
        <w:rPr>
          <w:rFonts w:asciiTheme="minorHAnsi" w:hAnsiTheme="minorHAnsi" w:cstheme="minorHAnsi"/>
          <w:sz w:val="22"/>
          <w:szCs w:val="22"/>
        </w:rPr>
        <w:t xml:space="preserve"> </w:t>
      </w:r>
      <w:r w:rsidRPr="0059770F" w:rsidR="00950EB0">
        <w:rPr>
          <w:rFonts w:asciiTheme="minorHAnsi" w:hAnsiTheme="minorHAnsi" w:cstheme="minorHAnsi"/>
          <w:sz w:val="22"/>
          <w:szCs w:val="22"/>
        </w:rPr>
        <w:t>corruption, and improve global standing</w:t>
      </w:r>
      <w:r w:rsidRPr="0059770F" w:rsidR="00114DF2">
        <w:rPr>
          <w:rFonts w:asciiTheme="minorHAnsi" w:hAnsiTheme="minorHAnsi" w:cstheme="minorHAnsi"/>
          <w:sz w:val="22"/>
          <w:szCs w:val="22"/>
        </w:rPr>
        <w:t xml:space="preserve"> </w:t>
      </w:r>
      <w:r w:rsidRPr="0059770F" w:rsidR="00DD2BB9">
        <w:rPr>
          <w:rFonts w:asciiTheme="minorHAnsi" w:hAnsiTheme="minorHAnsi" w:cstheme="minorHAnsi"/>
          <w:sz w:val="22"/>
          <w:szCs w:val="22"/>
        </w:rPr>
        <w:t>in every APEC economy</w:t>
      </w:r>
      <w:r w:rsidRPr="0059770F" w:rsidR="00950EB0">
        <w:rPr>
          <w:rFonts w:asciiTheme="minorHAnsi" w:hAnsiTheme="minorHAnsi" w:cstheme="minorHAnsi"/>
          <w:sz w:val="22"/>
          <w:szCs w:val="22"/>
        </w:rPr>
        <w:t>.</w:t>
      </w:r>
    </w:p>
    <w:p w:rsidRPr="0059770F" w:rsidR="00DC23F3" w:rsidP="0059770F" w:rsidRDefault="00DC23F3" w14:paraId="49907F84" w14:textId="77777777">
      <w:pPr>
        <w:pStyle w:val="BodyText"/>
        <w:spacing w:after="0"/>
        <w:ind w:firstLine="0"/>
        <w:rPr>
          <w:rFonts w:asciiTheme="minorHAnsi" w:hAnsiTheme="minorHAnsi" w:cstheme="minorHAnsi"/>
          <w:sz w:val="22"/>
          <w:szCs w:val="22"/>
        </w:rPr>
      </w:pPr>
    </w:p>
    <w:p w:rsidRPr="0059770F" w:rsidR="007D6A83" w:rsidP="0059770F" w:rsidRDefault="00C63A7F" w14:paraId="4778BD13" w14:textId="77777777">
      <w:pPr>
        <w:pStyle w:val="BodyText"/>
        <w:spacing w:after="0"/>
        <w:ind w:firstLine="0"/>
        <w:rPr>
          <w:rFonts w:asciiTheme="minorHAnsi" w:hAnsiTheme="minorHAnsi" w:cstheme="minorHAnsi"/>
          <w:b/>
          <w:sz w:val="22"/>
          <w:szCs w:val="22"/>
        </w:rPr>
      </w:pPr>
      <w:r w:rsidRPr="0059770F">
        <w:rPr>
          <w:rFonts w:asciiTheme="minorHAnsi" w:hAnsiTheme="minorHAnsi" w:cstheme="minorHAnsi"/>
          <w:b/>
          <w:sz w:val="22"/>
          <w:szCs w:val="22"/>
        </w:rPr>
        <w:t xml:space="preserve">3.2 </w:t>
      </w:r>
      <w:r w:rsidRPr="0059770F" w:rsidR="007D6A83">
        <w:rPr>
          <w:rFonts w:asciiTheme="minorHAnsi" w:hAnsiTheme="minorHAnsi" w:cstheme="minorHAnsi"/>
          <w:b/>
          <w:sz w:val="22"/>
          <w:szCs w:val="22"/>
        </w:rPr>
        <w:t>Mission</w:t>
      </w:r>
    </w:p>
    <w:p w:rsidRPr="0059770F" w:rsidR="007D6A83" w:rsidP="0059770F" w:rsidRDefault="007D6A83" w14:paraId="7DFA5EBC" w14:textId="77777777">
      <w:pPr>
        <w:pStyle w:val="BodyText"/>
        <w:spacing w:after="0"/>
        <w:ind w:firstLine="0"/>
        <w:rPr>
          <w:rFonts w:asciiTheme="minorHAnsi" w:hAnsiTheme="minorHAnsi" w:cstheme="minorHAnsi"/>
          <w:b/>
          <w:sz w:val="22"/>
          <w:szCs w:val="22"/>
        </w:rPr>
      </w:pPr>
    </w:p>
    <w:p w:rsidRPr="0059770F" w:rsidR="00AA4AAC" w:rsidP="0059770F" w:rsidRDefault="00AA4AAC" w14:paraId="09115487" w14:textId="77777777">
      <w:pPr>
        <w:pStyle w:val="BodyText"/>
        <w:spacing w:after="0"/>
        <w:ind w:firstLine="0"/>
        <w:jc w:val="both"/>
        <w:rPr>
          <w:rFonts w:asciiTheme="minorHAnsi" w:hAnsiTheme="minorHAnsi" w:cstheme="minorHAnsi"/>
          <w:sz w:val="22"/>
        </w:rPr>
      </w:pPr>
      <w:r w:rsidRPr="0059770F">
        <w:rPr>
          <w:rFonts w:asciiTheme="minorHAnsi" w:hAnsiTheme="minorHAnsi" w:cstheme="minorHAnsi"/>
          <w:sz w:val="22"/>
          <w:szCs w:val="22"/>
        </w:rPr>
        <w:t xml:space="preserve">Our mission is to facilitate regulatory cooperation among medical product regulatory authorities, build human capacity in regulatory science among medical product regulatory </w:t>
      </w:r>
      <w:r w:rsidRPr="0059770F" w:rsidR="00F5669B">
        <w:rPr>
          <w:rFonts w:asciiTheme="minorHAnsi" w:hAnsiTheme="minorHAnsi" w:cstheme="minorHAnsi"/>
          <w:sz w:val="22"/>
          <w:szCs w:val="22"/>
        </w:rPr>
        <w:t>staff</w:t>
      </w:r>
      <w:r w:rsidRPr="0059770F">
        <w:rPr>
          <w:rFonts w:asciiTheme="minorHAnsi" w:hAnsiTheme="minorHAnsi" w:cstheme="minorHAnsi"/>
          <w:sz w:val="22"/>
          <w:szCs w:val="22"/>
        </w:rPr>
        <w:t>, and promote political will for convergence</w:t>
      </w:r>
      <w:r w:rsidRPr="0059770F" w:rsidR="00D9100C">
        <w:rPr>
          <w:rFonts w:asciiTheme="minorHAnsi" w:hAnsiTheme="minorHAnsi" w:cstheme="minorHAnsi"/>
          <w:sz w:val="22"/>
          <w:szCs w:val="22"/>
        </w:rPr>
        <w:t xml:space="preserve"> and reliance</w:t>
      </w:r>
      <w:r w:rsidRPr="0059770F">
        <w:rPr>
          <w:rFonts w:asciiTheme="minorHAnsi" w:hAnsiTheme="minorHAnsi" w:cstheme="minorHAnsi"/>
          <w:sz w:val="22"/>
          <w:szCs w:val="22"/>
        </w:rPr>
        <w:t xml:space="preserve"> among regulatory policymakers in APEC.</w:t>
      </w:r>
    </w:p>
    <w:p w:rsidRPr="0059770F" w:rsidR="007E7CC6" w:rsidP="0059770F" w:rsidRDefault="007E7CC6" w14:paraId="78E466D4" w14:textId="77777777">
      <w:pPr>
        <w:pStyle w:val="BodyText"/>
        <w:spacing w:after="0"/>
        <w:ind w:firstLine="0"/>
        <w:jc w:val="both"/>
        <w:rPr>
          <w:rFonts w:asciiTheme="minorHAnsi" w:hAnsiTheme="minorHAnsi" w:cstheme="minorHAnsi"/>
          <w:sz w:val="22"/>
          <w:szCs w:val="22"/>
        </w:rPr>
      </w:pPr>
    </w:p>
    <w:p w:rsidRPr="0059770F" w:rsidR="006E7A00" w:rsidP="0059770F" w:rsidRDefault="00C63A7F" w14:paraId="6D49BE29" w14:textId="77777777">
      <w:pPr>
        <w:pStyle w:val="BodyText"/>
        <w:spacing w:after="0"/>
        <w:ind w:firstLine="0"/>
        <w:rPr>
          <w:rFonts w:asciiTheme="minorHAnsi" w:hAnsiTheme="minorHAnsi" w:cstheme="minorHAnsi"/>
          <w:b/>
          <w:sz w:val="22"/>
          <w:szCs w:val="22"/>
        </w:rPr>
      </w:pPr>
      <w:r w:rsidRPr="0059770F">
        <w:rPr>
          <w:rFonts w:asciiTheme="minorHAnsi" w:hAnsiTheme="minorHAnsi" w:cstheme="minorHAnsi"/>
          <w:b/>
          <w:sz w:val="22"/>
          <w:szCs w:val="22"/>
        </w:rPr>
        <w:t xml:space="preserve">3.3 </w:t>
      </w:r>
      <w:r w:rsidRPr="0059770F" w:rsidR="004B01EA">
        <w:rPr>
          <w:rFonts w:asciiTheme="minorHAnsi" w:hAnsiTheme="minorHAnsi" w:cstheme="minorHAnsi"/>
          <w:b/>
          <w:sz w:val="22"/>
          <w:szCs w:val="22"/>
        </w:rPr>
        <w:t>Values</w:t>
      </w:r>
    </w:p>
    <w:p w:rsidRPr="0059770F" w:rsidR="00BD4232" w:rsidP="0059770F" w:rsidRDefault="00BD4232" w14:paraId="41112182" w14:textId="77777777">
      <w:pPr>
        <w:pStyle w:val="BodyText"/>
        <w:spacing w:after="0"/>
        <w:ind w:firstLine="0"/>
        <w:rPr>
          <w:rFonts w:asciiTheme="minorHAnsi" w:hAnsiTheme="minorHAnsi" w:cstheme="minorHAnsi"/>
          <w:b/>
          <w:sz w:val="22"/>
          <w:szCs w:val="22"/>
        </w:rPr>
      </w:pPr>
    </w:p>
    <w:p w:rsidRPr="0059770F" w:rsidR="00B83313" w:rsidP="0059770F" w:rsidRDefault="00B83313" w14:paraId="493F4062" w14:textId="147CE9AC">
      <w:pPr>
        <w:pStyle w:val="BodyText"/>
        <w:spacing w:after="0"/>
        <w:ind w:firstLine="0"/>
        <w:rPr>
          <w:rFonts w:asciiTheme="minorHAnsi" w:hAnsiTheme="minorHAnsi" w:cstheme="minorHAnsi"/>
          <w:sz w:val="22"/>
          <w:szCs w:val="22"/>
        </w:rPr>
      </w:pPr>
      <w:r w:rsidRPr="0059770F">
        <w:rPr>
          <w:rFonts w:asciiTheme="minorHAnsi" w:hAnsiTheme="minorHAnsi" w:cstheme="minorHAnsi"/>
          <w:sz w:val="22"/>
          <w:szCs w:val="22"/>
        </w:rPr>
        <w:t xml:space="preserve">Our </w:t>
      </w:r>
      <w:r w:rsidRPr="0059770F" w:rsidR="007453EB">
        <w:rPr>
          <w:rFonts w:asciiTheme="minorHAnsi" w:hAnsiTheme="minorHAnsi" w:cstheme="minorHAnsi"/>
          <w:sz w:val="22"/>
          <w:szCs w:val="22"/>
        </w:rPr>
        <w:t xml:space="preserve">values describe the individual and organizational behaviors that will </w:t>
      </w:r>
      <w:r w:rsidRPr="0059770F" w:rsidR="009D3E61">
        <w:rPr>
          <w:rFonts w:asciiTheme="minorHAnsi" w:hAnsiTheme="minorHAnsi" w:cstheme="minorHAnsi"/>
          <w:sz w:val="22"/>
          <w:szCs w:val="22"/>
        </w:rPr>
        <w:t>enable</w:t>
      </w:r>
      <w:r w:rsidRPr="0059770F" w:rsidR="007453EB">
        <w:rPr>
          <w:rFonts w:asciiTheme="minorHAnsi" w:hAnsiTheme="minorHAnsi" w:cstheme="minorHAnsi"/>
          <w:sz w:val="22"/>
          <w:szCs w:val="22"/>
        </w:rPr>
        <w:t xml:space="preserve"> the RHSC </w:t>
      </w:r>
      <w:r w:rsidRPr="0059770F" w:rsidR="009D3E61">
        <w:rPr>
          <w:rFonts w:asciiTheme="minorHAnsi" w:hAnsiTheme="minorHAnsi" w:cstheme="minorHAnsi"/>
          <w:sz w:val="22"/>
          <w:szCs w:val="22"/>
        </w:rPr>
        <w:t>to achieve the mission and live the vision, to accelerate regulatory convergence</w:t>
      </w:r>
      <w:r w:rsidR="00F45318">
        <w:rPr>
          <w:rFonts w:asciiTheme="minorHAnsi" w:hAnsiTheme="minorHAnsi" w:cstheme="minorHAnsi"/>
          <w:sz w:val="22"/>
          <w:szCs w:val="22"/>
        </w:rPr>
        <w:t xml:space="preserve"> and reliance</w:t>
      </w:r>
      <w:r w:rsidRPr="0059770F" w:rsidR="009D3E61">
        <w:rPr>
          <w:rFonts w:asciiTheme="minorHAnsi" w:hAnsiTheme="minorHAnsi" w:cstheme="minorHAnsi"/>
          <w:sz w:val="22"/>
          <w:szCs w:val="22"/>
        </w:rPr>
        <w:t>.</w:t>
      </w:r>
    </w:p>
    <w:p w:rsidRPr="0059770F" w:rsidR="00B83313" w:rsidP="0059770F" w:rsidRDefault="00B83313" w14:paraId="1A95C65F" w14:textId="77777777">
      <w:pPr>
        <w:pStyle w:val="BodyText"/>
        <w:spacing w:after="0"/>
        <w:ind w:firstLine="0"/>
        <w:jc w:val="both"/>
        <w:rPr>
          <w:rFonts w:asciiTheme="minorHAnsi" w:hAnsiTheme="minorHAnsi" w:cstheme="minorHAnsi"/>
          <w:b/>
          <w:sz w:val="22"/>
          <w:szCs w:val="22"/>
        </w:rPr>
      </w:pPr>
    </w:p>
    <w:p w:rsidRPr="0059770F" w:rsidR="00065339" w:rsidP="0059770F" w:rsidRDefault="00BD4232" w14:paraId="7EE7EB05" w14:textId="3B121636">
      <w:pPr>
        <w:pStyle w:val="BodyText"/>
        <w:numPr>
          <w:ilvl w:val="0"/>
          <w:numId w:val="23"/>
        </w:numPr>
        <w:spacing w:after="0"/>
        <w:jc w:val="both"/>
        <w:rPr>
          <w:rFonts w:asciiTheme="minorHAnsi" w:hAnsiTheme="minorHAnsi" w:cstheme="minorHAnsi"/>
          <w:sz w:val="22"/>
          <w:szCs w:val="22"/>
        </w:rPr>
      </w:pPr>
      <w:r w:rsidRPr="0059770F">
        <w:rPr>
          <w:rFonts w:asciiTheme="minorHAnsi" w:hAnsiTheme="minorHAnsi" w:cstheme="minorHAnsi"/>
          <w:sz w:val="22"/>
          <w:szCs w:val="22"/>
        </w:rPr>
        <w:t>Clarity</w:t>
      </w:r>
      <w:r w:rsidRPr="0059770F" w:rsidR="00065339">
        <w:rPr>
          <w:rFonts w:asciiTheme="minorHAnsi" w:hAnsiTheme="minorHAnsi" w:cstheme="minorHAnsi"/>
          <w:sz w:val="22"/>
          <w:szCs w:val="22"/>
        </w:rPr>
        <w:t xml:space="preserve"> of the course ahead</w:t>
      </w:r>
      <w:r w:rsidRPr="0059770F" w:rsidR="00797FBD">
        <w:rPr>
          <w:rFonts w:asciiTheme="minorHAnsi" w:hAnsiTheme="minorHAnsi" w:cstheme="minorHAnsi"/>
          <w:sz w:val="22"/>
          <w:szCs w:val="22"/>
        </w:rPr>
        <w:t xml:space="preserve"> – </w:t>
      </w:r>
      <w:r w:rsidRPr="0059770F" w:rsidR="00B54E99">
        <w:rPr>
          <w:rFonts w:asciiTheme="minorHAnsi" w:hAnsiTheme="minorHAnsi" w:cstheme="minorHAnsi"/>
          <w:sz w:val="22"/>
          <w:szCs w:val="22"/>
        </w:rPr>
        <w:t xml:space="preserve">we value </w:t>
      </w:r>
      <w:r w:rsidRPr="0059770F" w:rsidR="00813F5A">
        <w:rPr>
          <w:rFonts w:asciiTheme="minorHAnsi" w:hAnsiTheme="minorHAnsi" w:cstheme="minorHAnsi"/>
          <w:sz w:val="22"/>
          <w:szCs w:val="22"/>
        </w:rPr>
        <w:t xml:space="preserve">clear goals and strategies, and the </w:t>
      </w:r>
      <w:r w:rsidRPr="0059770F" w:rsidR="00B54E99">
        <w:rPr>
          <w:rFonts w:asciiTheme="minorHAnsi" w:hAnsiTheme="minorHAnsi" w:cstheme="minorHAnsi"/>
          <w:sz w:val="22"/>
          <w:szCs w:val="22"/>
        </w:rPr>
        <w:t>practice of</w:t>
      </w:r>
      <w:r w:rsidRPr="0059770F" w:rsidR="00813F5A">
        <w:rPr>
          <w:rFonts w:asciiTheme="minorHAnsi" w:hAnsiTheme="minorHAnsi" w:cstheme="minorHAnsi"/>
          <w:sz w:val="22"/>
          <w:szCs w:val="22"/>
        </w:rPr>
        <w:t xml:space="preserve"> horizon scanning to </w:t>
      </w:r>
      <w:r w:rsidRPr="0059770F" w:rsidR="00B54E99">
        <w:rPr>
          <w:rFonts w:asciiTheme="minorHAnsi" w:hAnsiTheme="minorHAnsi" w:cstheme="minorHAnsi"/>
          <w:sz w:val="22"/>
          <w:szCs w:val="22"/>
        </w:rPr>
        <w:t>inform decision makers about possible future opportunities and threats</w:t>
      </w:r>
      <w:r w:rsidR="009C2DB1">
        <w:rPr>
          <w:rFonts w:asciiTheme="minorHAnsi" w:hAnsiTheme="minorHAnsi" w:cstheme="minorHAnsi"/>
          <w:sz w:val="22"/>
          <w:szCs w:val="22"/>
        </w:rPr>
        <w:t>.</w:t>
      </w:r>
    </w:p>
    <w:p w:rsidRPr="0059770F" w:rsidR="00BD4232" w:rsidP="0059770F" w:rsidRDefault="00BD4232" w14:paraId="22302E15" w14:textId="77777777">
      <w:pPr>
        <w:pStyle w:val="BodyText"/>
        <w:numPr>
          <w:ilvl w:val="0"/>
          <w:numId w:val="23"/>
        </w:numPr>
        <w:spacing w:after="0"/>
        <w:jc w:val="both"/>
        <w:rPr>
          <w:rFonts w:asciiTheme="minorHAnsi" w:hAnsiTheme="minorHAnsi" w:cstheme="minorHAnsi"/>
          <w:sz w:val="22"/>
          <w:szCs w:val="22"/>
        </w:rPr>
      </w:pPr>
      <w:r w:rsidRPr="0059770F">
        <w:rPr>
          <w:rFonts w:asciiTheme="minorHAnsi" w:hAnsiTheme="minorHAnsi" w:cstheme="minorHAnsi"/>
          <w:sz w:val="22"/>
          <w:szCs w:val="22"/>
        </w:rPr>
        <w:t xml:space="preserve">Centrality </w:t>
      </w:r>
      <w:r w:rsidRPr="0059770F" w:rsidR="00797FBD">
        <w:rPr>
          <w:rFonts w:asciiTheme="minorHAnsi" w:hAnsiTheme="minorHAnsi" w:cstheme="minorHAnsi"/>
          <w:sz w:val="22"/>
          <w:szCs w:val="22"/>
        </w:rPr>
        <w:t xml:space="preserve">of the community – </w:t>
      </w:r>
      <w:r w:rsidRPr="0059770F" w:rsidR="00FA17C0">
        <w:rPr>
          <w:rFonts w:asciiTheme="minorHAnsi" w:hAnsiTheme="minorHAnsi" w:cstheme="minorHAnsi"/>
          <w:sz w:val="22"/>
          <w:szCs w:val="22"/>
        </w:rPr>
        <w:t xml:space="preserve">we value </w:t>
      </w:r>
      <w:r w:rsidRPr="0059770F">
        <w:rPr>
          <w:rFonts w:asciiTheme="minorHAnsi" w:hAnsiTheme="minorHAnsi" w:cstheme="minorHAnsi"/>
          <w:sz w:val="22"/>
          <w:szCs w:val="22"/>
        </w:rPr>
        <w:t>patients</w:t>
      </w:r>
      <w:r w:rsidRPr="0059770F" w:rsidR="00797FBD">
        <w:rPr>
          <w:rFonts w:asciiTheme="minorHAnsi" w:hAnsiTheme="minorHAnsi" w:cstheme="minorHAnsi"/>
          <w:sz w:val="22"/>
          <w:szCs w:val="22"/>
        </w:rPr>
        <w:t xml:space="preserve">, </w:t>
      </w:r>
      <w:r w:rsidRPr="0059770F" w:rsidR="00065339">
        <w:rPr>
          <w:rFonts w:asciiTheme="minorHAnsi" w:hAnsiTheme="minorHAnsi" w:cstheme="minorHAnsi"/>
          <w:sz w:val="22"/>
          <w:szCs w:val="22"/>
        </w:rPr>
        <w:t>caregivers</w:t>
      </w:r>
      <w:r w:rsidRPr="0059770F" w:rsidR="00797FBD">
        <w:rPr>
          <w:rFonts w:asciiTheme="minorHAnsi" w:hAnsiTheme="minorHAnsi" w:cstheme="minorHAnsi"/>
          <w:sz w:val="22"/>
          <w:szCs w:val="22"/>
        </w:rPr>
        <w:t xml:space="preserve">, and other </w:t>
      </w:r>
      <w:r w:rsidRPr="0059770F" w:rsidR="00065339">
        <w:rPr>
          <w:rFonts w:asciiTheme="minorHAnsi" w:hAnsiTheme="minorHAnsi" w:cstheme="minorHAnsi"/>
          <w:sz w:val="22"/>
          <w:szCs w:val="22"/>
        </w:rPr>
        <w:t xml:space="preserve">end-users of </w:t>
      </w:r>
      <w:r w:rsidRPr="0059770F" w:rsidR="00765AEC">
        <w:rPr>
          <w:rFonts w:asciiTheme="minorHAnsi" w:hAnsiTheme="minorHAnsi" w:cstheme="minorHAnsi"/>
          <w:sz w:val="22"/>
          <w:szCs w:val="22"/>
        </w:rPr>
        <w:t>the</w:t>
      </w:r>
      <w:r w:rsidRPr="0059770F" w:rsidR="00065339">
        <w:rPr>
          <w:rFonts w:asciiTheme="minorHAnsi" w:hAnsiTheme="minorHAnsi" w:cstheme="minorHAnsi"/>
          <w:sz w:val="22"/>
          <w:szCs w:val="22"/>
        </w:rPr>
        <w:t xml:space="preserve"> medical products</w:t>
      </w:r>
      <w:r w:rsidRPr="0059770F" w:rsidR="00FD7E8D">
        <w:rPr>
          <w:rFonts w:asciiTheme="minorHAnsi" w:hAnsiTheme="minorHAnsi" w:cstheme="minorHAnsi"/>
          <w:sz w:val="22"/>
          <w:szCs w:val="22"/>
        </w:rPr>
        <w:t xml:space="preserve"> </w:t>
      </w:r>
      <w:r w:rsidRPr="0059770F" w:rsidR="00765AEC">
        <w:rPr>
          <w:rFonts w:asciiTheme="minorHAnsi" w:hAnsiTheme="minorHAnsi" w:cstheme="minorHAnsi"/>
          <w:sz w:val="22"/>
          <w:szCs w:val="22"/>
        </w:rPr>
        <w:t xml:space="preserve">regulated </w:t>
      </w:r>
      <w:r w:rsidRPr="0059770F" w:rsidR="00FD7E8D">
        <w:rPr>
          <w:rFonts w:asciiTheme="minorHAnsi" w:hAnsiTheme="minorHAnsi" w:cstheme="minorHAnsi"/>
          <w:sz w:val="22"/>
          <w:szCs w:val="22"/>
        </w:rPr>
        <w:t>in our economies</w:t>
      </w:r>
      <w:r w:rsidRPr="0059770F" w:rsidR="00765AEC">
        <w:rPr>
          <w:rFonts w:asciiTheme="minorHAnsi" w:hAnsiTheme="minorHAnsi" w:cstheme="minorHAnsi"/>
          <w:sz w:val="22"/>
          <w:szCs w:val="22"/>
        </w:rPr>
        <w:t>.</w:t>
      </w:r>
    </w:p>
    <w:p w:rsidRPr="0059770F" w:rsidR="00BD4232" w:rsidP="0059770F" w:rsidRDefault="00BD4232" w14:paraId="2D649A7F" w14:textId="77777777">
      <w:pPr>
        <w:pStyle w:val="BodyText"/>
        <w:numPr>
          <w:ilvl w:val="0"/>
          <w:numId w:val="23"/>
        </w:numPr>
        <w:spacing w:after="0"/>
        <w:jc w:val="both"/>
        <w:rPr>
          <w:rFonts w:asciiTheme="minorHAnsi" w:hAnsiTheme="minorHAnsi" w:cstheme="minorHAnsi"/>
          <w:sz w:val="22"/>
          <w:szCs w:val="22"/>
        </w:rPr>
      </w:pPr>
      <w:r w:rsidRPr="0059770F">
        <w:rPr>
          <w:rFonts w:asciiTheme="minorHAnsi" w:hAnsiTheme="minorHAnsi" w:cstheme="minorHAnsi"/>
          <w:sz w:val="22"/>
          <w:szCs w:val="22"/>
        </w:rPr>
        <w:t>Calibration by outcomes &amp; indicators</w:t>
      </w:r>
      <w:r w:rsidRPr="0059770F" w:rsidR="00FA17C0">
        <w:rPr>
          <w:rFonts w:asciiTheme="minorHAnsi" w:hAnsiTheme="minorHAnsi" w:cstheme="minorHAnsi"/>
          <w:sz w:val="22"/>
          <w:szCs w:val="22"/>
        </w:rPr>
        <w:t xml:space="preserve"> – we value measurement of progress and performance, </w:t>
      </w:r>
      <w:r w:rsidRPr="0059770F" w:rsidR="00543869">
        <w:rPr>
          <w:rFonts w:asciiTheme="minorHAnsi" w:hAnsiTheme="minorHAnsi" w:cstheme="minorHAnsi"/>
          <w:sz w:val="22"/>
          <w:szCs w:val="22"/>
        </w:rPr>
        <w:t xml:space="preserve">and its importance for communicating the </w:t>
      </w:r>
      <w:r w:rsidRPr="0059770F" w:rsidR="00FD7E8D">
        <w:rPr>
          <w:rFonts w:asciiTheme="minorHAnsi" w:hAnsiTheme="minorHAnsi" w:cstheme="minorHAnsi"/>
          <w:sz w:val="22"/>
          <w:szCs w:val="22"/>
        </w:rPr>
        <w:t>‘why’ and ‘how’ of</w:t>
      </w:r>
      <w:r w:rsidRPr="0059770F" w:rsidR="00543869">
        <w:rPr>
          <w:rFonts w:asciiTheme="minorHAnsi" w:hAnsiTheme="minorHAnsi" w:cstheme="minorHAnsi"/>
          <w:sz w:val="22"/>
          <w:szCs w:val="22"/>
        </w:rPr>
        <w:t xml:space="preserve"> regulatory convergence</w:t>
      </w:r>
      <w:r w:rsidRPr="0059770F" w:rsidR="00765AEC">
        <w:rPr>
          <w:rFonts w:asciiTheme="minorHAnsi" w:hAnsiTheme="minorHAnsi" w:cstheme="minorHAnsi"/>
          <w:sz w:val="22"/>
          <w:szCs w:val="22"/>
        </w:rPr>
        <w:t>.</w:t>
      </w:r>
    </w:p>
    <w:p w:rsidRPr="0059770F" w:rsidR="00543869" w:rsidP="0059770F" w:rsidRDefault="00BD4232" w14:paraId="0787BCD4" w14:textId="77777777">
      <w:pPr>
        <w:pStyle w:val="BodyText"/>
        <w:numPr>
          <w:ilvl w:val="0"/>
          <w:numId w:val="23"/>
        </w:numPr>
        <w:spacing w:after="0"/>
        <w:jc w:val="both"/>
        <w:rPr>
          <w:rFonts w:asciiTheme="minorHAnsi" w:hAnsiTheme="minorHAnsi" w:cstheme="minorHAnsi"/>
          <w:sz w:val="22"/>
          <w:szCs w:val="22"/>
        </w:rPr>
      </w:pPr>
      <w:r w:rsidRPr="0059770F">
        <w:rPr>
          <w:rFonts w:asciiTheme="minorHAnsi" w:hAnsiTheme="minorHAnsi" w:cstheme="minorHAnsi"/>
          <w:sz w:val="22"/>
          <w:szCs w:val="22"/>
        </w:rPr>
        <w:t>Capacity building with strategy &amp; sustainability</w:t>
      </w:r>
      <w:r w:rsidRPr="0059770F" w:rsidR="00543869">
        <w:rPr>
          <w:rFonts w:asciiTheme="minorHAnsi" w:hAnsiTheme="minorHAnsi" w:cstheme="minorHAnsi"/>
          <w:sz w:val="22"/>
          <w:szCs w:val="22"/>
        </w:rPr>
        <w:t xml:space="preserve"> – we value </w:t>
      </w:r>
      <w:r w:rsidRPr="0059770F" w:rsidR="00700389">
        <w:rPr>
          <w:rFonts w:asciiTheme="minorHAnsi" w:hAnsiTheme="minorHAnsi" w:cstheme="minorHAnsi"/>
          <w:sz w:val="22"/>
          <w:szCs w:val="22"/>
        </w:rPr>
        <w:t xml:space="preserve">frontline </w:t>
      </w:r>
      <w:r w:rsidRPr="0059770F" w:rsidR="007E3D32">
        <w:rPr>
          <w:rFonts w:asciiTheme="minorHAnsi" w:hAnsiTheme="minorHAnsi" w:cstheme="minorHAnsi"/>
          <w:sz w:val="22"/>
          <w:szCs w:val="22"/>
        </w:rPr>
        <w:t>regulatory sta</w:t>
      </w:r>
      <w:r w:rsidRPr="0059770F" w:rsidR="00FD7E8D">
        <w:rPr>
          <w:rFonts w:asciiTheme="minorHAnsi" w:hAnsiTheme="minorHAnsi" w:cstheme="minorHAnsi"/>
          <w:sz w:val="22"/>
          <w:szCs w:val="22"/>
        </w:rPr>
        <w:t>ff</w:t>
      </w:r>
      <w:r w:rsidRPr="0059770F" w:rsidR="00700389">
        <w:rPr>
          <w:rFonts w:asciiTheme="minorHAnsi" w:hAnsiTheme="minorHAnsi" w:cstheme="minorHAnsi"/>
          <w:sz w:val="22"/>
          <w:szCs w:val="22"/>
        </w:rPr>
        <w:t xml:space="preserve">, and the </w:t>
      </w:r>
      <w:r w:rsidRPr="0059770F" w:rsidR="00765AEC">
        <w:rPr>
          <w:rFonts w:asciiTheme="minorHAnsi" w:hAnsiTheme="minorHAnsi" w:cstheme="minorHAnsi"/>
          <w:sz w:val="22"/>
          <w:szCs w:val="22"/>
        </w:rPr>
        <w:t>importance</w:t>
      </w:r>
      <w:r w:rsidRPr="0059770F" w:rsidR="00FD7E8D">
        <w:rPr>
          <w:rFonts w:asciiTheme="minorHAnsi" w:hAnsiTheme="minorHAnsi" w:cstheme="minorHAnsi"/>
          <w:sz w:val="22"/>
          <w:szCs w:val="22"/>
        </w:rPr>
        <w:t xml:space="preserve"> of enabling them </w:t>
      </w:r>
      <w:r w:rsidRPr="0059770F" w:rsidR="006949B4">
        <w:rPr>
          <w:rFonts w:asciiTheme="minorHAnsi" w:hAnsiTheme="minorHAnsi" w:cstheme="minorHAnsi"/>
          <w:sz w:val="22"/>
          <w:szCs w:val="22"/>
        </w:rPr>
        <w:t xml:space="preserve">long-term </w:t>
      </w:r>
      <w:r w:rsidRPr="0059770F" w:rsidR="00FD7E8D">
        <w:rPr>
          <w:rFonts w:asciiTheme="minorHAnsi" w:hAnsiTheme="minorHAnsi" w:cstheme="minorHAnsi"/>
          <w:sz w:val="22"/>
          <w:szCs w:val="22"/>
        </w:rPr>
        <w:t>to obtain, improve, and retain skills and knowledge</w:t>
      </w:r>
      <w:r w:rsidRPr="0059770F" w:rsidR="00765AEC">
        <w:rPr>
          <w:rFonts w:asciiTheme="minorHAnsi" w:hAnsiTheme="minorHAnsi" w:cstheme="minorHAnsi"/>
          <w:sz w:val="22"/>
          <w:szCs w:val="22"/>
        </w:rPr>
        <w:t>.</w:t>
      </w:r>
    </w:p>
    <w:p w:rsidRPr="0059770F" w:rsidR="006949B4" w:rsidP="0059770F" w:rsidRDefault="00BD4232" w14:paraId="7D63B773" w14:textId="77777777">
      <w:pPr>
        <w:pStyle w:val="BodyText"/>
        <w:numPr>
          <w:ilvl w:val="0"/>
          <w:numId w:val="23"/>
        </w:numPr>
        <w:spacing w:after="0"/>
        <w:jc w:val="both"/>
        <w:rPr>
          <w:rFonts w:asciiTheme="minorHAnsi" w:hAnsiTheme="minorHAnsi" w:cstheme="minorHAnsi"/>
          <w:sz w:val="22"/>
          <w:szCs w:val="22"/>
        </w:rPr>
      </w:pPr>
      <w:r w:rsidRPr="0059770F">
        <w:rPr>
          <w:rFonts w:asciiTheme="minorHAnsi" w:hAnsiTheme="minorHAnsi" w:cstheme="minorHAnsi"/>
          <w:sz w:val="22"/>
          <w:szCs w:val="22"/>
        </w:rPr>
        <w:t>Culture of collaboration</w:t>
      </w:r>
      <w:r w:rsidRPr="0059770F" w:rsidR="00FD7E8D">
        <w:rPr>
          <w:rFonts w:asciiTheme="minorHAnsi" w:hAnsiTheme="minorHAnsi" w:cstheme="minorHAnsi"/>
          <w:sz w:val="22"/>
          <w:szCs w:val="22"/>
        </w:rPr>
        <w:t xml:space="preserve"> – we value </w:t>
      </w:r>
      <w:r w:rsidRPr="0059770F" w:rsidR="006949B4">
        <w:rPr>
          <w:rFonts w:asciiTheme="minorHAnsi" w:hAnsiTheme="minorHAnsi" w:cstheme="minorHAnsi"/>
          <w:sz w:val="22"/>
          <w:szCs w:val="22"/>
        </w:rPr>
        <w:t xml:space="preserve">the opportunity to </w:t>
      </w:r>
      <w:r w:rsidRPr="0059770F" w:rsidR="00765AEC">
        <w:rPr>
          <w:rFonts w:asciiTheme="minorHAnsi" w:hAnsiTheme="minorHAnsi" w:cstheme="minorHAnsi"/>
          <w:sz w:val="22"/>
          <w:szCs w:val="22"/>
        </w:rPr>
        <w:t xml:space="preserve">work together across teams, sectors, and economies toward common goals, and to provide every member with equal opportunity to </w:t>
      </w:r>
      <w:r w:rsidRPr="0059770F" w:rsidR="008C39A8">
        <w:rPr>
          <w:rFonts w:asciiTheme="minorHAnsi" w:hAnsiTheme="minorHAnsi" w:cstheme="minorHAnsi"/>
          <w:sz w:val="22"/>
          <w:szCs w:val="22"/>
        </w:rPr>
        <w:t>lead</w:t>
      </w:r>
      <w:r w:rsidR="005C219A">
        <w:rPr>
          <w:rFonts w:asciiTheme="minorHAnsi" w:hAnsiTheme="minorHAnsi" w:cstheme="minorHAnsi"/>
          <w:sz w:val="22"/>
          <w:szCs w:val="22"/>
        </w:rPr>
        <w:t>.</w:t>
      </w:r>
    </w:p>
    <w:p w:rsidRPr="0059770F" w:rsidR="00BD4232" w:rsidP="0059770F" w:rsidRDefault="00BD4232" w14:paraId="7581BDF2" w14:textId="77777777">
      <w:pPr>
        <w:pStyle w:val="BodyText"/>
        <w:numPr>
          <w:ilvl w:val="0"/>
          <w:numId w:val="23"/>
        </w:numPr>
        <w:spacing w:after="0"/>
        <w:jc w:val="both"/>
        <w:rPr>
          <w:rFonts w:asciiTheme="minorHAnsi" w:hAnsiTheme="minorHAnsi" w:cstheme="minorHAnsi"/>
          <w:sz w:val="22"/>
          <w:szCs w:val="22"/>
        </w:rPr>
      </w:pPr>
      <w:r w:rsidRPr="0059770F">
        <w:rPr>
          <w:rFonts w:asciiTheme="minorHAnsi" w:hAnsiTheme="minorHAnsi" w:cstheme="minorHAnsi"/>
          <w:sz w:val="22"/>
          <w:szCs w:val="22"/>
        </w:rPr>
        <w:t xml:space="preserve">Connection between global, regional &amp; local </w:t>
      </w:r>
      <w:r w:rsidRPr="0059770F" w:rsidR="008C39A8">
        <w:rPr>
          <w:rFonts w:asciiTheme="minorHAnsi" w:hAnsiTheme="minorHAnsi" w:cstheme="minorHAnsi"/>
          <w:sz w:val="22"/>
          <w:szCs w:val="22"/>
        </w:rPr>
        <w:t>levels</w:t>
      </w:r>
      <w:r w:rsidRPr="0059770F" w:rsidR="00FD7E8D">
        <w:rPr>
          <w:rFonts w:asciiTheme="minorHAnsi" w:hAnsiTheme="minorHAnsi" w:cstheme="minorHAnsi"/>
          <w:sz w:val="22"/>
          <w:szCs w:val="22"/>
        </w:rPr>
        <w:t xml:space="preserve"> – we </w:t>
      </w:r>
      <w:r w:rsidRPr="0059770F" w:rsidR="008C39A8">
        <w:rPr>
          <w:rFonts w:asciiTheme="minorHAnsi" w:hAnsiTheme="minorHAnsi" w:cstheme="minorHAnsi"/>
          <w:sz w:val="22"/>
          <w:szCs w:val="22"/>
        </w:rPr>
        <w:t>value</w:t>
      </w:r>
      <w:r w:rsidRPr="0059770F" w:rsidR="00FD7E8D">
        <w:rPr>
          <w:rFonts w:asciiTheme="minorHAnsi" w:hAnsiTheme="minorHAnsi" w:cstheme="minorHAnsi"/>
          <w:sz w:val="22"/>
          <w:szCs w:val="22"/>
        </w:rPr>
        <w:t xml:space="preserve"> </w:t>
      </w:r>
      <w:r w:rsidRPr="0059770F" w:rsidR="007136EF">
        <w:rPr>
          <w:rFonts w:asciiTheme="minorHAnsi" w:hAnsiTheme="minorHAnsi" w:cstheme="minorHAnsi"/>
          <w:sz w:val="22"/>
          <w:szCs w:val="22"/>
        </w:rPr>
        <w:t xml:space="preserve">coordination between stakeholders of global and regional initiatives and the </w:t>
      </w:r>
      <w:r w:rsidR="005C219A">
        <w:rPr>
          <w:rFonts w:asciiTheme="minorHAnsi" w:hAnsiTheme="minorHAnsi" w:cstheme="minorHAnsi"/>
          <w:sz w:val="22"/>
          <w:szCs w:val="22"/>
        </w:rPr>
        <w:t xml:space="preserve">member </w:t>
      </w:r>
      <w:r w:rsidRPr="0059770F" w:rsidR="007136EF">
        <w:rPr>
          <w:rFonts w:asciiTheme="minorHAnsi" w:hAnsiTheme="minorHAnsi" w:cstheme="minorHAnsi"/>
          <w:sz w:val="22"/>
          <w:szCs w:val="22"/>
        </w:rPr>
        <w:t xml:space="preserve">regulatory authorities </w:t>
      </w:r>
      <w:r w:rsidR="005C219A">
        <w:rPr>
          <w:rFonts w:asciiTheme="minorHAnsi" w:hAnsiTheme="minorHAnsi" w:cstheme="minorHAnsi"/>
          <w:sz w:val="22"/>
          <w:szCs w:val="22"/>
        </w:rPr>
        <w:t>and welcome their participation.</w:t>
      </w:r>
    </w:p>
    <w:p w:rsidRPr="0059770F" w:rsidR="00BD4232" w:rsidP="0059770F" w:rsidRDefault="00BD4232" w14:paraId="0D60E0D5" w14:textId="77777777">
      <w:pPr>
        <w:pStyle w:val="BodyText"/>
        <w:numPr>
          <w:ilvl w:val="0"/>
          <w:numId w:val="23"/>
        </w:numPr>
        <w:spacing w:after="0"/>
        <w:jc w:val="both"/>
        <w:rPr>
          <w:rFonts w:asciiTheme="minorHAnsi" w:hAnsiTheme="minorHAnsi" w:cstheme="minorHAnsi"/>
          <w:sz w:val="22"/>
          <w:szCs w:val="22"/>
        </w:rPr>
      </w:pPr>
      <w:r w:rsidRPr="0059770F">
        <w:rPr>
          <w:rFonts w:asciiTheme="minorHAnsi" w:hAnsiTheme="minorHAnsi" w:cstheme="minorHAnsi"/>
          <w:sz w:val="22"/>
          <w:szCs w:val="22"/>
        </w:rPr>
        <w:t>Communication with politicians, patients &amp; public</w:t>
      </w:r>
      <w:r w:rsidRPr="0059770F" w:rsidR="005467AF">
        <w:rPr>
          <w:rFonts w:asciiTheme="minorHAnsi" w:hAnsiTheme="minorHAnsi" w:cstheme="minorHAnsi"/>
          <w:sz w:val="22"/>
          <w:szCs w:val="22"/>
        </w:rPr>
        <w:t xml:space="preserve"> – we value </w:t>
      </w:r>
      <w:r w:rsidRPr="0059770F" w:rsidR="007136EF">
        <w:rPr>
          <w:rFonts w:asciiTheme="minorHAnsi" w:hAnsiTheme="minorHAnsi" w:cstheme="minorHAnsi"/>
          <w:sz w:val="22"/>
          <w:szCs w:val="22"/>
        </w:rPr>
        <w:t xml:space="preserve">dialogue on </w:t>
      </w:r>
      <w:r w:rsidRPr="0059770F" w:rsidR="004B01EA">
        <w:rPr>
          <w:rFonts w:asciiTheme="minorHAnsi" w:hAnsiTheme="minorHAnsi" w:cstheme="minorHAnsi"/>
          <w:sz w:val="22"/>
          <w:szCs w:val="22"/>
        </w:rPr>
        <w:t>regulatory</w:t>
      </w:r>
      <w:r w:rsidRPr="0059770F" w:rsidR="007136EF">
        <w:rPr>
          <w:rFonts w:asciiTheme="minorHAnsi" w:hAnsiTheme="minorHAnsi" w:cstheme="minorHAnsi"/>
          <w:sz w:val="22"/>
          <w:szCs w:val="22"/>
        </w:rPr>
        <w:t xml:space="preserve"> convergence </w:t>
      </w:r>
      <w:r w:rsidRPr="0059770F" w:rsidR="004B01EA">
        <w:rPr>
          <w:rFonts w:asciiTheme="minorHAnsi" w:hAnsiTheme="minorHAnsi" w:cstheme="minorHAnsi"/>
          <w:sz w:val="22"/>
          <w:szCs w:val="22"/>
        </w:rPr>
        <w:t xml:space="preserve">among </w:t>
      </w:r>
      <w:r w:rsidRPr="0059770F" w:rsidR="007136EF">
        <w:rPr>
          <w:rFonts w:asciiTheme="minorHAnsi" w:hAnsiTheme="minorHAnsi" w:cstheme="minorHAnsi"/>
          <w:sz w:val="22"/>
          <w:szCs w:val="22"/>
        </w:rPr>
        <w:t xml:space="preserve">the highest levels of government </w:t>
      </w:r>
      <w:r w:rsidRPr="0059770F" w:rsidR="004B01EA">
        <w:rPr>
          <w:rFonts w:asciiTheme="minorHAnsi" w:hAnsiTheme="minorHAnsi" w:cstheme="minorHAnsi"/>
          <w:sz w:val="22"/>
          <w:szCs w:val="22"/>
        </w:rPr>
        <w:t>to</w:t>
      </w:r>
      <w:r w:rsidRPr="0059770F" w:rsidR="007136EF">
        <w:rPr>
          <w:rFonts w:asciiTheme="minorHAnsi" w:hAnsiTheme="minorHAnsi" w:cstheme="minorHAnsi"/>
          <w:sz w:val="22"/>
          <w:szCs w:val="22"/>
        </w:rPr>
        <w:t xml:space="preserve"> the end-users of medical products</w:t>
      </w:r>
      <w:r w:rsidR="009C2DB1">
        <w:rPr>
          <w:rFonts w:asciiTheme="minorHAnsi" w:hAnsiTheme="minorHAnsi" w:cstheme="minorHAnsi"/>
          <w:sz w:val="22"/>
          <w:szCs w:val="22"/>
        </w:rPr>
        <w:t>.</w:t>
      </w:r>
    </w:p>
    <w:p w:rsidRPr="0059770F" w:rsidR="006E7A00" w:rsidP="0059770F" w:rsidRDefault="00BD4232" w14:paraId="589DFEDA" w14:textId="0930B240">
      <w:pPr>
        <w:pStyle w:val="BodyText"/>
        <w:numPr>
          <w:ilvl w:val="0"/>
          <w:numId w:val="23"/>
        </w:numPr>
        <w:spacing w:after="0"/>
        <w:jc w:val="both"/>
        <w:rPr>
          <w:rFonts w:asciiTheme="minorHAnsi" w:hAnsiTheme="minorHAnsi" w:cstheme="minorHAnsi"/>
          <w:sz w:val="22"/>
          <w:szCs w:val="22"/>
        </w:rPr>
      </w:pPr>
      <w:r w:rsidRPr="0059770F">
        <w:rPr>
          <w:rFonts w:asciiTheme="minorHAnsi" w:hAnsiTheme="minorHAnsi" w:cstheme="minorHAnsi"/>
          <w:sz w:val="22"/>
          <w:szCs w:val="22"/>
        </w:rPr>
        <w:t>Commitment to improve</w:t>
      </w:r>
      <w:r w:rsidRPr="0059770F" w:rsidR="004B01EA">
        <w:rPr>
          <w:rFonts w:asciiTheme="minorHAnsi" w:hAnsiTheme="minorHAnsi" w:cstheme="minorHAnsi"/>
          <w:sz w:val="22"/>
          <w:szCs w:val="22"/>
        </w:rPr>
        <w:t xml:space="preserve"> – we value the </w:t>
      </w:r>
      <w:r w:rsidR="00343FAC">
        <w:rPr>
          <w:rFonts w:asciiTheme="minorHAnsi" w:hAnsiTheme="minorHAnsi" w:cstheme="minorHAnsi"/>
          <w:sz w:val="22"/>
          <w:szCs w:val="22"/>
        </w:rPr>
        <w:t>constant pursuit</w:t>
      </w:r>
      <w:r w:rsidRPr="0059770F" w:rsidR="004B01EA">
        <w:rPr>
          <w:rFonts w:asciiTheme="minorHAnsi" w:hAnsiTheme="minorHAnsi" w:cstheme="minorHAnsi"/>
          <w:sz w:val="22"/>
          <w:szCs w:val="22"/>
        </w:rPr>
        <w:t xml:space="preserve"> of regulatory convergence, that it is never fully achieved or complete as new science drives novel products and updated regulations</w:t>
      </w:r>
      <w:r w:rsidR="009C2DB1">
        <w:rPr>
          <w:rFonts w:asciiTheme="minorHAnsi" w:hAnsiTheme="minorHAnsi" w:cstheme="minorHAnsi"/>
          <w:sz w:val="22"/>
          <w:szCs w:val="22"/>
        </w:rPr>
        <w:t>.</w:t>
      </w:r>
    </w:p>
    <w:p w:rsidRPr="0059770F" w:rsidR="00BD4232" w:rsidP="0059770F" w:rsidRDefault="00BD4232" w14:paraId="4046E93B" w14:textId="77777777">
      <w:pPr>
        <w:pStyle w:val="BodyText"/>
        <w:spacing w:after="0"/>
        <w:ind w:firstLine="0"/>
        <w:rPr>
          <w:rFonts w:asciiTheme="minorHAnsi" w:hAnsiTheme="minorHAnsi" w:cstheme="minorHAnsi"/>
          <w:b/>
          <w:sz w:val="22"/>
          <w:szCs w:val="22"/>
        </w:rPr>
      </w:pPr>
    </w:p>
    <w:p w:rsidRPr="0059770F" w:rsidR="006E7A00" w:rsidP="0059770F" w:rsidRDefault="00C63A7F" w14:paraId="7B6E55D2" w14:textId="77777777">
      <w:pPr>
        <w:pStyle w:val="BodyText"/>
        <w:spacing w:after="0"/>
        <w:ind w:firstLine="0"/>
        <w:rPr>
          <w:rFonts w:asciiTheme="minorHAnsi" w:hAnsiTheme="minorHAnsi" w:cstheme="minorHAnsi"/>
          <w:b/>
          <w:sz w:val="22"/>
          <w:szCs w:val="22"/>
        </w:rPr>
      </w:pPr>
      <w:r w:rsidRPr="0059770F">
        <w:rPr>
          <w:rFonts w:asciiTheme="minorHAnsi" w:hAnsiTheme="minorHAnsi" w:cstheme="minorHAnsi"/>
          <w:b/>
          <w:sz w:val="22"/>
          <w:szCs w:val="22"/>
        </w:rPr>
        <w:t xml:space="preserve">3.4 </w:t>
      </w:r>
      <w:r w:rsidRPr="0059770F" w:rsidR="00E63666">
        <w:rPr>
          <w:rFonts w:asciiTheme="minorHAnsi" w:hAnsiTheme="minorHAnsi" w:cstheme="minorHAnsi"/>
          <w:b/>
          <w:sz w:val="22"/>
          <w:szCs w:val="22"/>
        </w:rPr>
        <w:t>Definitions</w:t>
      </w:r>
    </w:p>
    <w:p w:rsidRPr="0059770F" w:rsidR="00E63666" w:rsidP="0059770F" w:rsidRDefault="00E63666" w14:paraId="52DF4DE0" w14:textId="77777777">
      <w:pPr>
        <w:pStyle w:val="BodyText"/>
        <w:spacing w:after="0"/>
        <w:ind w:firstLine="0"/>
        <w:rPr>
          <w:rFonts w:asciiTheme="minorHAnsi" w:hAnsiTheme="minorHAnsi" w:cstheme="minorHAnsi"/>
          <w:b/>
          <w:sz w:val="22"/>
          <w:szCs w:val="22"/>
        </w:rPr>
      </w:pPr>
    </w:p>
    <w:p w:rsidRPr="0059770F" w:rsidR="00A41A89" w:rsidP="0059770F" w:rsidRDefault="006E7A00" w14:paraId="5BBB7C7D" w14:textId="77777777">
      <w:pPr>
        <w:pStyle w:val="BodyText"/>
        <w:numPr>
          <w:ilvl w:val="0"/>
          <w:numId w:val="8"/>
        </w:numPr>
        <w:spacing w:after="0"/>
        <w:ind w:left="360" w:hanging="270"/>
        <w:jc w:val="both"/>
        <w:rPr>
          <w:rFonts w:asciiTheme="minorHAnsi" w:hAnsiTheme="minorHAnsi" w:cstheme="minorHAnsi"/>
          <w:sz w:val="22"/>
          <w:szCs w:val="22"/>
        </w:rPr>
      </w:pPr>
      <w:r w:rsidRPr="0059770F">
        <w:rPr>
          <w:rFonts w:asciiTheme="minorHAnsi" w:hAnsiTheme="minorHAnsi" w:cstheme="minorHAnsi"/>
          <w:b/>
          <w:sz w:val="22"/>
          <w:szCs w:val="22"/>
        </w:rPr>
        <w:t>Regulatory convergence</w:t>
      </w:r>
      <w:r w:rsidRPr="0059770F">
        <w:rPr>
          <w:rFonts w:asciiTheme="minorHAnsi" w:hAnsiTheme="minorHAnsi" w:cstheme="minorHAnsi"/>
          <w:sz w:val="22"/>
          <w:szCs w:val="22"/>
        </w:rPr>
        <w:t xml:space="preserve"> represents a </w:t>
      </w:r>
      <w:r w:rsidRPr="0059770F">
        <w:rPr>
          <w:rFonts w:asciiTheme="minorHAnsi" w:hAnsiTheme="minorHAnsi" w:cstheme="minorHAnsi"/>
          <w:iCs/>
          <w:sz w:val="22"/>
          <w:szCs w:val="22"/>
        </w:rPr>
        <w:t>voluntary</w:t>
      </w:r>
      <w:r w:rsidRPr="0059770F">
        <w:rPr>
          <w:rFonts w:asciiTheme="minorHAnsi" w:hAnsiTheme="minorHAnsi" w:cstheme="minorHAnsi"/>
          <w:i/>
          <w:iCs/>
          <w:sz w:val="22"/>
          <w:szCs w:val="22"/>
        </w:rPr>
        <w:t xml:space="preserve"> </w:t>
      </w:r>
      <w:r w:rsidRPr="0059770F">
        <w:rPr>
          <w:rFonts w:asciiTheme="minorHAnsi" w:hAnsiTheme="minorHAnsi" w:cstheme="minorHAnsi"/>
          <w:iCs/>
          <w:sz w:val="22"/>
          <w:szCs w:val="22"/>
        </w:rPr>
        <w:t>process</w:t>
      </w:r>
      <w:r w:rsidRPr="0059770F">
        <w:rPr>
          <w:rFonts w:asciiTheme="minorHAnsi" w:hAnsiTheme="minorHAnsi" w:cstheme="minorHAnsi"/>
          <w:sz w:val="22"/>
          <w:szCs w:val="22"/>
        </w:rPr>
        <w:t xml:space="preserve"> whereby the regulatory requirements across economies become more </w:t>
      </w:r>
      <w:r w:rsidRPr="0059770F" w:rsidR="00DD2BB9">
        <w:rPr>
          <w:rFonts w:asciiTheme="minorHAnsi" w:hAnsiTheme="minorHAnsi" w:cstheme="minorHAnsi"/>
          <w:sz w:val="22"/>
          <w:szCs w:val="22"/>
        </w:rPr>
        <w:t>aligned (or more similar)</w:t>
      </w:r>
      <w:r w:rsidRPr="0059770F">
        <w:rPr>
          <w:rFonts w:asciiTheme="minorHAnsi" w:hAnsiTheme="minorHAnsi" w:cstheme="minorHAnsi"/>
          <w:sz w:val="22"/>
          <w:szCs w:val="22"/>
        </w:rPr>
        <w:t xml:space="preserve"> over time as a result of the gradual adoption of harmonized international guidances and standards, and internationally recognized scientific principles, practices, and procedures.</w:t>
      </w:r>
      <w:r w:rsidRPr="0059770F" w:rsidR="009A597B">
        <w:rPr>
          <w:rFonts w:asciiTheme="minorHAnsi" w:hAnsiTheme="minorHAnsi" w:cstheme="minorHAnsi"/>
          <w:sz w:val="22"/>
          <w:szCs w:val="22"/>
        </w:rPr>
        <w:t xml:space="preserve"> </w:t>
      </w:r>
      <w:r w:rsidRPr="0059770F" w:rsidR="003058F3">
        <w:rPr>
          <w:rFonts w:asciiTheme="minorHAnsi" w:hAnsiTheme="minorHAnsi" w:cstheme="minorHAnsi"/>
          <w:sz w:val="22"/>
          <w:szCs w:val="22"/>
        </w:rPr>
        <w:t xml:space="preserve"> It </w:t>
      </w:r>
      <w:r w:rsidRPr="0059770F" w:rsidR="003058F3">
        <w:rPr>
          <w:rFonts w:asciiTheme="minorHAnsi" w:hAnsiTheme="minorHAnsi" w:cstheme="minorHAnsi"/>
          <w:iCs/>
          <w:sz w:val="22"/>
          <w:szCs w:val="22"/>
        </w:rPr>
        <w:t>does not</w:t>
      </w:r>
      <w:r w:rsidRPr="0059770F" w:rsidR="003058F3">
        <w:rPr>
          <w:rFonts w:asciiTheme="minorHAnsi" w:hAnsiTheme="minorHAnsi" w:cstheme="minorHAnsi"/>
          <w:sz w:val="22"/>
          <w:szCs w:val="22"/>
        </w:rPr>
        <w:t xml:space="preserve"> seek to establish new or change existing legal frameworks, laws, or regulations. </w:t>
      </w:r>
      <w:r w:rsidRPr="0059770F" w:rsidR="00277837">
        <w:rPr>
          <w:rFonts w:asciiTheme="minorHAnsi" w:hAnsiTheme="minorHAnsi" w:cstheme="minorHAnsi"/>
          <w:sz w:val="22"/>
          <w:szCs w:val="22"/>
        </w:rPr>
        <w:t>It</w:t>
      </w:r>
      <w:r w:rsidRPr="0059770F" w:rsidR="009A597B">
        <w:rPr>
          <w:rFonts w:asciiTheme="minorHAnsi" w:hAnsiTheme="minorHAnsi" w:cstheme="minorHAnsi"/>
          <w:sz w:val="22"/>
          <w:szCs w:val="22"/>
        </w:rPr>
        <w:t xml:space="preserve"> does not require regulators to be subject to any outside authority or prevent regulatory authorities from protecting and promoting public health.</w:t>
      </w:r>
      <w:r w:rsidRPr="0059770F" w:rsidR="003A06FF">
        <w:rPr>
          <w:rFonts w:asciiTheme="minorHAnsi" w:hAnsiTheme="minorHAnsi" w:cstheme="minorHAnsi"/>
          <w:sz w:val="22"/>
          <w:szCs w:val="22"/>
        </w:rPr>
        <w:t xml:space="preserve"> It does not have a specific endpoint; regulatory convergence is never “complete” or “achieved” as new products are developed, new standards are established, and new </w:t>
      </w:r>
      <w:r w:rsidRPr="0059770F" w:rsidR="00BD4232">
        <w:rPr>
          <w:rFonts w:asciiTheme="minorHAnsi" w:hAnsiTheme="minorHAnsi" w:cstheme="minorHAnsi"/>
          <w:sz w:val="22"/>
          <w:szCs w:val="22"/>
        </w:rPr>
        <w:t>regulatory staff begin careers.</w:t>
      </w:r>
    </w:p>
    <w:p w:rsidRPr="0059770F" w:rsidR="00A41A89" w:rsidP="0059770F" w:rsidRDefault="00A41A89" w14:paraId="42A3B9C0" w14:textId="77777777">
      <w:pPr>
        <w:pStyle w:val="BodyText"/>
        <w:spacing w:after="0"/>
        <w:ind w:firstLine="0"/>
        <w:jc w:val="both"/>
        <w:rPr>
          <w:rFonts w:asciiTheme="minorHAnsi" w:hAnsiTheme="minorHAnsi" w:cstheme="minorHAnsi"/>
          <w:sz w:val="22"/>
          <w:szCs w:val="22"/>
        </w:rPr>
      </w:pPr>
    </w:p>
    <w:p w:rsidRPr="0059770F" w:rsidR="003058F3" w:rsidP="0059770F" w:rsidRDefault="003058F3" w14:paraId="1E19DBA2" w14:textId="77777777">
      <w:pPr>
        <w:pStyle w:val="BodyText"/>
        <w:numPr>
          <w:ilvl w:val="0"/>
          <w:numId w:val="8"/>
        </w:numPr>
        <w:spacing w:after="0"/>
        <w:ind w:left="360" w:hanging="270"/>
        <w:jc w:val="both"/>
        <w:rPr>
          <w:rFonts w:asciiTheme="minorHAnsi" w:hAnsiTheme="minorHAnsi" w:cstheme="minorHAnsi"/>
          <w:sz w:val="22"/>
          <w:szCs w:val="22"/>
        </w:rPr>
      </w:pPr>
      <w:r w:rsidRPr="0059770F">
        <w:rPr>
          <w:rFonts w:asciiTheme="minorHAnsi" w:hAnsiTheme="minorHAnsi" w:cstheme="minorHAnsi"/>
          <w:b/>
          <w:sz w:val="22"/>
          <w:szCs w:val="22"/>
          <w:lang w:eastAsia="ja-JP"/>
        </w:rPr>
        <w:t>Regulatory reliance</w:t>
      </w:r>
      <w:r w:rsidRPr="0059770F">
        <w:rPr>
          <w:rFonts w:asciiTheme="minorHAnsi" w:hAnsiTheme="minorHAnsi" w:cstheme="minorHAnsi"/>
          <w:sz w:val="22"/>
          <w:szCs w:val="22"/>
          <w:lang w:eastAsia="ja-JP"/>
        </w:rPr>
        <w:t xml:space="preserve"> is the act whereby the regulatory authority in one jurisdiction may take into account and give significant weight to – i.e., totally or partially rely upon – evaluations performed by another regulatory authority or trusted institution in reaching its own decision. The relying authority remains responsible and accountable for decisions taken, even when it relies on the decisions and information of others.</w:t>
      </w:r>
    </w:p>
    <w:p w:rsidRPr="0059770F" w:rsidR="003058F3" w:rsidP="0059770F" w:rsidRDefault="003058F3" w14:paraId="1D3ECD9D" w14:textId="77777777">
      <w:pPr>
        <w:pStyle w:val="BodyText"/>
        <w:spacing w:after="0"/>
        <w:ind w:firstLine="0"/>
        <w:jc w:val="both"/>
        <w:rPr>
          <w:rFonts w:asciiTheme="minorHAnsi" w:hAnsiTheme="minorHAnsi" w:cstheme="minorHAnsi"/>
          <w:sz w:val="22"/>
          <w:szCs w:val="22"/>
        </w:rPr>
      </w:pPr>
    </w:p>
    <w:p w:rsidRPr="0059770F" w:rsidR="00E63666" w:rsidP="0059770F" w:rsidRDefault="00E63666" w14:paraId="0D62B3AA" w14:textId="77777777">
      <w:pPr>
        <w:pStyle w:val="BodyText"/>
        <w:spacing w:after="0"/>
        <w:ind w:firstLine="0"/>
        <w:jc w:val="both"/>
        <w:rPr>
          <w:rFonts w:asciiTheme="minorHAnsi" w:hAnsiTheme="minorHAnsi" w:cstheme="minorHAnsi"/>
          <w:b/>
          <w:sz w:val="22"/>
          <w:szCs w:val="22"/>
        </w:rPr>
      </w:pPr>
      <w:r w:rsidRPr="0059770F">
        <w:rPr>
          <w:rFonts w:asciiTheme="minorHAnsi" w:hAnsiTheme="minorHAnsi" w:cstheme="minorHAnsi"/>
          <w:b/>
          <w:sz w:val="22"/>
          <w:szCs w:val="22"/>
        </w:rPr>
        <w:t>3.5 Guiding Principles</w:t>
      </w:r>
    </w:p>
    <w:p w:rsidRPr="0059770F" w:rsidR="00E63666" w:rsidP="0059770F" w:rsidRDefault="00E63666" w14:paraId="1E933A01" w14:textId="77777777">
      <w:pPr>
        <w:pStyle w:val="BodyText"/>
        <w:spacing w:after="0"/>
        <w:ind w:firstLine="0"/>
        <w:jc w:val="both"/>
        <w:rPr>
          <w:rFonts w:asciiTheme="minorHAnsi" w:hAnsiTheme="minorHAnsi" w:cstheme="minorHAnsi"/>
          <w:b/>
          <w:sz w:val="22"/>
          <w:szCs w:val="22"/>
        </w:rPr>
      </w:pPr>
    </w:p>
    <w:p w:rsidRPr="0059770F" w:rsidR="00E63666" w:rsidP="0059770F" w:rsidRDefault="00E63666" w14:paraId="11250984" w14:textId="77777777">
      <w:pPr>
        <w:pStyle w:val="BodyText"/>
        <w:numPr>
          <w:ilvl w:val="0"/>
          <w:numId w:val="8"/>
        </w:numPr>
        <w:spacing w:after="0"/>
        <w:ind w:left="360" w:hanging="270"/>
        <w:jc w:val="both"/>
        <w:rPr>
          <w:rFonts w:asciiTheme="minorHAnsi" w:hAnsiTheme="minorHAnsi" w:cstheme="minorHAnsi"/>
          <w:sz w:val="22"/>
          <w:szCs w:val="22"/>
        </w:rPr>
      </w:pPr>
      <w:r w:rsidRPr="0059770F">
        <w:rPr>
          <w:rFonts w:asciiTheme="minorHAnsi" w:hAnsiTheme="minorHAnsi" w:cstheme="minorHAnsi"/>
          <w:sz w:val="22"/>
          <w:szCs w:val="22"/>
        </w:rPr>
        <w:t xml:space="preserve">RHSC will adopt a strategic, coordinated approach to regulatory convergence and reliance, and does </w:t>
      </w:r>
      <w:r w:rsidRPr="0095760A">
        <w:rPr>
          <w:rFonts w:asciiTheme="minorHAnsi" w:hAnsiTheme="minorHAnsi" w:cstheme="minorHAnsi"/>
          <w:sz w:val="22"/>
          <w:szCs w:val="22"/>
          <w:u w:val="single"/>
        </w:rPr>
        <w:t>not</w:t>
      </w:r>
      <w:r w:rsidRPr="0059770F">
        <w:rPr>
          <w:rFonts w:asciiTheme="minorHAnsi" w:hAnsiTheme="minorHAnsi" w:cstheme="minorHAnsi"/>
          <w:sz w:val="22"/>
          <w:szCs w:val="22"/>
        </w:rPr>
        <w:t xml:space="preserve"> seek to develop new guidances or standards.</w:t>
      </w:r>
    </w:p>
    <w:p w:rsidRPr="0059770F" w:rsidR="00E63666" w:rsidP="0059770F" w:rsidRDefault="00E63666" w14:paraId="54EAB590" w14:textId="77777777">
      <w:pPr>
        <w:pStyle w:val="BodyText"/>
        <w:spacing w:after="0"/>
        <w:ind w:firstLine="0"/>
        <w:jc w:val="both"/>
        <w:rPr>
          <w:rFonts w:asciiTheme="minorHAnsi" w:hAnsiTheme="minorHAnsi" w:cstheme="minorHAnsi"/>
          <w:sz w:val="22"/>
          <w:szCs w:val="22"/>
        </w:rPr>
      </w:pPr>
    </w:p>
    <w:p w:rsidRPr="0059770F" w:rsidR="006E7A00" w:rsidP="0059770F" w:rsidRDefault="006568C8" w14:paraId="4B444062" w14:textId="77777777">
      <w:pPr>
        <w:pStyle w:val="BodyText"/>
        <w:numPr>
          <w:ilvl w:val="0"/>
          <w:numId w:val="8"/>
        </w:numPr>
        <w:spacing w:after="0"/>
        <w:ind w:left="360" w:hanging="270"/>
        <w:jc w:val="both"/>
        <w:rPr>
          <w:rFonts w:asciiTheme="minorHAnsi" w:hAnsiTheme="minorHAnsi" w:cstheme="minorHAnsi"/>
          <w:sz w:val="22"/>
          <w:szCs w:val="22"/>
        </w:rPr>
      </w:pPr>
      <w:r w:rsidRPr="0059770F">
        <w:rPr>
          <w:rFonts w:asciiTheme="minorHAnsi" w:hAnsiTheme="minorHAnsi" w:cstheme="minorHAnsi"/>
          <w:sz w:val="22"/>
          <w:szCs w:val="22"/>
        </w:rPr>
        <w:t xml:space="preserve">While regulatory convergence </w:t>
      </w:r>
      <w:r w:rsidRPr="0059770F" w:rsidR="00BD4232">
        <w:rPr>
          <w:rFonts w:asciiTheme="minorHAnsi" w:hAnsiTheme="minorHAnsi" w:cstheme="minorHAnsi"/>
          <w:sz w:val="22"/>
          <w:szCs w:val="22"/>
        </w:rPr>
        <w:t xml:space="preserve">by definition </w:t>
      </w:r>
      <w:r w:rsidRPr="0059770F">
        <w:rPr>
          <w:rFonts w:asciiTheme="minorHAnsi" w:hAnsiTheme="minorHAnsi" w:cstheme="minorHAnsi"/>
          <w:iCs/>
          <w:sz w:val="22"/>
          <w:szCs w:val="22"/>
        </w:rPr>
        <w:t>does not</w:t>
      </w:r>
      <w:r w:rsidRPr="0059770F">
        <w:rPr>
          <w:rFonts w:asciiTheme="minorHAnsi" w:hAnsiTheme="minorHAnsi" w:cstheme="minorHAnsi"/>
          <w:sz w:val="22"/>
          <w:szCs w:val="22"/>
        </w:rPr>
        <w:t xml:space="preserve"> seek to establish new or change existing legal frameworks, laws, or regulations, </w:t>
      </w:r>
      <w:r w:rsidRPr="0059770F" w:rsidR="009A597B">
        <w:rPr>
          <w:rFonts w:asciiTheme="minorHAnsi" w:hAnsiTheme="minorHAnsi" w:cstheme="minorHAnsi"/>
          <w:sz w:val="22"/>
          <w:szCs w:val="22"/>
        </w:rPr>
        <w:t xml:space="preserve">RHSC </w:t>
      </w:r>
      <w:r w:rsidRPr="0059770F">
        <w:rPr>
          <w:rFonts w:asciiTheme="minorHAnsi" w:hAnsiTheme="minorHAnsi" w:cstheme="minorHAnsi"/>
          <w:sz w:val="22"/>
          <w:szCs w:val="22"/>
        </w:rPr>
        <w:t xml:space="preserve">may </w:t>
      </w:r>
      <w:r w:rsidRPr="0059770F" w:rsidR="009A597B">
        <w:rPr>
          <w:rFonts w:asciiTheme="minorHAnsi" w:hAnsiTheme="minorHAnsi" w:cstheme="minorHAnsi"/>
          <w:sz w:val="22"/>
          <w:szCs w:val="22"/>
        </w:rPr>
        <w:t xml:space="preserve">serve as a resource to </w:t>
      </w:r>
      <w:r w:rsidRPr="0059770F" w:rsidR="003058F3">
        <w:rPr>
          <w:rFonts w:asciiTheme="minorHAnsi" w:hAnsiTheme="minorHAnsi" w:cstheme="minorHAnsi"/>
          <w:sz w:val="22"/>
          <w:szCs w:val="22"/>
        </w:rPr>
        <w:t xml:space="preserve">APEC </w:t>
      </w:r>
      <w:r w:rsidRPr="0059770F" w:rsidR="009A597B">
        <w:rPr>
          <w:rFonts w:asciiTheme="minorHAnsi" w:hAnsiTheme="minorHAnsi" w:cstheme="minorHAnsi"/>
          <w:sz w:val="22"/>
          <w:szCs w:val="22"/>
        </w:rPr>
        <w:t xml:space="preserve">economies </w:t>
      </w:r>
      <w:r w:rsidRPr="0059770F">
        <w:rPr>
          <w:rFonts w:asciiTheme="minorHAnsi" w:hAnsiTheme="minorHAnsi" w:cstheme="minorHAnsi"/>
          <w:sz w:val="22"/>
          <w:szCs w:val="22"/>
        </w:rPr>
        <w:t>which have decided to</w:t>
      </w:r>
      <w:r w:rsidRPr="0059770F" w:rsidR="009A597B">
        <w:rPr>
          <w:rFonts w:asciiTheme="minorHAnsi" w:hAnsiTheme="minorHAnsi" w:cstheme="minorHAnsi"/>
          <w:sz w:val="22"/>
          <w:szCs w:val="22"/>
        </w:rPr>
        <w:t xml:space="preserve"> </w:t>
      </w:r>
      <w:r w:rsidRPr="0059770F" w:rsidR="00587B3C">
        <w:rPr>
          <w:rFonts w:asciiTheme="minorHAnsi" w:hAnsiTheme="minorHAnsi" w:cstheme="minorHAnsi"/>
          <w:sz w:val="22"/>
          <w:szCs w:val="22"/>
        </w:rPr>
        <w:t>establish or change these</w:t>
      </w:r>
      <w:r w:rsidRPr="0059770F" w:rsidR="00A41A89">
        <w:rPr>
          <w:rFonts w:asciiTheme="minorHAnsi" w:hAnsiTheme="minorHAnsi" w:cstheme="minorHAnsi"/>
          <w:sz w:val="22"/>
          <w:szCs w:val="22"/>
        </w:rPr>
        <w:t xml:space="preserve"> in pursuit</w:t>
      </w:r>
      <w:r w:rsidRPr="0059770F" w:rsidR="00661E2C">
        <w:rPr>
          <w:rFonts w:asciiTheme="minorHAnsi" w:hAnsiTheme="minorHAnsi" w:cstheme="minorHAnsi"/>
          <w:sz w:val="22"/>
          <w:szCs w:val="22"/>
        </w:rPr>
        <w:t xml:space="preserve"> of regulatory convergence</w:t>
      </w:r>
      <w:r w:rsidRPr="0059770F" w:rsidR="00587B3C">
        <w:rPr>
          <w:rFonts w:asciiTheme="minorHAnsi" w:hAnsiTheme="minorHAnsi" w:cstheme="minorHAnsi"/>
          <w:sz w:val="22"/>
          <w:szCs w:val="22"/>
        </w:rPr>
        <w:t xml:space="preserve"> and harmonization</w:t>
      </w:r>
      <w:r w:rsidRPr="0059770F" w:rsidR="009A597B">
        <w:rPr>
          <w:rFonts w:asciiTheme="minorHAnsi" w:hAnsiTheme="minorHAnsi" w:cstheme="minorHAnsi"/>
          <w:sz w:val="22"/>
          <w:szCs w:val="22"/>
        </w:rPr>
        <w:t>.</w:t>
      </w:r>
    </w:p>
    <w:p w:rsidRPr="0059770F" w:rsidR="00DD2BB9" w:rsidP="0059770F" w:rsidRDefault="00DD2BB9" w14:paraId="1466DF19" w14:textId="77777777">
      <w:pPr>
        <w:pStyle w:val="BodyText"/>
        <w:spacing w:after="0"/>
        <w:ind w:firstLine="0"/>
        <w:jc w:val="both"/>
        <w:rPr>
          <w:rFonts w:asciiTheme="minorHAnsi" w:hAnsiTheme="minorHAnsi" w:cstheme="minorHAnsi"/>
          <w:sz w:val="22"/>
          <w:szCs w:val="22"/>
        </w:rPr>
      </w:pPr>
    </w:p>
    <w:p w:rsidR="006E7A00" w:rsidP="0059770F" w:rsidRDefault="006E7A00" w14:paraId="49898059" w14:textId="77777777">
      <w:pPr>
        <w:pStyle w:val="BodyText"/>
        <w:numPr>
          <w:ilvl w:val="0"/>
          <w:numId w:val="8"/>
        </w:numPr>
        <w:spacing w:after="0"/>
        <w:ind w:left="360" w:hanging="270"/>
        <w:jc w:val="both"/>
        <w:rPr>
          <w:rFonts w:asciiTheme="minorHAnsi" w:hAnsiTheme="minorHAnsi" w:cstheme="minorHAnsi"/>
          <w:sz w:val="22"/>
          <w:szCs w:val="22"/>
        </w:rPr>
      </w:pPr>
      <w:r w:rsidRPr="0059770F">
        <w:rPr>
          <w:rFonts w:asciiTheme="minorHAnsi" w:hAnsiTheme="minorHAnsi" w:cstheme="minorHAnsi"/>
          <w:sz w:val="22"/>
          <w:szCs w:val="22"/>
        </w:rPr>
        <w:t>Participation is voluntary and open to all APEC economies, and decisions are consensus-based.</w:t>
      </w:r>
    </w:p>
    <w:p w:rsidR="005C219A" w:rsidP="005C219A" w:rsidRDefault="005C219A" w14:paraId="3B0DAE00" w14:textId="77777777">
      <w:pPr>
        <w:pStyle w:val="BodyText"/>
        <w:spacing w:after="0"/>
        <w:ind w:left="360" w:firstLine="0"/>
        <w:jc w:val="both"/>
        <w:rPr>
          <w:rFonts w:asciiTheme="minorHAnsi" w:hAnsiTheme="minorHAnsi" w:cstheme="minorHAnsi"/>
          <w:sz w:val="22"/>
          <w:szCs w:val="22"/>
        </w:rPr>
      </w:pPr>
    </w:p>
    <w:p w:rsidRPr="0059770F" w:rsidR="005C219A" w:rsidP="0059770F" w:rsidRDefault="005C219A" w14:paraId="16D8FD69" w14:textId="77777777">
      <w:pPr>
        <w:pStyle w:val="BodyText"/>
        <w:numPr>
          <w:ilvl w:val="0"/>
          <w:numId w:val="8"/>
        </w:numPr>
        <w:spacing w:after="0"/>
        <w:ind w:left="360" w:hanging="270"/>
        <w:jc w:val="both"/>
        <w:rPr>
          <w:rFonts w:asciiTheme="minorHAnsi" w:hAnsiTheme="minorHAnsi" w:cstheme="minorHAnsi"/>
          <w:sz w:val="22"/>
          <w:szCs w:val="22"/>
        </w:rPr>
      </w:pPr>
      <w:r>
        <w:rPr>
          <w:rFonts w:asciiTheme="minorHAnsi" w:hAnsiTheme="minorHAnsi" w:cstheme="minorHAnsi"/>
          <w:sz w:val="22"/>
          <w:szCs w:val="22"/>
        </w:rPr>
        <w:t>RHSC will work to constantly innovate and incubate new ideas to accelerate regulatory convergence building on past successes such as the APEC Training Centers of Excellence for Regulatory Science.</w:t>
      </w:r>
    </w:p>
    <w:p w:rsidRPr="0059770F" w:rsidR="001B0FBC" w:rsidP="0059770F" w:rsidRDefault="001B0FBC" w14:paraId="53AA70EB" w14:textId="77777777">
      <w:pPr>
        <w:pStyle w:val="BodyText"/>
        <w:spacing w:after="0"/>
        <w:ind w:firstLine="0"/>
        <w:rPr>
          <w:rFonts w:asciiTheme="minorHAnsi" w:hAnsiTheme="minorHAnsi" w:cstheme="minorHAnsi"/>
          <w:b/>
          <w:sz w:val="22"/>
          <w:szCs w:val="22"/>
        </w:rPr>
      </w:pPr>
    </w:p>
    <w:p w:rsidRPr="0059770F" w:rsidR="002945C7" w:rsidP="0059770F" w:rsidRDefault="002945C7" w14:paraId="4CBAC974" w14:textId="77777777">
      <w:pPr>
        <w:rPr>
          <w:rFonts w:asciiTheme="minorHAnsi" w:hAnsiTheme="minorHAnsi" w:cstheme="minorHAnsi"/>
          <w:b/>
          <w:sz w:val="22"/>
        </w:rPr>
      </w:pPr>
      <w:r w:rsidRPr="0059770F">
        <w:rPr>
          <w:rFonts w:asciiTheme="minorHAnsi" w:hAnsiTheme="minorHAnsi" w:cstheme="minorHAnsi"/>
          <w:b/>
          <w:sz w:val="22"/>
        </w:rPr>
        <w:br w:type="page"/>
      </w:r>
    </w:p>
    <w:p w:rsidRPr="0059770F" w:rsidR="00792CF6" w:rsidP="0059770F" w:rsidRDefault="009C2DB1" w14:paraId="34CF3810" w14:textId="77777777">
      <w:pPr>
        <w:pStyle w:val="BodyText"/>
        <w:spacing w:after="0"/>
        <w:ind w:firstLine="0"/>
        <w:jc w:val="both"/>
        <w:rPr>
          <w:rFonts w:asciiTheme="minorHAnsi" w:hAnsiTheme="minorHAnsi" w:cstheme="minorHAnsi"/>
          <w:sz w:val="20"/>
        </w:rPr>
      </w:pPr>
      <w:r>
        <w:rPr>
          <w:rFonts w:asciiTheme="minorHAnsi" w:hAnsiTheme="minorHAnsi" w:cstheme="minorHAnsi"/>
          <w:b/>
          <w:sz w:val="22"/>
        </w:rPr>
        <w:t>3.6</w:t>
      </w:r>
      <w:r w:rsidRPr="0059770F" w:rsidR="00792CF6">
        <w:rPr>
          <w:rFonts w:asciiTheme="minorHAnsi" w:hAnsiTheme="minorHAnsi" w:cstheme="minorHAnsi"/>
          <w:b/>
          <w:sz w:val="22"/>
        </w:rPr>
        <w:t xml:space="preserve"> </w:t>
      </w:r>
      <w:r w:rsidRPr="0059770F" w:rsidR="00E75B96">
        <w:rPr>
          <w:rFonts w:asciiTheme="minorHAnsi" w:hAnsiTheme="minorHAnsi" w:cstheme="minorHAnsi"/>
          <w:b/>
          <w:sz w:val="22"/>
        </w:rPr>
        <w:t xml:space="preserve">Goals, </w:t>
      </w:r>
      <w:r w:rsidRPr="0059770F" w:rsidR="00792CF6">
        <w:rPr>
          <w:rFonts w:asciiTheme="minorHAnsi" w:hAnsiTheme="minorHAnsi" w:cstheme="minorHAnsi"/>
          <w:b/>
          <w:sz w:val="22"/>
        </w:rPr>
        <w:t>Strategies &amp; Tactics</w:t>
      </w:r>
    </w:p>
    <w:p w:rsidRPr="0059770F" w:rsidR="00792CF6" w:rsidP="0059770F" w:rsidRDefault="00792CF6" w14:paraId="0CA69E40" w14:textId="77777777">
      <w:pPr>
        <w:pStyle w:val="BodyText"/>
        <w:spacing w:after="0"/>
        <w:ind w:firstLine="0"/>
        <w:jc w:val="both"/>
        <w:rPr>
          <w:rFonts w:asciiTheme="minorHAnsi" w:hAnsiTheme="minorHAnsi" w:cstheme="minorHAnsi"/>
          <w:b/>
          <w:sz w:val="22"/>
        </w:rPr>
      </w:pPr>
    </w:p>
    <w:p w:rsidRPr="0059770F" w:rsidR="00503CBD" w:rsidP="0059770F" w:rsidRDefault="009C2DB1" w14:paraId="6F11A7F5" w14:textId="77777777">
      <w:pPr>
        <w:pStyle w:val="BodyText"/>
        <w:spacing w:after="0"/>
        <w:ind w:firstLine="0"/>
        <w:jc w:val="both"/>
        <w:rPr>
          <w:rFonts w:asciiTheme="minorHAnsi" w:hAnsiTheme="minorHAnsi" w:cstheme="minorHAnsi"/>
          <w:i/>
          <w:sz w:val="22"/>
          <w:szCs w:val="22"/>
        </w:rPr>
      </w:pPr>
      <w:r>
        <w:rPr>
          <w:rFonts w:asciiTheme="minorHAnsi" w:hAnsiTheme="minorHAnsi" w:cstheme="minorHAnsi"/>
          <w:b/>
          <w:sz w:val="22"/>
          <w:szCs w:val="22"/>
        </w:rPr>
        <w:t>3.6</w:t>
      </w:r>
      <w:r w:rsidRPr="0059770F" w:rsidR="00E75B96">
        <w:rPr>
          <w:rFonts w:asciiTheme="minorHAnsi" w:hAnsiTheme="minorHAnsi" w:cstheme="minorHAnsi"/>
          <w:b/>
          <w:sz w:val="22"/>
          <w:szCs w:val="22"/>
        </w:rPr>
        <w:t xml:space="preserve">.1 </w:t>
      </w:r>
      <w:r w:rsidRPr="0059770F" w:rsidR="00792CF6">
        <w:rPr>
          <w:rFonts w:asciiTheme="minorHAnsi" w:hAnsiTheme="minorHAnsi" w:cstheme="minorHAnsi"/>
          <w:b/>
          <w:sz w:val="22"/>
          <w:szCs w:val="22"/>
        </w:rPr>
        <w:t>Goal:</w:t>
      </w:r>
      <w:r w:rsidRPr="0059770F" w:rsidR="00792CF6">
        <w:rPr>
          <w:rFonts w:asciiTheme="minorHAnsi" w:hAnsiTheme="minorHAnsi" w:cstheme="minorHAnsi"/>
          <w:i/>
          <w:sz w:val="22"/>
          <w:szCs w:val="22"/>
        </w:rPr>
        <w:t xml:space="preserve"> </w:t>
      </w:r>
      <w:r w:rsidRPr="0059770F" w:rsidR="00792CF6">
        <w:rPr>
          <w:rFonts w:asciiTheme="minorHAnsi" w:hAnsiTheme="minorHAnsi" w:cstheme="minorHAnsi"/>
          <w:sz w:val="22"/>
          <w:szCs w:val="22"/>
        </w:rPr>
        <w:t>Facilitate regulatory cooperation among medical produc</w:t>
      </w:r>
      <w:r w:rsidRPr="0059770F" w:rsidR="002945C7">
        <w:rPr>
          <w:rFonts w:asciiTheme="minorHAnsi" w:hAnsiTheme="minorHAnsi" w:cstheme="minorHAnsi"/>
          <w:sz w:val="22"/>
          <w:szCs w:val="22"/>
        </w:rPr>
        <w:t>t regulatory authorities</w:t>
      </w:r>
    </w:p>
    <w:p w:rsidRPr="0059770F" w:rsidR="00503CBD" w:rsidP="0059770F" w:rsidRDefault="00503CBD" w14:paraId="13655060" w14:textId="77777777">
      <w:pPr>
        <w:pStyle w:val="BodyText"/>
        <w:spacing w:after="0"/>
        <w:ind w:firstLine="0"/>
        <w:jc w:val="both"/>
        <w:rPr>
          <w:rFonts w:asciiTheme="minorHAnsi" w:hAnsiTheme="minorHAnsi" w:cstheme="minorHAnsi"/>
          <w:sz w:val="22"/>
          <w:szCs w:val="22"/>
        </w:rPr>
      </w:pPr>
    </w:p>
    <w:p w:rsidRPr="0059770F" w:rsidR="00792CF6" w:rsidP="0059770F" w:rsidRDefault="00792CF6" w14:paraId="30C93BC8" w14:textId="77777777">
      <w:pPr>
        <w:pStyle w:val="BodyText"/>
        <w:numPr>
          <w:ilvl w:val="0"/>
          <w:numId w:val="11"/>
        </w:numPr>
        <w:spacing w:after="0"/>
        <w:jc w:val="both"/>
        <w:rPr>
          <w:rFonts w:asciiTheme="minorHAnsi" w:hAnsiTheme="minorHAnsi" w:cstheme="minorHAnsi"/>
          <w:sz w:val="22"/>
        </w:rPr>
      </w:pPr>
      <w:r w:rsidRPr="0059770F">
        <w:rPr>
          <w:rFonts w:asciiTheme="minorHAnsi" w:hAnsiTheme="minorHAnsi" w:cstheme="minorHAnsi"/>
          <w:b/>
          <w:sz w:val="22"/>
        </w:rPr>
        <w:t>Strategy:</w:t>
      </w:r>
      <w:r w:rsidRPr="0059770F">
        <w:rPr>
          <w:rFonts w:asciiTheme="minorHAnsi" w:hAnsiTheme="minorHAnsi" w:cstheme="minorHAnsi"/>
          <w:sz w:val="22"/>
        </w:rPr>
        <w:t xml:space="preserve"> Build neutral platforms for cohesion and alignment</w:t>
      </w:r>
    </w:p>
    <w:p w:rsidRPr="0059770F" w:rsidR="00792CF6" w:rsidP="0059770F" w:rsidRDefault="00D1379C" w14:paraId="33073762" w14:textId="3CFBABCB">
      <w:pPr>
        <w:pStyle w:val="BodyText"/>
        <w:numPr>
          <w:ilvl w:val="1"/>
          <w:numId w:val="11"/>
        </w:numPr>
        <w:spacing w:after="0"/>
        <w:jc w:val="both"/>
        <w:rPr>
          <w:rFonts w:asciiTheme="minorHAnsi" w:hAnsiTheme="minorHAnsi" w:cstheme="minorHAnsi"/>
          <w:b/>
          <w:sz w:val="22"/>
        </w:rPr>
      </w:pPr>
      <w:r>
        <w:rPr>
          <w:rFonts w:asciiTheme="minorHAnsi" w:hAnsiTheme="minorHAnsi" w:cstheme="minorHAnsi"/>
          <w:b/>
          <w:sz w:val="22"/>
        </w:rPr>
        <w:t>Action</w:t>
      </w:r>
      <w:r w:rsidRPr="0059770F" w:rsidR="00792CF6">
        <w:rPr>
          <w:rFonts w:asciiTheme="minorHAnsi" w:hAnsiTheme="minorHAnsi" w:cstheme="minorHAnsi"/>
          <w:b/>
          <w:sz w:val="22"/>
        </w:rPr>
        <w:t xml:space="preserve">: </w:t>
      </w:r>
      <w:r w:rsidRPr="0059770F" w:rsidR="00792CF6">
        <w:rPr>
          <w:rFonts w:asciiTheme="minorHAnsi" w:hAnsiTheme="minorHAnsi" w:cstheme="minorHAnsi"/>
          <w:sz w:val="22"/>
        </w:rPr>
        <w:t>Convene meetings of the RHSC twice per year at the First and Third Senior Officials Meetings and provide space for side-meetings, workshops, and networking</w:t>
      </w:r>
    </w:p>
    <w:p w:rsidRPr="0059770F" w:rsidR="00792CF6" w:rsidP="0059770F" w:rsidRDefault="00D1379C" w14:paraId="36E46845" w14:textId="1DFA571A">
      <w:pPr>
        <w:pStyle w:val="BodyText"/>
        <w:numPr>
          <w:ilvl w:val="1"/>
          <w:numId w:val="11"/>
        </w:numPr>
        <w:spacing w:after="0"/>
        <w:jc w:val="both"/>
        <w:rPr>
          <w:rFonts w:asciiTheme="minorHAnsi" w:hAnsiTheme="minorHAnsi" w:cstheme="minorHAnsi"/>
          <w:b/>
          <w:sz w:val="22"/>
        </w:rPr>
      </w:pPr>
      <w:r>
        <w:rPr>
          <w:rFonts w:asciiTheme="minorHAnsi" w:hAnsiTheme="minorHAnsi" w:cstheme="minorHAnsi"/>
          <w:b/>
          <w:sz w:val="22"/>
        </w:rPr>
        <w:t>Action</w:t>
      </w:r>
      <w:r w:rsidRPr="0059770F" w:rsidR="00792CF6">
        <w:rPr>
          <w:rFonts w:asciiTheme="minorHAnsi" w:hAnsiTheme="minorHAnsi" w:cstheme="minorHAnsi"/>
          <w:b/>
          <w:sz w:val="22"/>
        </w:rPr>
        <w:t xml:space="preserve">: </w:t>
      </w:r>
      <w:r w:rsidRPr="0059770F" w:rsidR="00792CF6">
        <w:rPr>
          <w:rFonts w:asciiTheme="minorHAnsi" w:hAnsiTheme="minorHAnsi" w:cstheme="minorHAnsi"/>
          <w:sz w:val="22"/>
        </w:rPr>
        <w:t>Maintain Priority Work Areas</w:t>
      </w:r>
      <w:r w:rsidRPr="0059770F" w:rsidR="00E63666">
        <w:rPr>
          <w:rFonts w:asciiTheme="minorHAnsi" w:hAnsiTheme="minorHAnsi" w:cstheme="minorHAnsi"/>
          <w:sz w:val="22"/>
        </w:rPr>
        <w:t xml:space="preserve"> (PWAs)</w:t>
      </w:r>
      <w:r w:rsidRPr="0059770F" w:rsidR="00792CF6">
        <w:rPr>
          <w:rFonts w:asciiTheme="minorHAnsi" w:hAnsiTheme="minorHAnsi" w:cstheme="minorHAnsi"/>
          <w:sz w:val="22"/>
        </w:rPr>
        <w:t xml:space="preserve"> with active </w:t>
      </w:r>
      <w:r w:rsidRPr="0059770F" w:rsidR="00E63666">
        <w:rPr>
          <w:rFonts w:asciiTheme="minorHAnsi" w:hAnsiTheme="minorHAnsi" w:cstheme="minorHAnsi"/>
          <w:sz w:val="22"/>
        </w:rPr>
        <w:t>PWA Champions</w:t>
      </w:r>
      <w:r w:rsidRPr="0059770F" w:rsidR="00E63666">
        <w:rPr>
          <w:rStyle w:val="FootnoteReference"/>
          <w:rFonts w:asciiTheme="minorHAnsi" w:hAnsiTheme="minorHAnsi" w:cstheme="minorHAnsi"/>
          <w:sz w:val="22"/>
        </w:rPr>
        <w:footnoteReference w:id="2"/>
      </w:r>
      <w:r w:rsidR="00EA5B3B">
        <w:rPr>
          <w:rFonts w:asciiTheme="minorHAnsi" w:hAnsiTheme="minorHAnsi" w:cstheme="minorHAnsi"/>
          <w:sz w:val="22"/>
        </w:rPr>
        <w:t>,</w:t>
      </w:r>
      <w:r w:rsidRPr="0059770F" w:rsidR="00E63666">
        <w:rPr>
          <w:rFonts w:asciiTheme="minorHAnsi" w:hAnsiTheme="minorHAnsi" w:cstheme="minorHAnsi"/>
          <w:sz w:val="22"/>
        </w:rPr>
        <w:t xml:space="preserve"> </w:t>
      </w:r>
      <w:r w:rsidRPr="0059770F" w:rsidR="00792CF6">
        <w:rPr>
          <w:rFonts w:asciiTheme="minorHAnsi" w:hAnsiTheme="minorHAnsi" w:cstheme="minorHAnsi"/>
          <w:sz w:val="22"/>
        </w:rPr>
        <w:t xml:space="preserve">and </w:t>
      </w:r>
      <w:r w:rsidRPr="00697CFC" w:rsidR="00F04EB2">
        <w:rPr>
          <w:rFonts w:asciiTheme="minorHAnsi" w:hAnsiTheme="minorHAnsi" w:cstheme="minorHAnsi"/>
          <w:sz w:val="22"/>
        </w:rPr>
        <w:t>Co-</w:t>
      </w:r>
      <w:r w:rsidRPr="00697CFC" w:rsidR="009C53BF">
        <w:rPr>
          <w:rFonts w:asciiTheme="minorHAnsi" w:hAnsiTheme="minorHAnsi" w:cstheme="minorHAnsi"/>
          <w:sz w:val="22"/>
        </w:rPr>
        <w:t>Champions</w:t>
      </w:r>
      <w:r w:rsidR="00EA5B3B">
        <w:rPr>
          <w:rFonts w:asciiTheme="minorHAnsi" w:hAnsiTheme="minorHAnsi" w:cstheme="minorHAnsi"/>
          <w:sz w:val="22"/>
        </w:rPr>
        <w:t>,</w:t>
      </w:r>
      <w:r w:rsidRPr="00697CFC" w:rsidR="009C53BF">
        <w:rPr>
          <w:rFonts w:asciiTheme="minorHAnsi" w:hAnsiTheme="minorHAnsi" w:cstheme="minorHAnsi"/>
          <w:sz w:val="22"/>
        </w:rPr>
        <w:t xml:space="preserve"> </w:t>
      </w:r>
      <w:r w:rsidRPr="00697CFC" w:rsidR="00792CF6">
        <w:rPr>
          <w:rFonts w:asciiTheme="minorHAnsi" w:hAnsiTheme="minorHAnsi" w:cstheme="minorHAnsi"/>
          <w:sz w:val="22"/>
        </w:rPr>
        <w:t xml:space="preserve">and </w:t>
      </w:r>
      <w:r w:rsidRPr="0059770F" w:rsidR="00D5496D">
        <w:rPr>
          <w:rFonts w:asciiTheme="minorHAnsi" w:hAnsiTheme="minorHAnsi" w:cstheme="minorHAnsi"/>
          <w:sz w:val="22"/>
        </w:rPr>
        <w:t xml:space="preserve">PWA </w:t>
      </w:r>
      <w:r w:rsidRPr="0059770F" w:rsidR="00792CF6">
        <w:rPr>
          <w:rFonts w:asciiTheme="minorHAnsi" w:hAnsiTheme="minorHAnsi" w:cstheme="minorHAnsi"/>
          <w:sz w:val="22"/>
        </w:rPr>
        <w:t xml:space="preserve">Steering Committees to help prioritize </w:t>
      </w:r>
      <w:r w:rsidRPr="0059770F" w:rsidR="00501980">
        <w:rPr>
          <w:rFonts w:asciiTheme="minorHAnsi" w:hAnsiTheme="minorHAnsi" w:cstheme="minorHAnsi"/>
          <w:sz w:val="22"/>
        </w:rPr>
        <w:t>specific objectives, organize activities, and create communities</w:t>
      </w:r>
    </w:p>
    <w:p w:rsidRPr="0059770F" w:rsidR="00501980" w:rsidP="0059770F" w:rsidRDefault="00D1379C" w14:paraId="7380E559" w14:textId="02181CE0">
      <w:pPr>
        <w:pStyle w:val="BodyText"/>
        <w:numPr>
          <w:ilvl w:val="1"/>
          <w:numId w:val="11"/>
        </w:numPr>
        <w:spacing w:after="0"/>
        <w:jc w:val="both"/>
        <w:rPr>
          <w:rFonts w:asciiTheme="minorHAnsi" w:hAnsiTheme="minorHAnsi" w:cstheme="minorHAnsi"/>
          <w:b/>
          <w:sz w:val="22"/>
        </w:rPr>
      </w:pPr>
      <w:r>
        <w:rPr>
          <w:rFonts w:asciiTheme="minorHAnsi" w:hAnsiTheme="minorHAnsi" w:cstheme="minorHAnsi"/>
          <w:b/>
          <w:sz w:val="22"/>
        </w:rPr>
        <w:t>Action</w:t>
      </w:r>
      <w:r w:rsidRPr="0059770F" w:rsidR="00501980">
        <w:rPr>
          <w:rFonts w:asciiTheme="minorHAnsi" w:hAnsiTheme="minorHAnsi" w:cstheme="minorHAnsi"/>
          <w:b/>
          <w:sz w:val="22"/>
        </w:rPr>
        <w:t xml:space="preserve">: </w:t>
      </w:r>
      <w:r w:rsidRPr="0059770F" w:rsidR="00501980">
        <w:rPr>
          <w:rFonts w:asciiTheme="minorHAnsi" w:hAnsiTheme="minorHAnsi" w:cstheme="minorHAnsi"/>
          <w:sz w:val="22"/>
        </w:rPr>
        <w:t>Create virtual spaces for regulatory cooperation through the RHSC website and email distribution lists which are updated at least twice per year</w:t>
      </w:r>
    </w:p>
    <w:p w:rsidRPr="0059770F" w:rsidR="00503CBD" w:rsidP="0059770F" w:rsidRDefault="00503CBD" w14:paraId="0D294DA5" w14:textId="77777777">
      <w:pPr>
        <w:pStyle w:val="BodyText"/>
        <w:spacing w:after="0"/>
        <w:ind w:left="1440" w:firstLine="0"/>
        <w:jc w:val="both"/>
        <w:rPr>
          <w:rFonts w:asciiTheme="minorHAnsi" w:hAnsiTheme="minorHAnsi" w:cstheme="minorHAnsi"/>
          <w:b/>
          <w:sz w:val="22"/>
        </w:rPr>
      </w:pPr>
    </w:p>
    <w:p w:rsidRPr="0059770F" w:rsidR="00792CF6" w:rsidP="0059770F" w:rsidRDefault="00792CF6" w14:paraId="04947315" w14:textId="77777777">
      <w:pPr>
        <w:pStyle w:val="BodyText"/>
        <w:numPr>
          <w:ilvl w:val="0"/>
          <w:numId w:val="11"/>
        </w:numPr>
        <w:spacing w:after="0"/>
        <w:jc w:val="both"/>
        <w:rPr>
          <w:rFonts w:asciiTheme="minorHAnsi" w:hAnsiTheme="minorHAnsi" w:cstheme="minorHAnsi"/>
          <w:b/>
          <w:sz w:val="22"/>
        </w:rPr>
      </w:pPr>
      <w:r w:rsidRPr="0059770F">
        <w:rPr>
          <w:rFonts w:asciiTheme="minorHAnsi" w:hAnsiTheme="minorHAnsi" w:cstheme="minorHAnsi"/>
          <w:b/>
          <w:sz w:val="22"/>
        </w:rPr>
        <w:t xml:space="preserve">Strategy: </w:t>
      </w:r>
      <w:r w:rsidRPr="0059770F">
        <w:rPr>
          <w:rFonts w:asciiTheme="minorHAnsi" w:hAnsiTheme="minorHAnsi" w:cstheme="minorHAnsi"/>
          <w:sz w:val="22"/>
        </w:rPr>
        <w:t>Build tools for regulatory information-sharing and work-sharing</w:t>
      </w:r>
    </w:p>
    <w:p w:rsidRPr="0059770F" w:rsidR="00792CF6" w:rsidP="0059770F" w:rsidRDefault="00D1379C" w14:paraId="4E0FB2B0" w14:textId="2AE8ED47">
      <w:pPr>
        <w:pStyle w:val="BodyText"/>
        <w:numPr>
          <w:ilvl w:val="1"/>
          <w:numId w:val="11"/>
        </w:numPr>
        <w:spacing w:after="0"/>
        <w:jc w:val="both"/>
        <w:rPr>
          <w:rFonts w:asciiTheme="minorHAnsi" w:hAnsiTheme="minorHAnsi" w:cstheme="minorHAnsi"/>
          <w:b/>
          <w:sz w:val="22"/>
        </w:rPr>
      </w:pPr>
      <w:r>
        <w:rPr>
          <w:rFonts w:asciiTheme="minorHAnsi" w:hAnsiTheme="minorHAnsi" w:cstheme="minorHAnsi"/>
          <w:b/>
          <w:sz w:val="22"/>
        </w:rPr>
        <w:t>Action</w:t>
      </w:r>
      <w:r w:rsidRPr="0059770F" w:rsidR="00792CF6">
        <w:rPr>
          <w:rFonts w:asciiTheme="minorHAnsi" w:hAnsiTheme="minorHAnsi" w:cstheme="minorHAnsi"/>
          <w:b/>
          <w:sz w:val="22"/>
        </w:rPr>
        <w:t xml:space="preserve">: </w:t>
      </w:r>
      <w:r w:rsidRPr="0059770F" w:rsidR="005C51D9">
        <w:rPr>
          <w:rFonts w:asciiTheme="minorHAnsi" w:hAnsiTheme="minorHAnsi" w:cstheme="minorHAnsi"/>
          <w:sz w:val="22"/>
        </w:rPr>
        <w:t>Provide and,</w:t>
      </w:r>
      <w:r w:rsidRPr="0059770F" w:rsidR="0063255D">
        <w:rPr>
          <w:rFonts w:asciiTheme="minorHAnsi" w:hAnsiTheme="minorHAnsi" w:cstheme="minorHAnsi"/>
          <w:sz w:val="22"/>
        </w:rPr>
        <w:t xml:space="preserve"> if needed</w:t>
      </w:r>
      <w:r w:rsidRPr="0059770F" w:rsidR="005C51D9">
        <w:rPr>
          <w:rFonts w:asciiTheme="minorHAnsi" w:hAnsiTheme="minorHAnsi" w:cstheme="minorHAnsi"/>
          <w:sz w:val="22"/>
        </w:rPr>
        <w:t>,</w:t>
      </w:r>
      <w:r w:rsidRPr="0059770F" w:rsidR="0063255D">
        <w:rPr>
          <w:rFonts w:asciiTheme="minorHAnsi" w:hAnsiTheme="minorHAnsi" w:cstheme="minorHAnsi"/>
          <w:sz w:val="22"/>
        </w:rPr>
        <w:t xml:space="preserve"> assist in the</w:t>
      </w:r>
      <w:r w:rsidRPr="0059770F" w:rsidR="00792CF6">
        <w:rPr>
          <w:rFonts w:asciiTheme="minorHAnsi" w:hAnsiTheme="minorHAnsi" w:cstheme="minorHAnsi"/>
          <w:sz w:val="22"/>
        </w:rPr>
        <w:t xml:space="preserve"> develop</w:t>
      </w:r>
      <w:r w:rsidRPr="0059770F" w:rsidR="0063255D">
        <w:rPr>
          <w:rFonts w:asciiTheme="minorHAnsi" w:hAnsiTheme="minorHAnsi" w:cstheme="minorHAnsi"/>
          <w:sz w:val="22"/>
        </w:rPr>
        <w:t>ment</w:t>
      </w:r>
      <w:r w:rsidRPr="0059770F" w:rsidR="005C51D9">
        <w:rPr>
          <w:rFonts w:asciiTheme="minorHAnsi" w:hAnsiTheme="minorHAnsi" w:cstheme="minorHAnsi"/>
          <w:sz w:val="22"/>
        </w:rPr>
        <w:t xml:space="preserve"> of</w:t>
      </w:r>
      <w:r w:rsidRPr="0059770F" w:rsidR="00792CF6">
        <w:rPr>
          <w:rFonts w:asciiTheme="minorHAnsi" w:hAnsiTheme="minorHAnsi" w:cstheme="minorHAnsi"/>
          <w:sz w:val="22"/>
        </w:rPr>
        <w:t xml:space="preserve"> template agreements and guidelines for </w:t>
      </w:r>
      <w:r w:rsidRPr="0059770F" w:rsidR="00501980">
        <w:rPr>
          <w:rFonts w:asciiTheme="minorHAnsi" w:hAnsiTheme="minorHAnsi" w:cstheme="minorHAnsi"/>
          <w:sz w:val="22"/>
        </w:rPr>
        <w:t>information-sharing, work-</w:t>
      </w:r>
      <w:r w:rsidRPr="0059770F" w:rsidR="00792CF6">
        <w:rPr>
          <w:rFonts w:asciiTheme="minorHAnsi" w:hAnsiTheme="minorHAnsi" w:cstheme="minorHAnsi"/>
          <w:sz w:val="22"/>
        </w:rPr>
        <w:t xml:space="preserve">sharing, </w:t>
      </w:r>
      <w:r w:rsidRPr="0059770F" w:rsidR="0049214D">
        <w:rPr>
          <w:rFonts w:asciiTheme="minorHAnsi" w:hAnsiTheme="minorHAnsi" w:cstheme="minorHAnsi"/>
          <w:sz w:val="22"/>
        </w:rPr>
        <w:t xml:space="preserve">memoranda of cooperation, </w:t>
      </w:r>
      <w:r w:rsidRPr="0059770F" w:rsidR="00792CF6">
        <w:rPr>
          <w:rFonts w:asciiTheme="minorHAnsi" w:hAnsiTheme="minorHAnsi" w:cstheme="minorHAnsi"/>
          <w:sz w:val="22"/>
        </w:rPr>
        <w:t xml:space="preserve">confidentiality </w:t>
      </w:r>
      <w:r w:rsidRPr="0059770F" w:rsidR="00721240">
        <w:rPr>
          <w:rFonts w:asciiTheme="minorHAnsi" w:hAnsiTheme="minorHAnsi" w:cstheme="minorHAnsi"/>
          <w:sz w:val="22"/>
        </w:rPr>
        <w:t>commitments, among others</w:t>
      </w:r>
    </w:p>
    <w:p w:rsidRPr="0059770F" w:rsidR="00792CF6" w:rsidP="0059770F" w:rsidRDefault="00D1379C" w14:paraId="4B46DD68" w14:textId="44E38A1E">
      <w:pPr>
        <w:pStyle w:val="BodyText"/>
        <w:numPr>
          <w:ilvl w:val="1"/>
          <w:numId w:val="11"/>
        </w:numPr>
        <w:spacing w:after="0"/>
        <w:jc w:val="both"/>
        <w:rPr>
          <w:rFonts w:asciiTheme="minorHAnsi" w:hAnsiTheme="minorHAnsi" w:cstheme="minorHAnsi"/>
          <w:b/>
          <w:sz w:val="22"/>
        </w:rPr>
      </w:pPr>
      <w:r>
        <w:rPr>
          <w:rFonts w:asciiTheme="minorHAnsi" w:hAnsiTheme="minorHAnsi" w:cstheme="minorHAnsi"/>
          <w:b/>
          <w:sz w:val="22"/>
        </w:rPr>
        <w:t>Action</w:t>
      </w:r>
      <w:r w:rsidRPr="0059770F" w:rsidR="00792CF6">
        <w:rPr>
          <w:rFonts w:asciiTheme="minorHAnsi" w:hAnsiTheme="minorHAnsi" w:cstheme="minorHAnsi"/>
          <w:b/>
          <w:sz w:val="22"/>
        </w:rPr>
        <w:t>:</w:t>
      </w:r>
      <w:r w:rsidRPr="0059770F" w:rsidR="00792CF6">
        <w:rPr>
          <w:rFonts w:asciiTheme="minorHAnsi" w:hAnsiTheme="minorHAnsi" w:cstheme="minorHAnsi"/>
          <w:sz w:val="22"/>
        </w:rPr>
        <w:t xml:space="preserve"> </w:t>
      </w:r>
      <w:r w:rsidRPr="0059770F" w:rsidR="00721240">
        <w:rPr>
          <w:rFonts w:asciiTheme="minorHAnsi" w:hAnsiTheme="minorHAnsi" w:cstheme="minorHAnsi"/>
          <w:sz w:val="22"/>
        </w:rPr>
        <w:t>Explore the feasibility of developing a technical platform to facilitate information-sharing and work-sharing between APEC regulatory authorities</w:t>
      </w:r>
      <w:r w:rsidRPr="0059770F" w:rsidR="0059770F">
        <w:rPr>
          <w:rFonts w:asciiTheme="minorHAnsi" w:hAnsiTheme="minorHAnsi" w:cstheme="minorHAnsi"/>
          <w:sz w:val="22"/>
        </w:rPr>
        <w:t xml:space="preserve"> at scale</w:t>
      </w:r>
    </w:p>
    <w:p w:rsidRPr="0059770F" w:rsidR="00503CBD" w:rsidP="0059770F" w:rsidRDefault="00503CBD" w14:paraId="7DBF2669" w14:textId="77777777">
      <w:pPr>
        <w:pStyle w:val="BodyText"/>
        <w:spacing w:after="0"/>
        <w:ind w:left="1440" w:firstLine="0"/>
        <w:jc w:val="both"/>
        <w:rPr>
          <w:rFonts w:asciiTheme="minorHAnsi" w:hAnsiTheme="minorHAnsi" w:cstheme="minorHAnsi"/>
          <w:b/>
          <w:sz w:val="22"/>
        </w:rPr>
      </w:pPr>
    </w:p>
    <w:p w:rsidRPr="0059770F" w:rsidR="00792CF6" w:rsidP="0059770F" w:rsidRDefault="00792CF6" w14:paraId="29318541" w14:textId="1013BB9C">
      <w:pPr>
        <w:pStyle w:val="BodyText"/>
        <w:numPr>
          <w:ilvl w:val="0"/>
          <w:numId w:val="11"/>
        </w:numPr>
        <w:spacing w:after="0"/>
        <w:jc w:val="both"/>
        <w:rPr>
          <w:rFonts w:asciiTheme="minorHAnsi" w:hAnsiTheme="minorHAnsi" w:cstheme="minorHAnsi"/>
          <w:b/>
          <w:sz w:val="22"/>
        </w:rPr>
      </w:pPr>
      <w:r w:rsidRPr="0059770F">
        <w:rPr>
          <w:rFonts w:asciiTheme="minorHAnsi" w:hAnsiTheme="minorHAnsi" w:cstheme="minorHAnsi"/>
          <w:b/>
          <w:sz w:val="22"/>
        </w:rPr>
        <w:t xml:space="preserve">Strategy: </w:t>
      </w:r>
      <w:r w:rsidRPr="0059770F">
        <w:rPr>
          <w:rFonts w:asciiTheme="minorHAnsi" w:hAnsiTheme="minorHAnsi" w:cstheme="minorHAnsi"/>
          <w:sz w:val="22"/>
        </w:rPr>
        <w:t xml:space="preserve">Promote regulatory </w:t>
      </w:r>
      <w:r w:rsidR="004D23B0">
        <w:rPr>
          <w:rFonts w:asciiTheme="minorHAnsi" w:hAnsiTheme="minorHAnsi" w:cstheme="minorHAnsi"/>
          <w:sz w:val="22"/>
        </w:rPr>
        <w:t xml:space="preserve">convergence and </w:t>
      </w:r>
      <w:r w:rsidRPr="0059770F">
        <w:rPr>
          <w:rFonts w:asciiTheme="minorHAnsi" w:hAnsiTheme="minorHAnsi" w:cstheme="minorHAnsi"/>
          <w:sz w:val="22"/>
        </w:rPr>
        <w:t xml:space="preserve">reliance and its </w:t>
      </w:r>
      <w:r w:rsidR="00D1379C">
        <w:rPr>
          <w:rFonts w:asciiTheme="minorHAnsi" w:hAnsiTheme="minorHAnsi" w:cstheme="minorHAnsi"/>
          <w:sz w:val="22"/>
        </w:rPr>
        <w:t>tools</w:t>
      </w:r>
    </w:p>
    <w:p w:rsidRPr="0059770F" w:rsidR="00792CF6" w:rsidP="0059770F" w:rsidRDefault="00D1379C" w14:paraId="6BD1D2DF" w14:textId="60110458">
      <w:pPr>
        <w:pStyle w:val="BodyText"/>
        <w:numPr>
          <w:ilvl w:val="1"/>
          <w:numId w:val="11"/>
        </w:numPr>
        <w:spacing w:after="0"/>
        <w:jc w:val="both"/>
        <w:rPr>
          <w:rFonts w:asciiTheme="minorHAnsi" w:hAnsiTheme="minorHAnsi" w:cstheme="minorHAnsi"/>
          <w:b/>
          <w:sz w:val="22"/>
        </w:rPr>
      </w:pPr>
      <w:r>
        <w:rPr>
          <w:rFonts w:asciiTheme="minorHAnsi" w:hAnsiTheme="minorHAnsi" w:cstheme="minorHAnsi"/>
          <w:b/>
          <w:sz w:val="22"/>
        </w:rPr>
        <w:t>Action</w:t>
      </w:r>
      <w:r w:rsidRPr="0059770F" w:rsidR="00792CF6">
        <w:rPr>
          <w:rFonts w:asciiTheme="minorHAnsi" w:hAnsiTheme="minorHAnsi" w:cstheme="minorHAnsi"/>
          <w:b/>
          <w:sz w:val="22"/>
        </w:rPr>
        <w:t xml:space="preserve">: </w:t>
      </w:r>
      <w:r w:rsidRPr="0059770F" w:rsidR="00792CF6">
        <w:rPr>
          <w:rFonts w:asciiTheme="minorHAnsi" w:hAnsiTheme="minorHAnsi" w:cstheme="minorHAnsi"/>
          <w:sz w:val="22"/>
        </w:rPr>
        <w:t xml:space="preserve">Organize regular workshops to explain and support the use of instruments of reliance including but not limited to sharing </w:t>
      </w:r>
      <w:r w:rsidRPr="0059770F" w:rsidR="00721240">
        <w:rPr>
          <w:rFonts w:asciiTheme="minorHAnsi" w:hAnsiTheme="minorHAnsi" w:cstheme="minorHAnsi"/>
          <w:sz w:val="22"/>
        </w:rPr>
        <w:t>Good Manufacturing Practices (GMP)</w:t>
      </w:r>
      <w:r w:rsidRPr="0059770F" w:rsidR="0049214D">
        <w:rPr>
          <w:rFonts w:asciiTheme="minorHAnsi" w:hAnsiTheme="minorHAnsi" w:cstheme="minorHAnsi"/>
          <w:sz w:val="22"/>
        </w:rPr>
        <w:t xml:space="preserve"> certificates;</w:t>
      </w:r>
      <w:r w:rsidRPr="0059770F" w:rsidR="00792CF6">
        <w:rPr>
          <w:rFonts w:asciiTheme="minorHAnsi" w:hAnsiTheme="minorHAnsi" w:cstheme="minorHAnsi"/>
          <w:sz w:val="22"/>
        </w:rPr>
        <w:t xml:space="preserve"> minimizing </w:t>
      </w:r>
      <w:r w:rsidRPr="0059770F" w:rsidR="00721240">
        <w:rPr>
          <w:rFonts w:asciiTheme="minorHAnsi" w:hAnsiTheme="minorHAnsi" w:cstheme="minorHAnsi"/>
          <w:sz w:val="22"/>
        </w:rPr>
        <w:t>Certificates of Pharmaceutical Product (CPP)</w:t>
      </w:r>
      <w:r w:rsidRPr="0059770F" w:rsidR="00792CF6">
        <w:rPr>
          <w:rFonts w:asciiTheme="minorHAnsi" w:hAnsiTheme="minorHAnsi" w:cstheme="minorHAnsi"/>
          <w:sz w:val="22"/>
        </w:rPr>
        <w:t xml:space="preserve"> requireme</w:t>
      </w:r>
      <w:r w:rsidRPr="0059770F" w:rsidR="0049214D">
        <w:rPr>
          <w:rFonts w:asciiTheme="minorHAnsi" w:hAnsiTheme="minorHAnsi" w:cstheme="minorHAnsi"/>
          <w:sz w:val="22"/>
        </w:rPr>
        <w:t>nts;</w:t>
      </w:r>
      <w:r w:rsidRPr="0059770F" w:rsidR="00792CF6">
        <w:rPr>
          <w:rFonts w:asciiTheme="minorHAnsi" w:hAnsiTheme="minorHAnsi" w:cstheme="minorHAnsi"/>
          <w:sz w:val="22"/>
        </w:rPr>
        <w:t xml:space="preserve"> </w:t>
      </w:r>
      <w:r w:rsidRPr="0059770F" w:rsidR="00721240">
        <w:rPr>
          <w:rFonts w:asciiTheme="minorHAnsi" w:hAnsiTheme="minorHAnsi" w:cstheme="minorHAnsi"/>
          <w:sz w:val="22"/>
        </w:rPr>
        <w:t>establishing</w:t>
      </w:r>
      <w:r w:rsidRPr="0059770F" w:rsidR="00792CF6">
        <w:rPr>
          <w:rFonts w:asciiTheme="minorHAnsi" w:hAnsiTheme="minorHAnsi" w:cstheme="minorHAnsi"/>
          <w:sz w:val="22"/>
        </w:rPr>
        <w:t xml:space="preserve"> </w:t>
      </w:r>
      <w:r w:rsidRPr="0059770F" w:rsidR="0049214D">
        <w:rPr>
          <w:rFonts w:asciiTheme="minorHAnsi" w:hAnsiTheme="minorHAnsi" w:cstheme="minorHAnsi"/>
          <w:sz w:val="22"/>
        </w:rPr>
        <w:t xml:space="preserve">Memoranda of Cooperation (MoC), Confidentiality Commitments, and </w:t>
      </w:r>
      <w:r w:rsidRPr="0059770F" w:rsidR="00721240">
        <w:rPr>
          <w:rFonts w:asciiTheme="minorHAnsi" w:hAnsiTheme="minorHAnsi" w:cstheme="minorHAnsi"/>
          <w:sz w:val="22"/>
        </w:rPr>
        <w:t>Mutual</w:t>
      </w:r>
      <w:r w:rsidRPr="0059770F" w:rsidR="00611A8E">
        <w:rPr>
          <w:rFonts w:asciiTheme="minorHAnsi" w:hAnsiTheme="minorHAnsi" w:cstheme="minorHAnsi"/>
          <w:sz w:val="22"/>
        </w:rPr>
        <w:t xml:space="preserve"> Recognition Agreements (MRAs); and joining the Medical Device Single Audit Program (MDSAP)</w:t>
      </w:r>
      <w:r w:rsidRPr="0059770F" w:rsidR="0059770F">
        <w:rPr>
          <w:rFonts w:asciiTheme="minorHAnsi" w:hAnsiTheme="minorHAnsi" w:cstheme="minorHAnsi"/>
          <w:sz w:val="22"/>
        </w:rPr>
        <w:t>;</w:t>
      </w:r>
      <w:r w:rsidRPr="0059770F" w:rsidR="00611A8E">
        <w:rPr>
          <w:rFonts w:asciiTheme="minorHAnsi" w:hAnsiTheme="minorHAnsi" w:cstheme="minorHAnsi"/>
          <w:sz w:val="22"/>
        </w:rPr>
        <w:t xml:space="preserve"> </w:t>
      </w:r>
      <w:r w:rsidRPr="0059770F" w:rsidR="00721240">
        <w:rPr>
          <w:rFonts w:asciiTheme="minorHAnsi" w:hAnsiTheme="minorHAnsi" w:cstheme="minorHAnsi"/>
          <w:sz w:val="22"/>
        </w:rPr>
        <w:t>among others</w:t>
      </w:r>
    </w:p>
    <w:p w:rsidRPr="0059770F" w:rsidR="00792CF6" w:rsidP="0059770F" w:rsidRDefault="00D1379C" w14:paraId="6B93A10E" w14:textId="07E09869">
      <w:pPr>
        <w:pStyle w:val="BodyText"/>
        <w:numPr>
          <w:ilvl w:val="1"/>
          <w:numId w:val="11"/>
        </w:numPr>
        <w:spacing w:after="0"/>
        <w:jc w:val="both"/>
        <w:rPr>
          <w:rFonts w:asciiTheme="minorHAnsi" w:hAnsiTheme="minorHAnsi" w:cstheme="minorHAnsi"/>
          <w:b/>
          <w:sz w:val="22"/>
        </w:rPr>
      </w:pPr>
      <w:r>
        <w:rPr>
          <w:rFonts w:asciiTheme="minorHAnsi" w:hAnsiTheme="minorHAnsi" w:cstheme="minorHAnsi"/>
          <w:b/>
          <w:sz w:val="22"/>
        </w:rPr>
        <w:t>Action</w:t>
      </w:r>
      <w:r w:rsidRPr="0059770F" w:rsidR="00792CF6">
        <w:rPr>
          <w:rFonts w:asciiTheme="minorHAnsi" w:hAnsiTheme="minorHAnsi" w:cstheme="minorHAnsi"/>
          <w:b/>
          <w:sz w:val="22"/>
        </w:rPr>
        <w:t>:</w:t>
      </w:r>
      <w:r w:rsidRPr="0059770F" w:rsidR="00792CF6">
        <w:rPr>
          <w:rFonts w:asciiTheme="minorHAnsi" w:hAnsiTheme="minorHAnsi" w:cstheme="minorHAnsi"/>
          <w:sz w:val="22"/>
        </w:rPr>
        <w:t xml:space="preserve"> </w:t>
      </w:r>
      <w:r w:rsidRPr="0059770F" w:rsidR="00E75B96">
        <w:rPr>
          <w:rFonts w:asciiTheme="minorHAnsi" w:hAnsiTheme="minorHAnsi" w:cstheme="minorHAnsi"/>
          <w:sz w:val="22"/>
        </w:rPr>
        <w:t>S</w:t>
      </w:r>
      <w:r w:rsidRPr="0059770F" w:rsidR="00721240">
        <w:rPr>
          <w:rFonts w:asciiTheme="minorHAnsi" w:hAnsiTheme="minorHAnsi" w:cstheme="minorHAnsi"/>
          <w:sz w:val="22"/>
        </w:rPr>
        <w:t xml:space="preserve">upport </w:t>
      </w:r>
      <w:r w:rsidRPr="0059770F" w:rsidR="00E75B96">
        <w:rPr>
          <w:rFonts w:asciiTheme="minorHAnsi" w:hAnsiTheme="minorHAnsi" w:cstheme="minorHAnsi"/>
          <w:sz w:val="22"/>
        </w:rPr>
        <w:t xml:space="preserve">participation </w:t>
      </w:r>
      <w:r w:rsidRPr="0059770F" w:rsidR="00721240">
        <w:rPr>
          <w:rFonts w:asciiTheme="minorHAnsi" w:hAnsiTheme="minorHAnsi" w:cstheme="minorHAnsi"/>
          <w:sz w:val="22"/>
        </w:rPr>
        <w:t>in regulatory harmonization initiatives including but not limited to the International Council on Harmonisation (ICH), International Pharmaceutical Regulators Programme (IPRP), International Medical D</w:t>
      </w:r>
      <w:r w:rsidRPr="0059770F" w:rsidR="00611A8E">
        <w:rPr>
          <w:rFonts w:asciiTheme="minorHAnsi" w:hAnsiTheme="minorHAnsi" w:cstheme="minorHAnsi"/>
          <w:sz w:val="22"/>
        </w:rPr>
        <w:t xml:space="preserve">evice Regulators Forum (IMDRF), </w:t>
      </w:r>
      <w:r w:rsidRPr="0059770F" w:rsidR="0049214D">
        <w:rPr>
          <w:rFonts w:asciiTheme="minorHAnsi" w:hAnsiTheme="minorHAnsi" w:cstheme="minorHAnsi"/>
          <w:sz w:val="22"/>
        </w:rPr>
        <w:t>and Pharmaceutical Inspection Convention and Pharmaceutical Inspection Co-operation Scheme (PIC/S), among others</w:t>
      </w:r>
    </w:p>
    <w:p w:rsidRPr="0059770F" w:rsidR="00792CF6" w:rsidP="0059770F" w:rsidRDefault="00D1379C" w14:paraId="19969398" w14:textId="4E43B1F6">
      <w:pPr>
        <w:pStyle w:val="BodyText"/>
        <w:numPr>
          <w:ilvl w:val="1"/>
          <w:numId w:val="11"/>
        </w:numPr>
        <w:spacing w:after="0"/>
        <w:jc w:val="both"/>
        <w:rPr>
          <w:rFonts w:asciiTheme="minorHAnsi" w:hAnsiTheme="minorHAnsi" w:cstheme="minorHAnsi"/>
          <w:b/>
          <w:sz w:val="22"/>
        </w:rPr>
      </w:pPr>
      <w:r>
        <w:rPr>
          <w:rFonts w:asciiTheme="minorHAnsi" w:hAnsiTheme="minorHAnsi" w:cstheme="minorHAnsi"/>
          <w:b/>
          <w:sz w:val="22"/>
        </w:rPr>
        <w:t>Action</w:t>
      </w:r>
      <w:r w:rsidRPr="0059770F" w:rsidR="00792CF6">
        <w:rPr>
          <w:rFonts w:asciiTheme="minorHAnsi" w:hAnsiTheme="minorHAnsi" w:cstheme="minorHAnsi"/>
          <w:b/>
          <w:sz w:val="22"/>
        </w:rPr>
        <w:t>:</w:t>
      </w:r>
      <w:r w:rsidRPr="0059770F" w:rsidR="00792CF6">
        <w:rPr>
          <w:rFonts w:asciiTheme="minorHAnsi" w:hAnsiTheme="minorHAnsi" w:cstheme="minorHAnsi"/>
          <w:sz w:val="22"/>
        </w:rPr>
        <w:t xml:space="preserve"> Explore </w:t>
      </w:r>
      <w:r w:rsidRPr="0059770F" w:rsidR="00721240">
        <w:rPr>
          <w:rFonts w:asciiTheme="minorHAnsi" w:hAnsiTheme="minorHAnsi" w:cstheme="minorHAnsi"/>
          <w:sz w:val="22"/>
        </w:rPr>
        <w:t xml:space="preserve">the feasibility of developing </w:t>
      </w:r>
      <w:r w:rsidRPr="0059770F" w:rsidR="00792CF6">
        <w:rPr>
          <w:rFonts w:asciiTheme="minorHAnsi" w:hAnsiTheme="minorHAnsi" w:cstheme="minorHAnsi"/>
          <w:sz w:val="22"/>
        </w:rPr>
        <w:t xml:space="preserve">consensus-driven joint </w:t>
      </w:r>
      <w:r w:rsidRPr="0059770F" w:rsidR="00721240">
        <w:rPr>
          <w:rFonts w:asciiTheme="minorHAnsi" w:hAnsiTheme="minorHAnsi" w:cstheme="minorHAnsi"/>
          <w:sz w:val="22"/>
        </w:rPr>
        <w:t xml:space="preserve">APEC </w:t>
      </w:r>
      <w:r w:rsidRPr="0059770F" w:rsidR="00792CF6">
        <w:rPr>
          <w:rFonts w:asciiTheme="minorHAnsi" w:hAnsiTheme="minorHAnsi" w:cstheme="minorHAnsi"/>
          <w:sz w:val="22"/>
        </w:rPr>
        <w:t>commitments and</w:t>
      </w:r>
      <w:r w:rsidRPr="0059770F" w:rsidR="00721240">
        <w:rPr>
          <w:rFonts w:asciiTheme="minorHAnsi" w:hAnsiTheme="minorHAnsi" w:cstheme="minorHAnsi"/>
          <w:sz w:val="22"/>
        </w:rPr>
        <w:t xml:space="preserve"> bilateral or multilateral</w:t>
      </w:r>
      <w:r w:rsidRPr="0059770F" w:rsidR="00792CF6">
        <w:rPr>
          <w:rFonts w:asciiTheme="minorHAnsi" w:hAnsiTheme="minorHAnsi" w:cstheme="minorHAnsi"/>
          <w:sz w:val="22"/>
        </w:rPr>
        <w:t xml:space="preserve"> reliance agreements</w:t>
      </w:r>
    </w:p>
    <w:p w:rsidRPr="0059770F" w:rsidR="00C80B15" w:rsidP="0059770F" w:rsidRDefault="00C80B15" w14:paraId="2B572AC9" w14:textId="77777777">
      <w:pPr>
        <w:pStyle w:val="BodyText"/>
        <w:spacing w:after="0"/>
        <w:ind w:firstLine="0"/>
        <w:jc w:val="both"/>
        <w:rPr>
          <w:rFonts w:asciiTheme="minorHAnsi" w:hAnsiTheme="minorHAnsi" w:cstheme="minorHAnsi"/>
          <w:b/>
          <w:sz w:val="22"/>
        </w:rPr>
      </w:pPr>
    </w:p>
    <w:p w:rsidRPr="0059770F" w:rsidR="002D7684" w:rsidP="0059770F" w:rsidRDefault="002D7684" w14:paraId="0DAACE09" w14:textId="77777777">
      <w:pPr>
        <w:pStyle w:val="BodyText"/>
        <w:spacing w:after="0"/>
        <w:ind w:firstLine="0"/>
        <w:jc w:val="both"/>
        <w:rPr>
          <w:rFonts w:asciiTheme="minorHAnsi" w:hAnsiTheme="minorHAnsi" w:cstheme="minorHAnsi"/>
          <w:b/>
          <w:sz w:val="22"/>
        </w:rPr>
      </w:pPr>
    </w:p>
    <w:p w:rsidRPr="0059770F" w:rsidR="00D97F01" w:rsidP="0059770F" w:rsidRDefault="00D97F01" w14:paraId="6CAEDE3F" w14:textId="77777777">
      <w:pPr>
        <w:rPr>
          <w:rFonts w:asciiTheme="minorHAnsi" w:hAnsiTheme="minorHAnsi" w:cstheme="minorHAnsi"/>
          <w:b/>
          <w:sz w:val="22"/>
        </w:rPr>
      </w:pPr>
      <w:r w:rsidRPr="0059770F">
        <w:rPr>
          <w:rFonts w:asciiTheme="minorHAnsi" w:hAnsiTheme="minorHAnsi" w:cstheme="minorHAnsi"/>
          <w:b/>
          <w:sz w:val="22"/>
        </w:rPr>
        <w:br w:type="page"/>
      </w:r>
    </w:p>
    <w:p w:rsidRPr="0059770F" w:rsidR="00792CF6" w:rsidP="0059770F" w:rsidRDefault="009C2DB1" w14:paraId="0B9112D2" w14:textId="77777777">
      <w:pPr>
        <w:pStyle w:val="BodyText"/>
        <w:spacing w:after="0"/>
        <w:ind w:firstLine="0"/>
        <w:jc w:val="both"/>
        <w:rPr>
          <w:rFonts w:asciiTheme="minorHAnsi" w:hAnsiTheme="minorHAnsi" w:cstheme="minorHAnsi"/>
          <w:sz w:val="22"/>
          <w:szCs w:val="22"/>
        </w:rPr>
      </w:pPr>
      <w:r>
        <w:rPr>
          <w:rFonts w:asciiTheme="minorHAnsi" w:hAnsiTheme="minorHAnsi" w:cstheme="minorHAnsi"/>
          <w:b/>
          <w:sz w:val="22"/>
        </w:rPr>
        <w:t>3.6</w:t>
      </w:r>
      <w:r w:rsidRPr="0059770F" w:rsidR="00E75B96">
        <w:rPr>
          <w:rFonts w:asciiTheme="minorHAnsi" w:hAnsiTheme="minorHAnsi" w:cstheme="minorHAnsi"/>
          <w:b/>
          <w:sz w:val="22"/>
        </w:rPr>
        <w:t xml:space="preserve">.2 </w:t>
      </w:r>
      <w:r w:rsidRPr="0059770F" w:rsidR="00792CF6">
        <w:rPr>
          <w:rFonts w:asciiTheme="minorHAnsi" w:hAnsiTheme="minorHAnsi" w:cstheme="minorHAnsi"/>
          <w:b/>
          <w:sz w:val="22"/>
        </w:rPr>
        <w:t>Goal:</w:t>
      </w:r>
      <w:r w:rsidRPr="0059770F" w:rsidR="00792CF6">
        <w:rPr>
          <w:rFonts w:asciiTheme="minorHAnsi" w:hAnsiTheme="minorHAnsi" w:cstheme="minorHAnsi"/>
          <w:sz w:val="22"/>
        </w:rPr>
        <w:t xml:space="preserve"> </w:t>
      </w:r>
      <w:r w:rsidRPr="0059770F" w:rsidR="00792CF6">
        <w:rPr>
          <w:rFonts w:asciiTheme="minorHAnsi" w:hAnsiTheme="minorHAnsi" w:cstheme="minorHAnsi"/>
          <w:sz w:val="22"/>
          <w:szCs w:val="22"/>
        </w:rPr>
        <w:t xml:space="preserve">Build human capacity </w:t>
      </w:r>
      <w:r w:rsidRPr="0059770F" w:rsidR="002D7684">
        <w:rPr>
          <w:rFonts w:asciiTheme="minorHAnsi" w:hAnsiTheme="minorHAnsi" w:cstheme="minorHAnsi"/>
          <w:sz w:val="22"/>
          <w:szCs w:val="22"/>
        </w:rPr>
        <w:t xml:space="preserve">in regulatory science </w:t>
      </w:r>
      <w:r w:rsidRPr="0059770F" w:rsidR="00792CF6">
        <w:rPr>
          <w:rFonts w:asciiTheme="minorHAnsi" w:hAnsiTheme="minorHAnsi" w:cstheme="minorHAnsi"/>
          <w:sz w:val="22"/>
          <w:szCs w:val="22"/>
        </w:rPr>
        <w:t xml:space="preserve">among medical product regulatory </w:t>
      </w:r>
      <w:r w:rsidRPr="0059770F" w:rsidR="00F5669B">
        <w:rPr>
          <w:rFonts w:asciiTheme="minorHAnsi" w:hAnsiTheme="minorHAnsi" w:cstheme="minorHAnsi"/>
          <w:sz w:val="22"/>
          <w:szCs w:val="22"/>
        </w:rPr>
        <w:t>staff</w:t>
      </w:r>
    </w:p>
    <w:p w:rsidRPr="0059770F" w:rsidR="00503CBD" w:rsidP="0059770F" w:rsidRDefault="00503CBD" w14:paraId="578BC68C" w14:textId="77777777">
      <w:pPr>
        <w:pStyle w:val="BodyText"/>
        <w:spacing w:after="0"/>
        <w:ind w:firstLine="0"/>
        <w:jc w:val="both"/>
        <w:rPr>
          <w:rFonts w:asciiTheme="minorHAnsi" w:hAnsiTheme="minorHAnsi" w:cstheme="minorHAnsi"/>
          <w:sz w:val="22"/>
        </w:rPr>
      </w:pPr>
    </w:p>
    <w:p w:rsidRPr="0059770F" w:rsidR="00792CF6" w:rsidP="0059770F" w:rsidRDefault="00792CF6" w14:paraId="284CD4E8" w14:textId="77777777">
      <w:pPr>
        <w:pStyle w:val="BodyText"/>
        <w:numPr>
          <w:ilvl w:val="0"/>
          <w:numId w:val="12"/>
        </w:numPr>
        <w:spacing w:after="0"/>
        <w:jc w:val="both"/>
        <w:rPr>
          <w:rFonts w:asciiTheme="minorHAnsi" w:hAnsiTheme="minorHAnsi" w:cstheme="minorHAnsi"/>
          <w:sz w:val="22"/>
        </w:rPr>
      </w:pPr>
      <w:r w:rsidRPr="0059770F">
        <w:rPr>
          <w:rFonts w:asciiTheme="minorHAnsi" w:hAnsiTheme="minorHAnsi" w:cstheme="minorHAnsi"/>
          <w:b/>
          <w:sz w:val="22"/>
        </w:rPr>
        <w:t>Strategy:</w:t>
      </w:r>
      <w:r w:rsidRPr="0059770F">
        <w:rPr>
          <w:rFonts w:asciiTheme="minorHAnsi" w:hAnsiTheme="minorHAnsi" w:cstheme="minorHAnsi"/>
          <w:sz w:val="22"/>
        </w:rPr>
        <w:t xml:space="preserve"> Strengthen and scale </w:t>
      </w:r>
      <w:r w:rsidRPr="0059770F" w:rsidR="004A7F91">
        <w:rPr>
          <w:rFonts w:asciiTheme="minorHAnsi" w:hAnsiTheme="minorHAnsi" w:cstheme="minorHAnsi"/>
          <w:sz w:val="22"/>
        </w:rPr>
        <w:t xml:space="preserve">APEC </w:t>
      </w:r>
      <w:r w:rsidRPr="0059770F">
        <w:rPr>
          <w:rFonts w:asciiTheme="minorHAnsi" w:hAnsiTheme="minorHAnsi" w:cstheme="minorHAnsi"/>
          <w:sz w:val="22"/>
        </w:rPr>
        <w:t>Training Centers of Excellence for Regulatory Science</w:t>
      </w:r>
    </w:p>
    <w:p w:rsidRPr="0059770F" w:rsidR="00DD223E" w:rsidP="0059770F" w:rsidRDefault="00D1379C" w14:paraId="26909F46" w14:textId="373ECEEC">
      <w:pPr>
        <w:pStyle w:val="BodyText"/>
        <w:numPr>
          <w:ilvl w:val="1"/>
          <w:numId w:val="12"/>
        </w:numPr>
        <w:spacing w:after="0"/>
        <w:jc w:val="both"/>
        <w:rPr>
          <w:rFonts w:asciiTheme="minorHAnsi" w:hAnsiTheme="minorHAnsi" w:cstheme="minorHAnsi"/>
          <w:b/>
          <w:sz w:val="22"/>
        </w:rPr>
      </w:pPr>
      <w:r>
        <w:rPr>
          <w:rFonts w:asciiTheme="minorHAnsi" w:hAnsiTheme="minorHAnsi" w:cstheme="minorHAnsi"/>
          <w:b/>
          <w:sz w:val="22"/>
        </w:rPr>
        <w:t>Action</w:t>
      </w:r>
      <w:r w:rsidRPr="0059770F" w:rsidR="00DD223E">
        <w:rPr>
          <w:rFonts w:asciiTheme="minorHAnsi" w:hAnsiTheme="minorHAnsi" w:cstheme="minorHAnsi"/>
          <w:b/>
          <w:sz w:val="22"/>
        </w:rPr>
        <w:t xml:space="preserve">: </w:t>
      </w:r>
      <w:r w:rsidRPr="0059770F" w:rsidR="00813B3F">
        <w:rPr>
          <w:rFonts w:asciiTheme="minorHAnsi" w:hAnsiTheme="minorHAnsi" w:cstheme="minorHAnsi"/>
          <w:sz w:val="22"/>
        </w:rPr>
        <w:t xml:space="preserve">Support </w:t>
      </w:r>
      <w:r w:rsidRPr="0059770F" w:rsidR="00F24888">
        <w:rPr>
          <w:rFonts w:asciiTheme="minorHAnsi" w:hAnsiTheme="minorHAnsi" w:cstheme="minorHAnsi"/>
          <w:sz w:val="22"/>
        </w:rPr>
        <w:t>the Center of Excellence Coalition to promote training activities</w:t>
      </w:r>
      <w:r w:rsidRPr="0059770F" w:rsidR="00813B3F">
        <w:rPr>
          <w:rFonts w:asciiTheme="minorHAnsi" w:hAnsiTheme="minorHAnsi" w:cstheme="minorHAnsi"/>
          <w:sz w:val="22"/>
        </w:rPr>
        <w:t>, no</w:t>
      </w:r>
      <w:r w:rsidRPr="0059770F" w:rsidR="00F24888">
        <w:rPr>
          <w:rFonts w:asciiTheme="minorHAnsi" w:hAnsiTheme="minorHAnsi" w:cstheme="minorHAnsi"/>
          <w:sz w:val="22"/>
        </w:rPr>
        <w:t>minate</w:t>
      </w:r>
      <w:r w:rsidRPr="0059770F" w:rsidR="00813B3F">
        <w:rPr>
          <w:rFonts w:asciiTheme="minorHAnsi" w:hAnsiTheme="minorHAnsi" w:cstheme="minorHAnsi"/>
          <w:sz w:val="22"/>
        </w:rPr>
        <w:t xml:space="preserve"> participants to attend</w:t>
      </w:r>
      <w:r w:rsidR="00222301">
        <w:rPr>
          <w:rFonts w:asciiTheme="minorHAnsi" w:hAnsiTheme="minorHAnsi" w:cstheme="minorHAnsi"/>
          <w:sz w:val="22"/>
        </w:rPr>
        <w:t xml:space="preserve"> training activities</w:t>
      </w:r>
      <w:r w:rsidRPr="0059770F" w:rsidR="00813B3F">
        <w:rPr>
          <w:rFonts w:asciiTheme="minorHAnsi" w:hAnsiTheme="minorHAnsi" w:cstheme="minorHAnsi"/>
          <w:sz w:val="22"/>
        </w:rPr>
        <w:t xml:space="preserve">, and </w:t>
      </w:r>
      <w:r w:rsidRPr="0059770F" w:rsidR="00F24888">
        <w:rPr>
          <w:rFonts w:asciiTheme="minorHAnsi" w:hAnsiTheme="minorHAnsi" w:cstheme="minorHAnsi"/>
          <w:sz w:val="22"/>
        </w:rPr>
        <w:t>encourage partnerships</w:t>
      </w:r>
      <w:r w:rsidR="00222301">
        <w:rPr>
          <w:rFonts w:asciiTheme="minorHAnsi" w:hAnsiTheme="minorHAnsi" w:cstheme="minorHAnsi"/>
          <w:sz w:val="22"/>
        </w:rPr>
        <w:t xml:space="preserve"> and collaboration between Centers of Excellence</w:t>
      </w:r>
    </w:p>
    <w:p w:rsidRPr="0059770F" w:rsidR="00792CF6" w:rsidP="0059770F" w:rsidRDefault="00D1379C" w14:paraId="153B15DA" w14:textId="7F94F2E5">
      <w:pPr>
        <w:pStyle w:val="BodyText"/>
        <w:numPr>
          <w:ilvl w:val="1"/>
          <w:numId w:val="12"/>
        </w:numPr>
        <w:spacing w:after="0"/>
        <w:jc w:val="both"/>
        <w:rPr>
          <w:rFonts w:asciiTheme="minorHAnsi" w:hAnsiTheme="minorHAnsi" w:cstheme="minorHAnsi"/>
          <w:b/>
          <w:sz w:val="22"/>
        </w:rPr>
      </w:pPr>
      <w:r>
        <w:rPr>
          <w:rFonts w:asciiTheme="minorHAnsi" w:hAnsiTheme="minorHAnsi" w:cstheme="minorHAnsi"/>
          <w:b/>
          <w:sz w:val="22"/>
        </w:rPr>
        <w:t>Action</w:t>
      </w:r>
      <w:r w:rsidRPr="0059770F" w:rsidR="00792CF6">
        <w:rPr>
          <w:rFonts w:asciiTheme="minorHAnsi" w:hAnsiTheme="minorHAnsi" w:cstheme="minorHAnsi"/>
          <w:b/>
          <w:sz w:val="22"/>
        </w:rPr>
        <w:t xml:space="preserve">: </w:t>
      </w:r>
      <w:r w:rsidRPr="0059770F" w:rsidR="005C51D9">
        <w:rPr>
          <w:rFonts w:asciiTheme="minorHAnsi" w:hAnsiTheme="minorHAnsi" w:cstheme="minorHAnsi"/>
          <w:sz w:val="22"/>
        </w:rPr>
        <w:t>E</w:t>
      </w:r>
      <w:r w:rsidRPr="0059770F" w:rsidR="00792CF6">
        <w:rPr>
          <w:rFonts w:asciiTheme="minorHAnsi" w:hAnsiTheme="minorHAnsi" w:cstheme="minorHAnsi"/>
          <w:sz w:val="22"/>
        </w:rPr>
        <w:t>ncourag</w:t>
      </w:r>
      <w:r w:rsidRPr="0059770F" w:rsidR="005C51D9">
        <w:rPr>
          <w:rFonts w:asciiTheme="minorHAnsi" w:hAnsiTheme="minorHAnsi" w:cstheme="minorHAnsi"/>
          <w:sz w:val="22"/>
        </w:rPr>
        <w:t>e</w:t>
      </w:r>
      <w:r w:rsidRPr="0059770F" w:rsidR="00792CF6">
        <w:rPr>
          <w:rFonts w:asciiTheme="minorHAnsi" w:hAnsiTheme="minorHAnsi" w:cstheme="minorHAnsi"/>
          <w:sz w:val="22"/>
        </w:rPr>
        <w:t xml:space="preserve"> </w:t>
      </w:r>
      <w:r w:rsidRPr="0059770F" w:rsidR="00D730A9">
        <w:rPr>
          <w:rFonts w:asciiTheme="minorHAnsi" w:hAnsiTheme="minorHAnsi" w:cstheme="minorHAnsi"/>
          <w:sz w:val="22"/>
        </w:rPr>
        <w:t xml:space="preserve">consistent, long-term, and </w:t>
      </w:r>
      <w:r w:rsidRPr="0059770F" w:rsidR="00792CF6">
        <w:rPr>
          <w:rFonts w:asciiTheme="minorHAnsi" w:hAnsiTheme="minorHAnsi" w:cstheme="minorHAnsi"/>
          <w:sz w:val="22"/>
        </w:rPr>
        <w:t xml:space="preserve">peer-to-peer </w:t>
      </w:r>
      <w:r w:rsidRPr="0059770F" w:rsidR="00D730A9">
        <w:rPr>
          <w:rFonts w:asciiTheme="minorHAnsi" w:hAnsiTheme="minorHAnsi" w:cstheme="minorHAnsi"/>
          <w:sz w:val="22"/>
        </w:rPr>
        <w:t>training</w:t>
      </w:r>
      <w:r w:rsidRPr="0059770F" w:rsidR="005C51D9">
        <w:rPr>
          <w:rFonts w:asciiTheme="minorHAnsi" w:hAnsiTheme="minorHAnsi" w:cstheme="minorHAnsi"/>
          <w:sz w:val="22"/>
        </w:rPr>
        <w:t xml:space="preserve"> </w:t>
      </w:r>
      <w:r w:rsidR="006C5575">
        <w:rPr>
          <w:rFonts w:asciiTheme="minorHAnsi" w:hAnsiTheme="minorHAnsi" w:cstheme="minorHAnsi"/>
          <w:sz w:val="22"/>
        </w:rPr>
        <w:t xml:space="preserve">and the development of peer networks </w:t>
      </w:r>
      <w:r w:rsidRPr="0059770F" w:rsidR="005C51D9">
        <w:rPr>
          <w:rFonts w:asciiTheme="minorHAnsi" w:hAnsiTheme="minorHAnsi" w:cstheme="minorHAnsi"/>
          <w:sz w:val="22"/>
        </w:rPr>
        <w:t>for participants</w:t>
      </w:r>
      <w:r w:rsidRPr="0059770F" w:rsidR="00D50EE0">
        <w:rPr>
          <w:rFonts w:asciiTheme="minorHAnsi" w:hAnsiTheme="minorHAnsi" w:cstheme="minorHAnsi"/>
          <w:sz w:val="22"/>
        </w:rPr>
        <w:t xml:space="preserve"> in person and virtually</w:t>
      </w:r>
      <w:r w:rsidRPr="0059770F" w:rsidR="00792CF6">
        <w:rPr>
          <w:rFonts w:asciiTheme="minorHAnsi" w:hAnsiTheme="minorHAnsi" w:cstheme="minorHAnsi"/>
          <w:sz w:val="22"/>
        </w:rPr>
        <w:t xml:space="preserve"> </w:t>
      </w:r>
      <w:r w:rsidRPr="0059770F" w:rsidR="005C51D9">
        <w:rPr>
          <w:rFonts w:asciiTheme="minorHAnsi" w:hAnsiTheme="minorHAnsi" w:cstheme="minorHAnsi"/>
          <w:sz w:val="22"/>
        </w:rPr>
        <w:t xml:space="preserve">following </w:t>
      </w:r>
      <w:r w:rsidRPr="0059770F" w:rsidR="00D730A9">
        <w:rPr>
          <w:rFonts w:asciiTheme="minorHAnsi" w:hAnsiTheme="minorHAnsi" w:cstheme="minorHAnsi"/>
          <w:sz w:val="22"/>
        </w:rPr>
        <w:t xml:space="preserve">Center of Excellence </w:t>
      </w:r>
      <w:r w:rsidRPr="0059770F" w:rsidR="00583F4C">
        <w:rPr>
          <w:rFonts w:asciiTheme="minorHAnsi" w:hAnsiTheme="minorHAnsi" w:cstheme="minorHAnsi"/>
          <w:sz w:val="22"/>
        </w:rPr>
        <w:t xml:space="preserve">training </w:t>
      </w:r>
      <w:r w:rsidRPr="0059770F" w:rsidR="00792CF6">
        <w:rPr>
          <w:rFonts w:asciiTheme="minorHAnsi" w:hAnsiTheme="minorHAnsi" w:cstheme="minorHAnsi"/>
          <w:sz w:val="22"/>
        </w:rPr>
        <w:t>programs</w:t>
      </w:r>
    </w:p>
    <w:p w:rsidRPr="0059770F" w:rsidR="00792CF6" w:rsidP="0059770F" w:rsidRDefault="00D1379C" w14:paraId="16C2025F" w14:textId="1037401E">
      <w:pPr>
        <w:pStyle w:val="BodyText"/>
        <w:numPr>
          <w:ilvl w:val="1"/>
          <w:numId w:val="12"/>
        </w:numPr>
        <w:spacing w:after="0"/>
        <w:jc w:val="both"/>
        <w:rPr>
          <w:rFonts w:asciiTheme="minorHAnsi" w:hAnsiTheme="minorHAnsi" w:cstheme="minorHAnsi"/>
          <w:b/>
          <w:sz w:val="22"/>
        </w:rPr>
      </w:pPr>
      <w:r>
        <w:rPr>
          <w:rFonts w:asciiTheme="minorHAnsi" w:hAnsiTheme="minorHAnsi" w:cstheme="minorHAnsi"/>
          <w:b/>
          <w:sz w:val="22"/>
        </w:rPr>
        <w:t>Action</w:t>
      </w:r>
      <w:r w:rsidRPr="0059770F" w:rsidR="00792CF6">
        <w:rPr>
          <w:rFonts w:asciiTheme="minorHAnsi" w:hAnsiTheme="minorHAnsi" w:cstheme="minorHAnsi"/>
          <w:b/>
          <w:sz w:val="22"/>
        </w:rPr>
        <w:t xml:space="preserve">: </w:t>
      </w:r>
      <w:r w:rsidRPr="0059770F" w:rsidR="001008C7">
        <w:rPr>
          <w:rFonts w:asciiTheme="minorHAnsi" w:hAnsiTheme="minorHAnsi" w:cstheme="minorHAnsi"/>
          <w:sz w:val="22"/>
        </w:rPr>
        <w:t xml:space="preserve">Organize </w:t>
      </w:r>
      <w:r w:rsidRPr="0059770F" w:rsidR="001008C7">
        <w:rPr>
          <w:rFonts w:asciiTheme="minorHAnsi" w:hAnsiTheme="minorHAnsi" w:cstheme="minorHAnsi"/>
          <w:i/>
          <w:sz w:val="22"/>
        </w:rPr>
        <w:t>ad-</w:t>
      </w:r>
      <w:r w:rsidRPr="0059770F" w:rsidR="00A055CF">
        <w:rPr>
          <w:rFonts w:asciiTheme="minorHAnsi" w:hAnsiTheme="minorHAnsi" w:cstheme="minorHAnsi"/>
          <w:i/>
          <w:sz w:val="22"/>
        </w:rPr>
        <w:t>hoc</w:t>
      </w:r>
      <w:r w:rsidRPr="0059770F" w:rsidR="00A055CF">
        <w:rPr>
          <w:rFonts w:asciiTheme="minorHAnsi" w:hAnsiTheme="minorHAnsi" w:cstheme="minorHAnsi"/>
          <w:sz w:val="22"/>
        </w:rPr>
        <w:t xml:space="preserve"> virtual and in-person workshops for </w:t>
      </w:r>
      <w:r w:rsidRPr="0059770F" w:rsidR="0050411C">
        <w:rPr>
          <w:rFonts w:asciiTheme="minorHAnsi" w:hAnsiTheme="minorHAnsi" w:cstheme="minorHAnsi"/>
          <w:sz w:val="22"/>
        </w:rPr>
        <w:t>Center of Excellence faculty</w:t>
      </w:r>
      <w:r w:rsidRPr="0059770F" w:rsidR="00A055CF">
        <w:rPr>
          <w:rFonts w:asciiTheme="minorHAnsi" w:hAnsiTheme="minorHAnsi" w:cstheme="minorHAnsi"/>
          <w:sz w:val="22"/>
        </w:rPr>
        <w:t xml:space="preserve"> to exchange information on</w:t>
      </w:r>
      <w:r w:rsidRPr="0059770F" w:rsidR="00813B3F">
        <w:rPr>
          <w:rFonts w:asciiTheme="minorHAnsi" w:hAnsiTheme="minorHAnsi" w:cstheme="minorHAnsi"/>
          <w:sz w:val="22"/>
        </w:rPr>
        <w:t xml:space="preserve"> </w:t>
      </w:r>
      <w:r w:rsidRPr="0059770F" w:rsidR="0049214D">
        <w:rPr>
          <w:rFonts w:asciiTheme="minorHAnsi" w:hAnsiTheme="minorHAnsi" w:cstheme="minorHAnsi"/>
          <w:sz w:val="22"/>
        </w:rPr>
        <w:t xml:space="preserve">topics such as </w:t>
      </w:r>
      <w:r w:rsidRPr="0059770F" w:rsidR="00813B3F">
        <w:rPr>
          <w:rFonts w:asciiTheme="minorHAnsi" w:hAnsiTheme="minorHAnsi" w:cstheme="minorHAnsi"/>
          <w:sz w:val="22"/>
        </w:rPr>
        <w:t>innovative</w:t>
      </w:r>
      <w:r w:rsidRPr="0059770F" w:rsidR="00A055CF">
        <w:rPr>
          <w:rFonts w:asciiTheme="minorHAnsi" w:hAnsiTheme="minorHAnsi" w:cstheme="minorHAnsi"/>
          <w:sz w:val="22"/>
        </w:rPr>
        <w:t xml:space="preserve"> training methods</w:t>
      </w:r>
    </w:p>
    <w:p w:rsidRPr="0059770F" w:rsidR="00792CF6" w:rsidP="0059770F" w:rsidRDefault="00D1379C" w14:paraId="2BE1B681" w14:textId="32A37B38">
      <w:pPr>
        <w:pStyle w:val="BodyText"/>
        <w:numPr>
          <w:ilvl w:val="1"/>
          <w:numId w:val="12"/>
        </w:numPr>
        <w:spacing w:after="0"/>
        <w:jc w:val="both"/>
        <w:rPr>
          <w:rFonts w:asciiTheme="minorHAnsi" w:hAnsiTheme="minorHAnsi" w:cstheme="minorHAnsi"/>
          <w:b/>
          <w:sz w:val="22"/>
        </w:rPr>
      </w:pPr>
      <w:r>
        <w:rPr>
          <w:rFonts w:asciiTheme="minorHAnsi" w:hAnsiTheme="minorHAnsi" w:cstheme="minorHAnsi"/>
          <w:b/>
          <w:sz w:val="22"/>
        </w:rPr>
        <w:t>Action</w:t>
      </w:r>
      <w:r w:rsidRPr="0059770F" w:rsidR="00792CF6">
        <w:rPr>
          <w:rFonts w:asciiTheme="minorHAnsi" w:hAnsiTheme="minorHAnsi" w:cstheme="minorHAnsi"/>
          <w:b/>
          <w:sz w:val="22"/>
        </w:rPr>
        <w:t xml:space="preserve">: </w:t>
      </w:r>
      <w:r w:rsidRPr="0059770F" w:rsidR="00D50EE0">
        <w:rPr>
          <w:rFonts w:asciiTheme="minorHAnsi" w:hAnsiTheme="minorHAnsi" w:cstheme="minorHAnsi"/>
          <w:sz w:val="22"/>
        </w:rPr>
        <w:t xml:space="preserve">Enable more regulatory </w:t>
      </w:r>
      <w:r w:rsidRPr="0059770F" w:rsidR="0049214D">
        <w:rPr>
          <w:rFonts w:asciiTheme="minorHAnsi" w:hAnsiTheme="minorHAnsi" w:cstheme="minorHAnsi"/>
          <w:sz w:val="22"/>
        </w:rPr>
        <w:t>staff</w:t>
      </w:r>
      <w:r w:rsidRPr="0059770F" w:rsidR="00D50EE0">
        <w:rPr>
          <w:rFonts w:asciiTheme="minorHAnsi" w:hAnsiTheme="minorHAnsi" w:cstheme="minorHAnsi"/>
          <w:sz w:val="22"/>
        </w:rPr>
        <w:t xml:space="preserve"> from more APEC economies to participate in Center of Excellence </w:t>
      </w:r>
      <w:r w:rsidRPr="0059770F" w:rsidR="00583F4C">
        <w:rPr>
          <w:rFonts w:asciiTheme="minorHAnsi" w:hAnsiTheme="minorHAnsi" w:cstheme="minorHAnsi"/>
          <w:sz w:val="22"/>
        </w:rPr>
        <w:t xml:space="preserve">training </w:t>
      </w:r>
      <w:r w:rsidRPr="0059770F" w:rsidR="00D50EE0">
        <w:rPr>
          <w:rFonts w:asciiTheme="minorHAnsi" w:hAnsiTheme="minorHAnsi" w:cstheme="minorHAnsi"/>
          <w:sz w:val="22"/>
        </w:rPr>
        <w:t xml:space="preserve">programs by, for example, maintaining a comprehensive database of programs for the upcoming year </w:t>
      </w:r>
      <w:r w:rsidRPr="0059770F" w:rsidR="00583F4C">
        <w:rPr>
          <w:rFonts w:asciiTheme="minorHAnsi" w:hAnsiTheme="minorHAnsi" w:cstheme="minorHAnsi"/>
          <w:sz w:val="22"/>
        </w:rPr>
        <w:t>and sharing information beyond APEC</w:t>
      </w:r>
    </w:p>
    <w:p w:rsidRPr="0059770F" w:rsidR="00792CF6" w:rsidP="0059770F" w:rsidRDefault="00D1379C" w14:paraId="0D232AFD" w14:textId="4DAF0959">
      <w:pPr>
        <w:pStyle w:val="BodyText"/>
        <w:numPr>
          <w:ilvl w:val="1"/>
          <w:numId w:val="12"/>
        </w:numPr>
        <w:spacing w:after="0"/>
        <w:jc w:val="both"/>
        <w:rPr>
          <w:rFonts w:asciiTheme="minorHAnsi" w:hAnsiTheme="minorHAnsi" w:cstheme="minorHAnsi"/>
          <w:b/>
          <w:sz w:val="22"/>
        </w:rPr>
      </w:pPr>
      <w:r>
        <w:rPr>
          <w:rFonts w:asciiTheme="minorHAnsi" w:hAnsiTheme="minorHAnsi" w:cstheme="minorHAnsi"/>
          <w:b/>
          <w:sz w:val="22"/>
        </w:rPr>
        <w:t>Action</w:t>
      </w:r>
      <w:r w:rsidRPr="0059770F" w:rsidR="00792CF6">
        <w:rPr>
          <w:rFonts w:asciiTheme="minorHAnsi" w:hAnsiTheme="minorHAnsi" w:cstheme="minorHAnsi"/>
          <w:b/>
          <w:sz w:val="22"/>
        </w:rPr>
        <w:t>:</w:t>
      </w:r>
      <w:r w:rsidRPr="0059770F" w:rsidR="00792CF6">
        <w:rPr>
          <w:rFonts w:asciiTheme="minorHAnsi" w:hAnsiTheme="minorHAnsi" w:cstheme="minorHAnsi"/>
          <w:sz w:val="22"/>
        </w:rPr>
        <w:t xml:space="preserve"> </w:t>
      </w:r>
      <w:r w:rsidRPr="0059770F" w:rsidR="00583F4C">
        <w:rPr>
          <w:rFonts w:asciiTheme="minorHAnsi" w:hAnsiTheme="minorHAnsi" w:cstheme="minorHAnsi"/>
          <w:sz w:val="22"/>
        </w:rPr>
        <w:t xml:space="preserve">Measure </w:t>
      </w:r>
      <w:r w:rsidRPr="0059770F" w:rsidR="00D50EE0">
        <w:rPr>
          <w:rFonts w:asciiTheme="minorHAnsi" w:hAnsiTheme="minorHAnsi" w:cstheme="minorHAnsi"/>
          <w:sz w:val="22"/>
        </w:rPr>
        <w:t xml:space="preserve">the </w:t>
      </w:r>
      <w:r w:rsidRPr="0059770F" w:rsidR="00583F4C">
        <w:rPr>
          <w:rFonts w:asciiTheme="minorHAnsi" w:hAnsiTheme="minorHAnsi" w:cstheme="minorHAnsi"/>
          <w:sz w:val="22"/>
        </w:rPr>
        <w:t xml:space="preserve">short- and long-term learning </w:t>
      </w:r>
      <w:r w:rsidRPr="0059770F" w:rsidR="00D50EE0">
        <w:rPr>
          <w:rFonts w:asciiTheme="minorHAnsi" w:hAnsiTheme="minorHAnsi" w:cstheme="minorHAnsi"/>
          <w:sz w:val="22"/>
        </w:rPr>
        <w:t>outcomes</w:t>
      </w:r>
      <w:r w:rsidRPr="0059770F" w:rsidR="00583F4C">
        <w:rPr>
          <w:rFonts w:asciiTheme="minorHAnsi" w:hAnsiTheme="minorHAnsi" w:cstheme="minorHAnsi"/>
          <w:sz w:val="22"/>
        </w:rPr>
        <w:t xml:space="preserve"> of Center of Excellence programs with both quantitative and qualitative indicators</w:t>
      </w:r>
    </w:p>
    <w:p w:rsidRPr="0059770F" w:rsidR="00503CBD" w:rsidP="0059770F" w:rsidRDefault="00503CBD" w14:paraId="1CB28768" w14:textId="77777777">
      <w:pPr>
        <w:pStyle w:val="BodyText"/>
        <w:spacing w:after="0"/>
        <w:ind w:firstLine="0"/>
        <w:jc w:val="both"/>
        <w:rPr>
          <w:rFonts w:asciiTheme="minorHAnsi" w:hAnsiTheme="minorHAnsi" w:cstheme="minorHAnsi"/>
          <w:b/>
          <w:sz w:val="22"/>
        </w:rPr>
      </w:pPr>
    </w:p>
    <w:p w:rsidRPr="0059770F" w:rsidR="00792CF6" w:rsidP="0059770F" w:rsidRDefault="00792CF6" w14:paraId="08015FE0" w14:textId="1ADDE436">
      <w:pPr>
        <w:pStyle w:val="BodyText"/>
        <w:numPr>
          <w:ilvl w:val="0"/>
          <w:numId w:val="12"/>
        </w:numPr>
        <w:spacing w:after="0"/>
        <w:jc w:val="both"/>
        <w:rPr>
          <w:rFonts w:asciiTheme="minorHAnsi" w:hAnsiTheme="minorHAnsi" w:cstheme="minorHAnsi"/>
          <w:sz w:val="22"/>
        </w:rPr>
      </w:pPr>
      <w:r w:rsidRPr="0059770F">
        <w:rPr>
          <w:rFonts w:asciiTheme="minorHAnsi" w:hAnsiTheme="minorHAnsi" w:cstheme="minorHAnsi"/>
          <w:b/>
          <w:sz w:val="22"/>
        </w:rPr>
        <w:t xml:space="preserve">Strategy: </w:t>
      </w:r>
      <w:r w:rsidRPr="0059770F">
        <w:rPr>
          <w:rFonts w:asciiTheme="minorHAnsi" w:hAnsiTheme="minorHAnsi" w:cstheme="minorHAnsi"/>
          <w:sz w:val="22"/>
        </w:rPr>
        <w:t xml:space="preserve">Maintain </w:t>
      </w:r>
      <w:r w:rsidRPr="0059770F" w:rsidR="005C51D9">
        <w:rPr>
          <w:rFonts w:asciiTheme="minorHAnsi" w:hAnsiTheme="minorHAnsi" w:cstheme="minorHAnsi"/>
          <w:sz w:val="22"/>
        </w:rPr>
        <w:t xml:space="preserve"> strategic</w:t>
      </w:r>
      <w:r w:rsidRPr="0059770F">
        <w:rPr>
          <w:rFonts w:asciiTheme="minorHAnsi" w:hAnsiTheme="minorHAnsi" w:cstheme="minorHAnsi"/>
          <w:sz w:val="22"/>
        </w:rPr>
        <w:t xml:space="preserve"> roadmaps and core curricula to guide programming</w:t>
      </w:r>
    </w:p>
    <w:p w:rsidRPr="0059770F" w:rsidR="001008C7" w:rsidP="0059770F" w:rsidRDefault="00D1379C" w14:paraId="37C7C59B" w14:textId="4D889EF1">
      <w:pPr>
        <w:pStyle w:val="BodyText"/>
        <w:numPr>
          <w:ilvl w:val="1"/>
          <w:numId w:val="12"/>
        </w:numPr>
        <w:spacing w:after="0"/>
        <w:jc w:val="both"/>
        <w:rPr>
          <w:rFonts w:asciiTheme="minorHAnsi" w:hAnsiTheme="minorHAnsi" w:cstheme="minorHAnsi"/>
          <w:b/>
          <w:sz w:val="22"/>
        </w:rPr>
      </w:pPr>
      <w:r>
        <w:rPr>
          <w:rFonts w:asciiTheme="minorHAnsi" w:hAnsiTheme="minorHAnsi" w:cstheme="minorHAnsi"/>
          <w:b/>
          <w:sz w:val="22"/>
        </w:rPr>
        <w:t>Action</w:t>
      </w:r>
      <w:r w:rsidRPr="0059770F" w:rsidR="001008C7">
        <w:rPr>
          <w:rFonts w:asciiTheme="minorHAnsi" w:hAnsiTheme="minorHAnsi" w:cstheme="minorHAnsi"/>
          <w:b/>
          <w:sz w:val="22"/>
        </w:rPr>
        <w:t xml:space="preserve">: </w:t>
      </w:r>
      <w:r w:rsidRPr="0059770F" w:rsidR="001008C7">
        <w:rPr>
          <w:rFonts w:asciiTheme="minorHAnsi" w:hAnsiTheme="minorHAnsi" w:cstheme="minorHAnsi"/>
          <w:sz w:val="22"/>
        </w:rPr>
        <w:t>Review roadmaps every 5 years at a minimum, and core curricula every 2 years at a minimum</w:t>
      </w:r>
    </w:p>
    <w:p w:rsidRPr="0059770F" w:rsidR="00792CF6" w:rsidP="0059770F" w:rsidRDefault="00792CF6" w14:paraId="11A20052" w14:textId="77777777">
      <w:pPr>
        <w:pStyle w:val="BodyText"/>
        <w:spacing w:after="0"/>
        <w:ind w:firstLine="0"/>
        <w:jc w:val="both"/>
        <w:rPr>
          <w:rFonts w:asciiTheme="minorHAnsi" w:hAnsiTheme="minorHAnsi" w:cstheme="minorHAnsi"/>
          <w:sz w:val="22"/>
        </w:rPr>
      </w:pPr>
    </w:p>
    <w:p w:rsidRPr="0059770F" w:rsidR="00C80B15" w:rsidP="0059770F" w:rsidRDefault="00C80B15" w14:paraId="1D3DF09B" w14:textId="77777777">
      <w:pPr>
        <w:pStyle w:val="BodyText"/>
        <w:spacing w:after="0"/>
        <w:ind w:firstLine="0"/>
        <w:jc w:val="both"/>
        <w:rPr>
          <w:rFonts w:asciiTheme="minorHAnsi" w:hAnsiTheme="minorHAnsi" w:cstheme="minorHAnsi"/>
          <w:sz w:val="22"/>
        </w:rPr>
      </w:pPr>
    </w:p>
    <w:p w:rsidRPr="0059770F" w:rsidR="00D97F01" w:rsidP="0059770F" w:rsidRDefault="00D97F01" w14:paraId="6C443AA1" w14:textId="77777777">
      <w:pPr>
        <w:rPr>
          <w:rFonts w:asciiTheme="minorHAnsi" w:hAnsiTheme="minorHAnsi" w:cstheme="minorHAnsi"/>
          <w:b/>
          <w:sz w:val="22"/>
        </w:rPr>
      </w:pPr>
      <w:r w:rsidRPr="0059770F">
        <w:rPr>
          <w:rFonts w:asciiTheme="minorHAnsi" w:hAnsiTheme="minorHAnsi" w:cstheme="minorHAnsi"/>
          <w:b/>
          <w:sz w:val="22"/>
        </w:rPr>
        <w:br w:type="page"/>
      </w:r>
    </w:p>
    <w:p w:rsidRPr="0059770F" w:rsidR="00792CF6" w:rsidP="0059770F" w:rsidRDefault="00DA4609" w14:paraId="108A27E7" w14:textId="77777777">
      <w:pPr>
        <w:pStyle w:val="BodyText"/>
        <w:spacing w:after="0"/>
        <w:ind w:firstLine="0"/>
        <w:jc w:val="both"/>
        <w:rPr>
          <w:rFonts w:asciiTheme="minorHAnsi" w:hAnsiTheme="minorHAnsi" w:cstheme="minorHAnsi"/>
          <w:sz w:val="22"/>
          <w:szCs w:val="22"/>
        </w:rPr>
      </w:pPr>
      <w:r>
        <w:rPr>
          <w:rFonts w:asciiTheme="minorHAnsi" w:hAnsiTheme="minorHAnsi" w:cstheme="minorHAnsi"/>
          <w:b/>
          <w:sz w:val="22"/>
        </w:rPr>
        <w:t>3.6</w:t>
      </w:r>
      <w:r w:rsidRPr="0059770F" w:rsidR="00E75B96">
        <w:rPr>
          <w:rFonts w:asciiTheme="minorHAnsi" w:hAnsiTheme="minorHAnsi" w:cstheme="minorHAnsi"/>
          <w:b/>
          <w:sz w:val="22"/>
        </w:rPr>
        <w:t xml:space="preserve">.3 </w:t>
      </w:r>
      <w:r w:rsidRPr="0059770F" w:rsidR="00792CF6">
        <w:rPr>
          <w:rFonts w:asciiTheme="minorHAnsi" w:hAnsiTheme="minorHAnsi" w:cstheme="minorHAnsi"/>
          <w:b/>
          <w:sz w:val="22"/>
        </w:rPr>
        <w:t>Goal:</w:t>
      </w:r>
      <w:r w:rsidRPr="0059770F" w:rsidR="00792CF6">
        <w:rPr>
          <w:rFonts w:asciiTheme="minorHAnsi" w:hAnsiTheme="minorHAnsi" w:cstheme="minorHAnsi"/>
          <w:sz w:val="22"/>
        </w:rPr>
        <w:t xml:space="preserve"> </w:t>
      </w:r>
      <w:r w:rsidRPr="0059770F" w:rsidR="00792CF6">
        <w:rPr>
          <w:rFonts w:asciiTheme="minorHAnsi" w:hAnsiTheme="minorHAnsi" w:cstheme="minorHAnsi"/>
          <w:sz w:val="22"/>
          <w:szCs w:val="22"/>
        </w:rPr>
        <w:t xml:space="preserve">Promote political will </w:t>
      </w:r>
      <w:r w:rsidRPr="0059770F" w:rsidR="00A60125">
        <w:rPr>
          <w:rFonts w:asciiTheme="minorHAnsi" w:hAnsiTheme="minorHAnsi" w:cstheme="minorHAnsi"/>
          <w:sz w:val="22"/>
          <w:szCs w:val="22"/>
        </w:rPr>
        <w:t>for convergence</w:t>
      </w:r>
      <w:r w:rsidRPr="0059770F" w:rsidR="00566077">
        <w:rPr>
          <w:rFonts w:asciiTheme="minorHAnsi" w:hAnsiTheme="minorHAnsi" w:cstheme="minorHAnsi"/>
          <w:sz w:val="22"/>
          <w:szCs w:val="22"/>
        </w:rPr>
        <w:t xml:space="preserve"> and reliance</w:t>
      </w:r>
      <w:r w:rsidRPr="0059770F" w:rsidR="00A60125">
        <w:rPr>
          <w:rFonts w:asciiTheme="minorHAnsi" w:hAnsiTheme="minorHAnsi" w:cstheme="minorHAnsi"/>
          <w:sz w:val="22"/>
          <w:szCs w:val="22"/>
        </w:rPr>
        <w:t xml:space="preserve"> </w:t>
      </w:r>
      <w:r w:rsidRPr="0059770F" w:rsidR="00792CF6">
        <w:rPr>
          <w:rFonts w:asciiTheme="minorHAnsi" w:hAnsiTheme="minorHAnsi" w:cstheme="minorHAnsi"/>
          <w:sz w:val="22"/>
          <w:szCs w:val="22"/>
        </w:rPr>
        <w:t>among regulatory policymakers</w:t>
      </w:r>
    </w:p>
    <w:p w:rsidRPr="0059770F" w:rsidR="00503CBD" w:rsidP="0059770F" w:rsidRDefault="00503CBD" w14:paraId="1F2994AC" w14:textId="77777777">
      <w:pPr>
        <w:pStyle w:val="BodyText"/>
        <w:spacing w:after="0"/>
        <w:ind w:firstLine="0"/>
        <w:jc w:val="both"/>
        <w:rPr>
          <w:rFonts w:asciiTheme="minorHAnsi" w:hAnsiTheme="minorHAnsi" w:cstheme="minorHAnsi"/>
          <w:sz w:val="22"/>
        </w:rPr>
      </w:pPr>
    </w:p>
    <w:p w:rsidRPr="0059770F" w:rsidR="008002E2" w:rsidP="0059770F" w:rsidRDefault="008626FA" w14:paraId="19395677" w14:textId="77777777">
      <w:pPr>
        <w:pStyle w:val="BodyText"/>
        <w:numPr>
          <w:ilvl w:val="0"/>
          <w:numId w:val="13"/>
        </w:numPr>
        <w:spacing w:after="0"/>
        <w:jc w:val="both"/>
        <w:rPr>
          <w:rFonts w:asciiTheme="minorHAnsi" w:hAnsiTheme="minorHAnsi" w:cstheme="minorHAnsi"/>
          <w:sz w:val="22"/>
        </w:rPr>
      </w:pPr>
      <w:r w:rsidRPr="0059770F">
        <w:rPr>
          <w:rFonts w:asciiTheme="minorHAnsi" w:hAnsiTheme="minorHAnsi" w:cstheme="minorHAnsi"/>
          <w:b/>
          <w:sz w:val="22"/>
        </w:rPr>
        <w:t>Strategy:</w:t>
      </w:r>
      <w:r w:rsidRPr="0059770F">
        <w:rPr>
          <w:rFonts w:asciiTheme="minorHAnsi" w:hAnsiTheme="minorHAnsi" w:cstheme="minorHAnsi"/>
          <w:sz w:val="22"/>
        </w:rPr>
        <w:t xml:space="preserve"> Explore new ways to measure regulatory convergence and its impacts</w:t>
      </w:r>
    </w:p>
    <w:p w:rsidRPr="0059770F" w:rsidR="008002E2" w:rsidP="0059770F" w:rsidRDefault="00D1379C" w14:paraId="47B6CDC0" w14:textId="609AAA71">
      <w:pPr>
        <w:pStyle w:val="BodyText"/>
        <w:numPr>
          <w:ilvl w:val="1"/>
          <w:numId w:val="13"/>
        </w:numPr>
        <w:spacing w:after="0"/>
        <w:jc w:val="both"/>
        <w:rPr>
          <w:rFonts w:asciiTheme="minorHAnsi" w:hAnsiTheme="minorHAnsi" w:cstheme="minorHAnsi"/>
          <w:b/>
          <w:sz w:val="22"/>
        </w:rPr>
      </w:pPr>
      <w:r>
        <w:rPr>
          <w:rFonts w:asciiTheme="minorHAnsi" w:hAnsiTheme="minorHAnsi" w:cstheme="minorHAnsi"/>
          <w:b/>
          <w:sz w:val="22"/>
        </w:rPr>
        <w:t>Action</w:t>
      </w:r>
      <w:r w:rsidRPr="0059770F" w:rsidR="008002E2">
        <w:rPr>
          <w:rFonts w:asciiTheme="minorHAnsi" w:hAnsiTheme="minorHAnsi" w:cstheme="minorHAnsi"/>
          <w:b/>
          <w:sz w:val="22"/>
        </w:rPr>
        <w:t xml:space="preserve">: </w:t>
      </w:r>
      <w:r w:rsidRPr="0059770F" w:rsidR="008002E2">
        <w:rPr>
          <w:rFonts w:asciiTheme="minorHAnsi" w:hAnsiTheme="minorHAnsi" w:cstheme="minorHAnsi"/>
          <w:sz w:val="22"/>
        </w:rPr>
        <w:t>Continue measuring progress towards regulatory convergence with proxy indicators including but not limited to the number of APEC economies participating in regulatory harmonization initiatives, sharing GMP certificates, etc.</w:t>
      </w:r>
    </w:p>
    <w:p w:rsidRPr="0059770F" w:rsidR="008626FA" w:rsidP="0059770F" w:rsidRDefault="00D1379C" w14:paraId="4B001345" w14:textId="2889A1AB">
      <w:pPr>
        <w:pStyle w:val="BodyText"/>
        <w:numPr>
          <w:ilvl w:val="1"/>
          <w:numId w:val="13"/>
        </w:numPr>
        <w:spacing w:after="0"/>
        <w:jc w:val="both"/>
        <w:rPr>
          <w:rFonts w:asciiTheme="minorHAnsi" w:hAnsiTheme="minorHAnsi" w:cstheme="minorHAnsi"/>
          <w:sz w:val="22"/>
        </w:rPr>
      </w:pPr>
      <w:r>
        <w:rPr>
          <w:rFonts w:asciiTheme="minorHAnsi" w:hAnsiTheme="minorHAnsi" w:cstheme="minorHAnsi"/>
          <w:b/>
          <w:sz w:val="22"/>
        </w:rPr>
        <w:t>Action</w:t>
      </w:r>
      <w:r w:rsidRPr="0059770F" w:rsidR="008626FA">
        <w:rPr>
          <w:rFonts w:asciiTheme="minorHAnsi" w:hAnsiTheme="minorHAnsi" w:cstheme="minorHAnsi"/>
          <w:b/>
          <w:sz w:val="22"/>
        </w:rPr>
        <w:t xml:space="preserve">: </w:t>
      </w:r>
      <w:r w:rsidRPr="0059770F" w:rsidR="008002E2">
        <w:rPr>
          <w:rFonts w:asciiTheme="minorHAnsi" w:hAnsiTheme="minorHAnsi" w:cstheme="minorHAnsi"/>
          <w:sz w:val="22"/>
          <w:szCs w:val="22"/>
        </w:rPr>
        <w:t xml:space="preserve">Analyze the macroeconomic </w:t>
      </w:r>
      <w:r w:rsidRPr="0059770F" w:rsidR="008626FA">
        <w:rPr>
          <w:rFonts w:asciiTheme="minorHAnsi" w:hAnsiTheme="minorHAnsi" w:cstheme="minorHAnsi"/>
          <w:sz w:val="22"/>
          <w:szCs w:val="22"/>
        </w:rPr>
        <w:t xml:space="preserve">case for </w:t>
      </w:r>
      <w:r w:rsidRPr="0059770F" w:rsidR="00E93381">
        <w:rPr>
          <w:rFonts w:asciiTheme="minorHAnsi" w:hAnsiTheme="minorHAnsi" w:cstheme="minorHAnsi"/>
          <w:sz w:val="22"/>
          <w:szCs w:val="22"/>
        </w:rPr>
        <w:t xml:space="preserve">and cost of inaction on </w:t>
      </w:r>
      <w:r w:rsidRPr="0059770F" w:rsidR="008626FA">
        <w:rPr>
          <w:rFonts w:asciiTheme="minorHAnsi" w:hAnsiTheme="minorHAnsi" w:cstheme="minorHAnsi"/>
          <w:sz w:val="22"/>
          <w:szCs w:val="22"/>
        </w:rPr>
        <w:t>regu</w:t>
      </w:r>
      <w:r w:rsidRPr="0059770F" w:rsidR="00E93381">
        <w:rPr>
          <w:rFonts w:asciiTheme="minorHAnsi" w:hAnsiTheme="minorHAnsi" w:cstheme="minorHAnsi"/>
          <w:sz w:val="22"/>
          <w:szCs w:val="22"/>
        </w:rPr>
        <w:t xml:space="preserve">latory convergence and reliance, and promote this information in regional and global </w:t>
      </w:r>
      <w:r w:rsidRPr="0059770F" w:rsidR="00751BF3">
        <w:rPr>
          <w:rFonts w:asciiTheme="minorHAnsi" w:hAnsiTheme="minorHAnsi" w:cstheme="minorHAnsi"/>
          <w:sz w:val="22"/>
          <w:szCs w:val="22"/>
        </w:rPr>
        <w:t>fora</w:t>
      </w:r>
    </w:p>
    <w:p w:rsidRPr="0059770F" w:rsidR="00503CBD" w:rsidP="0059770F" w:rsidRDefault="00503CBD" w14:paraId="0130F833" w14:textId="77777777">
      <w:pPr>
        <w:pStyle w:val="BodyText"/>
        <w:spacing w:after="0"/>
        <w:ind w:firstLine="0"/>
        <w:jc w:val="both"/>
        <w:rPr>
          <w:rFonts w:asciiTheme="minorHAnsi" w:hAnsiTheme="minorHAnsi" w:cstheme="minorHAnsi"/>
          <w:sz w:val="22"/>
        </w:rPr>
      </w:pPr>
    </w:p>
    <w:p w:rsidRPr="0059770F" w:rsidR="00792CF6" w:rsidP="0059770F" w:rsidRDefault="00792CF6" w14:paraId="4EAE7027" w14:textId="77777777">
      <w:pPr>
        <w:pStyle w:val="BodyText"/>
        <w:numPr>
          <w:ilvl w:val="0"/>
          <w:numId w:val="13"/>
        </w:numPr>
        <w:spacing w:after="0"/>
        <w:jc w:val="both"/>
        <w:rPr>
          <w:rFonts w:asciiTheme="minorHAnsi" w:hAnsiTheme="minorHAnsi" w:cstheme="minorHAnsi"/>
          <w:sz w:val="22"/>
        </w:rPr>
      </w:pPr>
      <w:r w:rsidRPr="0059770F">
        <w:rPr>
          <w:rFonts w:asciiTheme="minorHAnsi" w:hAnsiTheme="minorHAnsi" w:cstheme="minorHAnsi"/>
          <w:b/>
          <w:sz w:val="22"/>
        </w:rPr>
        <w:t>Strategy</w:t>
      </w:r>
      <w:r w:rsidRPr="0059770F">
        <w:rPr>
          <w:rFonts w:asciiTheme="minorHAnsi" w:hAnsiTheme="minorHAnsi" w:cstheme="minorHAnsi"/>
          <w:sz w:val="22"/>
        </w:rPr>
        <w:t xml:space="preserve">: </w:t>
      </w:r>
      <w:r w:rsidRPr="0059770F" w:rsidR="00566077">
        <w:rPr>
          <w:rFonts w:asciiTheme="minorHAnsi" w:hAnsiTheme="minorHAnsi" w:cstheme="minorHAnsi"/>
          <w:sz w:val="22"/>
        </w:rPr>
        <w:t>Elevate the case for regulatory convergence and reliance</w:t>
      </w:r>
      <w:r w:rsidRPr="0059770F" w:rsidR="002B0041">
        <w:rPr>
          <w:rFonts w:asciiTheme="minorHAnsi" w:hAnsiTheme="minorHAnsi" w:cstheme="minorHAnsi"/>
          <w:sz w:val="22"/>
        </w:rPr>
        <w:t xml:space="preserve">, including at </w:t>
      </w:r>
      <w:r w:rsidRPr="0059770F" w:rsidR="00566077">
        <w:rPr>
          <w:rFonts w:asciiTheme="minorHAnsi" w:hAnsiTheme="minorHAnsi" w:cstheme="minorHAnsi"/>
          <w:sz w:val="22"/>
        </w:rPr>
        <w:t>the highest political levels</w:t>
      </w:r>
    </w:p>
    <w:p w:rsidRPr="0059770F" w:rsidR="008626FA" w:rsidP="0059770F" w:rsidRDefault="00D1379C" w14:paraId="151167C8" w14:textId="2B186DA4">
      <w:pPr>
        <w:pStyle w:val="BodyText"/>
        <w:numPr>
          <w:ilvl w:val="1"/>
          <w:numId w:val="13"/>
        </w:numPr>
        <w:spacing w:after="0"/>
        <w:jc w:val="both"/>
        <w:rPr>
          <w:rFonts w:asciiTheme="minorHAnsi" w:hAnsiTheme="minorHAnsi" w:cstheme="minorHAnsi"/>
          <w:sz w:val="22"/>
        </w:rPr>
      </w:pPr>
      <w:r>
        <w:rPr>
          <w:rFonts w:asciiTheme="minorHAnsi" w:hAnsiTheme="minorHAnsi" w:cstheme="minorHAnsi"/>
          <w:b/>
          <w:sz w:val="22"/>
        </w:rPr>
        <w:t>Action</w:t>
      </w:r>
      <w:r w:rsidRPr="0059770F" w:rsidR="00792CF6">
        <w:rPr>
          <w:rFonts w:asciiTheme="minorHAnsi" w:hAnsiTheme="minorHAnsi" w:cstheme="minorHAnsi"/>
          <w:b/>
          <w:sz w:val="22"/>
        </w:rPr>
        <w:t xml:space="preserve">: </w:t>
      </w:r>
      <w:r w:rsidRPr="0059770F" w:rsidR="008626FA">
        <w:rPr>
          <w:rFonts w:asciiTheme="minorHAnsi" w:hAnsiTheme="minorHAnsi" w:cstheme="minorHAnsi"/>
          <w:sz w:val="22"/>
        </w:rPr>
        <w:t xml:space="preserve">Issue an annual </w:t>
      </w:r>
      <w:r w:rsidRPr="0059770F" w:rsidR="00792CF6">
        <w:rPr>
          <w:rFonts w:asciiTheme="minorHAnsi" w:hAnsiTheme="minorHAnsi" w:cstheme="minorHAnsi"/>
          <w:sz w:val="22"/>
        </w:rPr>
        <w:t xml:space="preserve">letter </w:t>
      </w:r>
      <w:r w:rsidRPr="0059770F" w:rsidR="008626FA">
        <w:rPr>
          <w:rFonts w:asciiTheme="minorHAnsi" w:hAnsiTheme="minorHAnsi" w:cstheme="minorHAnsi"/>
          <w:sz w:val="22"/>
        </w:rPr>
        <w:t xml:space="preserve">from the </w:t>
      </w:r>
      <w:r w:rsidRPr="0059770F" w:rsidR="00566077">
        <w:rPr>
          <w:rFonts w:asciiTheme="minorHAnsi" w:hAnsiTheme="minorHAnsi" w:cstheme="minorHAnsi"/>
          <w:sz w:val="22"/>
        </w:rPr>
        <w:t xml:space="preserve">RHSC </w:t>
      </w:r>
      <w:r w:rsidRPr="0059770F" w:rsidR="008626FA">
        <w:rPr>
          <w:rFonts w:asciiTheme="minorHAnsi" w:hAnsiTheme="minorHAnsi" w:cstheme="minorHAnsi"/>
          <w:sz w:val="22"/>
        </w:rPr>
        <w:t xml:space="preserve">Co-Chairs to the heads of regulatory authorities in APEC </w:t>
      </w:r>
      <w:r w:rsidRPr="0059770F" w:rsidR="001008C7">
        <w:rPr>
          <w:rFonts w:asciiTheme="minorHAnsi" w:hAnsiTheme="minorHAnsi" w:cstheme="minorHAnsi"/>
          <w:sz w:val="22"/>
        </w:rPr>
        <w:t xml:space="preserve">economies </w:t>
      </w:r>
      <w:r w:rsidRPr="0059770F" w:rsidR="008626FA">
        <w:rPr>
          <w:rFonts w:asciiTheme="minorHAnsi" w:hAnsiTheme="minorHAnsi" w:cstheme="minorHAnsi"/>
          <w:sz w:val="22"/>
        </w:rPr>
        <w:t>informing them of progress to date, outlining upcoming plans, and inviting them to</w:t>
      </w:r>
      <w:r w:rsidRPr="0059770F" w:rsidR="001008C7">
        <w:rPr>
          <w:rFonts w:asciiTheme="minorHAnsi" w:hAnsiTheme="minorHAnsi" w:cstheme="minorHAnsi"/>
          <w:sz w:val="22"/>
        </w:rPr>
        <w:t xml:space="preserve"> participate in</w:t>
      </w:r>
      <w:r w:rsidRPr="0059770F" w:rsidR="008626FA">
        <w:rPr>
          <w:rFonts w:asciiTheme="minorHAnsi" w:hAnsiTheme="minorHAnsi" w:cstheme="minorHAnsi"/>
          <w:sz w:val="22"/>
        </w:rPr>
        <w:t xml:space="preserve"> RHSC meetings</w:t>
      </w:r>
    </w:p>
    <w:p w:rsidRPr="0059770F" w:rsidR="00E93381" w:rsidP="0059770F" w:rsidRDefault="00D1379C" w14:paraId="57C719E7" w14:textId="63330777">
      <w:pPr>
        <w:pStyle w:val="BodyText"/>
        <w:numPr>
          <w:ilvl w:val="1"/>
          <w:numId w:val="13"/>
        </w:numPr>
        <w:spacing w:after="0"/>
        <w:jc w:val="both"/>
        <w:rPr>
          <w:rFonts w:asciiTheme="minorHAnsi" w:hAnsiTheme="minorHAnsi" w:cstheme="minorHAnsi"/>
          <w:sz w:val="22"/>
        </w:rPr>
      </w:pPr>
      <w:r>
        <w:rPr>
          <w:rFonts w:asciiTheme="minorHAnsi" w:hAnsiTheme="minorHAnsi" w:cstheme="minorHAnsi"/>
          <w:b/>
          <w:sz w:val="22"/>
        </w:rPr>
        <w:t>Action</w:t>
      </w:r>
      <w:r w:rsidRPr="0059770F" w:rsidR="008626FA">
        <w:rPr>
          <w:rFonts w:asciiTheme="minorHAnsi" w:hAnsiTheme="minorHAnsi" w:cstheme="minorHAnsi"/>
          <w:b/>
          <w:sz w:val="22"/>
        </w:rPr>
        <w:t xml:space="preserve">: </w:t>
      </w:r>
      <w:r w:rsidRPr="0059770F" w:rsidR="008626FA">
        <w:rPr>
          <w:rFonts w:asciiTheme="minorHAnsi" w:hAnsiTheme="minorHAnsi" w:cstheme="minorHAnsi"/>
          <w:sz w:val="22"/>
          <w:szCs w:val="22"/>
        </w:rPr>
        <w:t>Organize policy dialogues to discuss regulatory convergence and reliance with a wider scope of APEC stakeholders, including regulatory policymakers, legislators and parliamentarians, patient organizations, and senior trade and health officials</w:t>
      </w:r>
    </w:p>
    <w:p w:rsidRPr="0059770F" w:rsidR="00BF1902" w:rsidP="0059770F" w:rsidRDefault="00D1379C" w14:paraId="0C39A03E" w14:textId="37B246BC">
      <w:pPr>
        <w:pStyle w:val="BodyText"/>
        <w:numPr>
          <w:ilvl w:val="1"/>
          <w:numId w:val="13"/>
        </w:numPr>
        <w:spacing w:after="0"/>
        <w:jc w:val="both"/>
        <w:rPr>
          <w:rFonts w:asciiTheme="minorHAnsi" w:hAnsiTheme="minorHAnsi" w:cstheme="minorHAnsi"/>
          <w:sz w:val="22"/>
        </w:rPr>
      </w:pPr>
      <w:r>
        <w:rPr>
          <w:rFonts w:asciiTheme="minorHAnsi" w:hAnsiTheme="minorHAnsi" w:cstheme="minorHAnsi"/>
          <w:b/>
          <w:sz w:val="22"/>
        </w:rPr>
        <w:t>Action</w:t>
      </w:r>
      <w:r w:rsidRPr="0059770F" w:rsidR="008626FA">
        <w:rPr>
          <w:rFonts w:asciiTheme="minorHAnsi" w:hAnsiTheme="minorHAnsi" w:cstheme="minorHAnsi"/>
          <w:b/>
          <w:sz w:val="22"/>
        </w:rPr>
        <w:t xml:space="preserve">: </w:t>
      </w:r>
      <w:r w:rsidRPr="0059770F" w:rsidR="00E93381">
        <w:rPr>
          <w:rFonts w:asciiTheme="minorHAnsi" w:hAnsiTheme="minorHAnsi" w:cstheme="minorHAnsi"/>
          <w:sz w:val="22"/>
          <w:szCs w:val="22"/>
        </w:rPr>
        <w:t>Secure continued high-level political support for RHSC in annual statements from APEC Health Ministers, Trade Ministers, and Senior Officials, where applicable</w:t>
      </w:r>
    </w:p>
    <w:p w:rsidRPr="0059770F" w:rsidR="000C3EE3" w:rsidP="0059770F" w:rsidRDefault="00D1379C" w14:paraId="19C51E87" w14:textId="4D50605B">
      <w:pPr>
        <w:pStyle w:val="BodyText"/>
        <w:numPr>
          <w:ilvl w:val="1"/>
          <w:numId w:val="13"/>
        </w:numPr>
        <w:spacing w:after="0"/>
        <w:jc w:val="both"/>
        <w:rPr>
          <w:rFonts w:asciiTheme="minorHAnsi" w:hAnsiTheme="minorHAnsi" w:cstheme="minorHAnsi"/>
          <w:sz w:val="22"/>
        </w:rPr>
      </w:pPr>
      <w:r>
        <w:rPr>
          <w:rFonts w:asciiTheme="minorHAnsi" w:hAnsiTheme="minorHAnsi" w:cstheme="minorHAnsi"/>
          <w:b/>
          <w:sz w:val="22"/>
        </w:rPr>
        <w:t>Action</w:t>
      </w:r>
      <w:r w:rsidRPr="0059770F" w:rsidR="000C3EE3">
        <w:rPr>
          <w:rFonts w:asciiTheme="minorHAnsi" w:hAnsiTheme="minorHAnsi" w:cstheme="minorHAnsi"/>
          <w:b/>
          <w:sz w:val="22"/>
          <w:szCs w:val="22"/>
        </w:rPr>
        <w:t>:</w:t>
      </w:r>
      <w:r w:rsidRPr="0059770F" w:rsidR="000C3EE3">
        <w:rPr>
          <w:rFonts w:asciiTheme="minorHAnsi" w:hAnsiTheme="minorHAnsi" w:cstheme="minorHAnsi"/>
          <w:sz w:val="22"/>
          <w:szCs w:val="22"/>
        </w:rPr>
        <w:t xml:space="preserve"> Position APEC economies as champions of regulatory convergence and share p</w:t>
      </w:r>
      <w:r w:rsidRPr="0059770F" w:rsidR="005276E6">
        <w:rPr>
          <w:rFonts w:asciiTheme="minorHAnsi" w:hAnsiTheme="minorHAnsi" w:cstheme="minorHAnsi"/>
          <w:sz w:val="22"/>
          <w:szCs w:val="22"/>
        </w:rPr>
        <w:t>rogress with non-APEC economies</w:t>
      </w:r>
    </w:p>
    <w:p w:rsidRPr="0059770F" w:rsidR="00503CBD" w:rsidP="0059770F" w:rsidRDefault="00503CBD" w14:paraId="7EAC001B" w14:textId="77777777">
      <w:pPr>
        <w:pStyle w:val="BodyText"/>
        <w:spacing w:after="0"/>
        <w:ind w:firstLine="0"/>
        <w:jc w:val="both"/>
        <w:rPr>
          <w:rFonts w:asciiTheme="minorHAnsi" w:hAnsiTheme="minorHAnsi" w:cstheme="minorHAnsi"/>
          <w:sz w:val="22"/>
        </w:rPr>
      </w:pPr>
    </w:p>
    <w:p w:rsidR="00E93381" w:rsidP="0059770F" w:rsidRDefault="00792CF6" w14:paraId="278D0305" w14:textId="77777777">
      <w:pPr>
        <w:pStyle w:val="BodyText"/>
        <w:numPr>
          <w:ilvl w:val="0"/>
          <w:numId w:val="13"/>
        </w:numPr>
        <w:spacing w:after="0"/>
        <w:jc w:val="both"/>
        <w:rPr>
          <w:rFonts w:asciiTheme="minorHAnsi" w:hAnsiTheme="minorHAnsi" w:cstheme="minorHAnsi"/>
          <w:sz w:val="22"/>
        </w:rPr>
      </w:pPr>
      <w:r w:rsidRPr="0059770F">
        <w:rPr>
          <w:rFonts w:asciiTheme="minorHAnsi" w:hAnsiTheme="minorHAnsi" w:cstheme="minorHAnsi"/>
          <w:b/>
          <w:sz w:val="22"/>
        </w:rPr>
        <w:t>Strategy:</w:t>
      </w:r>
      <w:r w:rsidRPr="0059770F">
        <w:rPr>
          <w:rFonts w:asciiTheme="minorHAnsi" w:hAnsiTheme="minorHAnsi" w:cstheme="minorHAnsi"/>
          <w:sz w:val="22"/>
        </w:rPr>
        <w:t xml:space="preserve"> </w:t>
      </w:r>
      <w:r w:rsidRPr="0059770F" w:rsidR="004533CC">
        <w:rPr>
          <w:rFonts w:asciiTheme="minorHAnsi" w:hAnsiTheme="minorHAnsi" w:cstheme="minorHAnsi"/>
          <w:sz w:val="22"/>
        </w:rPr>
        <w:t>Support policymakers seeking to establish or change legal frameworks, laws, or regulations</w:t>
      </w:r>
    </w:p>
    <w:p w:rsidRPr="00D1379C" w:rsidR="00EA5B3B" w:rsidP="00EA5B3B" w:rsidRDefault="00D1379C" w14:paraId="297D56E3" w14:textId="0793FABD">
      <w:pPr>
        <w:pStyle w:val="BodyText"/>
        <w:numPr>
          <w:ilvl w:val="1"/>
          <w:numId w:val="13"/>
        </w:numPr>
        <w:spacing w:after="0"/>
        <w:jc w:val="both"/>
        <w:rPr>
          <w:rFonts w:asciiTheme="minorHAnsi" w:hAnsiTheme="minorHAnsi" w:cstheme="minorHAnsi"/>
          <w:sz w:val="22"/>
        </w:rPr>
      </w:pPr>
      <w:r>
        <w:rPr>
          <w:rFonts w:asciiTheme="minorHAnsi" w:hAnsiTheme="minorHAnsi" w:cstheme="minorHAnsi"/>
          <w:b/>
          <w:sz w:val="22"/>
        </w:rPr>
        <w:t>Action</w:t>
      </w:r>
      <w:r w:rsidRPr="0059770F" w:rsidR="00EA5B3B">
        <w:rPr>
          <w:rFonts w:asciiTheme="minorHAnsi" w:hAnsiTheme="minorHAnsi" w:cstheme="minorHAnsi"/>
          <w:b/>
          <w:sz w:val="22"/>
        </w:rPr>
        <w:t xml:space="preserve">: </w:t>
      </w:r>
      <w:r w:rsidRPr="0059770F" w:rsidR="00EA5B3B">
        <w:rPr>
          <w:rFonts w:asciiTheme="minorHAnsi" w:hAnsiTheme="minorHAnsi" w:cstheme="minorHAnsi"/>
          <w:sz w:val="22"/>
          <w:szCs w:val="22"/>
        </w:rPr>
        <w:t>Organize policy dialogues to discuss regulatory convergence and reliance with a wider scope of APEC stakeholders, including regulatory policymakers, legislators and parliamentarians, patient organizations, and senior trade and health officials</w:t>
      </w:r>
    </w:p>
    <w:p w:rsidRPr="005044AF" w:rsidR="00792CF6" w:rsidP="005044AF" w:rsidRDefault="00D1379C" w14:paraId="67B9B05B" w14:textId="2EB066C4">
      <w:pPr>
        <w:pStyle w:val="BodyText"/>
        <w:numPr>
          <w:ilvl w:val="1"/>
          <w:numId w:val="13"/>
        </w:numPr>
        <w:spacing w:after="0"/>
        <w:jc w:val="both"/>
        <w:rPr>
          <w:rFonts w:asciiTheme="minorHAnsi" w:hAnsiTheme="minorHAnsi" w:cstheme="minorHAnsi"/>
          <w:sz w:val="22"/>
        </w:rPr>
      </w:pPr>
      <w:r w:rsidRPr="00754B70">
        <w:rPr>
          <w:rFonts w:asciiTheme="minorHAnsi" w:hAnsiTheme="minorHAnsi" w:cstheme="minorHAnsi"/>
          <w:b/>
          <w:sz w:val="22"/>
          <w:szCs w:val="22"/>
        </w:rPr>
        <w:t>Action</w:t>
      </w:r>
      <w:r>
        <w:rPr>
          <w:rFonts w:asciiTheme="minorHAnsi" w:hAnsiTheme="minorHAnsi" w:cstheme="minorHAnsi"/>
          <w:sz w:val="22"/>
          <w:szCs w:val="22"/>
        </w:rPr>
        <w:t>: Supply policymakers with guiding principles on decision-making towards the establishment or change of legal frameworks, laws, or regulations, when needed</w:t>
      </w:r>
    </w:p>
    <w:p w:rsidRPr="0059770F" w:rsidR="00C80B15" w:rsidP="00754B70" w:rsidRDefault="002B6334" w14:paraId="59AF6F38" w14:textId="62325798">
      <w:pPr>
        <w:pStyle w:val="BodyText"/>
        <w:spacing w:after="0"/>
        <w:ind w:left="1440" w:firstLine="0"/>
        <w:jc w:val="both"/>
        <w:rPr>
          <w:rFonts w:asciiTheme="minorHAnsi" w:hAnsiTheme="minorHAnsi" w:cstheme="minorHAnsi"/>
          <w:b/>
          <w:sz w:val="22"/>
          <w:szCs w:val="22"/>
        </w:rPr>
      </w:pPr>
      <w:r w:rsidRPr="0059770F">
        <w:rPr>
          <w:rFonts w:asciiTheme="minorHAnsi" w:hAnsiTheme="minorHAnsi" w:cstheme="minorHAnsi"/>
          <w:b/>
          <w:sz w:val="22"/>
          <w:szCs w:val="22"/>
        </w:rPr>
        <w:t xml:space="preserve"> </w:t>
      </w:r>
    </w:p>
    <w:p w:rsidRPr="005C219A" w:rsidR="00D97F01" w:rsidP="005C219A" w:rsidRDefault="00D97F01" w14:paraId="3A4AA138" w14:textId="1D5AB2A1">
      <w:pPr>
        <w:pStyle w:val="BodyText"/>
        <w:numPr>
          <w:ilvl w:val="0"/>
          <w:numId w:val="13"/>
        </w:numPr>
        <w:spacing w:after="0"/>
        <w:jc w:val="both"/>
        <w:rPr>
          <w:rFonts w:asciiTheme="minorHAnsi" w:hAnsiTheme="minorHAnsi" w:cstheme="minorHAnsi"/>
          <w:b/>
          <w:sz w:val="22"/>
        </w:rPr>
      </w:pPr>
      <w:r w:rsidRPr="005C219A">
        <w:rPr>
          <w:rFonts w:asciiTheme="minorHAnsi" w:hAnsiTheme="minorHAnsi" w:cstheme="minorHAnsi"/>
          <w:b/>
          <w:sz w:val="22"/>
          <w:szCs w:val="22"/>
        </w:rPr>
        <w:br w:type="page"/>
      </w:r>
    </w:p>
    <w:p w:rsidRPr="0059770F" w:rsidR="008626FA" w:rsidP="0059770F" w:rsidRDefault="00DA4609" w14:paraId="5C17AE12" w14:textId="77777777">
      <w:pPr>
        <w:pStyle w:val="BodyText"/>
        <w:spacing w:after="0"/>
        <w:ind w:firstLine="0"/>
        <w:rPr>
          <w:rFonts w:asciiTheme="minorHAnsi" w:hAnsiTheme="minorHAnsi" w:cstheme="minorHAnsi"/>
          <w:b/>
          <w:sz w:val="22"/>
          <w:szCs w:val="22"/>
        </w:rPr>
      </w:pPr>
      <w:r>
        <w:rPr>
          <w:rFonts w:asciiTheme="minorHAnsi" w:hAnsiTheme="minorHAnsi" w:cstheme="minorHAnsi"/>
          <w:b/>
          <w:sz w:val="22"/>
          <w:szCs w:val="22"/>
        </w:rPr>
        <w:t>3.7</w:t>
      </w:r>
      <w:r w:rsidRPr="0059770F" w:rsidR="00E70DA7">
        <w:rPr>
          <w:rFonts w:asciiTheme="minorHAnsi" w:hAnsiTheme="minorHAnsi" w:cstheme="minorHAnsi"/>
          <w:b/>
          <w:sz w:val="22"/>
          <w:szCs w:val="22"/>
        </w:rPr>
        <w:t xml:space="preserve"> Indicators</w:t>
      </w:r>
    </w:p>
    <w:p w:rsidRPr="0059770F" w:rsidR="00777EDF" w:rsidP="0059770F" w:rsidRDefault="00777EDF" w14:paraId="137DC262" w14:textId="77777777">
      <w:pPr>
        <w:pStyle w:val="BodyText"/>
        <w:spacing w:after="0"/>
        <w:ind w:firstLine="0"/>
        <w:rPr>
          <w:rFonts w:asciiTheme="minorHAnsi" w:hAnsiTheme="minorHAnsi" w:cstheme="minorHAnsi"/>
          <w:b/>
          <w:sz w:val="22"/>
          <w:szCs w:val="22"/>
        </w:rPr>
      </w:pPr>
    </w:p>
    <w:p w:rsidRPr="0059770F" w:rsidR="00E70DA7" w:rsidP="0059770F" w:rsidRDefault="00E70DA7" w14:paraId="5A96D4E9" w14:textId="77777777">
      <w:pPr>
        <w:pStyle w:val="BodyText"/>
        <w:spacing w:after="0"/>
        <w:ind w:firstLine="0"/>
        <w:rPr>
          <w:rFonts w:asciiTheme="minorHAnsi" w:hAnsiTheme="minorHAnsi" w:cstheme="minorHAnsi"/>
          <w:sz w:val="22"/>
          <w:szCs w:val="22"/>
        </w:rPr>
      </w:pPr>
      <w:r w:rsidRPr="0059770F">
        <w:rPr>
          <w:rFonts w:asciiTheme="minorHAnsi" w:hAnsiTheme="minorHAnsi" w:cstheme="minorHAnsi"/>
          <w:b/>
          <w:sz w:val="22"/>
          <w:szCs w:val="22"/>
        </w:rPr>
        <w:t>Goal:</w:t>
      </w:r>
      <w:r w:rsidRPr="0059770F">
        <w:rPr>
          <w:rFonts w:asciiTheme="minorHAnsi" w:hAnsiTheme="minorHAnsi" w:cstheme="minorHAnsi"/>
          <w:sz w:val="22"/>
          <w:szCs w:val="22"/>
        </w:rPr>
        <w:t xml:space="preserve"> Facilitate regulatory cooperation among medical product regulatory authorities in APEC</w:t>
      </w:r>
    </w:p>
    <w:p w:rsidR="005C219A" w:rsidP="005C219A" w:rsidRDefault="00E70DA7" w14:paraId="6772C808" w14:textId="37D2DAD8">
      <w:pPr>
        <w:pStyle w:val="BodyText"/>
        <w:numPr>
          <w:ilvl w:val="0"/>
          <w:numId w:val="21"/>
        </w:numPr>
        <w:spacing w:after="0"/>
        <w:rPr>
          <w:rFonts w:asciiTheme="minorHAnsi" w:hAnsiTheme="minorHAnsi" w:cstheme="minorHAnsi"/>
          <w:sz w:val="22"/>
          <w:szCs w:val="22"/>
        </w:rPr>
      </w:pPr>
      <w:r w:rsidRPr="0059770F">
        <w:rPr>
          <w:rFonts w:asciiTheme="minorHAnsi" w:hAnsiTheme="minorHAnsi" w:cstheme="minorHAnsi"/>
          <w:sz w:val="22"/>
          <w:szCs w:val="22"/>
        </w:rPr>
        <w:t>Process indicator(s):</w:t>
      </w:r>
      <w:r w:rsidRPr="0059770F" w:rsidR="00DC286B">
        <w:rPr>
          <w:rFonts w:asciiTheme="minorHAnsi" w:hAnsiTheme="minorHAnsi" w:cstheme="minorHAnsi"/>
          <w:sz w:val="22"/>
          <w:szCs w:val="22"/>
        </w:rPr>
        <w:t xml:space="preserve"> Number of APEC economies participating in RHSC, PWAs, virtually</w:t>
      </w:r>
    </w:p>
    <w:p w:rsidRPr="005C219A" w:rsidR="00E70DA7" w:rsidP="005C219A" w:rsidRDefault="00E70DA7" w14:paraId="3970CF7F" w14:textId="6AD2C654">
      <w:pPr>
        <w:pStyle w:val="BodyText"/>
        <w:numPr>
          <w:ilvl w:val="0"/>
          <w:numId w:val="21"/>
        </w:numPr>
        <w:spacing w:after="0"/>
        <w:rPr>
          <w:rFonts w:asciiTheme="minorHAnsi" w:hAnsiTheme="minorHAnsi" w:cstheme="minorHAnsi"/>
          <w:sz w:val="22"/>
          <w:szCs w:val="22"/>
        </w:rPr>
      </w:pPr>
      <w:r w:rsidRPr="005C219A">
        <w:rPr>
          <w:rFonts w:asciiTheme="minorHAnsi" w:hAnsiTheme="minorHAnsi" w:cstheme="minorHAnsi"/>
          <w:sz w:val="22"/>
          <w:szCs w:val="22"/>
        </w:rPr>
        <w:t>Output indicator(s):</w:t>
      </w:r>
      <w:r w:rsidRPr="005C219A" w:rsidR="00DC286B">
        <w:rPr>
          <w:rFonts w:asciiTheme="minorHAnsi" w:hAnsiTheme="minorHAnsi" w:cstheme="minorHAnsi"/>
          <w:sz w:val="22"/>
          <w:szCs w:val="22"/>
        </w:rPr>
        <w:t xml:space="preserve"> </w:t>
      </w:r>
      <w:r w:rsidRPr="006C5575" w:rsidR="00AC3D64">
        <w:rPr>
          <w:rFonts w:asciiTheme="minorHAnsi" w:hAnsiTheme="minorHAnsi" w:cstheme="minorHAnsi"/>
          <w:sz w:val="22"/>
        </w:rPr>
        <w:t xml:space="preserve">Index scores to measure </w:t>
      </w:r>
      <w:r w:rsidRPr="006C5575" w:rsidR="00736512">
        <w:rPr>
          <w:rFonts w:asciiTheme="minorHAnsi" w:hAnsiTheme="minorHAnsi" w:cstheme="minorHAnsi"/>
          <w:sz w:val="22"/>
        </w:rPr>
        <w:t xml:space="preserve">perceived </w:t>
      </w:r>
      <w:r w:rsidRPr="006C5575" w:rsidR="00AC3D64">
        <w:rPr>
          <w:rFonts w:asciiTheme="minorHAnsi" w:hAnsiTheme="minorHAnsi" w:cstheme="minorHAnsi"/>
          <w:sz w:val="22"/>
        </w:rPr>
        <w:t>effectiveness of RHSC</w:t>
      </w:r>
    </w:p>
    <w:p w:rsidRPr="0059770F" w:rsidR="00E70DA7" w:rsidP="0059770F" w:rsidRDefault="00E70DA7" w14:paraId="37D506E4" w14:textId="6718FD15">
      <w:pPr>
        <w:pStyle w:val="BodyText"/>
        <w:numPr>
          <w:ilvl w:val="0"/>
          <w:numId w:val="21"/>
        </w:numPr>
        <w:spacing w:after="0"/>
        <w:rPr>
          <w:rFonts w:asciiTheme="minorHAnsi" w:hAnsiTheme="minorHAnsi" w:cstheme="minorHAnsi"/>
          <w:sz w:val="22"/>
          <w:szCs w:val="22"/>
        </w:rPr>
      </w:pPr>
      <w:r w:rsidRPr="0059770F">
        <w:rPr>
          <w:rFonts w:asciiTheme="minorHAnsi" w:hAnsiTheme="minorHAnsi" w:cstheme="minorHAnsi"/>
          <w:sz w:val="22"/>
          <w:szCs w:val="22"/>
        </w:rPr>
        <w:t>Outcome indicator(s):</w:t>
      </w:r>
      <w:r w:rsidRPr="0059770F" w:rsidR="00DC286B">
        <w:rPr>
          <w:rFonts w:asciiTheme="minorHAnsi" w:hAnsiTheme="minorHAnsi" w:cstheme="minorHAnsi"/>
          <w:sz w:val="22"/>
          <w:szCs w:val="22"/>
        </w:rPr>
        <w:t xml:space="preserve"> Existing RHSC KPIs</w:t>
      </w:r>
    </w:p>
    <w:p w:rsidRPr="0059770F" w:rsidR="00DC286B" w:rsidP="0059770F" w:rsidRDefault="00DC286B" w14:paraId="027624CF" w14:textId="77777777">
      <w:pPr>
        <w:pStyle w:val="BodyText"/>
        <w:spacing w:after="0"/>
        <w:ind w:firstLine="0"/>
        <w:jc w:val="both"/>
        <w:rPr>
          <w:rFonts w:asciiTheme="minorHAnsi" w:hAnsiTheme="minorHAnsi" w:cstheme="minorHAnsi"/>
          <w:b/>
          <w:sz w:val="22"/>
          <w:szCs w:val="22"/>
        </w:rPr>
      </w:pPr>
    </w:p>
    <w:p w:rsidRPr="0059770F" w:rsidR="00E70DA7" w:rsidP="0059770F" w:rsidRDefault="00E70DA7" w14:paraId="096ED3B9" w14:textId="77777777">
      <w:pPr>
        <w:pStyle w:val="BodyText"/>
        <w:spacing w:after="0"/>
        <w:ind w:firstLine="0"/>
        <w:jc w:val="both"/>
        <w:rPr>
          <w:rFonts w:asciiTheme="minorHAnsi" w:hAnsiTheme="minorHAnsi" w:cstheme="minorHAnsi"/>
          <w:sz w:val="22"/>
        </w:rPr>
      </w:pPr>
      <w:r w:rsidRPr="0059770F">
        <w:rPr>
          <w:rFonts w:asciiTheme="minorHAnsi" w:hAnsiTheme="minorHAnsi" w:cstheme="minorHAnsi"/>
          <w:b/>
          <w:sz w:val="22"/>
          <w:szCs w:val="22"/>
        </w:rPr>
        <w:t>Goal:</w:t>
      </w:r>
      <w:r w:rsidRPr="0059770F">
        <w:rPr>
          <w:rFonts w:asciiTheme="minorHAnsi" w:hAnsiTheme="minorHAnsi" w:cstheme="minorHAnsi"/>
          <w:sz w:val="22"/>
          <w:szCs w:val="22"/>
        </w:rPr>
        <w:t xml:space="preserve"> Build human capacity in regulatory science among medical product regulatory </w:t>
      </w:r>
      <w:r w:rsidRPr="0059770F" w:rsidR="00F5669B">
        <w:rPr>
          <w:rFonts w:asciiTheme="minorHAnsi" w:hAnsiTheme="minorHAnsi" w:cstheme="minorHAnsi"/>
          <w:sz w:val="22"/>
          <w:szCs w:val="22"/>
        </w:rPr>
        <w:t>staff</w:t>
      </w:r>
      <w:r w:rsidRPr="0059770F">
        <w:rPr>
          <w:rFonts w:asciiTheme="minorHAnsi" w:hAnsiTheme="minorHAnsi" w:cstheme="minorHAnsi"/>
          <w:sz w:val="22"/>
          <w:szCs w:val="22"/>
        </w:rPr>
        <w:t xml:space="preserve"> in APEC</w:t>
      </w:r>
    </w:p>
    <w:p w:rsidRPr="0059770F" w:rsidR="00E70DA7" w:rsidP="0059770F" w:rsidRDefault="00E70DA7" w14:paraId="7BBD0E5D" w14:textId="268BE8EF">
      <w:pPr>
        <w:pStyle w:val="BodyText"/>
        <w:numPr>
          <w:ilvl w:val="0"/>
          <w:numId w:val="21"/>
        </w:numPr>
        <w:spacing w:after="0"/>
        <w:rPr>
          <w:rFonts w:asciiTheme="minorHAnsi" w:hAnsiTheme="minorHAnsi" w:cstheme="minorHAnsi"/>
          <w:sz w:val="22"/>
          <w:szCs w:val="22"/>
        </w:rPr>
      </w:pPr>
      <w:r w:rsidRPr="0059770F">
        <w:rPr>
          <w:rFonts w:asciiTheme="minorHAnsi" w:hAnsiTheme="minorHAnsi" w:cstheme="minorHAnsi"/>
          <w:sz w:val="22"/>
          <w:szCs w:val="22"/>
        </w:rPr>
        <w:t>Process indicator(s):</w:t>
      </w:r>
      <w:r w:rsidRPr="0059770F" w:rsidR="00DC286B">
        <w:rPr>
          <w:rFonts w:asciiTheme="minorHAnsi" w:hAnsiTheme="minorHAnsi" w:cstheme="minorHAnsi"/>
          <w:sz w:val="22"/>
          <w:szCs w:val="22"/>
        </w:rPr>
        <w:t xml:space="preserve"> Number of hosts, Centers, training programs, faculty/participants</w:t>
      </w:r>
    </w:p>
    <w:p w:rsidRPr="0059770F" w:rsidR="00E70DA7" w:rsidP="0059770F" w:rsidRDefault="00E70DA7" w14:paraId="1EDCF26D" w14:textId="77777777">
      <w:pPr>
        <w:pStyle w:val="BodyText"/>
        <w:numPr>
          <w:ilvl w:val="0"/>
          <w:numId w:val="21"/>
        </w:numPr>
        <w:spacing w:after="0"/>
        <w:rPr>
          <w:rFonts w:asciiTheme="minorHAnsi" w:hAnsiTheme="minorHAnsi" w:cstheme="minorHAnsi"/>
          <w:sz w:val="22"/>
          <w:szCs w:val="22"/>
        </w:rPr>
      </w:pPr>
      <w:r w:rsidRPr="0059770F">
        <w:rPr>
          <w:rFonts w:asciiTheme="minorHAnsi" w:hAnsiTheme="minorHAnsi" w:cstheme="minorHAnsi"/>
          <w:sz w:val="22"/>
          <w:szCs w:val="22"/>
        </w:rPr>
        <w:t>Output indicator(s):</w:t>
      </w:r>
      <w:r w:rsidRPr="0059770F" w:rsidR="00DC286B">
        <w:rPr>
          <w:rFonts w:asciiTheme="minorHAnsi" w:hAnsiTheme="minorHAnsi" w:cstheme="minorHAnsi"/>
          <w:sz w:val="22"/>
          <w:szCs w:val="22"/>
        </w:rPr>
        <w:t xml:space="preserve"> Aggregate participant feedback with before-after training program analysis</w:t>
      </w:r>
    </w:p>
    <w:p w:rsidRPr="0059770F" w:rsidR="00DC286B" w:rsidP="00754B70" w:rsidRDefault="00E70DA7" w14:paraId="2BFEF29C" w14:textId="201B073F">
      <w:pPr>
        <w:pStyle w:val="BodyText"/>
        <w:numPr>
          <w:ilvl w:val="0"/>
          <w:numId w:val="21"/>
        </w:numPr>
        <w:spacing w:after="0"/>
        <w:rPr>
          <w:rFonts w:asciiTheme="minorHAnsi" w:hAnsiTheme="minorHAnsi" w:cstheme="minorHAnsi"/>
          <w:sz w:val="22"/>
          <w:szCs w:val="22"/>
        </w:rPr>
      </w:pPr>
      <w:r w:rsidRPr="0059770F">
        <w:rPr>
          <w:rFonts w:asciiTheme="minorHAnsi" w:hAnsiTheme="minorHAnsi" w:cstheme="minorHAnsi"/>
          <w:sz w:val="22"/>
          <w:szCs w:val="22"/>
        </w:rPr>
        <w:t>Outcome indicator(s):</w:t>
      </w:r>
      <w:r w:rsidRPr="0059770F" w:rsidR="00DC286B">
        <w:rPr>
          <w:rFonts w:asciiTheme="minorHAnsi" w:hAnsiTheme="minorHAnsi" w:cstheme="minorHAnsi"/>
          <w:sz w:val="22"/>
          <w:szCs w:val="22"/>
        </w:rPr>
        <w:t xml:space="preserve"> </w:t>
      </w:r>
      <w:r w:rsidR="00ED6C34">
        <w:rPr>
          <w:rFonts w:asciiTheme="minorHAnsi" w:hAnsiTheme="minorHAnsi" w:cstheme="minorHAnsi"/>
          <w:sz w:val="22"/>
          <w:szCs w:val="22"/>
        </w:rPr>
        <w:t>Pre- and post-training assessment with standard scoring system</w:t>
      </w:r>
      <w:r w:rsidR="00A6431B">
        <w:rPr>
          <w:rFonts w:asciiTheme="minorHAnsi" w:hAnsiTheme="minorHAnsi" w:cstheme="minorHAnsi"/>
          <w:sz w:val="22"/>
          <w:szCs w:val="22"/>
        </w:rPr>
        <w:t xml:space="preserve"> </w:t>
      </w:r>
      <w:r w:rsidRPr="0059770F" w:rsidR="006A2D87">
        <w:rPr>
          <w:rFonts w:asciiTheme="minorHAnsi" w:hAnsiTheme="minorHAnsi" w:cstheme="minorHAnsi"/>
          <w:sz w:val="22"/>
          <w:szCs w:val="22"/>
        </w:rPr>
        <w:t xml:space="preserve"> </w:t>
      </w:r>
    </w:p>
    <w:p w:rsidR="00754B70" w:rsidP="0059770F" w:rsidRDefault="00754B70" w14:paraId="7645697C" w14:textId="77777777">
      <w:pPr>
        <w:pStyle w:val="BodyText"/>
        <w:spacing w:after="0"/>
        <w:ind w:firstLine="0"/>
        <w:jc w:val="both"/>
        <w:rPr>
          <w:rFonts w:asciiTheme="minorHAnsi" w:hAnsiTheme="minorHAnsi" w:cstheme="minorHAnsi"/>
          <w:b/>
          <w:sz w:val="22"/>
          <w:szCs w:val="22"/>
        </w:rPr>
      </w:pPr>
    </w:p>
    <w:p w:rsidRPr="0059770F" w:rsidR="00E70DA7" w:rsidP="0059770F" w:rsidRDefault="00E70DA7" w14:paraId="6EAE1EAA" w14:textId="77777777">
      <w:pPr>
        <w:pStyle w:val="BodyText"/>
        <w:spacing w:after="0"/>
        <w:ind w:firstLine="0"/>
        <w:jc w:val="both"/>
        <w:rPr>
          <w:rFonts w:asciiTheme="minorHAnsi" w:hAnsiTheme="minorHAnsi" w:cstheme="minorHAnsi"/>
          <w:sz w:val="22"/>
        </w:rPr>
      </w:pPr>
      <w:r w:rsidRPr="0059770F">
        <w:rPr>
          <w:rFonts w:asciiTheme="minorHAnsi" w:hAnsiTheme="minorHAnsi" w:cstheme="minorHAnsi"/>
          <w:b/>
          <w:sz w:val="22"/>
          <w:szCs w:val="22"/>
        </w:rPr>
        <w:t>Goal:</w:t>
      </w:r>
      <w:r w:rsidRPr="0059770F">
        <w:rPr>
          <w:rFonts w:asciiTheme="minorHAnsi" w:hAnsiTheme="minorHAnsi" w:cstheme="minorHAnsi"/>
          <w:sz w:val="22"/>
          <w:szCs w:val="22"/>
        </w:rPr>
        <w:t xml:space="preserve"> Promote political will for convergence</w:t>
      </w:r>
      <w:r w:rsidRPr="0059770F" w:rsidR="001703DD">
        <w:rPr>
          <w:rFonts w:asciiTheme="minorHAnsi" w:hAnsiTheme="minorHAnsi" w:cstheme="minorHAnsi"/>
          <w:sz w:val="22"/>
          <w:szCs w:val="22"/>
        </w:rPr>
        <w:t xml:space="preserve"> and reliance</w:t>
      </w:r>
      <w:r w:rsidRPr="0059770F">
        <w:rPr>
          <w:rFonts w:asciiTheme="minorHAnsi" w:hAnsiTheme="minorHAnsi" w:cstheme="minorHAnsi"/>
          <w:sz w:val="22"/>
          <w:szCs w:val="22"/>
        </w:rPr>
        <w:t xml:space="preserve"> among regulatory policymakers in APEC</w:t>
      </w:r>
    </w:p>
    <w:p w:rsidRPr="0059770F" w:rsidR="00E70DA7" w:rsidP="0059770F" w:rsidRDefault="00E70DA7" w14:paraId="28DB515A" w14:textId="638EFB57">
      <w:pPr>
        <w:pStyle w:val="BodyText"/>
        <w:numPr>
          <w:ilvl w:val="0"/>
          <w:numId w:val="21"/>
        </w:numPr>
        <w:spacing w:after="0"/>
        <w:rPr>
          <w:rFonts w:asciiTheme="minorHAnsi" w:hAnsiTheme="minorHAnsi" w:cstheme="minorHAnsi"/>
          <w:sz w:val="22"/>
          <w:szCs w:val="22"/>
        </w:rPr>
      </w:pPr>
      <w:r w:rsidRPr="0059770F">
        <w:rPr>
          <w:rFonts w:asciiTheme="minorHAnsi" w:hAnsiTheme="minorHAnsi" w:cstheme="minorHAnsi"/>
          <w:sz w:val="22"/>
          <w:szCs w:val="22"/>
        </w:rPr>
        <w:t>Process indicator(s):</w:t>
      </w:r>
      <w:r w:rsidRPr="0059770F" w:rsidR="00DC286B">
        <w:rPr>
          <w:rFonts w:asciiTheme="minorHAnsi" w:hAnsiTheme="minorHAnsi" w:cstheme="minorHAnsi"/>
          <w:sz w:val="22"/>
          <w:szCs w:val="22"/>
        </w:rPr>
        <w:t xml:space="preserve"> Number of and participation at policy dialogues</w:t>
      </w:r>
    </w:p>
    <w:p w:rsidRPr="0059770F" w:rsidR="00E70DA7" w:rsidP="0059770F" w:rsidRDefault="00E70DA7" w14:paraId="00CCAB43" w14:textId="77777777">
      <w:pPr>
        <w:pStyle w:val="BodyText"/>
        <w:numPr>
          <w:ilvl w:val="0"/>
          <w:numId w:val="21"/>
        </w:numPr>
        <w:spacing w:after="0"/>
        <w:rPr>
          <w:rFonts w:asciiTheme="minorHAnsi" w:hAnsiTheme="minorHAnsi" w:cstheme="minorHAnsi"/>
          <w:sz w:val="22"/>
          <w:szCs w:val="22"/>
        </w:rPr>
      </w:pPr>
      <w:r w:rsidRPr="0059770F">
        <w:rPr>
          <w:rFonts w:asciiTheme="minorHAnsi" w:hAnsiTheme="minorHAnsi" w:cstheme="minorHAnsi"/>
          <w:sz w:val="22"/>
          <w:szCs w:val="22"/>
        </w:rPr>
        <w:t>Output indicator(s):</w:t>
      </w:r>
      <w:r w:rsidRPr="0059770F" w:rsidR="00DC286B">
        <w:rPr>
          <w:rFonts w:asciiTheme="minorHAnsi" w:hAnsiTheme="minorHAnsi" w:cstheme="minorHAnsi"/>
          <w:sz w:val="22"/>
          <w:szCs w:val="22"/>
        </w:rPr>
        <w:t xml:space="preserve"> Aggregate participant feedback with before-after policy dialogue analysis</w:t>
      </w:r>
    </w:p>
    <w:p w:rsidRPr="00754B70" w:rsidR="00E70DA7" w:rsidP="0059770F" w:rsidRDefault="00E70DA7" w14:paraId="46D2DA58" w14:textId="7EF68BF4">
      <w:pPr>
        <w:pStyle w:val="BodyText"/>
        <w:numPr>
          <w:ilvl w:val="0"/>
          <w:numId w:val="21"/>
        </w:numPr>
        <w:spacing w:after="0"/>
        <w:rPr>
          <w:rFonts w:asciiTheme="minorHAnsi" w:hAnsiTheme="minorHAnsi"/>
          <w:b/>
          <w:sz w:val="22"/>
        </w:rPr>
      </w:pPr>
      <w:r w:rsidRPr="0059770F">
        <w:rPr>
          <w:rFonts w:asciiTheme="minorHAnsi" w:hAnsiTheme="minorHAnsi" w:cstheme="minorHAnsi"/>
          <w:sz w:val="22"/>
          <w:szCs w:val="22"/>
        </w:rPr>
        <w:t>Outcome indicator(s):</w:t>
      </w:r>
      <w:r w:rsidRPr="0059770F" w:rsidR="00DC286B">
        <w:rPr>
          <w:rFonts w:asciiTheme="minorHAnsi" w:hAnsiTheme="minorHAnsi" w:cstheme="minorHAnsi"/>
          <w:sz w:val="22"/>
          <w:szCs w:val="22"/>
        </w:rPr>
        <w:t xml:space="preserve"> </w:t>
      </w:r>
      <w:r w:rsidR="00ED6C34">
        <w:rPr>
          <w:rFonts w:asciiTheme="minorHAnsi" w:hAnsiTheme="minorHAnsi" w:cstheme="minorHAnsi"/>
          <w:sz w:val="22"/>
          <w:szCs w:val="22"/>
        </w:rPr>
        <w:t>Revisions to existing domestic legal frameworks, laws, or regulations; time duration of review</w:t>
      </w:r>
      <w:r w:rsidR="009271D2">
        <w:rPr>
          <w:rFonts w:asciiTheme="minorHAnsi" w:hAnsiTheme="minorHAnsi" w:cstheme="minorHAnsi"/>
          <w:sz w:val="22"/>
          <w:szCs w:val="22"/>
        </w:rPr>
        <w:t xml:space="preserve"> </w:t>
      </w:r>
    </w:p>
    <w:p w:rsidRPr="0059770F" w:rsidR="00503CBD" w:rsidP="00754B70" w:rsidRDefault="006A2D87" w14:paraId="220F33DE" w14:textId="66BCF92A">
      <w:pPr>
        <w:pStyle w:val="BodyText"/>
        <w:spacing w:after="0"/>
        <w:ind w:left="720" w:firstLine="0"/>
        <w:rPr>
          <w:rFonts w:asciiTheme="minorHAnsi" w:hAnsiTheme="minorHAnsi" w:cstheme="minorHAnsi"/>
          <w:b/>
          <w:sz w:val="22"/>
          <w:szCs w:val="22"/>
        </w:rPr>
      </w:pPr>
      <w:r w:rsidRPr="0059770F">
        <w:rPr>
          <w:rFonts w:asciiTheme="minorHAnsi" w:hAnsiTheme="minorHAnsi" w:cstheme="minorHAnsi"/>
          <w:b/>
          <w:sz w:val="22"/>
          <w:szCs w:val="22"/>
        </w:rPr>
        <w:t xml:space="preserve"> </w:t>
      </w:r>
    </w:p>
    <w:p w:rsidRPr="0059770F" w:rsidR="006E7A00" w:rsidP="0059770F" w:rsidRDefault="00E70DA7" w14:paraId="3C459F0B" w14:textId="77777777">
      <w:pPr>
        <w:pStyle w:val="BodyText"/>
        <w:spacing w:after="0"/>
        <w:ind w:firstLine="0"/>
        <w:jc w:val="both"/>
        <w:rPr>
          <w:rFonts w:asciiTheme="minorHAnsi" w:hAnsiTheme="minorHAnsi" w:cstheme="minorHAnsi"/>
          <w:b/>
          <w:sz w:val="22"/>
          <w:szCs w:val="22"/>
        </w:rPr>
      </w:pPr>
      <w:r w:rsidRPr="0059770F">
        <w:rPr>
          <w:rFonts w:asciiTheme="minorHAnsi" w:hAnsiTheme="minorHAnsi" w:cstheme="minorHAnsi"/>
          <w:b/>
          <w:sz w:val="22"/>
          <w:szCs w:val="22"/>
        </w:rPr>
        <w:t>3.</w:t>
      </w:r>
      <w:r w:rsidR="00DA4609">
        <w:rPr>
          <w:rFonts w:asciiTheme="minorHAnsi" w:hAnsiTheme="minorHAnsi" w:cstheme="minorHAnsi"/>
          <w:b/>
          <w:sz w:val="22"/>
          <w:szCs w:val="22"/>
        </w:rPr>
        <w:t>8</w:t>
      </w:r>
      <w:r w:rsidRPr="0059770F" w:rsidR="00C63A7F">
        <w:rPr>
          <w:rFonts w:asciiTheme="minorHAnsi" w:hAnsiTheme="minorHAnsi" w:cstheme="minorHAnsi"/>
          <w:b/>
          <w:sz w:val="22"/>
          <w:szCs w:val="22"/>
        </w:rPr>
        <w:t xml:space="preserve"> </w:t>
      </w:r>
      <w:r w:rsidRPr="0059770F" w:rsidR="006E7A00">
        <w:rPr>
          <w:rFonts w:asciiTheme="minorHAnsi" w:hAnsiTheme="minorHAnsi" w:cstheme="minorHAnsi"/>
          <w:b/>
          <w:sz w:val="22"/>
          <w:szCs w:val="22"/>
        </w:rPr>
        <w:t>Anticipated Impacts</w:t>
      </w:r>
    </w:p>
    <w:p w:rsidRPr="0059770F" w:rsidR="006E7A00" w:rsidP="0059770F" w:rsidRDefault="006E7A00" w14:paraId="55F34934" w14:textId="77777777">
      <w:pPr>
        <w:pStyle w:val="BodyText"/>
        <w:spacing w:after="0"/>
        <w:ind w:firstLine="0"/>
        <w:rPr>
          <w:rFonts w:asciiTheme="minorHAnsi" w:hAnsiTheme="minorHAnsi" w:cstheme="minorHAnsi"/>
          <w:b/>
          <w:sz w:val="22"/>
          <w:szCs w:val="22"/>
        </w:rPr>
      </w:pPr>
    </w:p>
    <w:p w:rsidRPr="0059770F" w:rsidR="00BF6832" w:rsidP="0059770F" w:rsidRDefault="006073FB" w14:paraId="714C326B" w14:textId="77777777">
      <w:pPr>
        <w:pStyle w:val="BodyText"/>
        <w:spacing w:after="0"/>
        <w:ind w:firstLine="0"/>
        <w:rPr>
          <w:rFonts w:asciiTheme="minorHAnsi" w:hAnsiTheme="minorHAnsi" w:cstheme="minorHAnsi"/>
          <w:sz w:val="22"/>
          <w:szCs w:val="22"/>
        </w:rPr>
      </w:pPr>
      <w:r w:rsidRPr="0059770F">
        <w:rPr>
          <w:rFonts w:asciiTheme="minorHAnsi" w:hAnsiTheme="minorHAnsi" w:cstheme="minorHAnsi"/>
          <w:sz w:val="22"/>
          <w:szCs w:val="22"/>
        </w:rPr>
        <w:t>In w</w:t>
      </w:r>
      <w:r w:rsidRPr="0059770F" w:rsidR="00BF6832">
        <w:rPr>
          <w:rFonts w:asciiTheme="minorHAnsi" w:hAnsiTheme="minorHAnsi" w:cstheme="minorHAnsi"/>
          <w:sz w:val="22"/>
          <w:szCs w:val="22"/>
        </w:rPr>
        <w:t>orking to achieve r</w:t>
      </w:r>
      <w:r w:rsidRPr="0059770F" w:rsidR="006E7A00">
        <w:rPr>
          <w:rFonts w:asciiTheme="minorHAnsi" w:hAnsiTheme="minorHAnsi" w:cstheme="minorHAnsi"/>
          <w:sz w:val="22"/>
          <w:szCs w:val="22"/>
        </w:rPr>
        <w:t xml:space="preserve">egulatory convergence </w:t>
      </w:r>
      <w:r w:rsidRPr="0059770F" w:rsidR="00BF6832">
        <w:rPr>
          <w:rFonts w:asciiTheme="minorHAnsi" w:hAnsiTheme="minorHAnsi" w:cstheme="minorHAnsi"/>
          <w:sz w:val="22"/>
          <w:szCs w:val="22"/>
        </w:rPr>
        <w:t>and reliance</w:t>
      </w:r>
      <w:r w:rsidRPr="0059770F" w:rsidR="00C80B15">
        <w:rPr>
          <w:rFonts w:asciiTheme="minorHAnsi" w:hAnsiTheme="minorHAnsi" w:cstheme="minorHAnsi"/>
          <w:sz w:val="22"/>
          <w:szCs w:val="22"/>
        </w:rPr>
        <w:t xml:space="preserve"> we believe</w:t>
      </w:r>
      <w:r w:rsidRPr="0059770F">
        <w:rPr>
          <w:rFonts w:asciiTheme="minorHAnsi" w:hAnsiTheme="minorHAnsi" w:cstheme="minorHAnsi"/>
          <w:sz w:val="22"/>
          <w:szCs w:val="22"/>
        </w:rPr>
        <w:t xml:space="preserve"> the anticipated impacts include</w:t>
      </w:r>
      <w:r w:rsidRPr="0059770F" w:rsidR="00BF6832">
        <w:rPr>
          <w:rFonts w:asciiTheme="minorHAnsi" w:hAnsiTheme="minorHAnsi" w:cstheme="minorHAnsi"/>
          <w:sz w:val="22"/>
          <w:szCs w:val="22"/>
        </w:rPr>
        <w:t>:</w:t>
      </w:r>
    </w:p>
    <w:p w:rsidRPr="0059770F" w:rsidR="00BF6832" w:rsidP="0059770F" w:rsidRDefault="00BF6832" w14:paraId="13372D9B" w14:textId="77777777">
      <w:pPr>
        <w:pStyle w:val="BodyText"/>
        <w:spacing w:after="0"/>
        <w:ind w:firstLine="0"/>
        <w:rPr>
          <w:rFonts w:asciiTheme="minorHAnsi" w:hAnsiTheme="minorHAnsi" w:cstheme="minorHAnsi"/>
          <w:bCs/>
          <w:sz w:val="22"/>
          <w:szCs w:val="22"/>
        </w:rPr>
      </w:pPr>
    </w:p>
    <w:p w:rsidRPr="0059770F" w:rsidR="006E7A00" w:rsidP="0059770F" w:rsidRDefault="00BF6832" w14:paraId="46DD5B2A" w14:textId="3FE90CD7">
      <w:pPr>
        <w:pStyle w:val="BodyText"/>
        <w:numPr>
          <w:ilvl w:val="0"/>
          <w:numId w:val="9"/>
        </w:numPr>
        <w:spacing w:after="0"/>
        <w:ind w:left="360" w:hanging="270"/>
        <w:jc w:val="both"/>
        <w:rPr>
          <w:rFonts w:asciiTheme="minorHAnsi" w:hAnsiTheme="minorHAnsi" w:cstheme="minorHAnsi"/>
          <w:bCs/>
          <w:sz w:val="22"/>
          <w:szCs w:val="22"/>
        </w:rPr>
      </w:pPr>
      <w:r w:rsidRPr="0059770F">
        <w:rPr>
          <w:rFonts w:asciiTheme="minorHAnsi" w:hAnsiTheme="minorHAnsi" w:cstheme="minorHAnsi"/>
          <w:b/>
          <w:sz w:val="22"/>
          <w:szCs w:val="22"/>
        </w:rPr>
        <w:t>P</w:t>
      </w:r>
      <w:r w:rsidRPr="0059770F" w:rsidR="006E7A00">
        <w:rPr>
          <w:rFonts w:asciiTheme="minorHAnsi" w:hAnsiTheme="minorHAnsi" w:cstheme="minorHAnsi"/>
          <w:b/>
          <w:bCs/>
          <w:sz w:val="22"/>
          <w:szCs w:val="22"/>
        </w:rPr>
        <w:t>rotects people’s safety:</w:t>
      </w:r>
      <w:r w:rsidRPr="0059770F" w:rsidR="006E7A00">
        <w:rPr>
          <w:rFonts w:asciiTheme="minorHAnsi" w:hAnsiTheme="minorHAnsi" w:cstheme="minorHAnsi"/>
          <w:bCs/>
          <w:sz w:val="22"/>
          <w:szCs w:val="22"/>
        </w:rPr>
        <w:t xml:space="preserve"> when economies take advantage of testing, inspections, and reviews already done by high-performing regulators around the region, economies can efficiently ensure approved products are both effective and safe, and work together to </w:t>
      </w:r>
      <w:r w:rsidR="00284D7F">
        <w:rPr>
          <w:rFonts w:asciiTheme="minorHAnsi" w:hAnsiTheme="minorHAnsi" w:cstheme="minorHAnsi"/>
          <w:bCs/>
          <w:sz w:val="22"/>
          <w:szCs w:val="22"/>
        </w:rPr>
        <w:t>identify and share</w:t>
      </w:r>
      <w:r w:rsidRPr="0059770F" w:rsidR="006E7A00">
        <w:rPr>
          <w:rFonts w:asciiTheme="minorHAnsi" w:hAnsiTheme="minorHAnsi" w:cstheme="minorHAnsi"/>
          <w:bCs/>
          <w:sz w:val="22"/>
          <w:szCs w:val="22"/>
        </w:rPr>
        <w:t xml:space="preserve"> safety issues in their collective population.</w:t>
      </w:r>
    </w:p>
    <w:p w:rsidRPr="0059770F" w:rsidR="006E7A00" w:rsidP="0059770F" w:rsidRDefault="006E7A00" w14:paraId="34FF3B84" w14:textId="77777777">
      <w:pPr>
        <w:ind w:left="360" w:hanging="270"/>
        <w:jc w:val="both"/>
        <w:rPr>
          <w:rFonts w:asciiTheme="minorHAnsi" w:hAnsiTheme="minorHAnsi" w:cstheme="minorHAnsi"/>
          <w:bCs/>
          <w:sz w:val="22"/>
          <w:szCs w:val="22"/>
        </w:rPr>
      </w:pPr>
    </w:p>
    <w:p w:rsidRPr="0059770F" w:rsidR="006E7A00" w:rsidP="0059770F" w:rsidRDefault="00BF6832" w14:paraId="3E9B07F3" w14:textId="32A3049F">
      <w:pPr>
        <w:pStyle w:val="ListParagraph"/>
        <w:numPr>
          <w:ilvl w:val="0"/>
          <w:numId w:val="9"/>
        </w:numPr>
        <w:spacing w:after="0" w:line="240" w:lineRule="auto"/>
        <w:ind w:left="360" w:hanging="270"/>
        <w:jc w:val="both"/>
        <w:rPr>
          <w:rFonts w:asciiTheme="minorHAnsi" w:hAnsiTheme="minorHAnsi" w:cstheme="minorHAnsi"/>
          <w:bCs/>
        </w:rPr>
      </w:pPr>
      <w:r w:rsidRPr="0059770F">
        <w:rPr>
          <w:rFonts w:asciiTheme="minorHAnsi" w:hAnsiTheme="minorHAnsi" w:cstheme="minorHAnsi"/>
          <w:b/>
        </w:rPr>
        <w:t>M</w:t>
      </w:r>
      <w:r w:rsidRPr="0059770F" w:rsidR="006E7A00">
        <w:rPr>
          <w:rFonts w:asciiTheme="minorHAnsi" w:hAnsiTheme="minorHAnsi" w:cstheme="minorHAnsi"/>
          <w:b/>
          <w:bCs/>
        </w:rPr>
        <w:t>akes products available</w:t>
      </w:r>
      <w:r w:rsidR="00ED6C34">
        <w:rPr>
          <w:rFonts w:asciiTheme="minorHAnsi" w:hAnsiTheme="minorHAnsi" w:cstheme="minorHAnsi"/>
          <w:b/>
          <w:bCs/>
        </w:rPr>
        <w:t xml:space="preserve"> &amp; promotes access</w:t>
      </w:r>
      <w:r w:rsidRPr="0059770F" w:rsidR="006E7A00">
        <w:rPr>
          <w:rFonts w:asciiTheme="minorHAnsi" w:hAnsiTheme="minorHAnsi" w:cstheme="minorHAnsi"/>
          <w:b/>
          <w:bCs/>
        </w:rPr>
        <w:t>:</w:t>
      </w:r>
      <w:r w:rsidRPr="0059770F" w:rsidR="006E7A00">
        <w:rPr>
          <w:rFonts w:asciiTheme="minorHAnsi" w:hAnsiTheme="minorHAnsi" w:cstheme="minorHAnsi"/>
          <w:bCs/>
        </w:rPr>
        <w:t xml:space="preserve"> when economies leverage the assessment work already done by high-performing regulators on a particular life-saving product, economies can approve that product more quickly and ensure it is readily available on the market to those who need it.</w:t>
      </w:r>
    </w:p>
    <w:p w:rsidRPr="0059770F" w:rsidR="006E7A00" w:rsidP="0059770F" w:rsidRDefault="006E7A00" w14:paraId="5C8CDCAD" w14:textId="77777777">
      <w:pPr>
        <w:ind w:left="360" w:hanging="270"/>
        <w:jc w:val="both"/>
        <w:rPr>
          <w:rFonts w:asciiTheme="minorHAnsi" w:hAnsiTheme="minorHAnsi" w:cstheme="minorHAnsi"/>
          <w:bCs/>
          <w:sz w:val="22"/>
          <w:szCs w:val="22"/>
        </w:rPr>
      </w:pPr>
    </w:p>
    <w:p w:rsidRPr="0059770F" w:rsidR="006E7A00" w:rsidP="0059770F" w:rsidRDefault="00BF6832" w14:paraId="22FACC2A" w14:textId="77777777">
      <w:pPr>
        <w:pStyle w:val="ListParagraph"/>
        <w:numPr>
          <w:ilvl w:val="0"/>
          <w:numId w:val="9"/>
        </w:numPr>
        <w:spacing w:after="0" w:line="240" w:lineRule="auto"/>
        <w:ind w:left="360" w:hanging="270"/>
        <w:jc w:val="both"/>
        <w:rPr>
          <w:rFonts w:asciiTheme="minorHAnsi" w:hAnsiTheme="minorHAnsi" w:cstheme="minorHAnsi"/>
          <w:bCs/>
        </w:rPr>
      </w:pPr>
      <w:r w:rsidRPr="0059770F">
        <w:rPr>
          <w:rFonts w:asciiTheme="minorHAnsi" w:hAnsiTheme="minorHAnsi" w:cstheme="minorHAnsi"/>
          <w:b/>
        </w:rPr>
        <w:t>S</w:t>
      </w:r>
      <w:r w:rsidRPr="0059770F" w:rsidR="006E7A00">
        <w:rPr>
          <w:rFonts w:asciiTheme="minorHAnsi" w:hAnsiTheme="minorHAnsi" w:cstheme="minorHAnsi"/>
          <w:b/>
          <w:bCs/>
        </w:rPr>
        <w:t>aves public resources:</w:t>
      </w:r>
      <w:r w:rsidRPr="0059770F" w:rsidR="006E7A00">
        <w:rPr>
          <w:rFonts w:asciiTheme="minorHAnsi" w:hAnsiTheme="minorHAnsi" w:cstheme="minorHAnsi"/>
          <w:bCs/>
        </w:rPr>
        <w:t xml:space="preserve"> when economies tap into the expertise and work of other high-performing regulators around the region, economies can avoid unnecessary duplication and limit wasteful spending so economies save precious public health resources for use elsewhere.</w:t>
      </w:r>
    </w:p>
    <w:p w:rsidRPr="0059770F" w:rsidR="006E7A00" w:rsidP="0059770F" w:rsidRDefault="006E7A00" w14:paraId="0A772FA4" w14:textId="77777777">
      <w:pPr>
        <w:ind w:left="360" w:hanging="270"/>
        <w:jc w:val="both"/>
        <w:rPr>
          <w:rFonts w:asciiTheme="minorHAnsi" w:hAnsiTheme="minorHAnsi" w:cstheme="minorHAnsi"/>
          <w:bCs/>
          <w:sz w:val="22"/>
          <w:szCs w:val="22"/>
        </w:rPr>
      </w:pPr>
    </w:p>
    <w:p w:rsidRPr="0059770F" w:rsidR="006E7A00" w:rsidP="0059770F" w:rsidRDefault="00BF6832" w14:paraId="196B6BE4" w14:textId="77777777">
      <w:pPr>
        <w:pStyle w:val="ListParagraph"/>
        <w:numPr>
          <w:ilvl w:val="0"/>
          <w:numId w:val="9"/>
        </w:numPr>
        <w:spacing w:after="0" w:line="240" w:lineRule="auto"/>
        <w:ind w:left="360" w:hanging="270"/>
        <w:jc w:val="both"/>
        <w:rPr>
          <w:rFonts w:asciiTheme="minorHAnsi" w:hAnsiTheme="minorHAnsi" w:cstheme="minorHAnsi"/>
          <w:bCs/>
        </w:rPr>
      </w:pPr>
      <w:r w:rsidRPr="0059770F">
        <w:rPr>
          <w:rFonts w:asciiTheme="minorHAnsi" w:hAnsiTheme="minorHAnsi" w:cstheme="minorHAnsi"/>
          <w:b/>
        </w:rPr>
        <w:t>A</w:t>
      </w:r>
      <w:r w:rsidRPr="0059770F" w:rsidR="006E7A00">
        <w:rPr>
          <w:rFonts w:asciiTheme="minorHAnsi" w:hAnsiTheme="minorHAnsi" w:cstheme="minorHAnsi"/>
          <w:b/>
          <w:bCs/>
        </w:rPr>
        <w:t>ttracts investment:</w:t>
      </w:r>
      <w:r w:rsidRPr="0059770F" w:rsidR="006E7A00">
        <w:rPr>
          <w:rFonts w:asciiTheme="minorHAnsi" w:hAnsiTheme="minorHAnsi" w:cstheme="minorHAnsi"/>
          <w:bCs/>
        </w:rPr>
        <w:t xml:space="preserve"> when economies shorten burdensome procedures and adopt best practices by trusting the processes of high-performing regulators, economies can reduce uncertainty and delays so that both local and international firms find it easier to do business in APEC economies, invest their capital, and create jobs.</w:t>
      </w:r>
    </w:p>
    <w:p w:rsidRPr="0059770F" w:rsidR="006E7A00" w:rsidP="0059770F" w:rsidRDefault="006E7A00" w14:paraId="4916BDFA" w14:textId="77777777">
      <w:pPr>
        <w:ind w:left="360" w:hanging="270"/>
        <w:jc w:val="both"/>
        <w:rPr>
          <w:rFonts w:asciiTheme="minorHAnsi" w:hAnsiTheme="minorHAnsi" w:cstheme="minorHAnsi"/>
          <w:bCs/>
          <w:sz w:val="22"/>
          <w:szCs w:val="22"/>
        </w:rPr>
      </w:pPr>
    </w:p>
    <w:p w:rsidRPr="0059770F" w:rsidR="006E7A00" w:rsidP="0059770F" w:rsidRDefault="005044AF" w14:paraId="088309D9" w14:textId="113E0824">
      <w:pPr>
        <w:pStyle w:val="ListParagraph"/>
        <w:numPr>
          <w:ilvl w:val="0"/>
          <w:numId w:val="9"/>
        </w:numPr>
        <w:spacing w:after="0" w:line="240" w:lineRule="auto"/>
        <w:ind w:left="360" w:hanging="270"/>
        <w:jc w:val="both"/>
        <w:rPr>
          <w:rFonts w:asciiTheme="minorHAnsi" w:hAnsiTheme="minorHAnsi" w:cstheme="minorHAnsi"/>
          <w:bCs/>
        </w:rPr>
      </w:pPr>
      <w:r>
        <w:rPr>
          <w:rFonts w:asciiTheme="minorHAnsi" w:hAnsiTheme="minorHAnsi" w:cstheme="minorHAnsi"/>
          <w:b/>
        </w:rPr>
        <w:t>Improves</w:t>
      </w:r>
      <w:r w:rsidRPr="0059770F" w:rsidR="00EA5B3B">
        <w:rPr>
          <w:rFonts w:asciiTheme="minorHAnsi" w:hAnsiTheme="minorHAnsi" w:cstheme="minorHAnsi"/>
          <w:b/>
          <w:bCs/>
        </w:rPr>
        <w:t xml:space="preserve"> </w:t>
      </w:r>
      <w:r>
        <w:rPr>
          <w:rFonts w:asciiTheme="minorHAnsi" w:hAnsiTheme="minorHAnsi" w:cstheme="minorHAnsi"/>
          <w:b/>
          <w:bCs/>
        </w:rPr>
        <w:t>efficiency</w:t>
      </w:r>
      <w:r w:rsidRPr="0059770F" w:rsidR="006E7A00">
        <w:rPr>
          <w:rFonts w:asciiTheme="minorHAnsi" w:hAnsiTheme="minorHAnsi" w:cstheme="minorHAnsi"/>
          <w:b/>
          <w:bCs/>
        </w:rPr>
        <w:t>:</w:t>
      </w:r>
      <w:r w:rsidRPr="0059770F" w:rsidR="006E7A00">
        <w:rPr>
          <w:rFonts w:asciiTheme="minorHAnsi" w:hAnsiTheme="minorHAnsi" w:cstheme="minorHAnsi"/>
          <w:bCs/>
        </w:rPr>
        <w:t xml:space="preserve"> when economies avoid duplicate inspections and lengthy approval procedures, economies can reduce the time it takes to respond to an application</w:t>
      </w:r>
    </w:p>
    <w:p w:rsidRPr="0059770F" w:rsidR="006E7A00" w:rsidP="0059770F" w:rsidRDefault="006E7A00" w14:paraId="261D7E22" w14:textId="77777777">
      <w:pPr>
        <w:ind w:left="360" w:hanging="270"/>
        <w:jc w:val="both"/>
        <w:rPr>
          <w:rFonts w:asciiTheme="minorHAnsi" w:hAnsiTheme="minorHAnsi" w:cstheme="minorHAnsi"/>
          <w:bCs/>
          <w:sz w:val="22"/>
          <w:szCs w:val="22"/>
        </w:rPr>
      </w:pPr>
    </w:p>
    <w:p w:rsidRPr="0059770F" w:rsidR="00DA0E11" w:rsidP="0059770F" w:rsidRDefault="00BF6832" w14:paraId="547CAFF3" w14:textId="77777777">
      <w:pPr>
        <w:pStyle w:val="ListParagraph"/>
        <w:numPr>
          <w:ilvl w:val="0"/>
          <w:numId w:val="9"/>
        </w:numPr>
        <w:spacing w:after="0" w:line="240" w:lineRule="auto"/>
        <w:ind w:left="360" w:hanging="270"/>
        <w:jc w:val="both"/>
        <w:rPr>
          <w:rFonts w:asciiTheme="minorHAnsi" w:hAnsiTheme="minorHAnsi" w:cstheme="minorHAnsi"/>
          <w:bCs/>
        </w:rPr>
      </w:pPr>
      <w:r w:rsidRPr="0059770F">
        <w:rPr>
          <w:rFonts w:asciiTheme="minorHAnsi" w:hAnsiTheme="minorHAnsi" w:cstheme="minorHAnsi"/>
          <w:b/>
        </w:rPr>
        <w:t>I</w:t>
      </w:r>
      <w:r w:rsidRPr="0059770F" w:rsidR="006E7A00">
        <w:rPr>
          <w:rFonts w:asciiTheme="minorHAnsi" w:hAnsiTheme="minorHAnsi" w:cstheme="minorHAnsi"/>
          <w:b/>
          <w:bCs/>
        </w:rPr>
        <w:t>mproves global standing:</w:t>
      </w:r>
      <w:r w:rsidRPr="0059770F" w:rsidR="006E7A00">
        <w:rPr>
          <w:rFonts w:asciiTheme="minorHAnsi" w:hAnsiTheme="minorHAnsi" w:cstheme="minorHAnsi"/>
          <w:bCs/>
        </w:rPr>
        <w:t xml:space="preserve"> when economies share the load with other regulators and join international initiatives, economies show their willingness to cooperate and support best practices, which strengthen the global community and enable investment in APEC economies.</w:t>
      </w:r>
    </w:p>
    <w:sectPr w:rsidRPr="0059770F" w:rsidR="00DA0E11" w:rsidSect="007F0AF1">
      <w:headerReference w:type="default" r:id="rId17"/>
      <w:footerReference w:type="default" r:id="rId18"/>
      <w:endnotePr>
        <w:numFmt w:val="decimal"/>
      </w:endnotePr>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F54864" w15:done="0"/>
  <w15:commentEx w15:paraId="76019867" w15:done="0"/>
  <w15:commentEx w15:paraId="10E22746" w15:done="0"/>
  <w15:commentEx w15:paraId="281FA2E3" w15:done="0"/>
  <w15:commentEx w15:paraId="6E4888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441" w:rsidP="000B75D1" w:rsidRDefault="00797441" w14:paraId="059A43B9" w14:textId="77777777">
      <w:r>
        <w:separator/>
      </w:r>
    </w:p>
  </w:endnote>
  <w:endnote w:type="continuationSeparator" w:id="0">
    <w:p w:rsidR="00797441" w:rsidP="000B75D1" w:rsidRDefault="00797441" w14:paraId="419609AD" w14:textId="77777777">
      <w:r>
        <w:continuationSeparator/>
      </w:r>
    </w:p>
  </w:endnote>
  <w:endnote w:type="continuationNotice" w:id="1">
    <w:p w:rsidR="00797441" w:rsidRDefault="00797441" w14:paraId="31A64C8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82370F" w:rsidR="00EE226B" w:rsidP="0082370F" w:rsidRDefault="0009173F" w14:paraId="3665F5C2" w14:textId="34BFA410">
    <w:pPr>
      <w:pStyle w:val="Footer"/>
      <w:jc w:val="center"/>
      <w:rPr>
        <w:rFonts w:asciiTheme="minorHAnsi" w:hAnsiTheme="minorHAnsi" w:cstheme="minorHAnsi"/>
        <w:b/>
        <w:noProof/>
        <w:sz w:val="22"/>
      </w:rPr>
    </w:pPr>
    <w:sdt>
      <w:sdtPr>
        <w:rPr>
          <w:rFonts w:asciiTheme="minorHAnsi" w:hAnsiTheme="minorHAnsi" w:cstheme="minorHAnsi"/>
          <w:sz w:val="22"/>
        </w:rPr>
        <w:id w:val="-1894414741"/>
        <w:docPartObj>
          <w:docPartGallery w:val="Page Numbers (Bottom of Page)"/>
          <w:docPartUnique/>
        </w:docPartObj>
      </w:sdtPr>
      <w:sdtEndPr>
        <w:rPr>
          <w:noProof/>
        </w:rPr>
      </w:sdtEndPr>
      <w:sdtContent>
        <w:r w:rsidRPr="009E76FE" w:rsidR="009E76FE">
          <w:rPr>
            <w:rFonts w:asciiTheme="minorHAnsi" w:hAnsiTheme="minorHAnsi" w:cstheme="minorHAnsi"/>
            <w:b/>
            <w:sz w:val="22"/>
          </w:rPr>
          <w:fldChar w:fldCharType="begin"/>
        </w:r>
        <w:r w:rsidRPr="009E76FE" w:rsidR="009E76FE">
          <w:rPr>
            <w:rFonts w:asciiTheme="minorHAnsi" w:hAnsiTheme="minorHAnsi" w:cstheme="minorHAnsi"/>
            <w:b/>
            <w:sz w:val="22"/>
          </w:rPr>
          <w:instrText xml:space="preserve"> PAGE   \* MERGEFORMAT </w:instrText>
        </w:r>
        <w:r w:rsidRPr="009E76FE" w:rsidR="009E76FE">
          <w:rPr>
            <w:rFonts w:asciiTheme="minorHAnsi" w:hAnsiTheme="minorHAnsi" w:cstheme="minorHAnsi"/>
            <w:b/>
            <w:sz w:val="22"/>
          </w:rPr>
          <w:fldChar w:fldCharType="separate"/>
        </w:r>
        <w:r>
          <w:rPr>
            <w:rFonts w:asciiTheme="minorHAnsi" w:hAnsiTheme="minorHAnsi" w:cstheme="minorHAnsi"/>
            <w:b/>
            <w:noProof/>
            <w:sz w:val="22"/>
          </w:rPr>
          <w:t>5</w:t>
        </w:r>
        <w:r w:rsidRPr="009E76FE" w:rsidR="009E76FE">
          <w:rPr>
            <w:rFonts w:asciiTheme="minorHAnsi" w:hAnsiTheme="minorHAnsi" w:cstheme="minorHAnsi"/>
            <w:b/>
            <w:noProof/>
            <w:sz w:val="22"/>
          </w:rPr>
          <w:fldChar w:fldCharType="end"/>
        </w:r>
      </w:sdtContent>
    </w:sdt>
    <w:r w:rsidRPr="009E76FE" w:rsidR="009E76FE">
      <w:rPr>
        <w:rFonts w:asciiTheme="minorHAnsi" w:hAnsiTheme="minorHAnsi" w:cstheme="minorHAnsi"/>
        <w:noProof/>
        <w:sz w:val="22"/>
      </w:rPr>
      <w:t xml:space="preserve"> of </w:t>
    </w:r>
    <w:r w:rsidRPr="009E76FE" w:rsidR="009E76FE">
      <w:rPr>
        <w:rFonts w:asciiTheme="minorHAnsi" w:hAnsiTheme="minorHAnsi" w:cstheme="minorHAnsi"/>
        <w:b/>
        <w:noProof/>
        <w:sz w:val="22"/>
      </w:rPr>
      <w:fldChar w:fldCharType="begin"/>
    </w:r>
    <w:r w:rsidRPr="009E76FE" w:rsidR="009E76FE">
      <w:rPr>
        <w:rFonts w:asciiTheme="minorHAnsi" w:hAnsiTheme="minorHAnsi" w:cstheme="minorHAnsi"/>
        <w:b/>
        <w:noProof/>
        <w:sz w:val="22"/>
      </w:rPr>
      <w:instrText xml:space="preserve"> NUMPAGES   \* MERGEFORMAT </w:instrText>
    </w:r>
    <w:r w:rsidRPr="009E76FE" w:rsidR="009E76FE">
      <w:rPr>
        <w:rFonts w:asciiTheme="minorHAnsi" w:hAnsiTheme="minorHAnsi" w:cstheme="minorHAnsi"/>
        <w:b/>
        <w:noProof/>
        <w:sz w:val="22"/>
      </w:rPr>
      <w:fldChar w:fldCharType="separate"/>
    </w:r>
    <w:r>
      <w:rPr>
        <w:rFonts w:asciiTheme="minorHAnsi" w:hAnsiTheme="minorHAnsi" w:cstheme="minorHAnsi"/>
        <w:b/>
        <w:noProof/>
        <w:sz w:val="22"/>
      </w:rPr>
      <w:t>12</w:t>
    </w:r>
    <w:r w:rsidRPr="009E76FE" w:rsidR="009E76FE">
      <w:rPr>
        <w:rFonts w:asciiTheme="minorHAnsi" w:hAnsiTheme="minorHAnsi" w:cstheme="minorHAnsi"/>
        <w:b/>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441" w:rsidP="000B75D1" w:rsidRDefault="00797441" w14:paraId="411373D4" w14:textId="77777777">
      <w:r>
        <w:separator/>
      </w:r>
    </w:p>
  </w:footnote>
  <w:footnote w:type="continuationSeparator" w:id="0">
    <w:p w:rsidRPr="000B75D1" w:rsidR="00797441" w:rsidP="000B75D1" w:rsidRDefault="00797441" w14:paraId="593768EC" w14:textId="77777777">
      <w:pPr>
        <w:pStyle w:val="Footer"/>
      </w:pPr>
      <w:r>
        <w:t>________________________</w:t>
      </w:r>
    </w:p>
  </w:footnote>
  <w:footnote w:type="continuationNotice" w:id="1">
    <w:p w:rsidRPr="000B75D1" w:rsidR="00797441" w:rsidP="000B75D1" w:rsidRDefault="00797441" w14:paraId="311C3070" w14:textId="77777777">
      <w:pPr>
        <w:pStyle w:val="Footer"/>
      </w:pPr>
      <w:r>
        <w:t>(Continued...)</w:t>
      </w:r>
    </w:p>
  </w:footnote>
  <w:footnote w:id="2">
    <w:p w:rsidRPr="00E63666" w:rsidR="00E63666" w:rsidP="0009173F" w:rsidRDefault="00E63666" w14:paraId="10B3CD56" w14:textId="77777777">
      <w:pPr>
        <w:pStyle w:val="FootnoteText"/>
        <w:ind w:firstLine="0"/>
        <w:jc w:val="both"/>
        <w:rPr>
          <w:rFonts w:asciiTheme="minorHAnsi" w:hAnsiTheme="minorHAnsi" w:cstheme="minorHAnsi"/>
        </w:rPr>
      </w:pPr>
      <w:r w:rsidRPr="00E63666">
        <w:rPr>
          <w:rStyle w:val="FootnoteReference"/>
          <w:rFonts w:asciiTheme="minorHAnsi" w:hAnsiTheme="minorHAnsi" w:cstheme="minorHAnsi"/>
        </w:rPr>
        <w:footnoteRef/>
      </w:r>
      <w:r w:rsidRPr="00E63666">
        <w:rPr>
          <w:rFonts w:asciiTheme="minorHAnsi" w:hAnsiTheme="minorHAnsi" w:cstheme="minorHAnsi"/>
        </w:rPr>
        <w:t xml:space="preserve"> An RHSC member that leads the organization of activities to promote convergence within a PWA and serves as (1) the primary author of a PWA roadmap, (2) lead advisor to all CoEs within a PWA, and (3) chair of the PWA CoE Steering Committee.</w:t>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165" w:rsidRDefault="00220165" w14:paraId="6AC36FA7" w14:textId="77777777">
    <w:pPr>
      <w:pStyle w:val="Header"/>
    </w:pPr>
    <w:r>
      <w:rPr>
        <w:noProof/>
      </w:rPr>
      <w:drawing>
        <wp:anchor distT="0" distB="0" distL="114300" distR="114300" simplePos="0" relativeHeight="251657728" behindDoc="0" locked="0" layoutInCell="1" allowOverlap="1" wp14:editId="0899D37D" wp14:anchorId="03FFD4F8">
          <wp:simplePos x="0" y="0"/>
          <wp:positionH relativeFrom="margin">
            <wp:align>right</wp:align>
          </wp:positionH>
          <wp:positionV relativeFrom="paragraph">
            <wp:posOffset>-290830</wp:posOffset>
          </wp:positionV>
          <wp:extent cx="1055370" cy="731520"/>
          <wp:effectExtent l="0" t="0" r="0" b="0"/>
          <wp:wrapSquare wrapText="bothSides"/>
          <wp:docPr id="2"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SC.jpg"/>
                  <pic:cNvPicPr/>
                </pic:nvPicPr>
                <pic:blipFill>
                  <a:blip r:embed="rId1">
                    <a:extLst>
                      <a:ext uri="{28A0092B-C50C-407E-A947-70E740481C1C}">
                        <a14:useLocalDpi xmlns:a14="http://schemas.microsoft.com/office/drawing/2010/main" val="0"/>
                      </a:ext>
                    </a:extLst>
                  </a:blip>
                  <a:stretch>
                    <a:fillRect/>
                  </a:stretch>
                </pic:blipFill>
                <pic:spPr>
                  <a:xfrm>
                    <a:off x="0" y="0"/>
                    <a:ext cx="1055370" cy="7315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editId="5C67AF10" wp14:anchorId="10530807">
          <wp:simplePos x="0" y="0"/>
          <wp:positionH relativeFrom="margin">
            <wp:align>left</wp:align>
          </wp:positionH>
          <wp:positionV relativeFrom="paragraph">
            <wp:posOffset>-234950</wp:posOffset>
          </wp:positionV>
          <wp:extent cx="1176020" cy="676910"/>
          <wp:effectExtent l="0" t="0" r="5080" b="8890"/>
          <wp:wrapSquare wrapText="bothSides"/>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 Logo.jpg"/>
                  <pic:cNvPicPr/>
                </pic:nvPicPr>
                <pic:blipFill>
                  <a:blip r:embed="rId2">
                    <a:extLst>
                      <a:ext uri="{28A0092B-C50C-407E-A947-70E740481C1C}">
                        <a14:useLocalDpi xmlns:a14="http://schemas.microsoft.com/office/drawing/2010/main" val="0"/>
                      </a:ext>
                    </a:extLst>
                  </a:blip>
                  <a:stretch>
                    <a:fillRect/>
                  </a:stretch>
                </pic:blipFill>
                <pic:spPr>
                  <a:xfrm>
                    <a:off x="0" y="0"/>
                    <a:ext cx="1176020" cy="676910"/>
                  </a:xfrm>
                  <a:prstGeom prst="rect">
                    <a:avLst/>
                  </a:prstGeom>
                </pic:spPr>
              </pic:pic>
            </a:graphicData>
          </a:graphic>
          <wp14:sizeRelH relativeFrom="page">
            <wp14:pctWidth>0</wp14:pctWidth>
          </wp14:sizeRelH>
          <wp14:sizeRelV relativeFrom="page">
            <wp14:pctHeight>0</wp14:pctHeight>
          </wp14:sizeRelV>
        </wp:anchor>
      </w:drawing>
    </w:r>
  </w:p>
  <w:p w:rsidR="00220165" w:rsidRDefault="00220165" w14:paraId="669F555F" w14:textId="77777777">
    <w:pPr>
      <w:pStyle w:val="Header"/>
    </w:pPr>
  </w:p>
  <w:p w:rsidR="00B47360" w:rsidRDefault="00B47360" w14:paraId="099B1972" w14:textId="77777777">
    <w:pPr>
      <w:pStyle w:val="Header"/>
    </w:pPr>
  </w:p>
  <w:p w:rsidR="00191B01" w:rsidRDefault="00191B01" w14:paraId="1E2BEE87"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C18"/>
    <w:multiLevelType w:val="hybridMultilevel"/>
    <w:tmpl w:val="B420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D5104"/>
    <w:multiLevelType w:val="hybridMultilevel"/>
    <w:tmpl w:val="7C50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446D5"/>
    <w:multiLevelType w:val="hybridMultilevel"/>
    <w:tmpl w:val="4314A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84B61"/>
    <w:multiLevelType w:val="hybridMultilevel"/>
    <w:tmpl w:val="F3C6A2DE"/>
    <w:lvl w:ilvl="0" w:tplc="97FE7EDC">
      <w:start w:val="1"/>
      <w:numFmt w:val="bullet"/>
      <w:pStyle w:val="Bullet-D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C0373E"/>
    <w:multiLevelType w:val="multilevel"/>
    <w:tmpl w:val="0B4CB340"/>
    <w:lvl w:ilvl="0">
      <w:start w:val="1"/>
      <w:numFmt w:val="upperRoman"/>
      <w:pStyle w:val="Heading1"/>
      <w:lvlText w:val="%1."/>
      <w:lvlJc w:val="left"/>
      <w:pPr>
        <w:tabs>
          <w:tab w:val="num" w:pos="720"/>
        </w:tabs>
        <w:ind w:left="720" w:hanging="720"/>
      </w:pPr>
      <w:rPr>
        <w:rFonts w:ascii="Times New Roman" w:hAnsi="Times New Roman" w:cs="Times New Roman"/>
        <w:b w:val="0"/>
        <w:i w:val="0"/>
        <w:caps w:val="0"/>
        <w:sz w:val="24"/>
        <w:u w:val="none"/>
      </w:rPr>
    </w:lvl>
    <w:lvl w:ilvl="1">
      <w:start w:val="1"/>
      <w:numFmt w:val="upperLetter"/>
      <w:pStyle w:val="Heading2"/>
      <w:lvlText w:val="%2."/>
      <w:lvlJc w:val="left"/>
      <w:pPr>
        <w:tabs>
          <w:tab w:val="num" w:pos="1440"/>
        </w:tabs>
        <w:ind w:left="1440" w:hanging="720"/>
      </w:pPr>
      <w:rPr>
        <w:rFonts w:ascii="Times New Roman" w:hAnsi="Times New Roman" w:cs="Times New Roman"/>
        <w:b w:val="0"/>
        <w:i w:val="0"/>
        <w:caps w:val="0"/>
        <w:sz w:val="24"/>
        <w:u w:val="none"/>
      </w:rPr>
    </w:lvl>
    <w:lvl w:ilvl="2">
      <w:start w:val="1"/>
      <w:numFmt w:val="decimal"/>
      <w:pStyle w:val="Heading3"/>
      <w:lvlText w:val="%3."/>
      <w:lvlJc w:val="left"/>
      <w:pPr>
        <w:tabs>
          <w:tab w:val="num" w:pos="2160"/>
        </w:tabs>
        <w:ind w:left="2160" w:hanging="720"/>
      </w:pPr>
      <w:rPr>
        <w:rFonts w:ascii="Times New Roman" w:hAnsi="Times New Roman" w:cs="Times New Roman"/>
        <w:b w:val="0"/>
        <w:i w:val="0"/>
        <w:caps w:val="0"/>
        <w:sz w:val="24"/>
        <w:u w:val="none"/>
      </w:rPr>
    </w:lvl>
    <w:lvl w:ilvl="3">
      <w:start w:val="1"/>
      <w:numFmt w:val="lowerLetter"/>
      <w:pStyle w:val="Heading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lowerRoman"/>
      <w:pStyle w:val="Heading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Heading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lowerRoman"/>
      <w:pStyle w:val="Heading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Letter"/>
      <w:pStyle w:val="Heading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none"/>
      <w:lvlRestart w:val="0"/>
      <w:pStyle w:val="Heading9"/>
      <w:suff w:val="nothing"/>
      <w:lvlText w:val=""/>
      <w:lvlJc w:val="left"/>
      <w:pPr>
        <w:tabs>
          <w:tab w:val="num" w:pos="1440"/>
        </w:tabs>
        <w:ind w:left="0" w:firstLine="720"/>
      </w:pPr>
      <w:rPr>
        <w:rFonts w:ascii="Times New Roman" w:hAnsi="Times New Roman" w:cs="Times New Roman"/>
        <w:b w:val="0"/>
        <w:i w:val="0"/>
        <w:caps w:val="0"/>
        <w:color w:val="auto"/>
        <w:sz w:val="24"/>
        <w:u w:val="none"/>
      </w:rPr>
    </w:lvl>
  </w:abstractNum>
  <w:abstractNum w:abstractNumId="5">
    <w:nsid w:val="1B29203D"/>
    <w:multiLevelType w:val="hybridMultilevel"/>
    <w:tmpl w:val="D71C0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CD79CF"/>
    <w:multiLevelType w:val="hybridMultilevel"/>
    <w:tmpl w:val="BE10222A"/>
    <w:lvl w:ilvl="0" w:tplc="172A0796">
      <w:start w:val="1"/>
      <w:numFmt w:val="bullet"/>
      <w:pStyle w:val="BulletSymbo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6021CC"/>
    <w:multiLevelType w:val="hybridMultilevel"/>
    <w:tmpl w:val="9558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B75CA9"/>
    <w:multiLevelType w:val="hybridMultilevel"/>
    <w:tmpl w:val="A7B68CCE"/>
    <w:lvl w:ilvl="0" w:tplc="AC3E40A8">
      <w:start w:val="1"/>
      <w:numFmt w:val="upp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C65E83"/>
    <w:multiLevelType w:val="hybridMultilevel"/>
    <w:tmpl w:val="16FAE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13130C"/>
    <w:multiLevelType w:val="hybridMultilevel"/>
    <w:tmpl w:val="2F426438"/>
    <w:lvl w:ilvl="0" w:tplc="AC3E40A8">
      <w:start w:val="1"/>
      <w:numFmt w:val="upp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2D2083"/>
    <w:multiLevelType w:val="hybridMultilevel"/>
    <w:tmpl w:val="F7E806FE"/>
    <w:lvl w:ilvl="0" w:tplc="3FCE23D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FD1196"/>
    <w:multiLevelType w:val="hybridMultilevel"/>
    <w:tmpl w:val="A110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EE41E6"/>
    <w:multiLevelType w:val="hybridMultilevel"/>
    <w:tmpl w:val="8A6CF694"/>
    <w:lvl w:ilvl="0" w:tplc="A0A2CD9E">
      <w:start w:val="1"/>
      <w:numFmt w:val="bullet"/>
      <w:pStyle w:val="Bullet-S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2762F1"/>
    <w:multiLevelType w:val="hybridMultilevel"/>
    <w:tmpl w:val="0BE2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865AB6"/>
    <w:multiLevelType w:val="hybridMultilevel"/>
    <w:tmpl w:val="53D4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8E0B81"/>
    <w:multiLevelType w:val="hybridMultilevel"/>
    <w:tmpl w:val="EF9C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E953D8"/>
    <w:multiLevelType w:val="hybridMultilevel"/>
    <w:tmpl w:val="587C2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7066E9"/>
    <w:multiLevelType w:val="hybridMultilevel"/>
    <w:tmpl w:val="73C83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974583"/>
    <w:multiLevelType w:val="hybridMultilevel"/>
    <w:tmpl w:val="0A26A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AE5C68"/>
    <w:multiLevelType w:val="hybridMultilevel"/>
    <w:tmpl w:val="5AC0E670"/>
    <w:lvl w:ilvl="0" w:tplc="AC3E40A8">
      <w:start w:val="1"/>
      <w:numFmt w:val="upp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245A84"/>
    <w:multiLevelType w:val="hybridMultilevel"/>
    <w:tmpl w:val="7B42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6"/>
  </w:num>
  <w:num w:numId="4">
    <w:abstractNumId w:val="4"/>
  </w:num>
  <w:num w:numId="5">
    <w:abstractNumId w:val="4"/>
  </w:num>
  <w:num w:numId="6">
    <w:abstractNumId w:val="17"/>
  </w:num>
  <w:num w:numId="7">
    <w:abstractNumId w:val="11"/>
  </w:num>
  <w:num w:numId="8">
    <w:abstractNumId w:val="18"/>
  </w:num>
  <w:num w:numId="9">
    <w:abstractNumId w:val="9"/>
  </w:num>
  <w:num w:numId="10">
    <w:abstractNumId w:val="14"/>
  </w:num>
  <w:num w:numId="11">
    <w:abstractNumId w:val="8"/>
  </w:num>
  <w:num w:numId="12">
    <w:abstractNumId w:val="10"/>
  </w:num>
  <w:num w:numId="13">
    <w:abstractNumId w:val="20"/>
  </w:num>
  <w:num w:numId="14">
    <w:abstractNumId w:val="19"/>
  </w:num>
  <w:num w:numId="15">
    <w:abstractNumId w:val="16"/>
  </w:num>
  <w:num w:numId="16">
    <w:abstractNumId w:val="2"/>
  </w:num>
  <w:num w:numId="17">
    <w:abstractNumId w:val="21"/>
  </w:num>
  <w:num w:numId="18">
    <w:abstractNumId w:val="5"/>
  </w:num>
  <w:num w:numId="19">
    <w:abstractNumId w:val="7"/>
  </w:num>
  <w:num w:numId="20">
    <w:abstractNumId w:val="15"/>
  </w:num>
  <w:num w:numId="21">
    <w:abstractNumId w:val="0"/>
  </w:num>
  <w:num w:numId="22">
    <w:abstractNumId w:val="12"/>
  </w:num>
  <w:num w:numId="2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71D"/>
    <w:rsid w:val="00003F8E"/>
    <w:rsid w:val="00006D4C"/>
    <w:rsid w:val="0001347D"/>
    <w:rsid w:val="00015295"/>
    <w:rsid w:val="00027252"/>
    <w:rsid w:val="000551C7"/>
    <w:rsid w:val="000576E0"/>
    <w:rsid w:val="00065339"/>
    <w:rsid w:val="00074335"/>
    <w:rsid w:val="000744A4"/>
    <w:rsid w:val="00075B0E"/>
    <w:rsid w:val="00082BBE"/>
    <w:rsid w:val="00087D04"/>
    <w:rsid w:val="0009173F"/>
    <w:rsid w:val="000935F9"/>
    <w:rsid w:val="00093B09"/>
    <w:rsid w:val="000946B4"/>
    <w:rsid w:val="00097D96"/>
    <w:rsid w:val="000B75D1"/>
    <w:rsid w:val="000C3EE3"/>
    <w:rsid w:val="000C7CF7"/>
    <w:rsid w:val="000D6ABF"/>
    <w:rsid w:val="000E1960"/>
    <w:rsid w:val="000F0484"/>
    <w:rsid w:val="000F1B12"/>
    <w:rsid w:val="000F29F8"/>
    <w:rsid w:val="001008C7"/>
    <w:rsid w:val="0010501C"/>
    <w:rsid w:val="001107C5"/>
    <w:rsid w:val="00112A9D"/>
    <w:rsid w:val="0011354E"/>
    <w:rsid w:val="00114DF2"/>
    <w:rsid w:val="00126F92"/>
    <w:rsid w:val="00130610"/>
    <w:rsid w:val="00131544"/>
    <w:rsid w:val="0013592C"/>
    <w:rsid w:val="00140657"/>
    <w:rsid w:val="00141E5C"/>
    <w:rsid w:val="00150241"/>
    <w:rsid w:val="001572B6"/>
    <w:rsid w:val="00160BDE"/>
    <w:rsid w:val="00161413"/>
    <w:rsid w:val="00170322"/>
    <w:rsid w:val="001703DD"/>
    <w:rsid w:val="001705AC"/>
    <w:rsid w:val="001718AC"/>
    <w:rsid w:val="00174E62"/>
    <w:rsid w:val="001876EB"/>
    <w:rsid w:val="00191B01"/>
    <w:rsid w:val="00195C22"/>
    <w:rsid w:val="001B0FBC"/>
    <w:rsid w:val="001C5AE6"/>
    <w:rsid w:val="001C6900"/>
    <w:rsid w:val="001C7555"/>
    <w:rsid w:val="001E3698"/>
    <w:rsid w:val="001E409D"/>
    <w:rsid w:val="001E45B9"/>
    <w:rsid w:val="001E6078"/>
    <w:rsid w:val="001E720F"/>
    <w:rsid w:val="001F0DC8"/>
    <w:rsid w:val="001F47C0"/>
    <w:rsid w:val="001F5F1F"/>
    <w:rsid w:val="001F633B"/>
    <w:rsid w:val="00202340"/>
    <w:rsid w:val="002030DB"/>
    <w:rsid w:val="0020506E"/>
    <w:rsid w:val="00220165"/>
    <w:rsid w:val="002209A9"/>
    <w:rsid w:val="00222301"/>
    <w:rsid w:val="00223009"/>
    <w:rsid w:val="00234374"/>
    <w:rsid w:val="00242AAA"/>
    <w:rsid w:val="00243260"/>
    <w:rsid w:val="00245CD4"/>
    <w:rsid w:val="0025394E"/>
    <w:rsid w:val="00253E38"/>
    <w:rsid w:val="0026211A"/>
    <w:rsid w:val="0026585E"/>
    <w:rsid w:val="0026720E"/>
    <w:rsid w:val="00271D1A"/>
    <w:rsid w:val="00274505"/>
    <w:rsid w:val="00277837"/>
    <w:rsid w:val="00281D8C"/>
    <w:rsid w:val="00284D7F"/>
    <w:rsid w:val="00293583"/>
    <w:rsid w:val="002945C7"/>
    <w:rsid w:val="002961D9"/>
    <w:rsid w:val="002A6359"/>
    <w:rsid w:val="002A6980"/>
    <w:rsid w:val="002B0041"/>
    <w:rsid w:val="002B1A75"/>
    <w:rsid w:val="002B6334"/>
    <w:rsid w:val="002D7684"/>
    <w:rsid w:val="002E0B6E"/>
    <w:rsid w:val="002E370E"/>
    <w:rsid w:val="002E46BD"/>
    <w:rsid w:val="002E6817"/>
    <w:rsid w:val="002E7AD3"/>
    <w:rsid w:val="002E7E0B"/>
    <w:rsid w:val="00300F53"/>
    <w:rsid w:val="003058F3"/>
    <w:rsid w:val="00317DCE"/>
    <w:rsid w:val="00321C76"/>
    <w:rsid w:val="003225B6"/>
    <w:rsid w:val="00330A9E"/>
    <w:rsid w:val="003315A4"/>
    <w:rsid w:val="003339BB"/>
    <w:rsid w:val="00336095"/>
    <w:rsid w:val="003374A9"/>
    <w:rsid w:val="00343FAC"/>
    <w:rsid w:val="00345178"/>
    <w:rsid w:val="00370B12"/>
    <w:rsid w:val="00376479"/>
    <w:rsid w:val="00376AC4"/>
    <w:rsid w:val="003773BC"/>
    <w:rsid w:val="00377A9F"/>
    <w:rsid w:val="0038217C"/>
    <w:rsid w:val="003833E1"/>
    <w:rsid w:val="00384E50"/>
    <w:rsid w:val="00390C99"/>
    <w:rsid w:val="00397548"/>
    <w:rsid w:val="003A06FF"/>
    <w:rsid w:val="003A25A0"/>
    <w:rsid w:val="003A679D"/>
    <w:rsid w:val="003B4896"/>
    <w:rsid w:val="003C0D0E"/>
    <w:rsid w:val="003C13C9"/>
    <w:rsid w:val="003D1D0D"/>
    <w:rsid w:val="003D43BE"/>
    <w:rsid w:val="003D5FB3"/>
    <w:rsid w:val="003F5723"/>
    <w:rsid w:val="00404ACC"/>
    <w:rsid w:val="00406CEB"/>
    <w:rsid w:val="00407EEA"/>
    <w:rsid w:val="004103BE"/>
    <w:rsid w:val="00414AC9"/>
    <w:rsid w:val="00420029"/>
    <w:rsid w:val="00420DA7"/>
    <w:rsid w:val="0042220D"/>
    <w:rsid w:val="00425654"/>
    <w:rsid w:val="00434B80"/>
    <w:rsid w:val="004356EC"/>
    <w:rsid w:val="00437DCC"/>
    <w:rsid w:val="00442C56"/>
    <w:rsid w:val="00450EEC"/>
    <w:rsid w:val="004533CC"/>
    <w:rsid w:val="0046659D"/>
    <w:rsid w:val="004707D6"/>
    <w:rsid w:val="004769ED"/>
    <w:rsid w:val="0049214D"/>
    <w:rsid w:val="0049238B"/>
    <w:rsid w:val="0049369B"/>
    <w:rsid w:val="004A19E1"/>
    <w:rsid w:val="004A7F91"/>
    <w:rsid w:val="004B01EA"/>
    <w:rsid w:val="004B3D83"/>
    <w:rsid w:val="004D208F"/>
    <w:rsid w:val="004D23B0"/>
    <w:rsid w:val="004E292F"/>
    <w:rsid w:val="004E2BD6"/>
    <w:rsid w:val="004E4EBD"/>
    <w:rsid w:val="004E4FBF"/>
    <w:rsid w:val="004F06F2"/>
    <w:rsid w:val="004F1C28"/>
    <w:rsid w:val="004F5C88"/>
    <w:rsid w:val="00501980"/>
    <w:rsid w:val="00503CBD"/>
    <w:rsid w:val="0050411C"/>
    <w:rsid w:val="005044AF"/>
    <w:rsid w:val="00511AEC"/>
    <w:rsid w:val="00515463"/>
    <w:rsid w:val="005211CC"/>
    <w:rsid w:val="0052239A"/>
    <w:rsid w:val="005227D8"/>
    <w:rsid w:val="005276E6"/>
    <w:rsid w:val="005319F8"/>
    <w:rsid w:val="0053552A"/>
    <w:rsid w:val="00535E0A"/>
    <w:rsid w:val="00536C22"/>
    <w:rsid w:val="00540256"/>
    <w:rsid w:val="00543869"/>
    <w:rsid w:val="005467AF"/>
    <w:rsid w:val="00546F0C"/>
    <w:rsid w:val="005532D0"/>
    <w:rsid w:val="00556A67"/>
    <w:rsid w:val="00566077"/>
    <w:rsid w:val="005708AE"/>
    <w:rsid w:val="00570D76"/>
    <w:rsid w:val="0057532B"/>
    <w:rsid w:val="0057761E"/>
    <w:rsid w:val="00580C9E"/>
    <w:rsid w:val="00581326"/>
    <w:rsid w:val="00582C9A"/>
    <w:rsid w:val="005830F8"/>
    <w:rsid w:val="00583F4C"/>
    <w:rsid w:val="00585105"/>
    <w:rsid w:val="0058542D"/>
    <w:rsid w:val="00585A37"/>
    <w:rsid w:val="00587A7D"/>
    <w:rsid w:val="00587B3C"/>
    <w:rsid w:val="005911E7"/>
    <w:rsid w:val="00591DA6"/>
    <w:rsid w:val="00594D34"/>
    <w:rsid w:val="00595F5B"/>
    <w:rsid w:val="0059770F"/>
    <w:rsid w:val="005A133F"/>
    <w:rsid w:val="005A5E80"/>
    <w:rsid w:val="005A5FBA"/>
    <w:rsid w:val="005A6C2F"/>
    <w:rsid w:val="005B5F95"/>
    <w:rsid w:val="005C008B"/>
    <w:rsid w:val="005C219A"/>
    <w:rsid w:val="005C51D9"/>
    <w:rsid w:val="005C63D8"/>
    <w:rsid w:val="005E1EC4"/>
    <w:rsid w:val="005F3011"/>
    <w:rsid w:val="006073FB"/>
    <w:rsid w:val="00607FF4"/>
    <w:rsid w:val="00610006"/>
    <w:rsid w:val="00611A8E"/>
    <w:rsid w:val="00616ADF"/>
    <w:rsid w:val="00620FB2"/>
    <w:rsid w:val="00622A68"/>
    <w:rsid w:val="006259AB"/>
    <w:rsid w:val="0062668E"/>
    <w:rsid w:val="0063255D"/>
    <w:rsid w:val="00635169"/>
    <w:rsid w:val="006368D7"/>
    <w:rsid w:val="0064649D"/>
    <w:rsid w:val="006568C8"/>
    <w:rsid w:val="006613B8"/>
    <w:rsid w:val="00661E2C"/>
    <w:rsid w:val="00674398"/>
    <w:rsid w:val="00683CA2"/>
    <w:rsid w:val="00687686"/>
    <w:rsid w:val="0069020F"/>
    <w:rsid w:val="00691292"/>
    <w:rsid w:val="006949B4"/>
    <w:rsid w:val="00697CFC"/>
    <w:rsid w:val="006A0338"/>
    <w:rsid w:val="006A2D87"/>
    <w:rsid w:val="006A441A"/>
    <w:rsid w:val="006A7D73"/>
    <w:rsid w:val="006B7A5D"/>
    <w:rsid w:val="006B7B4B"/>
    <w:rsid w:val="006C5575"/>
    <w:rsid w:val="006D426B"/>
    <w:rsid w:val="006E5ED8"/>
    <w:rsid w:val="006E7A00"/>
    <w:rsid w:val="006F6A29"/>
    <w:rsid w:val="00700389"/>
    <w:rsid w:val="007030CC"/>
    <w:rsid w:val="00712A6E"/>
    <w:rsid w:val="007136EF"/>
    <w:rsid w:val="00715D26"/>
    <w:rsid w:val="00721240"/>
    <w:rsid w:val="00727013"/>
    <w:rsid w:val="00733C84"/>
    <w:rsid w:val="00736512"/>
    <w:rsid w:val="007409E1"/>
    <w:rsid w:val="00740F81"/>
    <w:rsid w:val="00741D30"/>
    <w:rsid w:val="007453EB"/>
    <w:rsid w:val="00746EB0"/>
    <w:rsid w:val="007470C6"/>
    <w:rsid w:val="00750846"/>
    <w:rsid w:val="00751BF3"/>
    <w:rsid w:val="00752707"/>
    <w:rsid w:val="00753050"/>
    <w:rsid w:val="00754B70"/>
    <w:rsid w:val="00763D68"/>
    <w:rsid w:val="00765AEC"/>
    <w:rsid w:val="00770C80"/>
    <w:rsid w:val="00771475"/>
    <w:rsid w:val="00777EDF"/>
    <w:rsid w:val="00782323"/>
    <w:rsid w:val="00783BE5"/>
    <w:rsid w:val="007874E0"/>
    <w:rsid w:val="00787C49"/>
    <w:rsid w:val="00787F30"/>
    <w:rsid w:val="00792CF6"/>
    <w:rsid w:val="00797048"/>
    <w:rsid w:val="00797441"/>
    <w:rsid w:val="007977F2"/>
    <w:rsid w:val="00797FBD"/>
    <w:rsid w:val="007A2DE0"/>
    <w:rsid w:val="007A552A"/>
    <w:rsid w:val="007B0798"/>
    <w:rsid w:val="007B26A9"/>
    <w:rsid w:val="007B44FB"/>
    <w:rsid w:val="007B482C"/>
    <w:rsid w:val="007C199A"/>
    <w:rsid w:val="007C1F33"/>
    <w:rsid w:val="007D0CE5"/>
    <w:rsid w:val="007D271D"/>
    <w:rsid w:val="007D6A83"/>
    <w:rsid w:val="007E0F67"/>
    <w:rsid w:val="007E324B"/>
    <w:rsid w:val="007E3D32"/>
    <w:rsid w:val="007E6BD4"/>
    <w:rsid w:val="007E7CC6"/>
    <w:rsid w:val="007F0AF1"/>
    <w:rsid w:val="007F3DDA"/>
    <w:rsid w:val="007F4C3C"/>
    <w:rsid w:val="008002E2"/>
    <w:rsid w:val="00813B3F"/>
    <w:rsid w:val="00813F5A"/>
    <w:rsid w:val="008144D3"/>
    <w:rsid w:val="00821716"/>
    <w:rsid w:val="0082370F"/>
    <w:rsid w:val="00834149"/>
    <w:rsid w:val="008447DC"/>
    <w:rsid w:val="00847AE1"/>
    <w:rsid w:val="008557A8"/>
    <w:rsid w:val="00861E87"/>
    <w:rsid w:val="008626FA"/>
    <w:rsid w:val="00866266"/>
    <w:rsid w:val="00870FDB"/>
    <w:rsid w:val="00874659"/>
    <w:rsid w:val="00876F10"/>
    <w:rsid w:val="00887C52"/>
    <w:rsid w:val="008A08FB"/>
    <w:rsid w:val="008A6A7D"/>
    <w:rsid w:val="008C39A8"/>
    <w:rsid w:val="008C6E41"/>
    <w:rsid w:val="008E1530"/>
    <w:rsid w:val="008F32B1"/>
    <w:rsid w:val="008F413A"/>
    <w:rsid w:val="00902EBC"/>
    <w:rsid w:val="009271D2"/>
    <w:rsid w:val="00930C8D"/>
    <w:rsid w:val="00931DDC"/>
    <w:rsid w:val="009329C1"/>
    <w:rsid w:val="00934586"/>
    <w:rsid w:val="00936925"/>
    <w:rsid w:val="00941BEC"/>
    <w:rsid w:val="00941DA5"/>
    <w:rsid w:val="00944CCB"/>
    <w:rsid w:val="009457F7"/>
    <w:rsid w:val="00947A73"/>
    <w:rsid w:val="00950EB0"/>
    <w:rsid w:val="0095415D"/>
    <w:rsid w:val="00956A80"/>
    <w:rsid w:val="00956C76"/>
    <w:rsid w:val="0095760A"/>
    <w:rsid w:val="00960890"/>
    <w:rsid w:val="00961E06"/>
    <w:rsid w:val="009623F6"/>
    <w:rsid w:val="009756E9"/>
    <w:rsid w:val="009831EB"/>
    <w:rsid w:val="009A31D6"/>
    <w:rsid w:val="009A597B"/>
    <w:rsid w:val="009A7494"/>
    <w:rsid w:val="009B5161"/>
    <w:rsid w:val="009B7AA3"/>
    <w:rsid w:val="009C2DB1"/>
    <w:rsid w:val="009C373D"/>
    <w:rsid w:val="009C4416"/>
    <w:rsid w:val="009C53BF"/>
    <w:rsid w:val="009C5F45"/>
    <w:rsid w:val="009D24ED"/>
    <w:rsid w:val="009D31A9"/>
    <w:rsid w:val="009D37BA"/>
    <w:rsid w:val="009D3E61"/>
    <w:rsid w:val="009E0404"/>
    <w:rsid w:val="009E5CBC"/>
    <w:rsid w:val="009E748F"/>
    <w:rsid w:val="009E76FE"/>
    <w:rsid w:val="009F19E6"/>
    <w:rsid w:val="009F7937"/>
    <w:rsid w:val="00A0494F"/>
    <w:rsid w:val="00A055CF"/>
    <w:rsid w:val="00A11CCE"/>
    <w:rsid w:val="00A1671F"/>
    <w:rsid w:val="00A20056"/>
    <w:rsid w:val="00A317E4"/>
    <w:rsid w:val="00A3371B"/>
    <w:rsid w:val="00A41A89"/>
    <w:rsid w:val="00A4721C"/>
    <w:rsid w:val="00A518D1"/>
    <w:rsid w:val="00A54700"/>
    <w:rsid w:val="00A60125"/>
    <w:rsid w:val="00A62597"/>
    <w:rsid w:val="00A6431B"/>
    <w:rsid w:val="00A6711A"/>
    <w:rsid w:val="00A75601"/>
    <w:rsid w:val="00A87119"/>
    <w:rsid w:val="00A97075"/>
    <w:rsid w:val="00AA41B0"/>
    <w:rsid w:val="00AA4AAC"/>
    <w:rsid w:val="00AA5FBA"/>
    <w:rsid w:val="00AB499A"/>
    <w:rsid w:val="00AB7F23"/>
    <w:rsid w:val="00AC0443"/>
    <w:rsid w:val="00AC0A3D"/>
    <w:rsid w:val="00AC3D64"/>
    <w:rsid w:val="00AC6250"/>
    <w:rsid w:val="00AD08B1"/>
    <w:rsid w:val="00AD4291"/>
    <w:rsid w:val="00AD6332"/>
    <w:rsid w:val="00AD7C36"/>
    <w:rsid w:val="00AE1603"/>
    <w:rsid w:val="00AE3188"/>
    <w:rsid w:val="00AE6C11"/>
    <w:rsid w:val="00AE7C3E"/>
    <w:rsid w:val="00AF1014"/>
    <w:rsid w:val="00AF6B2C"/>
    <w:rsid w:val="00B01DE7"/>
    <w:rsid w:val="00B02CA1"/>
    <w:rsid w:val="00B039AD"/>
    <w:rsid w:val="00B068D2"/>
    <w:rsid w:val="00B07B69"/>
    <w:rsid w:val="00B104E1"/>
    <w:rsid w:val="00B12526"/>
    <w:rsid w:val="00B15A9B"/>
    <w:rsid w:val="00B22580"/>
    <w:rsid w:val="00B23F8A"/>
    <w:rsid w:val="00B267C3"/>
    <w:rsid w:val="00B32E8A"/>
    <w:rsid w:val="00B427F0"/>
    <w:rsid w:val="00B4384E"/>
    <w:rsid w:val="00B47360"/>
    <w:rsid w:val="00B5238C"/>
    <w:rsid w:val="00B54E99"/>
    <w:rsid w:val="00B73FC4"/>
    <w:rsid w:val="00B77FAD"/>
    <w:rsid w:val="00B83313"/>
    <w:rsid w:val="00B96119"/>
    <w:rsid w:val="00B97947"/>
    <w:rsid w:val="00BA0D73"/>
    <w:rsid w:val="00BA1140"/>
    <w:rsid w:val="00BA3CBD"/>
    <w:rsid w:val="00BA547A"/>
    <w:rsid w:val="00BA5FE1"/>
    <w:rsid w:val="00BB012A"/>
    <w:rsid w:val="00BD1D65"/>
    <w:rsid w:val="00BD2575"/>
    <w:rsid w:val="00BD4232"/>
    <w:rsid w:val="00BD612F"/>
    <w:rsid w:val="00BE25A9"/>
    <w:rsid w:val="00BF1902"/>
    <w:rsid w:val="00BF25B6"/>
    <w:rsid w:val="00BF598C"/>
    <w:rsid w:val="00BF6832"/>
    <w:rsid w:val="00C15D70"/>
    <w:rsid w:val="00C16725"/>
    <w:rsid w:val="00C205E7"/>
    <w:rsid w:val="00C27D73"/>
    <w:rsid w:val="00C316E5"/>
    <w:rsid w:val="00C33FAE"/>
    <w:rsid w:val="00C371B7"/>
    <w:rsid w:val="00C53D64"/>
    <w:rsid w:val="00C55D5F"/>
    <w:rsid w:val="00C63A7F"/>
    <w:rsid w:val="00C66D9C"/>
    <w:rsid w:val="00C748F7"/>
    <w:rsid w:val="00C80B15"/>
    <w:rsid w:val="00C86FF2"/>
    <w:rsid w:val="00C9254C"/>
    <w:rsid w:val="00C94553"/>
    <w:rsid w:val="00CA251B"/>
    <w:rsid w:val="00CA4C19"/>
    <w:rsid w:val="00CB5D26"/>
    <w:rsid w:val="00CC120F"/>
    <w:rsid w:val="00CC4844"/>
    <w:rsid w:val="00CD3461"/>
    <w:rsid w:val="00CD4EA8"/>
    <w:rsid w:val="00CD660F"/>
    <w:rsid w:val="00CE142E"/>
    <w:rsid w:val="00CE2A19"/>
    <w:rsid w:val="00CF686A"/>
    <w:rsid w:val="00D028DC"/>
    <w:rsid w:val="00D0569D"/>
    <w:rsid w:val="00D06B3D"/>
    <w:rsid w:val="00D12F6A"/>
    <w:rsid w:val="00D1379C"/>
    <w:rsid w:val="00D17063"/>
    <w:rsid w:val="00D21CA8"/>
    <w:rsid w:val="00D25C5E"/>
    <w:rsid w:val="00D2697A"/>
    <w:rsid w:val="00D427CC"/>
    <w:rsid w:val="00D44F58"/>
    <w:rsid w:val="00D50EE0"/>
    <w:rsid w:val="00D51FC4"/>
    <w:rsid w:val="00D5496D"/>
    <w:rsid w:val="00D730A9"/>
    <w:rsid w:val="00D7515E"/>
    <w:rsid w:val="00D76433"/>
    <w:rsid w:val="00D77574"/>
    <w:rsid w:val="00D9100C"/>
    <w:rsid w:val="00D91FC6"/>
    <w:rsid w:val="00D97F01"/>
    <w:rsid w:val="00DA0E11"/>
    <w:rsid w:val="00DA4609"/>
    <w:rsid w:val="00DB5E92"/>
    <w:rsid w:val="00DC23F3"/>
    <w:rsid w:val="00DC286B"/>
    <w:rsid w:val="00DC38FF"/>
    <w:rsid w:val="00DD223E"/>
    <w:rsid w:val="00DD2BB9"/>
    <w:rsid w:val="00DD3AAB"/>
    <w:rsid w:val="00DE422E"/>
    <w:rsid w:val="00DE5BBC"/>
    <w:rsid w:val="00DE603D"/>
    <w:rsid w:val="00DE7491"/>
    <w:rsid w:val="00DF3F65"/>
    <w:rsid w:val="00DF72F5"/>
    <w:rsid w:val="00E01E82"/>
    <w:rsid w:val="00E07C47"/>
    <w:rsid w:val="00E133BB"/>
    <w:rsid w:val="00E13556"/>
    <w:rsid w:val="00E1741C"/>
    <w:rsid w:val="00E259E8"/>
    <w:rsid w:val="00E349EF"/>
    <w:rsid w:val="00E40D5B"/>
    <w:rsid w:val="00E40EAB"/>
    <w:rsid w:val="00E5368C"/>
    <w:rsid w:val="00E574D5"/>
    <w:rsid w:val="00E63666"/>
    <w:rsid w:val="00E70DA7"/>
    <w:rsid w:val="00E728F9"/>
    <w:rsid w:val="00E75B96"/>
    <w:rsid w:val="00E76AE7"/>
    <w:rsid w:val="00E854EB"/>
    <w:rsid w:val="00E863AE"/>
    <w:rsid w:val="00E87E3E"/>
    <w:rsid w:val="00E9244B"/>
    <w:rsid w:val="00E93381"/>
    <w:rsid w:val="00E93B22"/>
    <w:rsid w:val="00E96560"/>
    <w:rsid w:val="00E96D97"/>
    <w:rsid w:val="00EA2CC5"/>
    <w:rsid w:val="00EA4DE1"/>
    <w:rsid w:val="00EA5B3B"/>
    <w:rsid w:val="00EB0E0F"/>
    <w:rsid w:val="00EB1043"/>
    <w:rsid w:val="00EB1DC1"/>
    <w:rsid w:val="00EB4C9D"/>
    <w:rsid w:val="00EB550F"/>
    <w:rsid w:val="00EB7E46"/>
    <w:rsid w:val="00EC0EF6"/>
    <w:rsid w:val="00EC3AE5"/>
    <w:rsid w:val="00ED6C34"/>
    <w:rsid w:val="00EE226B"/>
    <w:rsid w:val="00EF018C"/>
    <w:rsid w:val="00F04EB2"/>
    <w:rsid w:val="00F17481"/>
    <w:rsid w:val="00F238E5"/>
    <w:rsid w:val="00F24888"/>
    <w:rsid w:val="00F41D06"/>
    <w:rsid w:val="00F45318"/>
    <w:rsid w:val="00F47A9D"/>
    <w:rsid w:val="00F47EC7"/>
    <w:rsid w:val="00F5669B"/>
    <w:rsid w:val="00F56CFC"/>
    <w:rsid w:val="00F63542"/>
    <w:rsid w:val="00F65232"/>
    <w:rsid w:val="00F66CEC"/>
    <w:rsid w:val="00F7459A"/>
    <w:rsid w:val="00F82A2D"/>
    <w:rsid w:val="00F83B30"/>
    <w:rsid w:val="00F901A8"/>
    <w:rsid w:val="00F9794B"/>
    <w:rsid w:val="00FA0389"/>
    <w:rsid w:val="00FA0FF6"/>
    <w:rsid w:val="00FA17C0"/>
    <w:rsid w:val="00FA5A01"/>
    <w:rsid w:val="00FB25C5"/>
    <w:rsid w:val="00FB30BF"/>
    <w:rsid w:val="00FC40C8"/>
    <w:rsid w:val="00FC437F"/>
    <w:rsid w:val="00FD305C"/>
    <w:rsid w:val="00FD321B"/>
    <w:rsid w:val="00FD3F81"/>
    <w:rsid w:val="00FD4460"/>
    <w:rsid w:val="00FD7E8D"/>
    <w:rsid w:val="00FF2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8B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2" w:semiHidden="0" w:unhideWhenUsed="0" w:qFormat="1"/>
    <w:lsdException w:name="heading 2" w:uiPriority="2" w:qFormat="1"/>
    <w:lsdException w:name="heading 3" w:uiPriority="2" w:qFormat="1"/>
    <w:lsdException w:name="heading 4" w:uiPriority="2"/>
    <w:lsdException w:name="heading 5" w:uiPriority="2"/>
    <w:lsdException w:name="heading 6" w:uiPriority="2"/>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Title" w:uiPriority="0" w:semiHidden="0" w:unhideWhenUsed="0" w:qFormat="1"/>
    <w:lsdException w:name="Default Paragraph Font" w:uiPriority="1"/>
    <w:lsdException w:name="Body Text" w:uiPriority="0" w:qFormat="1"/>
    <w:lsdException w:name="Subtitle" w:uiPriority="0" w:semiHidden="0" w:unhideWhenUsed="0" w:qFormat="1"/>
    <w:lsdException w:name="Block Text" w:uiPriority="3" w:qFormat="1"/>
    <w:lsdException w:name="Strong" w:uiPriority="22" w:semiHidden="0" w:unhideWhenUsed="0" w:qFormat="1"/>
    <w:lsdException w:name="Emphasis" w:uiPriority="1"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0"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76433"/>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2"/>
    <w:qFormat/>
    <w:rsid w:val="00D76433"/>
    <w:pPr>
      <w:numPr>
        <w:numId w:val="5"/>
      </w:numPr>
      <w:spacing w:after="240"/>
      <w:outlineLvl w:val="0"/>
    </w:pPr>
    <w:rPr>
      <w:szCs w:val="20"/>
    </w:rPr>
  </w:style>
  <w:style w:type="paragraph" w:styleId="Heading2">
    <w:name w:val="heading 2"/>
    <w:basedOn w:val="Heading1"/>
    <w:link w:val="Heading2Char"/>
    <w:uiPriority w:val="2"/>
    <w:qFormat/>
    <w:rsid w:val="00D76433"/>
    <w:pPr>
      <w:numPr>
        <w:ilvl w:val="1"/>
      </w:numPr>
      <w:outlineLvl w:val="1"/>
    </w:pPr>
  </w:style>
  <w:style w:type="paragraph" w:styleId="Heading3">
    <w:name w:val="heading 3"/>
    <w:basedOn w:val="Heading2"/>
    <w:link w:val="Heading3Char"/>
    <w:uiPriority w:val="2"/>
    <w:qFormat/>
    <w:rsid w:val="00D76433"/>
    <w:pPr>
      <w:numPr>
        <w:ilvl w:val="2"/>
      </w:numPr>
      <w:outlineLvl w:val="2"/>
    </w:pPr>
  </w:style>
  <w:style w:type="paragraph" w:styleId="Heading4">
    <w:name w:val="heading 4"/>
    <w:basedOn w:val="Heading3"/>
    <w:link w:val="Heading4Char"/>
    <w:uiPriority w:val="2"/>
    <w:rsid w:val="004E2BD6"/>
    <w:pPr>
      <w:numPr>
        <w:ilvl w:val="3"/>
      </w:numPr>
      <w:outlineLvl w:val="3"/>
    </w:pPr>
  </w:style>
  <w:style w:type="paragraph" w:styleId="Heading5">
    <w:name w:val="heading 5"/>
    <w:basedOn w:val="Heading4"/>
    <w:link w:val="Heading5Char"/>
    <w:uiPriority w:val="2"/>
    <w:unhideWhenUsed/>
    <w:rsid w:val="004E2BD6"/>
    <w:pPr>
      <w:numPr>
        <w:ilvl w:val="4"/>
      </w:numPr>
      <w:outlineLvl w:val="4"/>
    </w:pPr>
  </w:style>
  <w:style w:type="paragraph" w:styleId="Heading6">
    <w:name w:val="heading 6"/>
    <w:basedOn w:val="Heading5"/>
    <w:link w:val="Heading6Char"/>
    <w:uiPriority w:val="2"/>
    <w:semiHidden/>
    <w:unhideWhenUsed/>
    <w:rsid w:val="004E2BD6"/>
    <w:pPr>
      <w:numPr>
        <w:ilvl w:val="5"/>
      </w:numPr>
      <w:outlineLvl w:val="5"/>
    </w:pPr>
  </w:style>
  <w:style w:type="paragraph" w:styleId="Heading7">
    <w:name w:val="heading 7"/>
    <w:basedOn w:val="Heading6"/>
    <w:link w:val="Heading7Char"/>
    <w:uiPriority w:val="2"/>
    <w:semiHidden/>
    <w:unhideWhenUsed/>
    <w:qFormat/>
    <w:rsid w:val="00D76433"/>
    <w:pPr>
      <w:numPr>
        <w:ilvl w:val="6"/>
      </w:numPr>
      <w:outlineLvl w:val="6"/>
    </w:pPr>
  </w:style>
  <w:style w:type="paragraph" w:styleId="Heading8">
    <w:name w:val="heading 8"/>
    <w:basedOn w:val="Heading7"/>
    <w:link w:val="Heading8Char"/>
    <w:uiPriority w:val="2"/>
    <w:semiHidden/>
    <w:unhideWhenUsed/>
    <w:qFormat/>
    <w:rsid w:val="00D76433"/>
    <w:pPr>
      <w:numPr>
        <w:ilvl w:val="7"/>
      </w:numPr>
      <w:outlineLvl w:val="7"/>
    </w:pPr>
  </w:style>
  <w:style w:type="paragraph" w:styleId="Heading9">
    <w:name w:val="heading 9"/>
    <w:basedOn w:val="Heading8"/>
    <w:link w:val="Heading9Char"/>
    <w:uiPriority w:val="2"/>
    <w:semiHidden/>
    <w:unhideWhenUsed/>
    <w:qFormat/>
    <w:rsid w:val="00D76433"/>
    <w:pPr>
      <w:numPr>
        <w:ilvl w:val="8"/>
        <w:numId w:val="4"/>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9B7AA3"/>
    <w:pPr>
      <w:spacing w:after="240"/>
      <w:ind w:firstLine="1440"/>
    </w:pPr>
  </w:style>
  <w:style w:type="character" w:styleId="BodyTextChar" w:customStyle="1">
    <w:name w:val="Body Text Char"/>
    <w:basedOn w:val="DefaultParagraphFont"/>
    <w:link w:val="BodyText"/>
    <w:rsid w:val="0062668E"/>
    <w:rPr>
      <w:rFonts w:ascii="Times New Roman" w:hAnsi="Times New Roman" w:cs="Times New Roman"/>
      <w:sz w:val="24"/>
      <w:szCs w:val="24"/>
    </w:rPr>
  </w:style>
  <w:style w:type="paragraph" w:styleId="BodyTextContinued" w:customStyle="1">
    <w:name w:val="Body Text Continued"/>
    <w:basedOn w:val="BodyText"/>
    <w:next w:val="BodyText"/>
    <w:rsid w:val="009B7AA3"/>
    <w:pPr>
      <w:ind w:firstLine="0"/>
    </w:pPr>
    <w:rPr>
      <w:szCs w:val="20"/>
    </w:rPr>
  </w:style>
  <w:style w:type="paragraph" w:styleId="Quote">
    <w:name w:val="Quote"/>
    <w:basedOn w:val="Normal"/>
    <w:next w:val="BodyTextContinued"/>
    <w:link w:val="QuoteChar"/>
    <w:qFormat/>
    <w:rsid w:val="00D76433"/>
    <w:pPr>
      <w:spacing w:after="240"/>
      <w:ind w:left="1440" w:right="1440"/>
    </w:pPr>
    <w:rPr>
      <w:szCs w:val="20"/>
    </w:rPr>
  </w:style>
  <w:style w:type="character" w:styleId="QuoteChar" w:customStyle="1">
    <w:name w:val="Quote Char"/>
    <w:basedOn w:val="DefaultParagraphFont"/>
    <w:link w:val="Quote"/>
    <w:rsid w:val="00D76433"/>
    <w:rPr>
      <w:rFonts w:ascii="Times New Roman" w:hAnsi="Times New Roman" w:cs="Times New Roman"/>
      <w:sz w:val="24"/>
      <w:szCs w:val="20"/>
    </w:rPr>
  </w:style>
  <w:style w:type="paragraph" w:styleId="Header">
    <w:name w:val="header"/>
    <w:basedOn w:val="Normal"/>
    <w:link w:val="HeaderChar"/>
    <w:rsid w:val="009B7AA3"/>
    <w:pPr>
      <w:tabs>
        <w:tab w:val="center" w:pos="4680"/>
        <w:tab w:val="right" w:pos="9360"/>
      </w:tabs>
    </w:pPr>
  </w:style>
  <w:style w:type="character" w:styleId="HeaderChar" w:customStyle="1">
    <w:name w:val="Header Char"/>
    <w:basedOn w:val="DefaultParagraphFont"/>
    <w:link w:val="Header"/>
    <w:rsid w:val="00317DCE"/>
    <w:rPr>
      <w:rFonts w:ascii="Times New Roman" w:hAnsi="Times New Roman" w:cs="Times New Roman"/>
      <w:sz w:val="24"/>
      <w:szCs w:val="24"/>
    </w:rPr>
  </w:style>
  <w:style w:type="paragraph" w:styleId="Footer">
    <w:name w:val="footer"/>
    <w:basedOn w:val="Normal"/>
    <w:link w:val="FooterChar"/>
    <w:uiPriority w:val="99"/>
    <w:rsid w:val="009B7AA3"/>
    <w:pPr>
      <w:tabs>
        <w:tab w:val="center" w:pos="4680"/>
        <w:tab w:val="right" w:pos="9360"/>
      </w:tabs>
    </w:pPr>
  </w:style>
  <w:style w:type="character" w:styleId="FooterChar" w:customStyle="1">
    <w:name w:val="Footer Char"/>
    <w:basedOn w:val="DefaultParagraphFont"/>
    <w:link w:val="Footer"/>
    <w:uiPriority w:val="99"/>
    <w:rsid w:val="00317DCE"/>
    <w:rPr>
      <w:rFonts w:ascii="Times New Roman" w:hAnsi="Times New Roman" w:cs="Times New Roman"/>
      <w:sz w:val="24"/>
      <w:szCs w:val="24"/>
    </w:rPr>
  </w:style>
  <w:style w:type="character" w:styleId="PageNumber">
    <w:name w:val="page number"/>
    <w:basedOn w:val="DefaultParagraphFont"/>
    <w:rsid w:val="009B7AA3"/>
  </w:style>
  <w:style w:type="paragraph" w:styleId="Bullet-DoubleSpace" w:customStyle="1">
    <w:name w:val="Bullet-Double Space"/>
    <w:basedOn w:val="Normal"/>
    <w:uiPriority w:val="3"/>
    <w:rsid w:val="00A54700"/>
    <w:pPr>
      <w:spacing w:line="480" w:lineRule="auto"/>
      <w:ind w:left="1440" w:hanging="720"/>
    </w:pPr>
  </w:style>
  <w:style w:type="paragraph" w:styleId="Bullet-SingleSpace" w:customStyle="1">
    <w:name w:val="Bullet-Single Space"/>
    <w:basedOn w:val="Normal"/>
    <w:uiPriority w:val="3"/>
    <w:rsid w:val="00A54700"/>
    <w:pPr>
      <w:spacing w:after="240"/>
      <w:ind w:left="1440" w:hanging="720"/>
    </w:pPr>
  </w:style>
  <w:style w:type="paragraph" w:styleId="Quote-DS" w:customStyle="1">
    <w:name w:val="Quote-DS"/>
    <w:basedOn w:val="Normal"/>
    <w:next w:val="BodyTextContinued"/>
    <w:rsid w:val="009B7AA3"/>
    <w:pPr>
      <w:spacing w:line="480" w:lineRule="auto"/>
      <w:ind w:left="1440" w:right="1440"/>
    </w:pPr>
  </w:style>
  <w:style w:type="paragraph" w:styleId="Quote-SS" w:customStyle="1">
    <w:name w:val="Quote-SS"/>
    <w:basedOn w:val="Normal"/>
    <w:next w:val="BodyTextContinued"/>
    <w:rsid w:val="009B7AA3"/>
    <w:pPr>
      <w:spacing w:after="240"/>
      <w:ind w:left="1440" w:right="1440"/>
    </w:pPr>
  </w:style>
  <w:style w:type="paragraph" w:styleId="BulletSymbol" w:customStyle="1">
    <w:name w:val="Bullet Symbol"/>
    <w:basedOn w:val="Normal"/>
    <w:rsid w:val="009B7AA3"/>
    <w:pPr>
      <w:numPr>
        <w:numId w:val="3"/>
      </w:numPr>
      <w:tabs>
        <w:tab w:val="clear" w:pos="720"/>
      </w:tabs>
      <w:spacing w:after="240"/>
      <w:ind w:hanging="720"/>
    </w:pPr>
  </w:style>
  <w:style w:type="paragraph" w:styleId="FootnoteText">
    <w:name w:val="footnote text"/>
    <w:basedOn w:val="Normal"/>
    <w:link w:val="FootnoteTextChar"/>
    <w:semiHidden/>
    <w:rsid w:val="009B7AA3"/>
    <w:pPr>
      <w:ind w:firstLine="720"/>
    </w:pPr>
    <w:rPr>
      <w:sz w:val="20"/>
      <w:szCs w:val="20"/>
    </w:rPr>
  </w:style>
  <w:style w:type="character" w:styleId="FootnoteTextChar" w:customStyle="1">
    <w:name w:val="Footnote Text Char"/>
    <w:basedOn w:val="DefaultParagraphFont"/>
    <w:link w:val="FootnoteText"/>
    <w:semiHidden/>
    <w:rsid w:val="00317DCE"/>
    <w:rPr>
      <w:rFonts w:ascii="Times New Roman" w:hAnsi="Times New Roman" w:cs="Times New Roman"/>
      <w:sz w:val="20"/>
      <w:szCs w:val="20"/>
    </w:rPr>
  </w:style>
  <w:style w:type="character" w:styleId="EndnoteReference">
    <w:name w:val="endnote reference"/>
    <w:basedOn w:val="DefaultParagraphFont"/>
    <w:semiHidden/>
    <w:rsid w:val="009B7AA3"/>
    <w:rPr>
      <w:sz w:val="20"/>
      <w:vertAlign w:val="superscript"/>
    </w:rPr>
  </w:style>
  <w:style w:type="character" w:styleId="FootnoteReference">
    <w:name w:val="footnote reference"/>
    <w:basedOn w:val="DefaultParagraphFont"/>
    <w:uiPriority w:val="99"/>
    <w:semiHidden/>
    <w:unhideWhenUsed/>
    <w:rsid w:val="000B75D1"/>
    <w:rPr>
      <w:vertAlign w:val="superscript"/>
    </w:rPr>
  </w:style>
  <w:style w:type="paragraph" w:styleId="BlockText">
    <w:name w:val="Block Text"/>
    <w:basedOn w:val="Normal"/>
    <w:uiPriority w:val="3"/>
    <w:qFormat/>
    <w:rsid w:val="00D76433"/>
    <w:pPr>
      <w:framePr w:wrap="notBeside" w:hAnchor="text" w:vAnchor="text" w:y="1"/>
      <w:spacing w:after="240"/>
      <w:ind w:left="1440" w:right="1440"/>
      <w:contextualSpacing/>
      <w:jc w:val="both"/>
    </w:pPr>
    <w:rPr>
      <w:rFonts w:cstheme="minorBidi"/>
      <w:iCs/>
    </w:rPr>
  </w:style>
  <w:style w:type="character" w:styleId="Heading1Char" w:customStyle="1">
    <w:name w:val="Heading 1 Char"/>
    <w:basedOn w:val="DefaultParagraphFont"/>
    <w:link w:val="Heading1"/>
    <w:uiPriority w:val="2"/>
    <w:rsid w:val="00D76433"/>
    <w:rPr>
      <w:rFonts w:ascii="Times New Roman" w:hAnsi="Times New Roman" w:cs="Times New Roman"/>
      <w:sz w:val="24"/>
      <w:szCs w:val="20"/>
    </w:rPr>
  </w:style>
  <w:style w:type="character" w:styleId="Heading2Char" w:customStyle="1">
    <w:name w:val="Heading 2 Char"/>
    <w:basedOn w:val="DefaultParagraphFont"/>
    <w:link w:val="Heading2"/>
    <w:uiPriority w:val="2"/>
    <w:rsid w:val="00D76433"/>
    <w:rPr>
      <w:rFonts w:ascii="Times New Roman" w:hAnsi="Times New Roman" w:cs="Times New Roman"/>
      <w:sz w:val="24"/>
      <w:szCs w:val="20"/>
    </w:rPr>
  </w:style>
  <w:style w:type="character" w:styleId="Heading3Char" w:customStyle="1">
    <w:name w:val="Heading 3 Char"/>
    <w:basedOn w:val="DefaultParagraphFont"/>
    <w:link w:val="Heading3"/>
    <w:uiPriority w:val="2"/>
    <w:rsid w:val="00D76433"/>
    <w:rPr>
      <w:rFonts w:ascii="Times New Roman" w:hAnsi="Times New Roman" w:cs="Times New Roman"/>
      <w:sz w:val="24"/>
      <w:szCs w:val="20"/>
    </w:rPr>
  </w:style>
  <w:style w:type="character" w:styleId="Heading4Char" w:customStyle="1">
    <w:name w:val="Heading 4 Char"/>
    <w:basedOn w:val="DefaultParagraphFont"/>
    <w:link w:val="Heading4"/>
    <w:uiPriority w:val="2"/>
    <w:rsid w:val="00D91FC6"/>
    <w:rPr>
      <w:rFonts w:ascii="Times New Roman" w:hAnsi="Times New Roman" w:cs="Times New Roman"/>
      <w:sz w:val="24"/>
      <w:szCs w:val="20"/>
    </w:rPr>
  </w:style>
  <w:style w:type="character" w:styleId="Heading5Char" w:customStyle="1">
    <w:name w:val="Heading 5 Char"/>
    <w:basedOn w:val="DefaultParagraphFont"/>
    <w:link w:val="Heading5"/>
    <w:uiPriority w:val="2"/>
    <w:rsid w:val="00D91FC6"/>
    <w:rPr>
      <w:rFonts w:ascii="Times New Roman" w:hAnsi="Times New Roman" w:cs="Times New Roman"/>
      <w:sz w:val="24"/>
      <w:szCs w:val="20"/>
    </w:rPr>
  </w:style>
  <w:style w:type="character" w:styleId="Heading6Char" w:customStyle="1">
    <w:name w:val="Heading 6 Char"/>
    <w:basedOn w:val="DefaultParagraphFont"/>
    <w:link w:val="Heading6"/>
    <w:uiPriority w:val="2"/>
    <w:semiHidden/>
    <w:rsid w:val="00D91FC6"/>
    <w:rPr>
      <w:rFonts w:ascii="Times New Roman" w:hAnsi="Times New Roman" w:cs="Times New Roman"/>
      <w:sz w:val="24"/>
      <w:szCs w:val="20"/>
    </w:rPr>
  </w:style>
  <w:style w:type="character" w:styleId="Heading7Char" w:customStyle="1">
    <w:name w:val="Heading 7 Char"/>
    <w:basedOn w:val="DefaultParagraphFont"/>
    <w:link w:val="Heading7"/>
    <w:uiPriority w:val="2"/>
    <w:semiHidden/>
    <w:rsid w:val="00D76433"/>
    <w:rPr>
      <w:rFonts w:ascii="Times New Roman" w:hAnsi="Times New Roman" w:cs="Times New Roman"/>
      <w:sz w:val="24"/>
      <w:szCs w:val="20"/>
    </w:rPr>
  </w:style>
  <w:style w:type="character" w:styleId="Heading8Char" w:customStyle="1">
    <w:name w:val="Heading 8 Char"/>
    <w:basedOn w:val="DefaultParagraphFont"/>
    <w:link w:val="Heading8"/>
    <w:uiPriority w:val="2"/>
    <w:semiHidden/>
    <w:rsid w:val="00D76433"/>
    <w:rPr>
      <w:rFonts w:ascii="Times New Roman" w:hAnsi="Times New Roman" w:cs="Times New Roman"/>
      <w:sz w:val="24"/>
      <w:szCs w:val="20"/>
    </w:rPr>
  </w:style>
  <w:style w:type="character" w:styleId="Heading9Char" w:customStyle="1">
    <w:name w:val="Heading 9 Char"/>
    <w:basedOn w:val="DefaultParagraphFont"/>
    <w:link w:val="Heading9"/>
    <w:uiPriority w:val="2"/>
    <w:semiHidden/>
    <w:rsid w:val="00D76433"/>
    <w:rPr>
      <w:rFonts w:ascii="Times New Roman" w:hAnsi="Times New Roman" w:cs="Times New Roman"/>
      <w:sz w:val="24"/>
      <w:szCs w:val="20"/>
    </w:rPr>
  </w:style>
  <w:style w:type="paragraph" w:styleId="Title">
    <w:name w:val="Title"/>
    <w:basedOn w:val="Normal"/>
    <w:next w:val="BodyText"/>
    <w:link w:val="TitleChar"/>
    <w:qFormat/>
    <w:rsid w:val="00D76433"/>
    <w:pPr>
      <w:keepNext/>
      <w:keepLines/>
      <w:spacing w:after="240"/>
      <w:contextualSpacing/>
      <w:jc w:val="center"/>
      <w:outlineLvl w:val="0"/>
    </w:pPr>
    <w:rPr>
      <w:rFonts w:ascii="Times New Roman Bold" w:hAnsi="Times New Roman Bold" w:eastAsiaTheme="majorEastAsia" w:cstheme="majorBidi"/>
      <w:b/>
      <w:caps/>
      <w:color w:val="000000"/>
      <w:spacing w:val="5"/>
      <w:kern w:val="28"/>
      <w:szCs w:val="52"/>
    </w:rPr>
  </w:style>
  <w:style w:type="character" w:styleId="TitleChar" w:customStyle="1">
    <w:name w:val="Title Char"/>
    <w:basedOn w:val="DefaultParagraphFont"/>
    <w:link w:val="Title"/>
    <w:rsid w:val="00D76433"/>
    <w:rPr>
      <w:rFonts w:ascii="Times New Roman Bold" w:hAnsi="Times New Roman Bold" w:eastAsiaTheme="majorEastAsia" w:cstheme="majorBidi"/>
      <w:b/>
      <w:caps/>
      <w:color w:val="000000"/>
      <w:spacing w:val="5"/>
      <w:kern w:val="28"/>
      <w:sz w:val="24"/>
      <w:szCs w:val="52"/>
    </w:rPr>
  </w:style>
  <w:style w:type="paragraph" w:styleId="Subtitle">
    <w:name w:val="Subtitle"/>
    <w:basedOn w:val="Title"/>
    <w:next w:val="BodyText"/>
    <w:link w:val="SubtitleChar"/>
    <w:qFormat/>
    <w:rsid w:val="00D76433"/>
    <w:pPr>
      <w:numPr>
        <w:ilvl w:val="1"/>
      </w:numPr>
      <w:outlineLvl w:val="1"/>
    </w:pPr>
    <w:rPr>
      <w:iCs/>
      <w:caps w:val="0"/>
      <w:color w:val="auto"/>
      <w:spacing w:val="15"/>
    </w:rPr>
  </w:style>
  <w:style w:type="character" w:styleId="SubtitleChar" w:customStyle="1">
    <w:name w:val="Subtitle Char"/>
    <w:basedOn w:val="DefaultParagraphFont"/>
    <w:link w:val="Subtitle"/>
    <w:rsid w:val="00D76433"/>
    <w:rPr>
      <w:rFonts w:ascii="Times New Roman Bold" w:hAnsi="Times New Roman Bold" w:eastAsiaTheme="majorEastAsia" w:cstheme="majorBidi"/>
      <w:b/>
      <w:iCs/>
      <w:spacing w:val="15"/>
      <w:kern w:val="28"/>
      <w:sz w:val="24"/>
      <w:szCs w:val="52"/>
    </w:rPr>
  </w:style>
  <w:style w:type="paragraph" w:styleId="Bullet-DS" w:customStyle="1">
    <w:name w:val="Bullet-DS"/>
    <w:basedOn w:val="Normal"/>
    <w:rsid w:val="009B7AA3"/>
    <w:pPr>
      <w:numPr>
        <w:numId w:val="1"/>
      </w:numPr>
      <w:tabs>
        <w:tab w:val="clear" w:pos="720"/>
      </w:tabs>
      <w:spacing w:line="480" w:lineRule="auto"/>
      <w:ind w:left="1440" w:hanging="720"/>
    </w:pPr>
  </w:style>
  <w:style w:type="paragraph" w:styleId="Bullet-SS" w:customStyle="1">
    <w:name w:val="Bullet-SS"/>
    <w:basedOn w:val="Normal"/>
    <w:rsid w:val="009B7AA3"/>
    <w:pPr>
      <w:numPr>
        <w:numId w:val="2"/>
      </w:numPr>
      <w:tabs>
        <w:tab w:val="clear" w:pos="720"/>
      </w:tabs>
      <w:spacing w:after="240"/>
      <w:ind w:left="1440" w:hanging="720"/>
    </w:pPr>
  </w:style>
  <w:style w:type="paragraph" w:styleId="BalloonText">
    <w:name w:val="Balloon Text"/>
    <w:basedOn w:val="Normal"/>
    <w:link w:val="BalloonTextChar"/>
    <w:uiPriority w:val="99"/>
    <w:semiHidden/>
    <w:unhideWhenUsed/>
    <w:rsid w:val="00B47360"/>
    <w:rPr>
      <w:rFonts w:ascii="Tahoma" w:hAnsi="Tahoma" w:cs="Tahoma"/>
      <w:sz w:val="16"/>
      <w:szCs w:val="16"/>
    </w:rPr>
  </w:style>
  <w:style w:type="character" w:styleId="BalloonTextChar" w:customStyle="1">
    <w:name w:val="Balloon Text Char"/>
    <w:basedOn w:val="DefaultParagraphFont"/>
    <w:link w:val="BalloonText"/>
    <w:uiPriority w:val="99"/>
    <w:semiHidden/>
    <w:rsid w:val="00B47360"/>
    <w:rPr>
      <w:rFonts w:ascii="Tahoma" w:hAnsi="Tahoma" w:cs="Tahoma"/>
      <w:sz w:val="16"/>
      <w:szCs w:val="16"/>
    </w:rPr>
  </w:style>
  <w:style w:type="table" w:styleId="TableGrid">
    <w:name w:val="Table Grid"/>
    <w:basedOn w:val="TableNormal"/>
    <w:uiPriority w:val="59"/>
    <w:rsid w:val="007F0AF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41D06"/>
    <w:pPr>
      <w:spacing w:after="200" w:line="276" w:lineRule="auto"/>
      <w:ind w:left="720"/>
      <w:contextualSpacing/>
    </w:pPr>
    <w:rPr>
      <w:rFonts w:ascii="Calibri" w:hAnsi="Calibri" w:eastAsia="MS Mincho"/>
      <w:sz w:val="22"/>
      <w:szCs w:val="22"/>
      <w:lang w:val="en-CA"/>
    </w:rPr>
  </w:style>
  <w:style w:type="character" w:styleId="CommentReference">
    <w:name w:val="annotation reference"/>
    <w:basedOn w:val="DefaultParagraphFont"/>
    <w:uiPriority w:val="99"/>
    <w:semiHidden/>
    <w:unhideWhenUsed/>
    <w:rsid w:val="00EA4DE1"/>
    <w:rPr>
      <w:sz w:val="16"/>
      <w:szCs w:val="16"/>
    </w:rPr>
  </w:style>
  <w:style w:type="paragraph" w:styleId="CommentText">
    <w:name w:val="annotation text"/>
    <w:basedOn w:val="Normal"/>
    <w:link w:val="CommentTextChar"/>
    <w:uiPriority w:val="99"/>
    <w:semiHidden/>
    <w:unhideWhenUsed/>
    <w:rsid w:val="00EA4DE1"/>
    <w:rPr>
      <w:sz w:val="20"/>
      <w:szCs w:val="20"/>
    </w:rPr>
  </w:style>
  <w:style w:type="character" w:styleId="CommentTextChar" w:customStyle="1">
    <w:name w:val="Comment Text Char"/>
    <w:basedOn w:val="DefaultParagraphFont"/>
    <w:link w:val="CommentText"/>
    <w:uiPriority w:val="99"/>
    <w:semiHidden/>
    <w:rsid w:val="00EA4DE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4DE1"/>
    <w:rPr>
      <w:b/>
      <w:bCs/>
    </w:rPr>
  </w:style>
  <w:style w:type="character" w:styleId="CommentSubjectChar" w:customStyle="1">
    <w:name w:val="Comment Subject Char"/>
    <w:basedOn w:val="CommentTextChar"/>
    <w:link w:val="CommentSubject"/>
    <w:uiPriority w:val="99"/>
    <w:semiHidden/>
    <w:rsid w:val="00EA4DE1"/>
    <w:rPr>
      <w:rFonts w:ascii="Times New Roman" w:hAnsi="Times New Roman" w:cs="Times New Roman"/>
      <w:b/>
      <w:bCs/>
      <w:sz w:val="20"/>
      <w:szCs w:val="20"/>
    </w:rPr>
  </w:style>
  <w:style w:type="character" w:styleId="Strong">
    <w:name w:val="Strong"/>
    <w:basedOn w:val="DefaultParagraphFont"/>
    <w:uiPriority w:val="22"/>
    <w:qFormat/>
    <w:rsid w:val="00691292"/>
    <w:rPr>
      <w:b/>
      <w:bCs/>
    </w:rPr>
  </w:style>
  <w:style w:type="paragraph" w:styleId="Revision">
    <w:name w:val="Revision"/>
    <w:hidden/>
    <w:uiPriority w:val="99"/>
    <w:semiHidden/>
    <w:rsid w:val="00D028DC"/>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FB30BF"/>
    <w:rPr>
      <w:color w:val="0000FF" w:themeColor="hyperlink"/>
      <w:u w:val="single"/>
    </w:rPr>
  </w:style>
  <w:style w:type="character" w:styleId="PlaceholderText">
    <w:name w:val="Placeholder Text"/>
    <w:basedOn w:val="DefaultParagraphFont"/>
    <w:uiPriority w:val="99"/>
    <w:semiHidden/>
    <w:rsid w:val="005211CC"/>
    <w:rPr>
      <w:color w:val="808080"/>
    </w:rPr>
  </w:style>
  <w:style w:type="paragraph" w:styleId="DocID" w:customStyle="1">
    <w:name w:val="DocID"/>
    <w:basedOn w:val="Normal"/>
    <w:next w:val="Footer"/>
    <w:link w:val="DocIDChar"/>
    <w:rsid w:val="00EE226B"/>
    <w:rPr>
      <w:sz w:val="16"/>
    </w:rPr>
  </w:style>
  <w:style w:type="character" w:styleId="DocIDChar" w:customStyle="1">
    <w:name w:val="DocID Char"/>
    <w:basedOn w:val="BodyTextChar"/>
    <w:link w:val="DocID"/>
    <w:rsid w:val="00EE226B"/>
    <w:rPr>
      <w:rFonts w:ascii="Times New Roman" w:hAnsi="Times New Roman" w:cs="Times New Roman"/>
      <w:sz w:val="16"/>
      <w:szCs w:val="24"/>
    </w:rPr>
  </w:style>
  <w:style w:type="character" w:styleId="FollowedHyperlink">
    <w:name w:val="FollowedHyperlink"/>
    <w:basedOn w:val="DefaultParagraphFont"/>
    <w:uiPriority w:val="99"/>
    <w:semiHidden/>
    <w:unhideWhenUsed/>
    <w:rsid w:val="00FA03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lsdException w:name="heading 5" w:uiPriority="2"/>
    <w:lsdException w:name="heading 6" w:uiPriority="2"/>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lock Text" w:uiPriority="3" w:qFormat="1"/>
    <w:lsdException w:name="Strong" w:semiHidden="0" w:uiPriority="22" w:unhideWhenUsed="0" w:qFormat="1"/>
    <w:lsdException w:name="Emphasis" w:semiHidden="0" w:uiPriority="1"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433"/>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2"/>
    <w:qFormat/>
    <w:rsid w:val="00D76433"/>
    <w:pPr>
      <w:numPr>
        <w:numId w:val="5"/>
      </w:numPr>
      <w:spacing w:after="240"/>
      <w:outlineLvl w:val="0"/>
    </w:pPr>
    <w:rPr>
      <w:szCs w:val="20"/>
    </w:rPr>
  </w:style>
  <w:style w:type="paragraph" w:styleId="Heading2">
    <w:name w:val="heading 2"/>
    <w:basedOn w:val="Heading1"/>
    <w:link w:val="Heading2Char"/>
    <w:uiPriority w:val="2"/>
    <w:qFormat/>
    <w:rsid w:val="00D76433"/>
    <w:pPr>
      <w:numPr>
        <w:ilvl w:val="1"/>
      </w:numPr>
      <w:outlineLvl w:val="1"/>
    </w:pPr>
  </w:style>
  <w:style w:type="paragraph" w:styleId="Heading3">
    <w:name w:val="heading 3"/>
    <w:basedOn w:val="Heading2"/>
    <w:link w:val="Heading3Char"/>
    <w:uiPriority w:val="2"/>
    <w:qFormat/>
    <w:rsid w:val="00D76433"/>
    <w:pPr>
      <w:numPr>
        <w:ilvl w:val="2"/>
      </w:numPr>
      <w:outlineLvl w:val="2"/>
    </w:pPr>
  </w:style>
  <w:style w:type="paragraph" w:styleId="Heading4">
    <w:name w:val="heading 4"/>
    <w:basedOn w:val="Heading3"/>
    <w:link w:val="Heading4Char"/>
    <w:uiPriority w:val="2"/>
    <w:rsid w:val="004E2BD6"/>
    <w:pPr>
      <w:numPr>
        <w:ilvl w:val="3"/>
      </w:numPr>
      <w:outlineLvl w:val="3"/>
    </w:pPr>
  </w:style>
  <w:style w:type="paragraph" w:styleId="Heading5">
    <w:name w:val="heading 5"/>
    <w:basedOn w:val="Heading4"/>
    <w:link w:val="Heading5Char"/>
    <w:uiPriority w:val="2"/>
    <w:unhideWhenUsed/>
    <w:rsid w:val="004E2BD6"/>
    <w:pPr>
      <w:numPr>
        <w:ilvl w:val="4"/>
      </w:numPr>
      <w:outlineLvl w:val="4"/>
    </w:pPr>
  </w:style>
  <w:style w:type="paragraph" w:styleId="Heading6">
    <w:name w:val="heading 6"/>
    <w:basedOn w:val="Heading5"/>
    <w:link w:val="Heading6Char"/>
    <w:uiPriority w:val="2"/>
    <w:semiHidden/>
    <w:unhideWhenUsed/>
    <w:rsid w:val="004E2BD6"/>
    <w:pPr>
      <w:numPr>
        <w:ilvl w:val="5"/>
      </w:numPr>
      <w:outlineLvl w:val="5"/>
    </w:pPr>
  </w:style>
  <w:style w:type="paragraph" w:styleId="Heading7">
    <w:name w:val="heading 7"/>
    <w:basedOn w:val="Heading6"/>
    <w:link w:val="Heading7Char"/>
    <w:uiPriority w:val="2"/>
    <w:semiHidden/>
    <w:unhideWhenUsed/>
    <w:qFormat/>
    <w:rsid w:val="00D76433"/>
    <w:pPr>
      <w:numPr>
        <w:ilvl w:val="6"/>
      </w:numPr>
      <w:outlineLvl w:val="6"/>
    </w:pPr>
  </w:style>
  <w:style w:type="paragraph" w:styleId="Heading8">
    <w:name w:val="heading 8"/>
    <w:basedOn w:val="Heading7"/>
    <w:link w:val="Heading8Char"/>
    <w:uiPriority w:val="2"/>
    <w:semiHidden/>
    <w:unhideWhenUsed/>
    <w:qFormat/>
    <w:rsid w:val="00D76433"/>
    <w:pPr>
      <w:numPr>
        <w:ilvl w:val="7"/>
      </w:numPr>
      <w:outlineLvl w:val="7"/>
    </w:pPr>
  </w:style>
  <w:style w:type="paragraph" w:styleId="Heading9">
    <w:name w:val="heading 9"/>
    <w:basedOn w:val="Heading8"/>
    <w:link w:val="Heading9Char"/>
    <w:uiPriority w:val="2"/>
    <w:semiHidden/>
    <w:unhideWhenUsed/>
    <w:qFormat/>
    <w:rsid w:val="00D76433"/>
    <w:pPr>
      <w:numPr>
        <w:ilvl w:val="8"/>
        <w:numId w:val="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B7AA3"/>
    <w:pPr>
      <w:spacing w:after="240"/>
      <w:ind w:firstLine="1440"/>
    </w:pPr>
  </w:style>
  <w:style w:type="character" w:customStyle="1" w:styleId="BodyTextChar">
    <w:name w:val="Body Text Char"/>
    <w:basedOn w:val="DefaultParagraphFont"/>
    <w:link w:val="BodyText"/>
    <w:rsid w:val="0062668E"/>
    <w:rPr>
      <w:rFonts w:ascii="Times New Roman" w:hAnsi="Times New Roman" w:cs="Times New Roman"/>
      <w:sz w:val="24"/>
      <w:szCs w:val="24"/>
    </w:rPr>
  </w:style>
  <w:style w:type="paragraph" w:customStyle="1" w:styleId="BodyTextContinued">
    <w:name w:val="Body Text Continued"/>
    <w:basedOn w:val="BodyText"/>
    <w:next w:val="BodyText"/>
    <w:rsid w:val="009B7AA3"/>
    <w:pPr>
      <w:ind w:firstLine="0"/>
    </w:pPr>
    <w:rPr>
      <w:szCs w:val="20"/>
    </w:rPr>
  </w:style>
  <w:style w:type="paragraph" w:styleId="Quote">
    <w:name w:val="Quote"/>
    <w:basedOn w:val="Normal"/>
    <w:next w:val="BodyTextContinued"/>
    <w:link w:val="QuoteChar"/>
    <w:qFormat/>
    <w:rsid w:val="00D76433"/>
    <w:pPr>
      <w:spacing w:after="240"/>
      <w:ind w:left="1440" w:right="1440"/>
    </w:pPr>
    <w:rPr>
      <w:szCs w:val="20"/>
    </w:rPr>
  </w:style>
  <w:style w:type="character" w:customStyle="1" w:styleId="QuoteChar">
    <w:name w:val="Quote Char"/>
    <w:basedOn w:val="DefaultParagraphFont"/>
    <w:link w:val="Quote"/>
    <w:rsid w:val="00D76433"/>
    <w:rPr>
      <w:rFonts w:ascii="Times New Roman" w:hAnsi="Times New Roman" w:cs="Times New Roman"/>
      <w:sz w:val="24"/>
      <w:szCs w:val="20"/>
    </w:rPr>
  </w:style>
  <w:style w:type="paragraph" w:styleId="Header">
    <w:name w:val="header"/>
    <w:basedOn w:val="Normal"/>
    <w:link w:val="HeaderChar"/>
    <w:rsid w:val="009B7AA3"/>
    <w:pPr>
      <w:tabs>
        <w:tab w:val="center" w:pos="4680"/>
        <w:tab w:val="right" w:pos="9360"/>
      </w:tabs>
    </w:pPr>
  </w:style>
  <w:style w:type="character" w:customStyle="1" w:styleId="HeaderChar">
    <w:name w:val="Header Char"/>
    <w:basedOn w:val="DefaultParagraphFont"/>
    <w:link w:val="Header"/>
    <w:rsid w:val="00317DCE"/>
    <w:rPr>
      <w:rFonts w:ascii="Times New Roman" w:hAnsi="Times New Roman" w:cs="Times New Roman"/>
      <w:sz w:val="24"/>
      <w:szCs w:val="24"/>
    </w:rPr>
  </w:style>
  <w:style w:type="paragraph" w:styleId="Footer">
    <w:name w:val="footer"/>
    <w:basedOn w:val="Normal"/>
    <w:link w:val="FooterChar"/>
    <w:uiPriority w:val="99"/>
    <w:rsid w:val="009B7AA3"/>
    <w:pPr>
      <w:tabs>
        <w:tab w:val="center" w:pos="4680"/>
        <w:tab w:val="right" w:pos="9360"/>
      </w:tabs>
    </w:pPr>
  </w:style>
  <w:style w:type="character" w:customStyle="1" w:styleId="FooterChar">
    <w:name w:val="Footer Char"/>
    <w:basedOn w:val="DefaultParagraphFont"/>
    <w:link w:val="Footer"/>
    <w:uiPriority w:val="99"/>
    <w:rsid w:val="00317DCE"/>
    <w:rPr>
      <w:rFonts w:ascii="Times New Roman" w:hAnsi="Times New Roman" w:cs="Times New Roman"/>
      <w:sz w:val="24"/>
      <w:szCs w:val="24"/>
    </w:rPr>
  </w:style>
  <w:style w:type="character" w:styleId="PageNumber">
    <w:name w:val="page number"/>
    <w:basedOn w:val="DefaultParagraphFont"/>
    <w:rsid w:val="009B7AA3"/>
  </w:style>
  <w:style w:type="paragraph" w:customStyle="1" w:styleId="Bullet-DoubleSpace">
    <w:name w:val="Bullet-Double Space"/>
    <w:basedOn w:val="Normal"/>
    <w:uiPriority w:val="3"/>
    <w:rsid w:val="00A54700"/>
    <w:pPr>
      <w:spacing w:line="480" w:lineRule="auto"/>
      <w:ind w:left="1440" w:hanging="720"/>
    </w:pPr>
  </w:style>
  <w:style w:type="paragraph" w:customStyle="1" w:styleId="Bullet-SingleSpace">
    <w:name w:val="Bullet-Single Space"/>
    <w:basedOn w:val="Normal"/>
    <w:uiPriority w:val="3"/>
    <w:rsid w:val="00A54700"/>
    <w:pPr>
      <w:spacing w:after="240"/>
      <w:ind w:left="1440" w:hanging="720"/>
    </w:pPr>
  </w:style>
  <w:style w:type="paragraph" w:customStyle="1" w:styleId="Quote-DS">
    <w:name w:val="Quote-DS"/>
    <w:basedOn w:val="Normal"/>
    <w:next w:val="BodyTextContinued"/>
    <w:rsid w:val="009B7AA3"/>
    <w:pPr>
      <w:spacing w:line="480" w:lineRule="auto"/>
      <w:ind w:left="1440" w:right="1440"/>
    </w:pPr>
  </w:style>
  <w:style w:type="paragraph" w:customStyle="1" w:styleId="Quote-SS">
    <w:name w:val="Quote-SS"/>
    <w:basedOn w:val="Normal"/>
    <w:next w:val="BodyTextContinued"/>
    <w:rsid w:val="009B7AA3"/>
    <w:pPr>
      <w:spacing w:after="240"/>
      <w:ind w:left="1440" w:right="1440"/>
    </w:pPr>
  </w:style>
  <w:style w:type="paragraph" w:customStyle="1" w:styleId="BulletSymbol">
    <w:name w:val="Bullet Symbol"/>
    <w:basedOn w:val="Normal"/>
    <w:rsid w:val="009B7AA3"/>
    <w:pPr>
      <w:numPr>
        <w:numId w:val="3"/>
      </w:numPr>
      <w:tabs>
        <w:tab w:val="clear" w:pos="720"/>
      </w:tabs>
      <w:spacing w:after="240"/>
      <w:ind w:hanging="720"/>
    </w:pPr>
  </w:style>
  <w:style w:type="paragraph" w:styleId="FootnoteText">
    <w:name w:val="footnote text"/>
    <w:basedOn w:val="Normal"/>
    <w:link w:val="FootnoteTextChar"/>
    <w:semiHidden/>
    <w:rsid w:val="009B7AA3"/>
    <w:pPr>
      <w:ind w:firstLine="720"/>
    </w:pPr>
    <w:rPr>
      <w:sz w:val="20"/>
      <w:szCs w:val="20"/>
    </w:rPr>
  </w:style>
  <w:style w:type="character" w:customStyle="1" w:styleId="FootnoteTextChar">
    <w:name w:val="Footnote Text Char"/>
    <w:basedOn w:val="DefaultParagraphFont"/>
    <w:link w:val="FootnoteText"/>
    <w:semiHidden/>
    <w:rsid w:val="00317DCE"/>
    <w:rPr>
      <w:rFonts w:ascii="Times New Roman" w:hAnsi="Times New Roman" w:cs="Times New Roman"/>
      <w:sz w:val="20"/>
      <w:szCs w:val="20"/>
    </w:rPr>
  </w:style>
  <w:style w:type="character" w:styleId="EndnoteReference">
    <w:name w:val="endnote reference"/>
    <w:basedOn w:val="DefaultParagraphFont"/>
    <w:semiHidden/>
    <w:rsid w:val="009B7AA3"/>
    <w:rPr>
      <w:sz w:val="20"/>
      <w:vertAlign w:val="superscript"/>
    </w:rPr>
  </w:style>
  <w:style w:type="character" w:styleId="FootnoteReference">
    <w:name w:val="footnote reference"/>
    <w:basedOn w:val="DefaultParagraphFont"/>
    <w:uiPriority w:val="99"/>
    <w:semiHidden/>
    <w:unhideWhenUsed/>
    <w:rsid w:val="000B75D1"/>
    <w:rPr>
      <w:vertAlign w:val="superscript"/>
    </w:rPr>
  </w:style>
  <w:style w:type="paragraph" w:styleId="BlockText">
    <w:name w:val="Block Text"/>
    <w:basedOn w:val="Normal"/>
    <w:uiPriority w:val="3"/>
    <w:qFormat/>
    <w:rsid w:val="00D76433"/>
    <w:pPr>
      <w:framePr w:wrap="notBeside" w:vAnchor="text" w:hAnchor="text" w:y="1"/>
      <w:spacing w:after="240"/>
      <w:ind w:left="1440" w:right="1440"/>
      <w:contextualSpacing/>
      <w:jc w:val="both"/>
    </w:pPr>
    <w:rPr>
      <w:rFonts w:cstheme="minorBidi"/>
      <w:iCs/>
    </w:rPr>
  </w:style>
  <w:style w:type="character" w:customStyle="1" w:styleId="Heading1Char">
    <w:name w:val="Heading 1 Char"/>
    <w:basedOn w:val="DefaultParagraphFont"/>
    <w:link w:val="Heading1"/>
    <w:uiPriority w:val="2"/>
    <w:rsid w:val="00D76433"/>
    <w:rPr>
      <w:rFonts w:ascii="Times New Roman" w:hAnsi="Times New Roman" w:cs="Times New Roman"/>
      <w:sz w:val="24"/>
      <w:szCs w:val="20"/>
    </w:rPr>
  </w:style>
  <w:style w:type="character" w:customStyle="1" w:styleId="Heading2Char">
    <w:name w:val="Heading 2 Char"/>
    <w:basedOn w:val="DefaultParagraphFont"/>
    <w:link w:val="Heading2"/>
    <w:uiPriority w:val="2"/>
    <w:rsid w:val="00D76433"/>
    <w:rPr>
      <w:rFonts w:ascii="Times New Roman" w:hAnsi="Times New Roman" w:cs="Times New Roman"/>
      <w:sz w:val="24"/>
      <w:szCs w:val="20"/>
    </w:rPr>
  </w:style>
  <w:style w:type="character" w:customStyle="1" w:styleId="Heading3Char">
    <w:name w:val="Heading 3 Char"/>
    <w:basedOn w:val="DefaultParagraphFont"/>
    <w:link w:val="Heading3"/>
    <w:uiPriority w:val="2"/>
    <w:rsid w:val="00D76433"/>
    <w:rPr>
      <w:rFonts w:ascii="Times New Roman" w:hAnsi="Times New Roman" w:cs="Times New Roman"/>
      <w:sz w:val="24"/>
      <w:szCs w:val="20"/>
    </w:rPr>
  </w:style>
  <w:style w:type="character" w:customStyle="1" w:styleId="Heading4Char">
    <w:name w:val="Heading 4 Char"/>
    <w:basedOn w:val="DefaultParagraphFont"/>
    <w:link w:val="Heading4"/>
    <w:uiPriority w:val="2"/>
    <w:rsid w:val="00D91FC6"/>
    <w:rPr>
      <w:rFonts w:ascii="Times New Roman" w:hAnsi="Times New Roman" w:cs="Times New Roman"/>
      <w:sz w:val="24"/>
      <w:szCs w:val="20"/>
    </w:rPr>
  </w:style>
  <w:style w:type="character" w:customStyle="1" w:styleId="Heading5Char">
    <w:name w:val="Heading 5 Char"/>
    <w:basedOn w:val="DefaultParagraphFont"/>
    <w:link w:val="Heading5"/>
    <w:uiPriority w:val="2"/>
    <w:rsid w:val="00D91FC6"/>
    <w:rPr>
      <w:rFonts w:ascii="Times New Roman" w:hAnsi="Times New Roman" w:cs="Times New Roman"/>
      <w:sz w:val="24"/>
      <w:szCs w:val="20"/>
    </w:rPr>
  </w:style>
  <w:style w:type="character" w:customStyle="1" w:styleId="Heading6Char">
    <w:name w:val="Heading 6 Char"/>
    <w:basedOn w:val="DefaultParagraphFont"/>
    <w:link w:val="Heading6"/>
    <w:uiPriority w:val="2"/>
    <w:semiHidden/>
    <w:rsid w:val="00D91FC6"/>
    <w:rPr>
      <w:rFonts w:ascii="Times New Roman" w:hAnsi="Times New Roman" w:cs="Times New Roman"/>
      <w:sz w:val="24"/>
      <w:szCs w:val="20"/>
    </w:rPr>
  </w:style>
  <w:style w:type="character" w:customStyle="1" w:styleId="Heading7Char">
    <w:name w:val="Heading 7 Char"/>
    <w:basedOn w:val="DefaultParagraphFont"/>
    <w:link w:val="Heading7"/>
    <w:uiPriority w:val="2"/>
    <w:semiHidden/>
    <w:rsid w:val="00D76433"/>
    <w:rPr>
      <w:rFonts w:ascii="Times New Roman" w:hAnsi="Times New Roman" w:cs="Times New Roman"/>
      <w:sz w:val="24"/>
      <w:szCs w:val="20"/>
    </w:rPr>
  </w:style>
  <w:style w:type="character" w:customStyle="1" w:styleId="Heading8Char">
    <w:name w:val="Heading 8 Char"/>
    <w:basedOn w:val="DefaultParagraphFont"/>
    <w:link w:val="Heading8"/>
    <w:uiPriority w:val="2"/>
    <w:semiHidden/>
    <w:rsid w:val="00D76433"/>
    <w:rPr>
      <w:rFonts w:ascii="Times New Roman" w:hAnsi="Times New Roman" w:cs="Times New Roman"/>
      <w:sz w:val="24"/>
      <w:szCs w:val="20"/>
    </w:rPr>
  </w:style>
  <w:style w:type="character" w:customStyle="1" w:styleId="Heading9Char">
    <w:name w:val="Heading 9 Char"/>
    <w:basedOn w:val="DefaultParagraphFont"/>
    <w:link w:val="Heading9"/>
    <w:uiPriority w:val="2"/>
    <w:semiHidden/>
    <w:rsid w:val="00D76433"/>
    <w:rPr>
      <w:rFonts w:ascii="Times New Roman" w:hAnsi="Times New Roman" w:cs="Times New Roman"/>
      <w:sz w:val="24"/>
      <w:szCs w:val="20"/>
    </w:rPr>
  </w:style>
  <w:style w:type="paragraph" w:styleId="Title">
    <w:name w:val="Title"/>
    <w:basedOn w:val="Normal"/>
    <w:next w:val="BodyText"/>
    <w:link w:val="TitleChar"/>
    <w:qFormat/>
    <w:rsid w:val="00D76433"/>
    <w:pPr>
      <w:keepNext/>
      <w:keepLines/>
      <w:spacing w:after="240"/>
      <w:contextualSpacing/>
      <w:jc w:val="center"/>
      <w:outlineLvl w:val="0"/>
    </w:pPr>
    <w:rPr>
      <w:rFonts w:ascii="Times New Roman Bold" w:eastAsiaTheme="majorEastAsia" w:hAnsi="Times New Roman Bold" w:cstheme="majorBidi"/>
      <w:b/>
      <w:caps/>
      <w:color w:val="000000"/>
      <w:spacing w:val="5"/>
      <w:kern w:val="28"/>
      <w:szCs w:val="52"/>
    </w:rPr>
  </w:style>
  <w:style w:type="character" w:customStyle="1" w:styleId="TitleChar">
    <w:name w:val="Title Char"/>
    <w:basedOn w:val="DefaultParagraphFont"/>
    <w:link w:val="Title"/>
    <w:rsid w:val="00D76433"/>
    <w:rPr>
      <w:rFonts w:ascii="Times New Roman Bold" w:eastAsiaTheme="majorEastAsia" w:hAnsi="Times New Roman Bold" w:cstheme="majorBidi"/>
      <w:b/>
      <w:caps/>
      <w:color w:val="000000"/>
      <w:spacing w:val="5"/>
      <w:kern w:val="28"/>
      <w:sz w:val="24"/>
      <w:szCs w:val="52"/>
    </w:rPr>
  </w:style>
  <w:style w:type="paragraph" w:styleId="Subtitle">
    <w:name w:val="Subtitle"/>
    <w:basedOn w:val="Title"/>
    <w:next w:val="BodyText"/>
    <w:link w:val="SubtitleChar"/>
    <w:qFormat/>
    <w:rsid w:val="00D76433"/>
    <w:pPr>
      <w:numPr>
        <w:ilvl w:val="1"/>
      </w:numPr>
      <w:outlineLvl w:val="1"/>
    </w:pPr>
    <w:rPr>
      <w:iCs/>
      <w:caps w:val="0"/>
      <w:color w:val="auto"/>
      <w:spacing w:val="15"/>
    </w:rPr>
  </w:style>
  <w:style w:type="character" w:customStyle="1" w:styleId="SubtitleChar">
    <w:name w:val="Subtitle Char"/>
    <w:basedOn w:val="DefaultParagraphFont"/>
    <w:link w:val="Subtitle"/>
    <w:rsid w:val="00D76433"/>
    <w:rPr>
      <w:rFonts w:ascii="Times New Roman Bold" w:eastAsiaTheme="majorEastAsia" w:hAnsi="Times New Roman Bold" w:cstheme="majorBidi"/>
      <w:b/>
      <w:iCs/>
      <w:spacing w:val="15"/>
      <w:kern w:val="28"/>
      <w:sz w:val="24"/>
      <w:szCs w:val="52"/>
    </w:rPr>
  </w:style>
  <w:style w:type="paragraph" w:customStyle="1" w:styleId="Bullet-DS">
    <w:name w:val="Bullet-DS"/>
    <w:basedOn w:val="Normal"/>
    <w:rsid w:val="009B7AA3"/>
    <w:pPr>
      <w:numPr>
        <w:numId w:val="1"/>
      </w:numPr>
      <w:tabs>
        <w:tab w:val="clear" w:pos="720"/>
      </w:tabs>
      <w:spacing w:line="480" w:lineRule="auto"/>
      <w:ind w:left="1440" w:hanging="720"/>
    </w:pPr>
  </w:style>
  <w:style w:type="paragraph" w:customStyle="1" w:styleId="Bullet-SS">
    <w:name w:val="Bullet-SS"/>
    <w:basedOn w:val="Normal"/>
    <w:rsid w:val="009B7AA3"/>
    <w:pPr>
      <w:numPr>
        <w:numId w:val="2"/>
      </w:numPr>
      <w:tabs>
        <w:tab w:val="clear" w:pos="720"/>
      </w:tabs>
      <w:spacing w:after="240"/>
      <w:ind w:left="1440" w:hanging="720"/>
    </w:pPr>
  </w:style>
  <w:style w:type="paragraph" w:styleId="BalloonText">
    <w:name w:val="Balloon Text"/>
    <w:basedOn w:val="Normal"/>
    <w:link w:val="BalloonTextChar"/>
    <w:uiPriority w:val="99"/>
    <w:semiHidden/>
    <w:unhideWhenUsed/>
    <w:rsid w:val="00B47360"/>
    <w:rPr>
      <w:rFonts w:ascii="Tahoma" w:hAnsi="Tahoma" w:cs="Tahoma"/>
      <w:sz w:val="16"/>
      <w:szCs w:val="16"/>
    </w:rPr>
  </w:style>
  <w:style w:type="character" w:customStyle="1" w:styleId="BalloonTextChar">
    <w:name w:val="Balloon Text Char"/>
    <w:basedOn w:val="DefaultParagraphFont"/>
    <w:link w:val="BalloonText"/>
    <w:uiPriority w:val="99"/>
    <w:semiHidden/>
    <w:rsid w:val="00B47360"/>
    <w:rPr>
      <w:rFonts w:ascii="Tahoma" w:hAnsi="Tahoma" w:cs="Tahoma"/>
      <w:sz w:val="16"/>
      <w:szCs w:val="16"/>
    </w:rPr>
  </w:style>
  <w:style w:type="table" w:styleId="TableGrid">
    <w:name w:val="Table Grid"/>
    <w:basedOn w:val="TableNormal"/>
    <w:uiPriority w:val="59"/>
    <w:rsid w:val="007F0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1D06"/>
    <w:pPr>
      <w:spacing w:after="200" w:line="276" w:lineRule="auto"/>
      <w:ind w:left="720"/>
      <w:contextualSpacing/>
    </w:pPr>
    <w:rPr>
      <w:rFonts w:ascii="Calibri" w:eastAsia="MS Mincho" w:hAnsi="Calibri"/>
      <w:sz w:val="22"/>
      <w:szCs w:val="22"/>
      <w:lang w:val="en-CA"/>
    </w:rPr>
  </w:style>
  <w:style w:type="character" w:styleId="CommentReference">
    <w:name w:val="annotation reference"/>
    <w:basedOn w:val="DefaultParagraphFont"/>
    <w:uiPriority w:val="99"/>
    <w:semiHidden/>
    <w:unhideWhenUsed/>
    <w:rsid w:val="00EA4DE1"/>
    <w:rPr>
      <w:sz w:val="16"/>
      <w:szCs w:val="16"/>
    </w:rPr>
  </w:style>
  <w:style w:type="paragraph" w:styleId="CommentText">
    <w:name w:val="annotation text"/>
    <w:basedOn w:val="Normal"/>
    <w:link w:val="CommentTextChar"/>
    <w:uiPriority w:val="99"/>
    <w:semiHidden/>
    <w:unhideWhenUsed/>
    <w:rsid w:val="00EA4DE1"/>
    <w:rPr>
      <w:sz w:val="20"/>
      <w:szCs w:val="20"/>
    </w:rPr>
  </w:style>
  <w:style w:type="character" w:customStyle="1" w:styleId="CommentTextChar">
    <w:name w:val="Comment Text Char"/>
    <w:basedOn w:val="DefaultParagraphFont"/>
    <w:link w:val="CommentText"/>
    <w:uiPriority w:val="99"/>
    <w:semiHidden/>
    <w:rsid w:val="00EA4DE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4DE1"/>
    <w:rPr>
      <w:b/>
      <w:bCs/>
    </w:rPr>
  </w:style>
  <w:style w:type="character" w:customStyle="1" w:styleId="CommentSubjectChar">
    <w:name w:val="Comment Subject Char"/>
    <w:basedOn w:val="CommentTextChar"/>
    <w:link w:val="CommentSubject"/>
    <w:uiPriority w:val="99"/>
    <w:semiHidden/>
    <w:rsid w:val="00EA4DE1"/>
    <w:rPr>
      <w:rFonts w:ascii="Times New Roman" w:hAnsi="Times New Roman" w:cs="Times New Roman"/>
      <w:b/>
      <w:bCs/>
      <w:sz w:val="20"/>
      <w:szCs w:val="20"/>
    </w:rPr>
  </w:style>
  <w:style w:type="character" w:styleId="Strong">
    <w:name w:val="Strong"/>
    <w:basedOn w:val="DefaultParagraphFont"/>
    <w:uiPriority w:val="22"/>
    <w:qFormat/>
    <w:rsid w:val="00691292"/>
    <w:rPr>
      <w:b/>
      <w:bCs/>
    </w:rPr>
  </w:style>
  <w:style w:type="paragraph" w:styleId="Revision">
    <w:name w:val="Revision"/>
    <w:hidden/>
    <w:uiPriority w:val="99"/>
    <w:semiHidden/>
    <w:rsid w:val="00D028DC"/>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FB30BF"/>
    <w:rPr>
      <w:color w:val="0000FF" w:themeColor="hyperlink"/>
      <w:u w:val="single"/>
    </w:rPr>
  </w:style>
  <w:style w:type="character" w:styleId="PlaceholderText">
    <w:name w:val="Placeholder Text"/>
    <w:basedOn w:val="DefaultParagraphFont"/>
    <w:uiPriority w:val="99"/>
    <w:semiHidden/>
    <w:rsid w:val="005211CC"/>
    <w:rPr>
      <w:color w:val="808080"/>
    </w:rPr>
  </w:style>
  <w:style w:type="paragraph" w:customStyle="1" w:styleId="DocID">
    <w:name w:val="DocID"/>
    <w:basedOn w:val="Normal"/>
    <w:next w:val="Footer"/>
    <w:link w:val="DocIDChar"/>
    <w:rsid w:val="00EE226B"/>
    <w:rPr>
      <w:sz w:val="16"/>
    </w:rPr>
  </w:style>
  <w:style w:type="character" w:customStyle="1" w:styleId="DocIDChar">
    <w:name w:val="DocID Char"/>
    <w:basedOn w:val="BodyTextChar"/>
    <w:link w:val="DocID"/>
    <w:rsid w:val="00EE226B"/>
    <w:rPr>
      <w:rFonts w:ascii="Times New Roman" w:hAnsi="Times New Roman" w:cs="Times New Roman"/>
      <w:sz w:val="16"/>
      <w:szCs w:val="24"/>
    </w:rPr>
  </w:style>
  <w:style w:type="character" w:styleId="FollowedHyperlink">
    <w:name w:val="FollowedHyperlink"/>
    <w:basedOn w:val="DefaultParagraphFont"/>
    <w:uiPriority w:val="99"/>
    <w:semiHidden/>
    <w:unhideWhenUsed/>
    <w:rsid w:val="00FA03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47737">
      <w:bodyDiv w:val="1"/>
      <w:marLeft w:val="0"/>
      <w:marRight w:val="0"/>
      <w:marTop w:val="0"/>
      <w:marBottom w:val="0"/>
      <w:divBdr>
        <w:top w:val="none" w:sz="0" w:space="0" w:color="auto"/>
        <w:left w:val="none" w:sz="0" w:space="0" w:color="auto"/>
        <w:bottom w:val="none" w:sz="0" w:space="0" w:color="auto"/>
        <w:right w:val="none" w:sz="0" w:space="0" w:color="auto"/>
      </w:divBdr>
      <w:divsChild>
        <w:div w:id="824979245">
          <w:marLeft w:val="0"/>
          <w:marRight w:val="0"/>
          <w:marTop w:val="0"/>
          <w:marBottom w:val="0"/>
          <w:divBdr>
            <w:top w:val="none" w:sz="0" w:space="0" w:color="auto"/>
            <w:left w:val="none" w:sz="0" w:space="0" w:color="auto"/>
            <w:bottom w:val="none" w:sz="0" w:space="0" w:color="auto"/>
            <w:right w:val="none" w:sz="0" w:space="0" w:color="auto"/>
          </w:divBdr>
        </w:div>
      </w:divsChild>
    </w:div>
    <w:div w:id="922690691">
      <w:bodyDiv w:val="1"/>
      <w:marLeft w:val="0"/>
      <w:marRight w:val="0"/>
      <w:marTop w:val="0"/>
      <w:marBottom w:val="0"/>
      <w:divBdr>
        <w:top w:val="none" w:sz="0" w:space="0" w:color="auto"/>
        <w:left w:val="none" w:sz="0" w:space="0" w:color="auto"/>
        <w:bottom w:val="none" w:sz="0" w:space="0" w:color="auto"/>
        <w:right w:val="none" w:sz="0" w:space="0" w:color="auto"/>
      </w:divBdr>
    </w:div>
    <w:div w:id="1420521989">
      <w:bodyDiv w:val="1"/>
      <w:marLeft w:val="0"/>
      <w:marRight w:val="0"/>
      <w:marTop w:val="0"/>
      <w:marBottom w:val="0"/>
      <w:divBdr>
        <w:top w:val="none" w:sz="0" w:space="0" w:color="auto"/>
        <w:left w:val="none" w:sz="0" w:space="0" w:color="auto"/>
        <w:bottom w:val="none" w:sz="0" w:space="0" w:color="auto"/>
        <w:right w:val="none" w:sz="0" w:space="0" w:color="auto"/>
      </w:divBdr>
      <w:divsChild>
        <w:div w:id="1315140491">
          <w:marLeft w:val="1526"/>
          <w:marRight w:val="0"/>
          <w:marTop w:val="0"/>
          <w:marBottom w:val="0"/>
          <w:divBdr>
            <w:top w:val="none" w:sz="0" w:space="0" w:color="auto"/>
            <w:left w:val="none" w:sz="0" w:space="0" w:color="auto"/>
            <w:bottom w:val="none" w:sz="0" w:space="0" w:color="auto"/>
            <w:right w:val="none" w:sz="0" w:space="0" w:color="auto"/>
          </w:divBdr>
        </w:div>
        <w:div w:id="1605729486">
          <w:marLeft w:val="1526"/>
          <w:marRight w:val="0"/>
          <w:marTop w:val="0"/>
          <w:marBottom w:val="0"/>
          <w:divBdr>
            <w:top w:val="none" w:sz="0" w:space="0" w:color="auto"/>
            <w:left w:val="none" w:sz="0" w:space="0" w:color="auto"/>
            <w:bottom w:val="none" w:sz="0" w:space="0" w:color="auto"/>
            <w:right w:val="none" w:sz="0" w:space="0" w:color="auto"/>
          </w:divBdr>
        </w:div>
        <w:div w:id="1109394832">
          <w:marLeft w:val="1526"/>
          <w:marRight w:val="0"/>
          <w:marTop w:val="0"/>
          <w:marBottom w:val="0"/>
          <w:divBdr>
            <w:top w:val="none" w:sz="0" w:space="0" w:color="auto"/>
            <w:left w:val="none" w:sz="0" w:space="0" w:color="auto"/>
            <w:bottom w:val="none" w:sz="0" w:space="0" w:color="auto"/>
            <w:right w:val="none" w:sz="0" w:space="0" w:color="auto"/>
          </w:divBdr>
        </w:div>
        <w:div w:id="690375626">
          <w:marLeft w:val="1526"/>
          <w:marRight w:val="0"/>
          <w:marTop w:val="0"/>
          <w:marBottom w:val="0"/>
          <w:divBdr>
            <w:top w:val="none" w:sz="0" w:space="0" w:color="auto"/>
            <w:left w:val="none" w:sz="0" w:space="0" w:color="auto"/>
            <w:bottom w:val="none" w:sz="0" w:space="0" w:color="auto"/>
            <w:right w:val="none" w:sz="0" w:space="0" w:color="auto"/>
          </w:divBdr>
        </w:div>
        <w:div w:id="1158613461">
          <w:marLeft w:val="1526"/>
          <w:marRight w:val="0"/>
          <w:marTop w:val="0"/>
          <w:marBottom w:val="0"/>
          <w:divBdr>
            <w:top w:val="none" w:sz="0" w:space="0" w:color="auto"/>
            <w:left w:val="none" w:sz="0" w:space="0" w:color="auto"/>
            <w:bottom w:val="none" w:sz="0" w:space="0" w:color="auto"/>
            <w:right w:val="none" w:sz="0" w:space="0" w:color="auto"/>
          </w:divBdr>
        </w:div>
        <w:div w:id="195243095">
          <w:marLeft w:val="1526"/>
          <w:marRight w:val="0"/>
          <w:marTop w:val="0"/>
          <w:marBottom w:val="0"/>
          <w:divBdr>
            <w:top w:val="none" w:sz="0" w:space="0" w:color="auto"/>
            <w:left w:val="none" w:sz="0" w:space="0" w:color="auto"/>
            <w:bottom w:val="none" w:sz="0" w:space="0" w:color="auto"/>
            <w:right w:val="none" w:sz="0" w:space="0" w:color="auto"/>
          </w:divBdr>
        </w:div>
        <w:div w:id="374156318">
          <w:marLeft w:val="1526"/>
          <w:marRight w:val="0"/>
          <w:marTop w:val="0"/>
          <w:marBottom w:val="0"/>
          <w:divBdr>
            <w:top w:val="none" w:sz="0" w:space="0" w:color="auto"/>
            <w:left w:val="none" w:sz="0" w:space="0" w:color="auto"/>
            <w:bottom w:val="none" w:sz="0" w:space="0" w:color="auto"/>
            <w:right w:val="none" w:sz="0" w:space="0" w:color="auto"/>
          </w:divBdr>
        </w:div>
        <w:div w:id="1889412111">
          <w:marLeft w:val="1526"/>
          <w:marRight w:val="0"/>
          <w:marTop w:val="0"/>
          <w:marBottom w:val="0"/>
          <w:divBdr>
            <w:top w:val="none" w:sz="0" w:space="0" w:color="auto"/>
            <w:left w:val="none" w:sz="0" w:space="0" w:color="auto"/>
            <w:bottom w:val="none" w:sz="0" w:space="0" w:color="auto"/>
            <w:right w:val="none" w:sz="0" w:space="0" w:color="auto"/>
          </w:divBdr>
        </w:div>
      </w:divsChild>
    </w:div>
    <w:div w:id="161536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&#65279;<?xml version="1.0" encoding="UTF-8" standalone="yes"?>
<Relationships xmlns="http://schemas.openxmlformats.org/package/2006/relationships">
  <Relationship Id="rId8" Type="http://schemas.openxmlformats.org/officeDocument/2006/relationships/hyperlink" Target="http://mddb.apec.org/Documents/2011/MM/AMM/11_amm_004att1.pdf" TargetMode="External" />
  <Relationship Id="rId13" Type="http://schemas.openxmlformats.org/officeDocument/2006/relationships/hyperlink" Target="http://www.iprp.global/home" TargetMode="External" />
  <Relationship Id="rId18" Type="http://schemas.openxmlformats.org/officeDocument/2006/relationships/footer" Target="footer1.xml" />
  <Relationship Id="rId3" Type="http://schemas.microsoft.com/office/2007/relationships/stylesWithEffects" Target="stylesWithEffects.xml" />
  <Relationship Id="rId21" Type="http://schemas.microsoft.com/office/2011/relationships/commentsExtended" Target="commentsExtended.xml" />
  <Relationship Id="rId7" Type="http://schemas.openxmlformats.org/officeDocument/2006/relationships/endnotes" Target="endnotes.xml" />
  <Relationship Id="rId12" Type="http://schemas.openxmlformats.org/officeDocument/2006/relationships/hyperlink" Target="https://www.ich.org/" TargetMode="External" />
  <Relationship Id="rId17" Type="http://schemas.openxmlformats.org/officeDocument/2006/relationships/header" Target="header1.xml" />
  <Relationship Id="rId2" Type="http://schemas.openxmlformats.org/officeDocument/2006/relationships/styles" Target="styles.xml" />
  <Relationship Id="rId16" Type="http://schemas.openxmlformats.org/officeDocument/2006/relationships/hyperlink" Target="http://www.ahwp.info/" TargetMode="External" />
  <Relationship Id="rId20" Type="http://schemas.openxmlformats.org/officeDocument/2006/relationships/theme" Target="theme/theme1.xml" />
  <Relationship Id="rId1" Type="http://schemas.openxmlformats.org/officeDocument/2006/relationships/numbering" Target="numbering.xml" />
  <Relationship Id="rId6" Type="http://schemas.openxmlformats.org/officeDocument/2006/relationships/footnotes" Target="footnotes.xml" />
  <Relationship Id="rId11" Type="http://schemas.openxmlformats.org/officeDocument/2006/relationships/hyperlink" Target="https://www.apec.org/Press/News-Releases/2019/0819_LSIF" TargetMode="External" />
  <Relationship Id="rId5" Type="http://schemas.openxmlformats.org/officeDocument/2006/relationships/webSettings" Target="webSettings.xml" />
  <Relationship Id="rId15" Type="http://schemas.openxmlformats.org/officeDocument/2006/relationships/hyperlink" Target="http://www.imdrf.org/" TargetMode="External" />
  <Relationship Id="rId10" Type="http://schemas.openxmlformats.org/officeDocument/2006/relationships/hyperlink" Target="https://link.springer.com/article/10.1186/s41120-018-0024-2" TargetMode="External" />
  <Relationship Id="rId19"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hyperlink" Target="http://mddb.apec.org/Documents/2011/MM/AMM/11_amm_jms.doc" TargetMode="External" />
  <Relationship Id="rId14" Type="http://schemas.openxmlformats.org/officeDocument/2006/relationships/hyperlink" Target="https://www.picscheme.org/" TargetMode="External" />
</Relationships>
</file>

<file path=word/_rels/header1.xml.rels>&#65279;<?xml version="1.0" encoding="UTF-8" standalone="yes"?>
<Relationships xmlns="http://schemas.openxmlformats.org/package/2006/relationships">
  <Relationship Id="rId2" Type="http://schemas.openxmlformats.org/officeDocument/2006/relationships/image" Target="media/image2.jpg" />
  <Relationship Id="rId1" Type="http://schemas.openxmlformats.org/officeDocument/2006/relationships/image" Target="media/image1.jp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