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DFB75" w14:textId="27FEEAE1" w:rsidR="008126FB" w:rsidRDefault="008126FB" w:rsidP="00114F93">
      <w:pPr>
        <w:pStyle w:val="Header"/>
        <w:spacing w:line="360" w:lineRule="auto"/>
        <w:jc w:val="center"/>
        <w:rPr>
          <w:rFonts w:ascii="Arial" w:hAnsi="Arial" w:cs="Arial"/>
        </w:rPr>
      </w:pPr>
      <w:r w:rsidRPr="00750430">
        <w:rPr>
          <w:rFonts w:ascii="Arial" w:hAnsi="Arial" w:cs="Arial"/>
          <w:b/>
        </w:rPr>
        <w:t>9</w:t>
      </w:r>
      <w:r w:rsidRPr="00750430">
        <w:rPr>
          <w:rFonts w:ascii="Arial" w:hAnsi="Arial" w:cs="Arial"/>
          <w:b/>
          <w:vertAlign w:val="superscript"/>
        </w:rPr>
        <w:t>th</w:t>
      </w:r>
      <w:r w:rsidRPr="00750430">
        <w:rPr>
          <w:rFonts w:ascii="Arial" w:hAnsi="Arial" w:cs="Arial"/>
          <w:b/>
        </w:rPr>
        <w:t xml:space="preserve"> APEC </w:t>
      </w:r>
      <w:r w:rsidRPr="00136EE2">
        <w:rPr>
          <w:rFonts w:ascii="Arial" w:hAnsi="Arial" w:cs="Arial"/>
          <w:b/>
          <w:caps/>
        </w:rPr>
        <w:t>High-Level Meeting on Health and the Economy Joint Statement</w:t>
      </w:r>
    </w:p>
    <w:p w14:paraId="616C6F62" w14:textId="77777777" w:rsidR="004858FD" w:rsidRPr="004858FD" w:rsidRDefault="004858FD" w:rsidP="004858FD">
      <w:pPr>
        <w:pStyle w:val="Header"/>
        <w:spacing w:line="360" w:lineRule="auto"/>
        <w:jc w:val="center"/>
        <w:rPr>
          <w:rFonts w:ascii="Arial" w:hAnsi="Arial" w:cs="Arial"/>
        </w:rPr>
      </w:pPr>
      <w:r w:rsidRPr="004858FD">
        <w:rPr>
          <w:rFonts w:ascii="Arial" w:hAnsi="Arial" w:cs="Arial"/>
        </w:rPr>
        <w:t>“</w:t>
      </w:r>
      <w:r w:rsidRPr="004858FD">
        <w:rPr>
          <w:rFonts w:ascii="Arial" w:hAnsi="Arial" w:cs="Arial"/>
          <w:i/>
        </w:rPr>
        <w:t>Healthy Economies in an Aging World</w:t>
      </w:r>
      <w:r w:rsidRPr="004858FD">
        <w:rPr>
          <w:rFonts w:ascii="Arial" w:hAnsi="Arial" w:cs="Arial"/>
        </w:rPr>
        <w:t>”</w:t>
      </w:r>
    </w:p>
    <w:p w14:paraId="6834FB5E" w14:textId="17F9DF97" w:rsidR="00114F93" w:rsidRDefault="004858FD" w:rsidP="004858FD">
      <w:pPr>
        <w:pStyle w:val="Header"/>
        <w:spacing w:line="360" w:lineRule="auto"/>
        <w:jc w:val="center"/>
        <w:rPr>
          <w:rFonts w:ascii="Arial" w:hAnsi="Arial" w:cs="Arial"/>
        </w:rPr>
      </w:pPr>
      <w:r w:rsidRPr="004858FD">
        <w:rPr>
          <w:rFonts w:ascii="Arial" w:hAnsi="Arial" w:cs="Arial"/>
        </w:rPr>
        <w:t>August 20-21, 2019 | Puerto Varas, Chile</w:t>
      </w:r>
    </w:p>
    <w:p w14:paraId="757F63BD" w14:textId="77777777" w:rsidR="004858FD" w:rsidRPr="00750430" w:rsidRDefault="004858FD" w:rsidP="004858FD">
      <w:pPr>
        <w:pStyle w:val="Header"/>
        <w:spacing w:line="360" w:lineRule="auto"/>
        <w:jc w:val="center"/>
        <w:rPr>
          <w:rFonts w:ascii="Arial" w:hAnsi="Arial" w:cs="Arial"/>
        </w:rPr>
      </w:pPr>
    </w:p>
    <w:p w14:paraId="2D038088" w14:textId="65C0E7F7" w:rsidR="008126FB" w:rsidRDefault="008126FB" w:rsidP="004858FD">
      <w:pPr>
        <w:spacing w:line="276" w:lineRule="auto"/>
        <w:rPr>
          <w:rFonts w:ascii="Arial" w:hAnsi="Arial" w:cs="Arial"/>
          <w:color w:val="0A0A0A"/>
          <w:shd w:val="clear" w:color="auto" w:fill="FFFFFF"/>
        </w:rPr>
      </w:pPr>
      <w:r w:rsidRPr="00C12B13">
        <w:rPr>
          <w:rFonts w:ascii="Arial" w:hAnsi="Arial" w:cs="Arial"/>
        </w:rPr>
        <w:t xml:space="preserve">The </w:t>
      </w:r>
      <w:r w:rsidR="00114F93" w:rsidRPr="00C12B13">
        <w:rPr>
          <w:rFonts w:ascii="Arial" w:hAnsi="Arial" w:cs="Arial"/>
        </w:rPr>
        <w:t>9</w:t>
      </w:r>
      <w:r w:rsidR="00114F93" w:rsidRPr="00C12B13">
        <w:rPr>
          <w:rFonts w:ascii="Arial" w:hAnsi="Arial" w:cs="Arial"/>
          <w:vertAlign w:val="superscript"/>
        </w:rPr>
        <w:t>th</w:t>
      </w:r>
      <w:r w:rsidR="00114F93" w:rsidRPr="00C12B13">
        <w:rPr>
          <w:rFonts w:ascii="Arial" w:hAnsi="Arial" w:cs="Arial"/>
        </w:rPr>
        <w:t xml:space="preserve"> </w:t>
      </w:r>
      <w:r w:rsidR="004858FD">
        <w:rPr>
          <w:rFonts w:ascii="Arial" w:hAnsi="Arial" w:cs="Arial"/>
        </w:rPr>
        <w:t xml:space="preserve">APEC </w:t>
      </w:r>
      <w:r w:rsidR="00114F93" w:rsidRPr="00C12B13">
        <w:rPr>
          <w:rFonts w:ascii="Arial" w:hAnsi="Arial" w:cs="Arial"/>
        </w:rPr>
        <w:t>High-Level Meeting on Health and the Economy</w:t>
      </w:r>
      <w:r w:rsidR="004858FD">
        <w:rPr>
          <w:rFonts w:ascii="Arial" w:hAnsi="Arial" w:cs="Arial"/>
        </w:rPr>
        <w:t xml:space="preserve"> (HLM9)</w:t>
      </w:r>
      <w:r w:rsidRPr="00C12B13">
        <w:rPr>
          <w:rFonts w:ascii="Arial" w:hAnsi="Arial" w:cs="Arial"/>
        </w:rPr>
        <w:t xml:space="preserve"> explore</w:t>
      </w:r>
      <w:r w:rsidR="00114F93" w:rsidRPr="00C12B13">
        <w:rPr>
          <w:rFonts w:ascii="Arial" w:hAnsi="Arial" w:cs="Arial"/>
        </w:rPr>
        <w:t>d</w:t>
      </w:r>
      <w:r w:rsidR="001A05F2" w:rsidRPr="00F42D70">
        <w:rPr>
          <w:rFonts w:ascii="Arial" w:hAnsi="Arial" w:cs="Arial"/>
          <w:color w:val="0A0A0A"/>
          <w:shd w:val="clear" w:color="auto" w:fill="FFFFFF"/>
        </w:rPr>
        <w:t xml:space="preserve"> the opportunities and challenges that aging populations present in enabling sustainable economic growth and development across economies.</w:t>
      </w:r>
    </w:p>
    <w:p w14:paraId="41A29136" w14:textId="46017D8D" w:rsidR="004B4535" w:rsidRPr="004858FD" w:rsidRDefault="004B4535" w:rsidP="004858FD">
      <w:pPr>
        <w:spacing w:line="276" w:lineRule="auto"/>
        <w:rPr>
          <w:rFonts w:ascii="Arial" w:hAnsi="Arial" w:cs="Arial"/>
        </w:rPr>
      </w:pPr>
      <w:r w:rsidRPr="004B4535">
        <w:rPr>
          <w:rFonts w:ascii="Arial" w:hAnsi="Arial" w:cs="Arial"/>
          <w:color w:val="0A0A0A"/>
          <w:shd w:val="clear" w:color="auto" w:fill="FFFFFF"/>
        </w:rPr>
        <w:t>We welcomed Chile’s theme for 2019, “Connecting People, Building the Future”, and particularly Chile’s priorities “Women, SMEs and Inclusive Growth” and “Digital Society”. Inclusive economic growth relies on healthy populations and addresses the challenges of an aging world, while new technologies contribute to the development of innovative and efficient digital solutions that favor healthy societies and economies.</w:t>
      </w:r>
    </w:p>
    <w:p w14:paraId="7A66B985" w14:textId="060C65A6" w:rsidR="008126FB" w:rsidRPr="00C12B13" w:rsidRDefault="008126FB" w:rsidP="00C12B13">
      <w:pPr>
        <w:spacing w:line="276" w:lineRule="auto"/>
        <w:rPr>
          <w:rFonts w:ascii="Arial" w:hAnsi="Arial" w:cs="Arial"/>
        </w:rPr>
      </w:pPr>
      <w:r w:rsidRPr="00C12B13">
        <w:rPr>
          <w:rFonts w:ascii="Arial" w:hAnsi="Arial" w:cs="Arial"/>
        </w:rPr>
        <w:t xml:space="preserve">APEC economies </w:t>
      </w:r>
      <w:r w:rsidR="00114F93">
        <w:rPr>
          <w:rFonts w:ascii="Arial" w:hAnsi="Arial" w:cs="Arial"/>
        </w:rPr>
        <w:t>include the</w:t>
      </w:r>
      <w:r w:rsidRPr="00C12B13">
        <w:rPr>
          <w:rFonts w:ascii="Arial" w:hAnsi="Arial" w:cs="Arial"/>
        </w:rPr>
        <w:t xml:space="preserve"> most rapidly aging populations in the world</w:t>
      </w:r>
      <w:r w:rsidR="00114F93">
        <w:rPr>
          <w:rFonts w:ascii="Arial" w:hAnsi="Arial" w:cs="Arial"/>
        </w:rPr>
        <w:t>, a</w:t>
      </w:r>
      <w:r w:rsidRPr="00C12B13">
        <w:rPr>
          <w:rFonts w:ascii="Arial" w:hAnsi="Arial" w:cs="Arial"/>
        </w:rPr>
        <w:t xml:space="preserve"> demographic change </w:t>
      </w:r>
      <w:r w:rsidR="00114F93">
        <w:rPr>
          <w:rFonts w:ascii="Arial" w:hAnsi="Arial" w:cs="Arial"/>
        </w:rPr>
        <w:t xml:space="preserve">that </w:t>
      </w:r>
      <w:r w:rsidRPr="00C12B13">
        <w:rPr>
          <w:rFonts w:ascii="Arial" w:hAnsi="Arial" w:cs="Arial"/>
        </w:rPr>
        <w:t xml:space="preserve">has implications for sustainable economic growth and development. </w:t>
      </w:r>
      <w:r w:rsidR="001A05F2" w:rsidRPr="00C12B13">
        <w:rPr>
          <w:rFonts w:ascii="Arial" w:hAnsi="Arial" w:cs="Arial"/>
        </w:rPr>
        <w:t>HLM9 highlighted the positive social and economic impacts associated with the active participation of older persons in the econom</w:t>
      </w:r>
      <w:r w:rsidR="00114F93">
        <w:rPr>
          <w:rFonts w:ascii="Arial" w:hAnsi="Arial" w:cs="Arial"/>
        </w:rPr>
        <w:t>y</w:t>
      </w:r>
      <w:r w:rsidR="001A05F2" w:rsidRPr="00C12B13">
        <w:rPr>
          <w:rFonts w:ascii="Arial" w:hAnsi="Arial" w:cs="Arial"/>
        </w:rPr>
        <w:t xml:space="preserve">. </w:t>
      </w:r>
      <w:r w:rsidRPr="00C12B13">
        <w:rPr>
          <w:rFonts w:ascii="Arial" w:hAnsi="Arial" w:cs="Arial"/>
        </w:rPr>
        <w:t xml:space="preserve">HLM9 </w:t>
      </w:r>
      <w:r w:rsidR="001A05F2" w:rsidRPr="00C12B13">
        <w:rPr>
          <w:rFonts w:ascii="Arial" w:hAnsi="Arial" w:cs="Arial"/>
        </w:rPr>
        <w:t xml:space="preserve">also </w:t>
      </w:r>
      <w:r w:rsidRPr="00C12B13">
        <w:rPr>
          <w:rFonts w:ascii="Arial" w:hAnsi="Arial" w:cs="Arial"/>
        </w:rPr>
        <w:t>recognized that the promotion of “Healthy Aging” is critical for mitigating the added health burden and costs associated with an aging population. Additionally,</w:t>
      </w:r>
      <w:r w:rsidRPr="00C12B13">
        <w:rPr>
          <w:rFonts w:ascii="Arial" w:hAnsi="Arial" w:cs="Arial"/>
          <w:b/>
        </w:rPr>
        <w:t xml:space="preserve"> </w:t>
      </w:r>
      <w:r w:rsidRPr="00C12B13">
        <w:rPr>
          <w:rFonts w:ascii="Arial" w:hAnsi="Arial" w:cs="Arial"/>
        </w:rPr>
        <w:t xml:space="preserve">APEC economies recognized that optimizing opportunities for good health at all stages of life is necessary to facilitate healthy aging, promote the health and well-being of older people, </w:t>
      </w:r>
      <w:r w:rsidR="00B824E1" w:rsidRPr="00C12B13">
        <w:rPr>
          <w:rFonts w:ascii="Arial" w:hAnsi="Arial" w:cs="Arial"/>
        </w:rPr>
        <w:t>and ensure economic growth across society for all citizens.</w:t>
      </w:r>
    </w:p>
    <w:p w14:paraId="51E81488" w14:textId="77777777" w:rsidR="008126FB" w:rsidRDefault="008126FB" w:rsidP="008126FB">
      <w:pPr>
        <w:spacing w:line="276" w:lineRule="auto"/>
        <w:rPr>
          <w:rFonts w:ascii="Arial" w:hAnsi="Arial" w:cs="Arial"/>
          <w:b/>
        </w:rPr>
      </w:pPr>
      <w:r>
        <w:rPr>
          <w:rFonts w:ascii="Arial" w:hAnsi="Arial" w:cs="Arial"/>
          <w:b/>
        </w:rPr>
        <w:t>PROMOTING HEALTHY AGING IN THE APEC REGION</w:t>
      </w:r>
    </w:p>
    <w:p w14:paraId="798CC709" w14:textId="2FF9433E" w:rsidR="008126FB" w:rsidRPr="004858FD" w:rsidRDefault="008126FB" w:rsidP="004858FD">
      <w:pPr>
        <w:spacing w:line="276" w:lineRule="auto"/>
        <w:rPr>
          <w:rFonts w:ascii="Arial" w:hAnsi="Arial" w:cs="Arial"/>
        </w:rPr>
      </w:pPr>
      <w:r w:rsidRPr="00C12B13">
        <w:rPr>
          <w:rFonts w:ascii="Arial" w:hAnsi="Arial" w:cs="Arial"/>
        </w:rPr>
        <w:t xml:space="preserve">APEC economies recognized the value of effectively addressing the needs of aging populations in order to </w:t>
      </w:r>
      <w:r w:rsidR="00250B2F">
        <w:rPr>
          <w:rFonts w:ascii="Arial" w:hAnsi="Arial" w:cs="Arial"/>
        </w:rPr>
        <w:t>work</w:t>
      </w:r>
      <w:r w:rsidR="00114F93">
        <w:rPr>
          <w:rFonts w:ascii="Arial" w:hAnsi="Arial" w:cs="Arial"/>
        </w:rPr>
        <w:t xml:space="preserve"> towards</w:t>
      </w:r>
      <w:r w:rsidR="00B824E1" w:rsidRPr="00C12B13">
        <w:rPr>
          <w:rFonts w:ascii="Arial" w:hAnsi="Arial" w:cs="Arial"/>
        </w:rPr>
        <w:t xml:space="preserve"> </w:t>
      </w:r>
      <w:r w:rsidRPr="00C12B13">
        <w:rPr>
          <w:rFonts w:ascii="Arial" w:hAnsi="Arial" w:cs="Arial"/>
        </w:rPr>
        <w:t xml:space="preserve">the Sustainable Development Goals (SDGs), and </w:t>
      </w:r>
      <w:r w:rsidR="00114F93">
        <w:rPr>
          <w:rFonts w:ascii="Arial" w:hAnsi="Arial" w:cs="Arial"/>
        </w:rPr>
        <w:t>achieve</w:t>
      </w:r>
      <w:r w:rsidR="00114F93" w:rsidRPr="00C12B13">
        <w:rPr>
          <w:rFonts w:ascii="Arial" w:hAnsi="Arial" w:cs="Arial"/>
        </w:rPr>
        <w:t xml:space="preserve"> </w:t>
      </w:r>
      <w:r w:rsidRPr="00C12B13">
        <w:rPr>
          <w:rFonts w:ascii="Arial" w:hAnsi="Arial" w:cs="Arial"/>
        </w:rPr>
        <w:t xml:space="preserve">the </w:t>
      </w:r>
      <w:r w:rsidRPr="00C12B13">
        <w:rPr>
          <w:rFonts w:ascii="Arial" w:hAnsi="Arial" w:cs="Arial"/>
          <w:i/>
        </w:rPr>
        <w:t>Healthy-Asia Pacific 2020 Initiative’</w:t>
      </w:r>
      <w:r w:rsidRPr="004858FD">
        <w:rPr>
          <w:rFonts w:ascii="Arial" w:hAnsi="Arial" w:cs="Arial"/>
        </w:rPr>
        <w:t xml:space="preserve">s </w:t>
      </w:r>
      <w:r w:rsidRPr="00C12B13">
        <w:rPr>
          <w:rFonts w:ascii="Arial" w:hAnsi="Arial" w:cs="Arial"/>
        </w:rPr>
        <w:t>to develop sustainable and high</w:t>
      </w:r>
      <w:r w:rsidR="00114F93">
        <w:rPr>
          <w:rFonts w:ascii="Arial" w:hAnsi="Arial" w:cs="Arial"/>
        </w:rPr>
        <w:t>-</w:t>
      </w:r>
      <w:r w:rsidRPr="00C12B13">
        <w:rPr>
          <w:rFonts w:ascii="Arial" w:hAnsi="Arial" w:cs="Arial"/>
        </w:rPr>
        <w:t>performing health systems by integrating health into all policies and considering health across the life course. As the aging of populations accelerates, integrated care</w:t>
      </w:r>
      <w:r w:rsidRPr="00EC1A8C">
        <w:rPr>
          <w:rStyle w:val="FootnoteReference"/>
          <w:rFonts w:ascii="Arial" w:hAnsi="Arial" w:cs="Arial"/>
        </w:rPr>
        <w:footnoteReference w:id="1"/>
      </w:r>
      <w:r w:rsidRPr="00C12B13">
        <w:rPr>
          <w:rFonts w:ascii="Arial" w:hAnsi="Arial" w:cs="Arial"/>
        </w:rPr>
        <w:t xml:space="preserve"> and </w:t>
      </w:r>
      <w:r w:rsidR="00DB27AD">
        <w:rPr>
          <w:rFonts w:ascii="Arial" w:hAnsi="Arial" w:cs="Arial"/>
        </w:rPr>
        <w:t>people</w:t>
      </w:r>
      <w:r w:rsidRPr="00C12B13">
        <w:rPr>
          <w:rFonts w:ascii="Arial" w:hAnsi="Arial" w:cs="Arial"/>
        </w:rPr>
        <w:t xml:space="preserve">-centered approaches are critical to ensuring the optimal well-being of an aging population and encouraging </w:t>
      </w:r>
      <w:r w:rsidR="00114F93">
        <w:rPr>
          <w:rFonts w:ascii="Arial" w:hAnsi="Arial" w:cs="Arial"/>
        </w:rPr>
        <w:t>h</w:t>
      </w:r>
      <w:r w:rsidR="00114F93" w:rsidRPr="00C12B13">
        <w:rPr>
          <w:rFonts w:ascii="Arial" w:hAnsi="Arial" w:cs="Arial"/>
        </w:rPr>
        <w:t xml:space="preserve">ealthy </w:t>
      </w:r>
      <w:r w:rsidR="00114F93">
        <w:rPr>
          <w:rFonts w:ascii="Arial" w:hAnsi="Arial" w:cs="Arial"/>
        </w:rPr>
        <w:t>a</w:t>
      </w:r>
      <w:r w:rsidR="00114F93" w:rsidRPr="00C12B13">
        <w:rPr>
          <w:rFonts w:ascii="Arial" w:hAnsi="Arial" w:cs="Arial"/>
        </w:rPr>
        <w:t>ging</w:t>
      </w:r>
      <w:r w:rsidRPr="00C12B13">
        <w:rPr>
          <w:rFonts w:ascii="Arial" w:hAnsi="Arial" w:cs="Arial"/>
        </w:rPr>
        <w:t xml:space="preserve">. However, APEC economies have not seen optimal transformation of health systems to achieve this </w:t>
      </w:r>
      <w:r w:rsidR="00114F93">
        <w:rPr>
          <w:rFonts w:ascii="Arial" w:hAnsi="Arial" w:cs="Arial"/>
        </w:rPr>
        <w:t>goal</w:t>
      </w:r>
      <w:r w:rsidRPr="00C12B13">
        <w:rPr>
          <w:rFonts w:ascii="Arial" w:hAnsi="Arial" w:cs="Arial"/>
        </w:rPr>
        <w:t>. HLM9 underscored the importance of considering the needs of older persons</w:t>
      </w:r>
      <w:r w:rsidR="000C4D2A">
        <w:rPr>
          <w:rFonts w:ascii="Arial" w:hAnsi="Arial" w:cs="Arial"/>
        </w:rPr>
        <w:t xml:space="preserve"> when pursuing UHC</w:t>
      </w:r>
      <w:r w:rsidRPr="00C12B13">
        <w:rPr>
          <w:rFonts w:ascii="Arial" w:hAnsi="Arial" w:cs="Arial"/>
        </w:rPr>
        <w:t>.</w:t>
      </w:r>
    </w:p>
    <w:p w14:paraId="65E7DFC2" w14:textId="77B1A46A" w:rsidR="008126FB" w:rsidRPr="004858FD" w:rsidRDefault="008126FB" w:rsidP="004858FD">
      <w:pPr>
        <w:spacing w:line="276" w:lineRule="auto"/>
        <w:rPr>
          <w:rFonts w:ascii="Arial" w:hAnsi="Arial" w:cs="Arial"/>
          <w:lang w:val="en-GB"/>
        </w:rPr>
      </w:pPr>
      <w:r w:rsidRPr="00C12B13">
        <w:rPr>
          <w:rFonts w:ascii="Arial" w:hAnsi="Arial" w:cs="Arial"/>
          <w:lang w:val="en-GB" w:eastAsia="en-GB"/>
        </w:rPr>
        <w:t xml:space="preserve">HLM9 recognized </w:t>
      </w:r>
      <w:r w:rsidR="00CD3C6B">
        <w:rPr>
          <w:rFonts w:ascii="Arial" w:hAnsi="Arial" w:cs="Arial"/>
          <w:lang w:val="en-GB" w:eastAsia="en-GB"/>
        </w:rPr>
        <w:t>prevention as a key driver of healthy aging</w:t>
      </w:r>
      <w:r w:rsidRPr="00C12B13">
        <w:rPr>
          <w:rFonts w:ascii="Arial" w:hAnsi="Arial" w:cs="Arial"/>
          <w:lang w:val="en-GB" w:eastAsia="en-GB"/>
        </w:rPr>
        <w:t xml:space="preserve"> across the life course to address th</w:t>
      </w:r>
      <w:r w:rsidR="00114F93" w:rsidRPr="00C12B13">
        <w:rPr>
          <w:rFonts w:ascii="Arial" w:hAnsi="Arial" w:cs="Arial"/>
          <w:lang w:val="en-GB" w:eastAsia="en-GB"/>
        </w:rPr>
        <w:t xml:space="preserve">e </w:t>
      </w:r>
      <w:r w:rsidRPr="00C12B13">
        <w:rPr>
          <w:rFonts w:ascii="Arial" w:hAnsi="Arial" w:cs="Arial"/>
          <w:lang w:val="en-GB" w:eastAsia="en-GB"/>
        </w:rPr>
        <w:t>many</w:t>
      </w:r>
      <w:r w:rsidRPr="00C12B13">
        <w:rPr>
          <w:rFonts w:ascii="Arial" w:hAnsi="Arial" w:cs="Arial"/>
        </w:rPr>
        <w:t xml:space="preserve"> health conditions, </w:t>
      </w:r>
      <w:r w:rsidR="00BA2FFB" w:rsidRPr="00C12B13">
        <w:rPr>
          <w:rFonts w:ascii="Arial" w:hAnsi="Arial" w:cs="Arial"/>
        </w:rPr>
        <w:t xml:space="preserve">social determinants </w:t>
      </w:r>
      <w:r w:rsidRPr="00C12B13">
        <w:rPr>
          <w:rFonts w:ascii="Arial" w:hAnsi="Arial" w:cs="Arial"/>
        </w:rPr>
        <w:t xml:space="preserve">and economic costs, that affect the later part of a person’s life. </w:t>
      </w:r>
      <w:r w:rsidRPr="00C12B13" w:rsidDel="00887B29">
        <w:rPr>
          <w:rFonts w:ascii="Arial" w:hAnsi="Arial" w:cs="Arial"/>
        </w:rPr>
        <w:t xml:space="preserve">Prevention programs, which include screening, advice for </w:t>
      </w:r>
      <w:r w:rsidR="00A8279F" w:rsidRPr="00C12B13">
        <w:rPr>
          <w:rFonts w:ascii="Arial" w:hAnsi="Arial" w:cs="Arial"/>
        </w:rPr>
        <w:t>active lifestyles</w:t>
      </w:r>
      <w:r w:rsidR="00A8279F" w:rsidRPr="00C12B13" w:rsidDel="00887B29">
        <w:rPr>
          <w:rFonts w:ascii="Arial" w:hAnsi="Arial" w:cs="Arial"/>
        </w:rPr>
        <w:t xml:space="preserve"> </w:t>
      </w:r>
      <w:r w:rsidRPr="00C12B13" w:rsidDel="00887B29">
        <w:rPr>
          <w:rFonts w:ascii="Arial" w:hAnsi="Arial" w:cs="Arial"/>
        </w:rPr>
        <w:t xml:space="preserve">and </w:t>
      </w:r>
      <w:r w:rsidR="00A8279F" w:rsidRPr="00C12B13">
        <w:rPr>
          <w:rFonts w:ascii="Arial" w:hAnsi="Arial" w:cs="Arial"/>
        </w:rPr>
        <w:t xml:space="preserve">good </w:t>
      </w:r>
      <w:r w:rsidRPr="00C12B13" w:rsidDel="00887B29">
        <w:rPr>
          <w:rFonts w:ascii="Arial" w:hAnsi="Arial" w:cs="Arial"/>
        </w:rPr>
        <w:t>nutrition</w:t>
      </w:r>
      <w:r w:rsidRPr="00C12B13">
        <w:rPr>
          <w:rFonts w:ascii="Arial" w:hAnsi="Arial" w:cs="Arial"/>
        </w:rPr>
        <w:t xml:space="preserve">, </w:t>
      </w:r>
      <w:r w:rsidRPr="00C12B13" w:rsidDel="00887B29">
        <w:rPr>
          <w:rFonts w:ascii="Arial" w:hAnsi="Arial" w:cs="Arial"/>
        </w:rPr>
        <w:t xml:space="preserve">smoking cessation, </w:t>
      </w:r>
      <w:r w:rsidR="004C078B" w:rsidRPr="00C12B13">
        <w:rPr>
          <w:rFonts w:ascii="Arial" w:hAnsi="Arial" w:cs="Arial"/>
        </w:rPr>
        <w:t>reduction of alcohol</w:t>
      </w:r>
      <w:r w:rsidR="00CD3C6B">
        <w:rPr>
          <w:rFonts w:ascii="Arial" w:hAnsi="Arial" w:cs="Arial"/>
        </w:rPr>
        <w:t>-</w:t>
      </w:r>
      <w:r w:rsidR="004C078B" w:rsidRPr="00C12B13">
        <w:rPr>
          <w:rFonts w:ascii="Arial" w:hAnsi="Arial" w:cs="Arial"/>
        </w:rPr>
        <w:t xml:space="preserve">related harms </w:t>
      </w:r>
      <w:r w:rsidRPr="00C12B13" w:rsidDel="00887B29">
        <w:rPr>
          <w:rFonts w:ascii="Arial" w:hAnsi="Arial" w:cs="Arial"/>
        </w:rPr>
        <w:t>and immunization</w:t>
      </w:r>
      <w:r w:rsidR="00B824E1" w:rsidRPr="00C12B13">
        <w:rPr>
          <w:rFonts w:ascii="Arial" w:hAnsi="Arial" w:cs="Arial"/>
        </w:rPr>
        <w:t>, particularly adult vaccines,</w:t>
      </w:r>
      <w:r w:rsidRPr="00C12B13" w:rsidDel="00887B29">
        <w:rPr>
          <w:rFonts w:ascii="Arial" w:hAnsi="Arial" w:cs="Arial"/>
        </w:rPr>
        <w:t xml:space="preserve"> have an important role to play in ensuring </w:t>
      </w:r>
      <w:r w:rsidR="00BA2FFB" w:rsidRPr="00C12B13">
        <w:rPr>
          <w:rFonts w:ascii="Arial" w:hAnsi="Arial" w:cs="Arial"/>
        </w:rPr>
        <w:t>older persons</w:t>
      </w:r>
      <w:r w:rsidRPr="00C12B13" w:rsidDel="00887B29">
        <w:rPr>
          <w:rFonts w:ascii="Arial" w:hAnsi="Arial" w:cs="Arial"/>
        </w:rPr>
        <w:t xml:space="preserve"> can remain </w:t>
      </w:r>
      <w:r w:rsidRPr="00C12B13" w:rsidDel="00887B29">
        <w:rPr>
          <w:rFonts w:ascii="Arial" w:hAnsi="Arial" w:cs="Arial"/>
        </w:rPr>
        <w:lastRenderedPageBreak/>
        <w:t xml:space="preserve">active contributors to </w:t>
      </w:r>
      <w:r w:rsidR="00CD3C6B">
        <w:rPr>
          <w:rFonts w:ascii="Arial" w:hAnsi="Arial" w:cs="Arial"/>
        </w:rPr>
        <w:t>the economy</w:t>
      </w:r>
      <w:r w:rsidR="00CD3C6B" w:rsidRPr="00C12B13" w:rsidDel="00887B29">
        <w:rPr>
          <w:rFonts w:ascii="Arial" w:hAnsi="Arial" w:cs="Arial"/>
        </w:rPr>
        <w:t xml:space="preserve"> </w:t>
      </w:r>
      <w:r w:rsidRPr="00C12B13" w:rsidDel="00887B29">
        <w:rPr>
          <w:rFonts w:ascii="Arial" w:hAnsi="Arial" w:cs="Arial"/>
        </w:rPr>
        <w:t xml:space="preserve">and maintain their functional ability </w:t>
      </w:r>
      <w:r w:rsidRPr="00C12B13">
        <w:rPr>
          <w:rFonts w:ascii="Arial" w:hAnsi="Arial" w:cs="Arial"/>
        </w:rPr>
        <w:t>as they age</w:t>
      </w:r>
      <w:r w:rsidRPr="00C12B13" w:rsidDel="00887B29">
        <w:rPr>
          <w:rFonts w:ascii="Arial" w:hAnsi="Arial" w:cs="Arial"/>
        </w:rPr>
        <w:t>.</w:t>
      </w:r>
      <w:r w:rsidRPr="00C12B13">
        <w:rPr>
          <w:rFonts w:ascii="Arial" w:hAnsi="Arial" w:cs="Arial"/>
        </w:rPr>
        <w:t xml:space="preserve"> APEC economies also emphasized the role of prevention </w:t>
      </w:r>
      <w:r w:rsidR="00BA2FFB" w:rsidRPr="00C12B13">
        <w:rPr>
          <w:rFonts w:ascii="Arial" w:hAnsi="Arial" w:cs="Arial"/>
        </w:rPr>
        <w:t xml:space="preserve">and care </w:t>
      </w:r>
      <w:r w:rsidRPr="00C12B13">
        <w:rPr>
          <w:rFonts w:ascii="Arial" w:hAnsi="Arial" w:cs="Arial"/>
        </w:rPr>
        <w:t>in supporting the 71 million people projected to have dementia in the Asia-Pacific by the year 2050</w:t>
      </w:r>
      <w:r w:rsidRPr="00EC1A8C">
        <w:rPr>
          <w:rStyle w:val="FootnoteReference"/>
          <w:rFonts w:ascii="Arial" w:hAnsi="Arial" w:cs="Arial"/>
        </w:rPr>
        <w:footnoteReference w:id="2"/>
      </w:r>
      <w:r w:rsidRPr="00C12B13">
        <w:rPr>
          <w:rFonts w:ascii="Arial" w:hAnsi="Arial" w:cs="Arial"/>
        </w:rPr>
        <w:t xml:space="preserve">. With an estimated cost of US$ 182 billion, HLM9 reaffirmed the need </w:t>
      </w:r>
      <w:r w:rsidR="001A05F2" w:rsidRPr="00C12B13">
        <w:rPr>
          <w:rFonts w:ascii="Arial" w:hAnsi="Arial" w:cs="Arial"/>
        </w:rPr>
        <w:t xml:space="preserve">to </w:t>
      </w:r>
      <w:r w:rsidRPr="00C12B13">
        <w:rPr>
          <w:rFonts w:ascii="Arial" w:hAnsi="Arial" w:cs="Arial"/>
        </w:rPr>
        <w:t>increase funding for dementia research,</w:t>
      </w:r>
      <w:r w:rsidR="001A05F2" w:rsidRPr="00C12B13">
        <w:rPr>
          <w:rFonts w:ascii="Arial" w:hAnsi="Arial" w:cs="Arial"/>
        </w:rPr>
        <w:t xml:space="preserve"> to</w:t>
      </w:r>
      <w:r w:rsidRPr="00C12B13">
        <w:rPr>
          <w:rFonts w:ascii="Arial" w:hAnsi="Arial" w:cs="Arial"/>
        </w:rPr>
        <w:t xml:space="preserve"> shar</w:t>
      </w:r>
      <w:r w:rsidR="001A05F2" w:rsidRPr="00C12B13">
        <w:rPr>
          <w:rFonts w:ascii="Arial" w:hAnsi="Arial" w:cs="Arial"/>
        </w:rPr>
        <w:t>e</w:t>
      </w:r>
      <w:r w:rsidRPr="00C12B13">
        <w:rPr>
          <w:rFonts w:ascii="Arial" w:hAnsi="Arial" w:cs="Arial"/>
        </w:rPr>
        <w:t xml:space="preserve"> knowledge and best practices </w:t>
      </w:r>
      <w:r w:rsidR="00CD3C6B">
        <w:rPr>
          <w:rFonts w:ascii="Arial" w:hAnsi="Arial" w:cs="Arial"/>
        </w:rPr>
        <w:t>in</w:t>
      </w:r>
      <w:r w:rsidR="001A05F2" w:rsidRPr="00C12B13">
        <w:rPr>
          <w:rFonts w:ascii="Arial" w:hAnsi="Arial" w:cs="Arial"/>
        </w:rPr>
        <w:t xml:space="preserve"> </w:t>
      </w:r>
      <w:r w:rsidRPr="00C12B13">
        <w:rPr>
          <w:rFonts w:ascii="Arial" w:hAnsi="Arial" w:cs="Arial"/>
        </w:rPr>
        <w:t xml:space="preserve">the region, and the incorporation of care provider experiences when developing </w:t>
      </w:r>
      <w:r w:rsidR="00CD3C6B">
        <w:rPr>
          <w:rFonts w:ascii="Arial" w:hAnsi="Arial" w:cs="Arial"/>
        </w:rPr>
        <w:t xml:space="preserve">dementia </w:t>
      </w:r>
      <w:r w:rsidRPr="00C12B13">
        <w:rPr>
          <w:rFonts w:ascii="Arial" w:hAnsi="Arial" w:cs="Arial"/>
        </w:rPr>
        <w:t>policies. HLM9 also highlighted the importance of integrating preventative approaches and creating age-friendly environments across a variety of sectors in addition to health, including long-term care,</w:t>
      </w:r>
      <w:r w:rsidR="00AC70A5" w:rsidRPr="00C12B13">
        <w:rPr>
          <w:rFonts w:ascii="Arial" w:hAnsi="Arial" w:cs="Arial"/>
        </w:rPr>
        <w:t xml:space="preserve"> elder home care,</w:t>
      </w:r>
      <w:r w:rsidRPr="00C12B13">
        <w:rPr>
          <w:rFonts w:ascii="Arial" w:hAnsi="Arial" w:cs="Arial"/>
        </w:rPr>
        <w:t xml:space="preserve"> transportation, housing, labor, and social protection</w:t>
      </w:r>
      <w:r w:rsidR="00BA2FFB" w:rsidRPr="00C12B13">
        <w:rPr>
          <w:rFonts w:ascii="Arial" w:hAnsi="Arial" w:cs="Arial"/>
        </w:rPr>
        <w:t xml:space="preserve"> and support</w:t>
      </w:r>
      <w:r w:rsidRPr="00C12B13">
        <w:rPr>
          <w:rFonts w:ascii="Arial" w:hAnsi="Arial" w:cs="Arial"/>
          <w:lang w:val="en-GB" w:eastAsia="en-GB"/>
        </w:rPr>
        <w:t>.</w:t>
      </w:r>
    </w:p>
    <w:p w14:paraId="1E931A0E" w14:textId="408894FF" w:rsidR="00F8594C" w:rsidRPr="004858FD" w:rsidRDefault="008126FB" w:rsidP="004858FD">
      <w:r w:rsidRPr="00C12B13">
        <w:rPr>
          <w:rFonts w:ascii="Arial" w:hAnsi="Arial" w:cs="Arial"/>
        </w:rPr>
        <w:t xml:space="preserve">APEC economies also stressed that health care systems </w:t>
      </w:r>
      <w:r w:rsidR="00CD3C6B">
        <w:rPr>
          <w:rFonts w:ascii="Arial" w:hAnsi="Arial" w:cs="Arial"/>
        </w:rPr>
        <w:t xml:space="preserve">should </w:t>
      </w:r>
      <w:r w:rsidRPr="00C12B13">
        <w:rPr>
          <w:rFonts w:ascii="Arial" w:hAnsi="Arial" w:cs="Arial"/>
        </w:rPr>
        <w:t xml:space="preserve">support </w:t>
      </w:r>
      <w:r w:rsidR="00CD3C6B">
        <w:rPr>
          <w:rFonts w:ascii="Arial" w:hAnsi="Arial" w:cs="Arial"/>
        </w:rPr>
        <w:t>h</w:t>
      </w:r>
      <w:r w:rsidR="00CD3C6B" w:rsidRPr="00C12B13">
        <w:rPr>
          <w:rFonts w:ascii="Arial" w:hAnsi="Arial" w:cs="Arial"/>
        </w:rPr>
        <w:t xml:space="preserve">ealthy </w:t>
      </w:r>
      <w:r w:rsidR="00CD3C6B">
        <w:rPr>
          <w:rFonts w:ascii="Arial" w:hAnsi="Arial" w:cs="Arial"/>
        </w:rPr>
        <w:t>a</w:t>
      </w:r>
      <w:r w:rsidR="00CD3C6B" w:rsidRPr="00C12B13">
        <w:rPr>
          <w:rFonts w:ascii="Arial" w:hAnsi="Arial" w:cs="Arial"/>
        </w:rPr>
        <w:t xml:space="preserve">ging </w:t>
      </w:r>
      <w:r w:rsidRPr="00C12B13">
        <w:rPr>
          <w:rFonts w:ascii="Arial" w:hAnsi="Arial" w:cs="Arial"/>
        </w:rPr>
        <w:t>by prevent</w:t>
      </w:r>
      <w:r w:rsidR="00CD3C6B">
        <w:rPr>
          <w:rFonts w:ascii="Arial" w:hAnsi="Arial" w:cs="Arial"/>
        </w:rPr>
        <w:t>ing</w:t>
      </w:r>
      <w:r w:rsidR="001A05F2" w:rsidRPr="00C12B13">
        <w:rPr>
          <w:rFonts w:ascii="Arial" w:hAnsi="Arial" w:cs="Arial"/>
        </w:rPr>
        <w:t xml:space="preserve"> of</w:t>
      </w:r>
      <w:r w:rsidRPr="00C12B13">
        <w:rPr>
          <w:rFonts w:ascii="Arial" w:hAnsi="Arial" w:cs="Arial"/>
        </w:rPr>
        <w:t xml:space="preserve"> the spread of infectious diseases, which affect older individuals disproportionally. HLM9 reaffirmed vaccination </w:t>
      </w:r>
      <w:r w:rsidR="001A05F2" w:rsidRPr="00C12B13">
        <w:rPr>
          <w:rFonts w:ascii="Arial" w:hAnsi="Arial" w:cs="Arial"/>
        </w:rPr>
        <w:t xml:space="preserve">across the life course </w:t>
      </w:r>
      <w:r w:rsidRPr="00C12B13">
        <w:rPr>
          <w:rFonts w:ascii="Arial" w:hAnsi="Arial" w:cs="Arial"/>
        </w:rPr>
        <w:t>as a pillar of preventative healthcare, noting that vaccination prevent</w:t>
      </w:r>
      <w:r w:rsidR="001A05F2" w:rsidRPr="00C12B13">
        <w:rPr>
          <w:rFonts w:ascii="Arial" w:hAnsi="Arial" w:cs="Arial"/>
        </w:rPr>
        <w:t>s</w:t>
      </w:r>
      <w:r w:rsidRPr="00C12B13">
        <w:rPr>
          <w:rFonts w:ascii="Arial" w:hAnsi="Arial" w:cs="Arial"/>
        </w:rPr>
        <w:t xml:space="preserve"> illnesses, enabling populations to remain healthy, and </w:t>
      </w:r>
      <w:r w:rsidR="00CD3C6B" w:rsidRPr="00C12B13">
        <w:rPr>
          <w:rFonts w:ascii="Arial" w:hAnsi="Arial" w:cs="Arial"/>
        </w:rPr>
        <w:t>reduc</w:t>
      </w:r>
      <w:r w:rsidR="00CD3C6B">
        <w:rPr>
          <w:rFonts w:ascii="Arial" w:hAnsi="Arial" w:cs="Arial"/>
        </w:rPr>
        <w:t>es</w:t>
      </w:r>
      <w:r w:rsidR="00CD3C6B" w:rsidRPr="00C12B13">
        <w:rPr>
          <w:rFonts w:ascii="Arial" w:hAnsi="Arial" w:cs="Arial"/>
        </w:rPr>
        <w:t xml:space="preserve"> </w:t>
      </w:r>
      <w:r w:rsidRPr="00C12B13">
        <w:rPr>
          <w:rFonts w:ascii="Arial" w:hAnsi="Arial" w:cs="Arial"/>
        </w:rPr>
        <w:t xml:space="preserve">related expenditures over time. </w:t>
      </w:r>
    </w:p>
    <w:p w14:paraId="26110E3E" w14:textId="6B15A709" w:rsidR="008126FB" w:rsidRPr="00136EE2" w:rsidRDefault="00F8594C" w:rsidP="00136EE2">
      <w:pPr>
        <w:spacing w:line="276" w:lineRule="auto"/>
        <w:rPr>
          <w:rFonts w:ascii="Arial" w:hAnsi="Arial" w:cs="Arial"/>
        </w:rPr>
      </w:pPr>
      <w:r w:rsidRPr="00C12B13">
        <w:rPr>
          <w:rFonts w:ascii="Arial" w:hAnsi="Arial" w:cs="Arial"/>
        </w:rPr>
        <w:t>HLM9 acknowledged that older populations may</w:t>
      </w:r>
      <w:r w:rsidR="008B7E5A" w:rsidRPr="00C12B13">
        <w:rPr>
          <w:rFonts w:ascii="Arial" w:hAnsi="Arial" w:cs="Arial"/>
        </w:rPr>
        <w:t xml:space="preserve"> run into challenges</w:t>
      </w:r>
      <w:r w:rsidRPr="00C12B13">
        <w:rPr>
          <w:rFonts w:ascii="Arial" w:hAnsi="Arial" w:cs="Arial"/>
        </w:rPr>
        <w:t xml:space="preserve"> that can affect their health and quality of life, including financial insecurity, loneliness, social isolation and mental distress, and noted the importance of promoting and protecting the mental health and wellbeing of older persons through a multi-disciplinary and multi-sectoral approach.</w:t>
      </w:r>
    </w:p>
    <w:p w14:paraId="2416030D" w14:textId="613B2712" w:rsidR="00F8594C" w:rsidRPr="00C12B13" w:rsidRDefault="008126FB" w:rsidP="00C12B13">
      <w:pPr>
        <w:spacing w:line="276" w:lineRule="auto"/>
        <w:rPr>
          <w:rFonts w:ascii="Arial" w:hAnsi="Arial" w:cs="Arial"/>
        </w:rPr>
      </w:pPr>
      <w:r w:rsidRPr="00C12B13">
        <w:rPr>
          <w:rFonts w:ascii="Arial" w:hAnsi="Arial" w:cs="Arial"/>
        </w:rPr>
        <w:t xml:space="preserve">HLM9 reiterated the need to ensure sufficient and sustainable domestic public spending on health care in light of the increasing burden of disease and aging populations in APEC economies. Elder care and, in particular, </w:t>
      </w:r>
      <w:r w:rsidR="00CD3C6B">
        <w:rPr>
          <w:rFonts w:ascii="Arial" w:hAnsi="Arial" w:cs="Arial"/>
        </w:rPr>
        <w:t xml:space="preserve">home </w:t>
      </w:r>
      <w:r w:rsidRPr="00C12B13">
        <w:rPr>
          <w:rFonts w:ascii="Arial" w:hAnsi="Arial" w:cs="Arial"/>
        </w:rPr>
        <w:t xml:space="preserve">care, should be considered </w:t>
      </w:r>
      <w:r w:rsidR="00D03BD1" w:rsidRPr="00C12B13">
        <w:rPr>
          <w:rFonts w:ascii="Arial" w:hAnsi="Arial" w:cs="Arial"/>
        </w:rPr>
        <w:t xml:space="preserve">as </w:t>
      </w:r>
      <w:r w:rsidRPr="00C12B13">
        <w:rPr>
          <w:rFonts w:ascii="Arial" w:hAnsi="Arial" w:cs="Arial"/>
        </w:rPr>
        <w:t>an investment to support continued independence and reduce</w:t>
      </w:r>
      <w:r w:rsidR="00CD3C6B">
        <w:rPr>
          <w:rFonts w:ascii="Arial" w:hAnsi="Arial" w:cs="Arial"/>
        </w:rPr>
        <w:t xml:space="preserve"> spending on the aged</w:t>
      </w:r>
      <w:r w:rsidRPr="00C12B13">
        <w:rPr>
          <w:rFonts w:ascii="Arial" w:hAnsi="Arial" w:cs="Arial"/>
        </w:rPr>
        <w:t>. HLM9 reaffirmed the need for a whole-of-government and multisector approach and welcomed the continued collaboration between APEC Finance Ministers and the APEC Business Advisory Council</w:t>
      </w:r>
      <w:r w:rsidR="00CD3C6B">
        <w:rPr>
          <w:rFonts w:ascii="Arial" w:hAnsi="Arial" w:cs="Arial"/>
        </w:rPr>
        <w:t xml:space="preserve"> </w:t>
      </w:r>
      <w:r w:rsidRPr="00C12B13">
        <w:rPr>
          <w:rFonts w:ascii="Arial" w:hAnsi="Arial" w:cs="Arial"/>
        </w:rPr>
        <w:t>to share best practices, better quantify the value of innovative medicines</w:t>
      </w:r>
      <w:r w:rsidR="00CD3C6B">
        <w:rPr>
          <w:rFonts w:ascii="Arial" w:hAnsi="Arial" w:cs="Arial"/>
        </w:rPr>
        <w:t>,</w:t>
      </w:r>
      <w:r w:rsidRPr="00C12B13">
        <w:rPr>
          <w:rFonts w:ascii="Arial" w:hAnsi="Arial" w:cs="Arial"/>
        </w:rPr>
        <w:t xml:space="preserve"> and explore innovative health financing solutions and partnerships. </w:t>
      </w:r>
    </w:p>
    <w:p w14:paraId="718C7C8A" w14:textId="17D2F4A4" w:rsidR="00D03BD1" w:rsidRPr="00136EE2" w:rsidRDefault="00D03BD1" w:rsidP="00136EE2">
      <w:pPr>
        <w:tabs>
          <w:tab w:val="center" w:pos="4680"/>
          <w:tab w:val="right" w:pos="9360"/>
        </w:tabs>
        <w:spacing w:line="276" w:lineRule="auto"/>
        <w:rPr>
          <w:rFonts w:ascii="Arial" w:hAnsi="Arial" w:cs="Arial"/>
        </w:rPr>
      </w:pPr>
      <w:r w:rsidRPr="00C12B13">
        <w:rPr>
          <w:rFonts w:ascii="Arial" w:hAnsi="Arial" w:cs="Arial"/>
        </w:rPr>
        <w:t xml:space="preserve">HLM9 recognized the value of aligning APEC’s work on </w:t>
      </w:r>
      <w:r w:rsidR="00CD3C6B">
        <w:rPr>
          <w:rFonts w:ascii="Arial" w:hAnsi="Arial" w:cs="Arial"/>
        </w:rPr>
        <w:t>h</w:t>
      </w:r>
      <w:r w:rsidRPr="00C12B13">
        <w:rPr>
          <w:rFonts w:ascii="Arial" w:hAnsi="Arial" w:cs="Arial"/>
        </w:rPr>
        <w:t xml:space="preserve">ealthy </w:t>
      </w:r>
      <w:r w:rsidR="00CD3C6B">
        <w:rPr>
          <w:rFonts w:ascii="Arial" w:hAnsi="Arial" w:cs="Arial"/>
        </w:rPr>
        <w:t>a</w:t>
      </w:r>
      <w:r w:rsidRPr="00C12B13">
        <w:rPr>
          <w:rFonts w:ascii="Arial" w:hAnsi="Arial" w:cs="Arial"/>
        </w:rPr>
        <w:t>ging with the broader global health agenda and reaffirmed the importance of continued partnership and collaboration with other multilateral fora, civil society organizations, the private sector, and other partners.</w:t>
      </w:r>
    </w:p>
    <w:p w14:paraId="35929BC4" w14:textId="77777777" w:rsidR="00D03BD1" w:rsidRPr="005201BB" w:rsidRDefault="00D03BD1" w:rsidP="00D03BD1">
      <w:pPr>
        <w:spacing w:line="276" w:lineRule="auto"/>
        <w:rPr>
          <w:rFonts w:ascii="Arial" w:hAnsi="Arial" w:cs="Arial"/>
          <w:b/>
        </w:rPr>
      </w:pPr>
      <w:r w:rsidRPr="005201BB">
        <w:rPr>
          <w:rFonts w:ascii="Arial" w:hAnsi="Arial" w:cs="Arial"/>
          <w:b/>
        </w:rPr>
        <w:t>LOOKING AHEAD</w:t>
      </w:r>
    </w:p>
    <w:p w14:paraId="1F0728B5" w14:textId="5AF1965F" w:rsidR="006C2338" w:rsidRPr="00250B2F" w:rsidRDefault="00D03BD1" w:rsidP="00250B2F">
      <w:pPr>
        <w:spacing w:line="276" w:lineRule="auto"/>
        <w:rPr>
          <w:rFonts w:ascii="Arial" w:hAnsi="Arial" w:cs="Arial"/>
        </w:rPr>
      </w:pPr>
      <w:r w:rsidRPr="00C12B13">
        <w:rPr>
          <w:rFonts w:ascii="Arial" w:hAnsi="Arial" w:cs="Arial"/>
        </w:rPr>
        <w:t>HLM9 recognized that the exchange of international and APEC region experiences and best practices helps to shape and inform innovative policies and public services that not only improve health systems, but help entire economies adapt to an aging population</w:t>
      </w:r>
      <w:r w:rsidR="00250B2F">
        <w:rPr>
          <w:rFonts w:ascii="Arial" w:hAnsi="Arial" w:cs="Arial"/>
        </w:rPr>
        <w:t>.</w:t>
      </w:r>
    </w:p>
    <w:sectPr w:rsidR="006C2338" w:rsidRPr="00250B2F">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07D47" w14:textId="77777777" w:rsidR="00817F08" w:rsidRDefault="00817F08" w:rsidP="008126FB">
      <w:pPr>
        <w:spacing w:after="0" w:line="240" w:lineRule="auto"/>
      </w:pPr>
      <w:r>
        <w:separator/>
      </w:r>
    </w:p>
  </w:endnote>
  <w:endnote w:type="continuationSeparator" w:id="0">
    <w:p w14:paraId="0599EDF9" w14:textId="77777777" w:rsidR="00817F08" w:rsidRDefault="00817F08" w:rsidP="00812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5033216"/>
      <w:docPartObj>
        <w:docPartGallery w:val="Page Numbers (Bottom of Page)"/>
        <w:docPartUnique/>
      </w:docPartObj>
    </w:sdtPr>
    <w:sdtEndPr>
      <w:rPr>
        <w:noProof/>
      </w:rPr>
    </w:sdtEndPr>
    <w:sdtContent>
      <w:p w14:paraId="638DF245" w14:textId="334F7BCF" w:rsidR="00B74340" w:rsidRDefault="00966AB6">
        <w:pPr>
          <w:pStyle w:val="Footer"/>
          <w:jc w:val="right"/>
        </w:pPr>
        <w:r>
          <w:fldChar w:fldCharType="begin"/>
        </w:r>
        <w:r>
          <w:instrText xml:space="preserve"> PAGE   \* MERGEFORMAT </w:instrText>
        </w:r>
        <w:r>
          <w:fldChar w:fldCharType="separate"/>
        </w:r>
        <w:r w:rsidR="00562242">
          <w:rPr>
            <w:noProof/>
          </w:rPr>
          <w:t>2</w:t>
        </w:r>
        <w:r>
          <w:rPr>
            <w:noProof/>
          </w:rPr>
          <w:fldChar w:fldCharType="end"/>
        </w:r>
      </w:p>
    </w:sdtContent>
  </w:sdt>
  <w:p w14:paraId="57941AD4" w14:textId="77777777" w:rsidR="00B74340" w:rsidRDefault="00CD3C6B">
    <w:pPr>
      <w:pStyle w:val="Footer"/>
    </w:pPr>
    <w:r>
      <w:rPr>
        <w:noProof/>
        <w:lang w:val="en-US" w:eastAsia="zh-TW"/>
      </w:rPr>
      <mc:AlternateContent>
        <mc:Choice Requires="wps">
          <w:drawing>
            <wp:anchor distT="0" distB="0" distL="114300" distR="114300" simplePos="0" relativeHeight="251661312" behindDoc="0" locked="0" layoutInCell="0" allowOverlap="1" wp14:anchorId="2FF22DC5" wp14:editId="78D2A3B9">
              <wp:simplePos x="0" y="0"/>
              <wp:positionH relativeFrom="page">
                <wp:posOffset>0</wp:posOffset>
              </wp:positionH>
              <wp:positionV relativeFrom="page">
                <wp:posOffset>9601200</wp:posOffset>
              </wp:positionV>
              <wp:extent cx="7772400" cy="266700"/>
              <wp:effectExtent l="0" t="0" r="0" b="0"/>
              <wp:wrapNone/>
              <wp:docPr id="1" name="MSIPCMfab444c78f1c7a00a636cf01" descr="{&quot;HashCode&quot;:-107656116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B355B1" w14:textId="7FFC6F6F" w:rsidR="00CD3C6B" w:rsidRPr="00CD3C6B" w:rsidRDefault="00CD3C6B" w:rsidP="00CD3C6B">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FF22DC5" id="_x0000_t202" coordsize="21600,21600" o:spt="202" path="m,l,21600r21600,l21600,xe">
              <v:stroke joinstyle="miter"/>
              <v:path gradientshapeok="t" o:connecttype="rect"/>
            </v:shapetype>
            <v:shape id="MSIPCMfab444c78f1c7a00a636cf01" o:spid="_x0000_s1026" type="#_x0000_t202" alt="{&quot;HashCode&quot;:-1076561164,&quot;Height&quot;:792.0,&quot;Width&quot;:612.0,&quot;Placement&quot;:&quot;Footer&quot;,&quot;Index&quot;:&quot;Primary&quot;,&quot;Section&quot;:1,&quot;Top&quot;:0.0,&quot;Left&quot;:0.0}" style="position:absolute;margin-left:0;margin-top:756pt;width:612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GRjGAMAADgGAAAOAAAAZHJzL2Uyb0RvYy54bWysVFtv0zAUfkfiP0R54IkuScmSNaxDW6fC&#10;pMIqdWjPruMsFokdbHfNQPx3PjtOtwEPCPFin5uPz/nO5fRd3zbBPVOaSzEPk6M4DJigsuTibh5+&#10;vllOTsJAGyJK0kjB5uED0+G7s5cvTvddwaaylk3JVAAnQhf7bh7WxnRFFGlas5boI9kxAWUlVUsM&#10;WHUXlYrs4b1tomkcZ9FeqrJTkjKtIb0clOGZ819VjJrrqtLMBM08RGzGncqdW3tGZ6ekuFOkqzn1&#10;YZB/iKIlXODTg6tLYkiwU/w3Vy2nSmpZmSMq20hWFafM5YBskviXbDY16ZjLBeDo7gCT/n9u6af7&#10;tQp4idqFgSAtSvRxc7VefKzINk1Tmp9UCc1JHJPsTUarGFYl0xQIfn/1dSfN2w9E1wtZsoErJkmc&#10;Z8dZkmTpa2/A+F1tvDqfTY9ir7jlpam9PEse5euGUNYyMb4ZTJZSGqYG2ju4EiXrvYPhWiveEvXw&#10;zGqDHkBzervEv72RnZfEh4BWrBr/hPCH7Y19pwtAtOkAkukvZG9x8nINoS15X6nW3ihmAD267OHQ&#10;Waw3AYUwz/NpGkNFoZtmWQ4abqLH153S5j2TbWCJeagQtWsocr/SZjAdTexnQi5500BOikYE+3mY&#10;vTmO3YODBs4bYQ0QBHx4aujK77ME8VxMZ5NldpJP0mV6PJnl8ckkTmYXsyxOZ+nl8of1l6RFzcuS&#10;iRUXbJyQJP27DvSzOvS2m5FnoWrZ8NLmYWOz2S0aFdwTjOoWPfDFI/TEKnoejgMQ2Y23yzKyNRtq&#10;YynTb3tfsK0sH1BHJYEvSqE7uuT4dEW0WROFsYcQq8xc46gaCVClp8Kglurbn+TWHlhAGwZ7rJF5&#10;qL/uiGJh0FwJzOn0GGWHX+M4EMoRsyRNwWxHqdi1C4m8MV4Iy5HW1jQjWSnZ3mLVndvvoCKC4lMA&#10;NZILAw4KrErKzs8djRXTEbMSm45a1yPKN/0tUZ1vNAP8Pslx05Dil34bbO1LIc93RlbcNaNFdoAT&#10;2FsG68lVwa9Su/+e8s7qceGf/QQAAP//AwBQSwMEFAAGAAgAAAAhALtA7THcAAAACwEAAA8AAABk&#10;cnMvZG93bnJldi54bWxMT0FOwzAQvCPxB2uRuFEnEUUQ4lRVpSLBAdHQB7jxNkkbryPbacPv2Zzg&#10;Njszmp0pVpPtxQV96BwpSBcJCKTamY4aBfvv7cMziBA1Gd07QgU/GGBV3t4UOjfuSju8VLERHEIh&#10;1wraGIdcylC3aHVYuAGJtaPzVkc+fSON11cOt73MkuRJWt0Rf2j1gJsW63M1WgVrHNPw3m9Pb92+&#10;+vo4fUZvNi9K3d9N61cQEaf4Z4a5PleHkjsd3EgmiF4BD4nMLtOM0axn2SOjw8wtGcmykP83lL8A&#10;AAD//wMAUEsBAi0AFAAGAAgAAAAhALaDOJL+AAAA4QEAABMAAAAAAAAAAAAAAAAAAAAAAFtDb250&#10;ZW50X1R5cGVzXS54bWxQSwECLQAUAAYACAAAACEAOP0h/9YAAACUAQAACwAAAAAAAAAAAAAAAAAv&#10;AQAAX3JlbHMvLnJlbHNQSwECLQAUAAYACAAAACEAhMhkYxgDAAA4BgAADgAAAAAAAAAAAAAAAAAu&#10;AgAAZHJzL2Uyb0RvYy54bWxQSwECLQAUAAYACAAAACEAu0DtMdwAAAALAQAADwAAAAAAAAAAAAAA&#10;AAByBQAAZHJzL2Rvd25yZXYueG1sUEsFBgAAAAAEAAQA8wAAAHsGAAAAAA==&#10;" o:allowincell="f" filled="f" stroked="f" strokeweight=".5pt">
              <v:textbox inset="20pt,0,,0">
                <w:txbxContent>
                  <w:p w14:paraId="44B355B1" w14:textId="7FFC6F6F" w:rsidR="00CD3C6B" w:rsidRPr="00CD3C6B" w:rsidRDefault="00CD3C6B" w:rsidP="00CD3C6B">
                    <w:pPr>
                      <w:spacing w:after="0"/>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2D66A" w14:textId="77777777" w:rsidR="00817F08" w:rsidRDefault="00817F08" w:rsidP="008126FB">
      <w:pPr>
        <w:spacing w:after="0" w:line="240" w:lineRule="auto"/>
      </w:pPr>
      <w:r>
        <w:separator/>
      </w:r>
    </w:p>
  </w:footnote>
  <w:footnote w:type="continuationSeparator" w:id="0">
    <w:p w14:paraId="7E7AC077" w14:textId="77777777" w:rsidR="00817F08" w:rsidRDefault="00817F08" w:rsidP="008126FB">
      <w:pPr>
        <w:spacing w:after="0" w:line="240" w:lineRule="auto"/>
      </w:pPr>
      <w:r>
        <w:continuationSeparator/>
      </w:r>
    </w:p>
  </w:footnote>
  <w:footnote w:id="1">
    <w:p w14:paraId="43DFE326" w14:textId="77777777" w:rsidR="008126FB" w:rsidRPr="00457453" w:rsidRDefault="008126FB" w:rsidP="008126FB">
      <w:pPr>
        <w:pStyle w:val="FootnoteText"/>
        <w:rPr>
          <w:rFonts w:ascii="Arial" w:hAnsi="Arial" w:cs="Arial"/>
          <w:sz w:val="16"/>
          <w:szCs w:val="16"/>
        </w:rPr>
      </w:pPr>
      <w:r w:rsidRPr="00457453">
        <w:rPr>
          <w:rStyle w:val="FootnoteReference"/>
          <w:rFonts w:ascii="Arial" w:hAnsi="Arial" w:cs="Arial"/>
          <w:sz w:val="16"/>
          <w:szCs w:val="16"/>
        </w:rPr>
        <w:footnoteRef/>
      </w:r>
      <w:r w:rsidRPr="00457453">
        <w:rPr>
          <w:rFonts w:ascii="Arial" w:hAnsi="Arial" w:cs="Arial"/>
          <w:sz w:val="16"/>
          <w:szCs w:val="16"/>
        </w:rPr>
        <w:t xml:space="preserve"> Integrated Care is defined as health care that is managed and delivered in a way that ensures people receive a continuum of health promotion, disease prevention, diagnosis, treatment, disease management, rehabilitation and palliative care services, at the different levels and sites of care within the health system, and according to their needs, throughout their whole life.</w:t>
      </w:r>
    </w:p>
  </w:footnote>
  <w:footnote w:id="2">
    <w:p w14:paraId="7F19F4DA" w14:textId="77777777" w:rsidR="008126FB" w:rsidRDefault="008126FB" w:rsidP="008126FB">
      <w:pPr>
        <w:pStyle w:val="FootnoteText"/>
      </w:pPr>
      <w:r>
        <w:rPr>
          <w:rStyle w:val="FootnoteReference"/>
        </w:rPr>
        <w:footnoteRef/>
      </w:r>
      <w:r>
        <w:t xml:space="preserve"> </w:t>
      </w:r>
      <w:r w:rsidRPr="003658E2">
        <w:rPr>
          <w:rFonts w:ascii="Arial" w:hAnsi="Arial" w:cs="Arial"/>
          <w:sz w:val="16"/>
        </w:rPr>
        <w:t>Alzheimer’s Disease International, Alzheimer’s Australia. Dementia in the Asia Pacific Region [Internet]. London: 2014. P.64. Avail</w:t>
      </w:r>
      <w:bookmarkStart w:id="0" w:name="_GoBack"/>
      <w:bookmarkEnd w:id="0"/>
      <w:r w:rsidRPr="003658E2">
        <w:rPr>
          <w:rFonts w:ascii="Arial" w:hAnsi="Arial" w:cs="Arial"/>
          <w:sz w:val="16"/>
        </w:rPr>
        <w:t xml:space="preserve">able from: Alzheimer’s Disease International; </w:t>
      </w:r>
      <w:hyperlink r:id="rId1" w:history="1">
        <w:r w:rsidRPr="003658E2">
          <w:rPr>
            <w:rStyle w:val="Hyperlink"/>
            <w:rFonts w:ascii="Arial" w:hAnsi="Arial" w:cs="Arial"/>
            <w:sz w:val="16"/>
          </w:rPr>
          <w:t>https://www.alz.co.uk/adi/pdf/Dementia-Asia-Pacific-2014.pdf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874A4" w14:textId="77777777" w:rsidR="008A6B90" w:rsidRDefault="00966AB6">
    <w:pPr>
      <w:pStyle w:val="Header"/>
    </w:pPr>
    <w:r w:rsidRPr="00AB4FB9">
      <w:rPr>
        <w:noProof/>
        <w:color w:val="C00000"/>
        <w:lang w:val="en-US" w:eastAsia="zh-TW"/>
      </w:rPr>
      <w:drawing>
        <wp:anchor distT="0" distB="0" distL="114300" distR="114300" simplePos="0" relativeHeight="251660288" behindDoc="0" locked="0" layoutInCell="1" allowOverlap="1" wp14:anchorId="0E544D84" wp14:editId="532E8A9B">
          <wp:simplePos x="0" y="0"/>
          <wp:positionH relativeFrom="column">
            <wp:posOffset>4025265</wp:posOffset>
          </wp:positionH>
          <wp:positionV relativeFrom="paragraph">
            <wp:posOffset>-34354</wp:posOffset>
          </wp:positionV>
          <wp:extent cx="2058035" cy="676275"/>
          <wp:effectExtent l="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PEC Chile 2019 h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8035" cy="676275"/>
                  </a:xfrm>
                  <a:prstGeom prst="rect">
                    <a:avLst/>
                  </a:prstGeom>
                </pic:spPr>
              </pic:pic>
            </a:graphicData>
          </a:graphic>
          <wp14:sizeRelH relativeFrom="margin">
            <wp14:pctWidth>0</wp14:pctWidth>
          </wp14:sizeRelH>
          <wp14:sizeRelV relativeFrom="margin">
            <wp14:pctHeight>0</wp14:pctHeight>
          </wp14:sizeRelV>
        </wp:anchor>
      </w:drawing>
    </w:r>
    <w:r w:rsidRPr="005B091C">
      <w:rPr>
        <w:noProof/>
        <w:sz w:val="18"/>
        <w:szCs w:val="18"/>
        <w:lang w:val="en-US" w:eastAsia="zh-TW"/>
      </w:rPr>
      <w:drawing>
        <wp:anchor distT="0" distB="0" distL="114300" distR="114300" simplePos="0" relativeHeight="251659264" behindDoc="0" locked="0" layoutInCell="1" allowOverlap="1" wp14:anchorId="3B884B5A" wp14:editId="76BF9CE0">
          <wp:simplePos x="0" y="0"/>
          <wp:positionH relativeFrom="margin">
            <wp:align>left</wp:align>
          </wp:positionH>
          <wp:positionV relativeFrom="paragraph">
            <wp:posOffset>-97790</wp:posOffset>
          </wp:positionV>
          <wp:extent cx="1227455" cy="7086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EC Logo_jpg_vertical300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7455" cy="708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DF613D" w14:textId="77777777" w:rsidR="008A6B90" w:rsidRDefault="00817F08">
    <w:pPr>
      <w:pStyle w:val="Header"/>
    </w:pPr>
  </w:p>
  <w:p w14:paraId="3EA23AB3" w14:textId="77777777" w:rsidR="008A6B90" w:rsidRDefault="00817F08" w:rsidP="008A6B90">
    <w:pPr>
      <w:pStyle w:val="Header"/>
      <w:spacing w:line="360" w:lineRule="auto"/>
      <w:rPr>
        <w:rFonts w:ascii="Arial" w:hAnsi="Arial" w:cs="Arial"/>
        <w:b/>
        <w:highlight w:val="yellow"/>
      </w:rPr>
    </w:pPr>
  </w:p>
  <w:p w14:paraId="70B2C130" w14:textId="77777777" w:rsidR="008A6B90" w:rsidRDefault="00817F08" w:rsidP="008A6B90">
    <w:pPr>
      <w:pStyle w:val="Header"/>
      <w:spacing w:line="360" w:lineRule="auto"/>
      <w:rPr>
        <w:rFonts w:ascii="Arial" w:hAnsi="Arial" w:cs="Arial"/>
        <w:b/>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574B"/>
    <w:multiLevelType w:val="hybridMultilevel"/>
    <w:tmpl w:val="62D4C78E"/>
    <w:lvl w:ilvl="0" w:tplc="08B8C166">
      <w:start w:val="1"/>
      <w:numFmt w:val="decimal"/>
      <w:lvlText w:val="%1."/>
      <w:lvlJc w:val="left"/>
      <w:pPr>
        <w:ind w:left="720" w:hanging="360"/>
      </w:pPr>
      <w:rPr>
        <w:rFonts w:ascii="Arial Narrow" w:hAnsi="Arial Narrow"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71863D2"/>
    <w:multiLevelType w:val="hybridMultilevel"/>
    <w:tmpl w:val="95789340"/>
    <w:lvl w:ilvl="0" w:tplc="A0A203D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6FB"/>
    <w:rsid w:val="000C4D2A"/>
    <w:rsid w:val="00114F93"/>
    <w:rsid w:val="001274A1"/>
    <w:rsid w:val="00136EE2"/>
    <w:rsid w:val="00191DB5"/>
    <w:rsid w:val="001A05F2"/>
    <w:rsid w:val="001D6226"/>
    <w:rsid w:val="001E7BBA"/>
    <w:rsid w:val="00250B2F"/>
    <w:rsid w:val="002543EF"/>
    <w:rsid w:val="002D53A9"/>
    <w:rsid w:val="003B44AF"/>
    <w:rsid w:val="003C0F61"/>
    <w:rsid w:val="00415DCE"/>
    <w:rsid w:val="004858FD"/>
    <w:rsid w:val="004B4535"/>
    <w:rsid w:val="004C078B"/>
    <w:rsid w:val="00562242"/>
    <w:rsid w:val="0061642B"/>
    <w:rsid w:val="00657ADF"/>
    <w:rsid w:val="00722540"/>
    <w:rsid w:val="00734BF8"/>
    <w:rsid w:val="007E203D"/>
    <w:rsid w:val="007E727A"/>
    <w:rsid w:val="007F5E8A"/>
    <w:rsid w:val="008126FB"/>
    <w:rsid w:val="00817F08"/>
    <w:rsid w:val="00845381"/>
    <w:rsid w:val="00873F5C"/>
    <w:rsid w:val="008B7E5A"/>
    <w:rsid w:val="00966AB6"/>
    <w:rsid w:val="00A31091"/>
    <w:rsid w:val="00A40CD2"/>
    <w:rsid w:val="00A8279F"/>
    <w:rsid w:val="00AC70A5"/>
    <w:rsid w:val="00AD0112"/>
    <w:rsid w:val="00B520FF"/>
    <w:rsid w:val="00B8007F"/>
    <w:rsid w:val="00B824E1"/>
    <w:rsid w:val="00BA2FFB"/>
    <w:rsid w:val="00BD31E7"/>
    <w:rsid w:val="00C103D1"/>
    <w:rsid w:val="00C12B13"/>
    <w:rsid w:val="00C411A6"/>
    <w:rsid w:val="00C55465"/>
    <w:rsid w:val="00C8417D"/>
    <w:rsid w:val="00CD3C6B"/>
    <w:rsid w:val="00D03BD1"/>
    <w:rsid w:val="00DB27AD"/>
    <w:rsid w:val="00F42D70"/>
    <w:rsid w:val="00F71DB7"/>
    <w:rsid w:val="00F838A7"/>
    <w:rsid w:val="00F8594C"/>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97F13"/>
  <w15:docId w15:val="{B01461CF-8770-45D0-8885-618DC77BF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6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26FB"/>
    <w:pPr>
      <w:tabs>
        <w:tab w:val="center" w:pos="4680"/>
        <w:tab w:val="right" w:pos="9360"/>
      </w:tabs>
      <w:spacing w:after="0" w:line="240" w:lineRule="auto"/>
    </w:pPr>
  </w:style>
  <w:style w:type="character" w:customStyle="1" w:styleId="HeaderChar">
    <w:name w:val="Header Char"/>
    <w:basedOn w:val="DefaultParagraphFont"/>
    <w:link w:val="Header"/>
    <w:rsid w:val="008126FB"/>
  </w:style>
  <w:style w:type="paragraph" w:styleId="Footer">
    <w:name w:val="footer"/>
    <w:basedOn w:val="Normal"/>
    <w:link w:val="FooterChar"/>
    <w:uiPriority w:val="99"/>
    <w:unhideWhenUsed/>
    <w:rsid w:val="008126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6FB"/>
  </w:style>
  <w:style w:type="paragraph" w:customStyle="1" w:styleId="ListParagraph1">
    <w:name w:val="List Paragraph1"/>
    <w:basedOn w:val="Normal"/>
    <w:uiPriority w:val="34"/>
    <w:qFormat/>
    <w:rsid w:val="008126FB"/>
    <w:pPr>
      <w:spacing w:after="200" w:line="276" w:lineRule="auto"/>
      <w:ind w:left="720"/>
      <w:contextualSpacing/>
    </w:pPr>
  </w:style>
  <w:style w:type="paragraph" w:styleId="ListParagraph">
    <w:name w:val="List Paragraph"/>
    <w:basedOn w:val="Normal"/>
    <w:uiPriority w:val="34"/>
    <w:qFormat/>
    <w:rsid w:val="008126FB"/>
    <w:pPr>
      <w:spacing w:after="0" w:line="240" w:lineRule="auto"/>
      <w:ind w:left="720"/>
      <w:contextualSpacing/>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8126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26FB"/>
    <w:rPr>
      <w:sz w:val="20"/>
      <w:szCs w:val="20"/>
    </w:rPr>
  </w:style>
  <w:style w:type="character" w:styleId="FootnoteReference">
    <w:name w:val="footnote reference"/>
    <w:basedOn w:val="DefaultParagraphFont"/>
    <w:uiPriority w:val="99"/>
    <w:semiHidden/>
    <w:unhideWhenUsed/>
    <w:rsid w:val="008126FB"/>
    <w:rPr>
      <w:vertAlign w:val="superscript"/>
    </w:rPr>
  </w:style>
  <w:style w:type="character" w:styleId="Hyperlink">
    <w:name w:val="Hyperlink"/>
    <w:basedOn w:val="DefaultParagraphFont"/>
    <w:uiPriority w:val="99"/>
    <w:unhideWhenUsed/>
    <w:rsid w:val="008126FB"/>
    <w:rPr>
      <w:color w:val="0000FF"/>
      <w:u w:val="single"/>
    </w:rPr>
  </w:style>
  <w:style w:type="paragraph" w:styleId="BalloonText">
    <w:name w:val="Balloon Text"/>
    <w:basedOn w:val="Normal"/>
    <w:link w:val="BalloonTextChar"/>
    <w:uiPriority w:val="99"/>
    <w:semiHidden/>
    <w:unhideWhenUsed/>
    <w:rsid w:val="008126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6FB"/>
    <w:rPr>
      <w:rFonts w:ascii="Segoe UI" w:hAnsi="Segoe UI" w:cs="Segoe UI"/>
      <w:sz w:val="18"/>
      <w:szCs w:val="18"/>
    </w:rPr>
  </w:style>
  <w:style w:type="character" w:styleId="CommentReference">
    <w:name w:val="annotation reference"/>
    <w:basedOn w:val="DefaultParagraphFont"/>
    <w:uiPriority w:val="99"/>
    <w:semiHidden/>
    <w:unhideWhenUsed/>
    <w:rsid w:val="004C078B"/>
    <w:rPr>
      <w:sz w:val="16"/>
      <w:szCs w:val="16"/>
    </w:rPr>
  </w:style>
  <w:style w:type="paragraph" w:styleId="CommentText">
    <w:name w:val="annotation text"/>
    <w:basedOn w:val="Normal"/>
    <w:link w:val="CommentTextChar"/>
    <w:uiPriority w:val="99"/>
    <w:unhideWhenUsed/>
    <w:rsid w:val="004C078B"/>
    <w:pPr>
      <w:spacing w:line="240" w:lineRule="auto"/>
    </w:pPr>
    <w:rPr>
      <w:sz w:val="20"/>
      <w:szCs w:val="20"/>
    </w:rPr>
  </w:style>
  <w:style w:type="character" w:customStyle="1" w:styleId="CommentTextChar">
    <w:name w:val="Comment Text Char"/>
    <w:basedOn w:val="DefaultParagraphFont"/>
    <w:link w:val="CommentText"/>
    <w:uiPriority w:val="99"/>
    <w:rsid w:val="004C078B"/>
    <w:rPr>
      <w:sz w:val="20"/>
      <w:szCs w:val="20"/>
    </w:rPr>
  </w:style>
  <w:style w:type="paragraph" w:styleId="CommentSubject">
    <w:name w:val="annotation subject"/>
    <w:basedOn w:val="CommentText"/>
    <w:next w:val="CommentText"/>
    <w:link w:val="CommentSubjectChar"/>
    <w:uiPriority w:val="99"/>
    <w:semiHidden/>
    <w:unhideWhenUsed/>
    <w:rsid w:val="004C078B"/>
    <w:rPr>
      <w:b/>
      <w:bCs/>
    </w:rPr>
  </w:style>
  <w:style w:type="character" w:customStyle="1" w:styleId="CommentSubjectChar">
    <w:name w:val="Comment Subject Char"/>
    <w:basedOn w:val="CommentTextChar"/>
    <w:link w:val="CommentSubject"/>
    <w:uiPriority w:val="99"/>
    <w:semiHidden/>
    <w:rsid w:val="004C078B"/>
    <w:rPr>
      <w:b/>
      <w:bCs/>
      <w:sz w:val="20"/>
      <w:szCs w:val="20"/>
    </w:rPr>
  </w:style>
  <w:style w:type="paragraph" w:styleId="Revision">
    <w:name w:val="Revision"/>
    <w:hidden/>
    <w:uiPriority w:val="99"/>
    <w:semiHidden/>
    <w:rsid w:val="00B824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lz.co.uk/adi/pdf/Dementia-Asia-Pacific-2014.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E1F62-4CC6-45A1-9724-268F2210B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Bakewell, Richard A</dc:creator>
  <cp:lastModifiedBy>Johnny Lin Hung-hsun</cp:lastModifiedBy>
  <cp:revision>3</cp:revision>
  <cp:lastPrinted>2019-09-06T13:44:00Z</cp:lastPrinted>
  <dcterms:created xsi:type="dcterms:W3CDTF">2019-09-23T13:33:00Z</dcterms:created>
  <dcterms:modified xsi:type="dcterms:W3CDTF">2019-09-27T04:00:00Z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BakewellRA@state.gov</vt:lpwstr>
  </property>
  <property fmtid="{D5CDD505-2E9C-101B-9397-08002B2CF9AE}" pid="5" name="MSIP_Label_1665d9ee-429a-4d5f-97cc-cfb56e044a6e_SetDate">
    <vt:lpwstr>2019-09-05T20:24:43.2007672Z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7193e387-2eaf-4bbd-8c77-c7d704f32d06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