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C" w:rsidRDefault="000B7A16" w:rsidP="0098796C">
      <w:pPr>
        <w:pStyle w:val="Title"/>
        <w:jc w:val="center"/>
        <w:rPr>
          <w:i/>
          <w:sz w:val="22"/>
          <w:szCs w:val="22"/>
        </w:rPr>
      </w:pPr>
      <w:bookmarkStart w:id="0" w:name="_GoBack"/>
      <w:bookmarkEnd w:id="0"/>
      <w:r w:rsidRPr="003845CB">
        <w:t>Health Working Group</w:t>
      </w:r>
      <w:r w:rsidRPr="003845CB">
        <w:br/>
      </w:r>
      <w:r w:rsidRPr="003845CB">
        <w:rPr>
          <w:b/>
        </w:rPr>
        <w:t>Strategic Plan 2016-2020</w:t>
      </w:r>
      <w:r w:rsidRPr="003845CB">
        <w:br/>
      </w:r>
    </w:p>
    <w:p w:rsidR="00CB2805" w:rsidRDefault="00C34B77" w:rsidP="0098796C">
      <w:pPr>
        <w:pStyle w:val="Title"/>
        <w:jc w:val="center"/>
        <w:rPr>
          <w:i/>
          <w:szCs w:val="24"/>
        </w:rPr>
      </w:pPr>
      <w:r>
        <w:rPr>
          <w:i/>
          <w:sz w:val="22"/>
          <w:szCs w:val="22"/>
        </w:rPr>
        <w:t>August</w:t>
      </w:r>
      <w:r w:rsidR="00C12934">
        <w:rPr>
          <w:i/>
          <w:sz w:val="22"/>
          <w:szCs w:val="22"/>
        </w:rPr>
        <w:t xml:space="preserve"> 2016</w:t>
      </w:r>
    </w:p>
    <w:p w:rsidR="0098796C" w:rsidRDefault="0098796C">
      <w:pPr>
        <w:pStyle w:val="TOCHeading"/>
      </w:pPr>
    </w:p>
    <w:sdt>
      <w:sdtPr>
        <w:rPr>
          <w:rFonts w:ascii="Times New Roman" w:eastAsiaTheme="minorHAnsi" w:hAnsi="Times New Roman" w:cstheme="minorBidi"/>
          <w:b w:val="0"/>
          <w:bCs w:val="0"/>
          <w:color w:val="auto"/>
          <w:sz w:val="24"/>
          <w:szCs w:val="22"/>
          <w:lang w:val="en-AU" w:eastAsia="en-US"/>
        </w:rPr>
        <w:id w:val="1668519094"/>
        <w:docPartObj>
          <w:docPartGallery w:val="Table of Contents"/>
          <w:docPartUnique/>
        </w:docPartObj>
      </w:sdtPr>
      <w:sdtEndPr>
        <w:rPr>
          <w:noProof/>
        </w:rPr>
      </w:sdtEndPr>
      <w:sdtContent>
        <w:p w:rsidR="0098796C" w:rsidRDefault="0098796C">
          <w:pPr>
            <w:pStyle w:val="TOCHeading"/>
          </w:pPr>
          <w:r>
            <w:t>Table of Contents</w:t>
          </w:r>
        </w:p>
        <w:p w:rsidR="0098796C" w:rsidRDefault="0098796C">
          <w:pPr>
            <w:pStyle w:val="TOC2"/>
            <w:tabs>
              <w:tab w:val="right" w:leader="dot" w:pos="9016"/>
            </w:tabs>
          </w:pPr>
        </w:p>
        <w:p w:rsidR="003D38A0" w:rsidRDefault="0098796C">
          <w:pPr>
            <w:pStyle w:val="TOC2"/>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43983688" w:history="1">
            <w:r w:rsidR="003D38A0" w:rsidRPr="00B74077">
              <w:rPr>
                <w:rStyle w:val="Hyperlink"/>
                <w:noProof/>
              </w:rPr>
              <w:t>Introduction</w:t>
            </w:r>
            <w:r w:rsidR="003D38A0">
              <w:rPr>
                <w:noProof/>
                <w:webHidden/>
              </w:rPr>
              <w:tab/>
            </w:r>
            <w:r w:rsidR="003D38A0">
              <w:rPr>
                <w:noProof/>
                <w:webHidden/>
              </w:rPr>
              <w:fldChar w:fldCharType="begin"/>
            </w:r>
            <w:r w:rsidR="003D38A0">
              <w:rPr>
                <w:noProof/>
                <w:webHidden/>
              </w:rPr>
              <w:instrText xml:space="preserve"> PAGEREF _Toc443983688 \h </w:instrText>
            </w:r>
            <w:r w:rsidR="003D38A0">
              <w:rPr>
                <w:noProof/>
                <w:webHidden/>
              </w:rPr>
            </w:r>
            <w:r w:rsidR="003D38A0">
              <w:rPr>
                <w:noProof/>
                <w:webHidden/>
              </w:rPr>
              <w:fldChar w:fldCharType="separate"/>
            </w:r>
            <w:r w:rsidR="003D38A0">
              <w:rPr>
                <w:noProof/>
                <w:webHidden/>
              </w:rPr>
              <w:t>3</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89" w:history="1">
            <w:r w:rsidR="003D38A0" w:rsidRPr="00B74077">
              <w:rPr>
                <w:rStyle w:val="Hyperlink"/>
                <w:noProof/>
              </w:rPr>
              <w:t>Mandate</w:t>
            </w:r>
            <w:r w:rsidR="003D38A0">
              <w:rPr>
                <w:noProof/>
                <w:webHidden/>
              </w:rPr>
              <w:tab/>
            </w:r>
            <w:r w:rsidR="003D38A0">
              <w:rPr>
                <w:noProof/>
                <w:webHidden/>
              </w:rPr>
              <w:fldChar w:fldCharType="begin"/>
            </w:r>
            <w:r w:rsidR="003D38A0">
              <w:rPr>
                <w:noProof/>
                <w:webHidden/>
              </w:rPr>
              <w:instrText xml:space="preserve"> PAGEREF _Toc443983689 \h </w:instrText>
            </w:r>
            <w:r w:rsidR="003D38A0">
              <w:rPr>
                <w:noProof/>
                <w:webHidden/>
              </w:rPr>
            </w:r>
            <w:r w:rsidR="003D38A0">
              <w:rPr>
                <w:noProof/>
                <w:webHidden/>
              </w:rPr>
              <w:fldChar w:fldCharType="separate"/>
            </w:r>
            <w:r w:rsidR="003D38A0">
              <w:rPr>
                <w:noProof/>
                <w:webHidden/>
              </w:rPr>
              <w:t>5</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0" w:history="1">
            <w:r w:rsidR="003D38A0" w:rsidRPr="00B74077">
              <w:rPr>
                <w:rStyle w:val="Hyperlink"/>
                <w:noProof/>
              </w:rPr>
              <w:t>Vision Statement</w:t>
            </w:r>
            <w:r w:rsidR="003D38A0">
              <w:rPr>
                <w:noProof/>
                <w:webHidden/>
              </w:rPr>
              <w:tab/>
            </w:r>
            <w:r w:rsidR="003D38A0">
              <w:rPr>
                <w:noProof/>
                <w:webHidden/>
              </w:rPr>
              <w:fldChar w:fldCharType="begin"/>
            </w:r>
            <w:r w:rsidR="003D38A0">
              <w:rPr>
                <w:noProof/>
                <w:webHidden/>
              </w:rPr>
              <w:instrText xml:space="preserve"> PAGEREF _Toc443983690 \h </w:instrText>
            </w:r>
            <w:r w:rsidR="003D38A0">
              <w:rPr>
                <w:noProof/>
                <w:webHidden/>
              </w:rPr>
            </w:r>
            <w:r w:rsidR="003D38A0">
              <w:rPr>
                <w:noProof/>
                <w:webHidden/>
              </w:rPr>
              <w:fldChar w:fldCharType="separate"/>
            </w:r>
            <w:r w:rsidR="003D38A0">
              <w:rPr>
                <w:noProof/>
                <w:webHidden/>
              </w:rPr>
              <w:t>5</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1" w:history="1">
            <w:r w:rsidR="003D38A0" w:rsidRPr="00B74077">
              <w:rPr>
                <w:rStyle w:val="Hyperlink"/>
                <w:noProof/>
              </w:rPr>
              <w:t>Mission Statement</w:t>
            </w:r>
            <w:r w:rsidR="003D38A0">
              <w:rPr>
                <w:noProof/>
                <w:webHidden/>
              </w:rPr>
              <w:tab/>
            </w:r>
            <w:r w:rsidR="003D38A0">
              <w:rPr>
                <w:noProof/>
                <w:webHidden/>
              </w:rPr>
              <w:fldChar w:fldCharType="begin"/>
            </w:r>
            <w:r w:rsidR="003D38A0">
              <w:rPr>
                <w:noProof/>
                <w:webHidden/>
              </w:rPr>
              <w:instrText xml:space="preserve"> PAGEREF _Toc443983691 \h </w:instrText>
            </w:r>
            <w:r w:rsidR="003D38A0">
              <w:rPr>
                <w:noProof/>
                <w:webHidden/>
              </w:rPr>
            </w:r>
            <w:r w:rsidR="003D38A0">
              <w:rPr>
                <w:noProof/>
                <w:webHidden/>
              </w:rPr>
              <w:fldChar w:fldCharType="separate"/>
            </w:r>
            <w:r w:rsidR="003D38A0">
              <w:rPr>
                <w:noProof/>
                <w:webHidden/>
              </w:rPr>
              <w:t>5</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2" w:history="1">
            <w:r w:rsidR="003D38A0" w:rsidRPr="00B74077">
              <w:rPr>
                <w:rStyle w:val="Hyperlink"/>
                <w:noProof/>
              </w:rPr>
              <w:t>Objectives</w:t>
            </w:r>
            <w:r w:rsidR="003D38A0">
              <w:rPr>
                <w:noProof/>
                <w:webHidden/>
              </w:rPr>
              <w:tab/>
            </w:r>
            <w:r w:rsidR="003D38A0">
              <w:rPr>
                <w:noProof/>
                <w:webHidden/>
              </w:rPr>
              <w:fldChar w:fldCharType="begin"/>
            </w:r>
            <w:r w:rsidR="003D38A0">
              <w:rPr>
                <w:noProof/>
                <w:webHidden/>
              </w:rPr>
              <w:instrText xml:space="preserve"> PAGEREF _Toc443983692 \h </w:instrText>
            </w:r>
            <w:r w:rsidR="003D38A0">
              <w:rPr>
                <w:noProof/>
                <w:webHidden/>
              </w:rPr>
            </w:r>
            <w:r w:rsidR="003D38A0">
              <w:rPr>
                <w:noProof/>
                <w:webHidden/>
              </w:rPr>
              <w:fldChar w:fldCharType="separate"/>
            </w:r>
            <w:r w:rsidR="003D38A0">
              <w:rPr>
                <w:noProof/>
                <w:webHidden/>
              </w:rPr>
              <w:t>5</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3" w:history="1">
            <w:r w:rsidR="003D38A0" w:rsidRPr="00B74077">
              <w:rPr>
                <w:rStyle w:val="Hyperlink"/>
                <w:noProof/>
              </w:rPr>
              <w:t>Key Performance Indicators</w:t>
            </w:r>
            <w:r w:rsidR="003D38A0">
              <w:rPr>
                <w:noProof/>
                <w:webHidden/>
              </w:rPr>
              <w:tab/>
            </w:r>
            <w:r w:rsidR="003D38A0">
              <w:rPr>
                <w:noProof/>
                <w:webHidden/>
              </w:rPr>
              <w:fldChar w:fldCharType="begin"/>
            </w:r>
            <w:r w:rsidR="003D38A0">
              <w:rPr>
                <w:noProof/>
                <w:webHidden/>
              </w:rPr>
              <w:instrText xml:space="preserve"> PAGEREF _Toc443983693 \h </w:instrText>
            </w:r>
            <w:r w:rsidR="003D38A0">
              <w:rPr>
                <w:noProof/>
                <w:webHidden/>
              </w:rPr>
            </w:r>
            <w:r w:rsidR="003D38A0">
              <w:rPr>
                <w:noProof/>
                <w:webHidden/>
              </w:rPr>
              <w:fldChar w:fldCharType="separate"/>
            </w:r>
            <w:r w:rsidR="003D38A0">
              <w:rPr>
                <w:noProof/>
                <w:webHidden/>
              </w:rPr>
              <w:t>6</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4" w:history="1">
            <w:r w:rsidR="003D38A0" w:rsidRPr="00B74077">
              <w:rPr>
                <w:rStyle w:val="Hyperlink"/>
                <w:noProof/>
              </w:rPr>
              <w:t>Prioritized Implementation Schedule</w:t>
            </w:r>
            <w:r w:rsidR="003D38A0">
              <w:rPr>
                <w:noProof/>
                <w:webHidden/>
              </w:rPr>
              <w:tab/>
            </w:r>
            <w:r w:rsidR="003D38A0">
              <w:rPr>
                <w:noProof/>
                <w:webHidden/>
              </w:rPr>
              <w:fldChar w:fldCharType="begin"/>
            </w:r>
            <w:r w:rsidR="003D38A0">
              <w:rPr>
                <w:noProof/>
                <w:webHidden/>
              </w:rPr>
              <w:instrText xml:space="preserve"> PAGEREF _Toc443983694 \h </w:instrText>
            </w:r>
            <w:r w:rsidR="003D38A0">
              <w:rPr>
                <w:noProof/>
                <w:webHidden/>
              </w:rPr>
            </w:r>
            <w:r w:rsidR="003D38A0">
              <w:rPr>
                <w:noProof/>
                <w:webHidden/>
              </w:rPr>
              <w:fldChar w:fldCharType="separate"/>
            </w:r>
            <w:r w:rsidR="003D38A0">
              <w:rPr>
                <w:noProof/>
                <w:webHidden/>
              </w:rPr>
              <w:t>11</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5" w:history="1">
            <w:r w:rsidR="003D38A0" w:rsidRPr="00B74077">
              <w:rPr>
                <w:rStyle w:val="Hyperlink"/>
                <w:noProof/>
              </w:rPr>
              <w:t>Attachment A: Project Monitoring Table</w:t>
            </w:r>
            <w:r w:rsidR="003D38A0">
              <w:rPr>
                <w:noProof/>
                <w:webHidden/>
              </w:rPr>
              <w:tab/>
            </w:r>
            <w:r w:rsidR="003D38A0">
              <w:rPr>
                <w:noProof/>
                <w:webHidden/>
              </w:rPr>
              <w:fldChar w:fldCharType="begin"/>
            </w:r>
            <w:r w:rsidR="003D38A0">
              <w:rPr>
                <w:noProof/>
                <w:webHidden/>
              </w:rPr>
              <w:instrText xml:space="preserve"> PAGEREF _Toc443983695 \h </w:instrText>
            </w:r>
            <w:r w:rsidR="003D38A0">
              <w:rPr>
                <w:noProof/>
                <w:webHidden/>
              </w:rPr>
            </w:r>
            <w:r w:rsidR="003D38A0">
              <w:rPr>
                <w:noProof/>
                <w:webHidden/>
              </w:rPr>
              <w:fldChar w:fldCharType="separate"/>
            </w:r>
            <w:r w:rsidR="003D38A0">
              <w:rPr>
                <w:noProof/>
                <w:webHidden/>
              </w:rPr>
              <w:t>12</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696" w:history="1">
            <w:r w:rsidR="003D38A0" w:rsidRPr="00B74077">
              <w:rPr>
                <w:rStyle w:val="Hyperlink"/>
                <w:noProof/>
              </w:rPr>
              <w:t>Attachment B: Implementation Update Reporting Template</w:t>
            </w:r>
            <w:r w:rsidR="003D38A0">
              <w:rPr>
                <w:noProof/>
                <w:webHidden/>
              </w:rPr>
              <w:tab/>
            </w:r>
            <w:r w:rsidR="003D38A0">
              <w:rPr>
                <w:noProof/>
                <w:webHidden/>
              </w:rPr>
              <w:fldChar w:fldCharType="begin"/>
            </w:r>
            <w:r w:rsidR="003D38A0">
              <w:rPr>
                <w:noProof/>
                <w:webHidden/>
              </w:rPr>
              <w:instrText xml:space="preserve"> PAGEREF _Toc443983696 \h </w:instrText>
            </w:r>
            <w:r w:rsidR="003D38A0">
              <w:rPr>
                <w:noProof/>
                <w:webHidden/>
              </w:rPr>
            </w:r>
            <w:r w:rsidR="003D38A0">
              <w:rPr>
                <w:noProof/>
                <w:webHidden/>
              </w:rPr>
              <w:fldChar w:fldCharType="separate"/>
            </w:r>
            <w:r w:rsidR="003D38A0">
              <w:rPr>
                <w:noProof/>
                <w:webHidden/>
              </w:rPr>
              <w:t>13</w:t>
            </w:r>
            <w:r w:rsidR="003D38A0">
              <w:rPr>
                <w:noProof/>
                <w:webHidden/>
              </w:rPr>
              <w:fldChar w:fldCharType="end"/>
            </w:r>
          </w:hyperlink>
        </w:p>
        <w:p w:rsidR="003D38A0" w:rsidRDefault="000E6B4E">
          <w:pPr>
            <w:pStyle w:val="TOC2"/>
            <w:tabs>
              <w:tab w:val="right" w:leader="dot" w:pos="9016"/>
            </w:tabs>
            <w:rPr>
              <w:rFonts w:asciiTheme="minorHAnsi" w:eastAsiaTheme="minorEastAsia" w:hAnsiTheme="minorHAnsi"/>
              <w:noProof/>
              <w:sz w:val="22"/>
              <w:lang w:eastAsia="en-AU"/>
            </w:rPr>
          </w:pPr>
          <w:hyperlink w:anchor="_Toc443983712" w:history="1">
            <w:r w:rsidR="003D38A0" w:rsidRPr="00B74077">
              <w:rPr>
                <w:rStyle w:val="Hyperlink"/>
                <w:noProof/>
              </w:rPr>
              <w:t>Appendices</w:t>
            </w:r>
            <w:r w:rsidR="003D38A0">
              <w:rPr>
                <w:noProof/>
                <w:webHidden/>
              </w:rPr>
              <w:tab/>
            </w:r>
            <w:r w:rsidR="003D38A0">
              <w:rPr>
                <w:noProof/>
                <w:webHidden/>
              </w:rPr>
              <w:fldChar w:fldCharType="begin"/>
            </w:r>
            <w:r w:rsidR="003D38A0">
              <w:rPr>
                <w:noProof/>
                <w:webHidden/>
              </w:rPr>
              <w:instrText xml:space="preserve"> PAGEREF _Toc443983712 \h </w:instrText>
            </w:r>
            <w:r w:rsidR="003D38A0">
              <w:rPr>
                <w:noProof/>
                <w:webHidden/>
              </w:rPr>
            </w:r>
            <w:r w:rsidR="003D38A0">
              <w:rPr>
                <w:noProof/>
                <w:webHidden/>
              </w:rPr>
              <w:fldChar w:fldCharType="separate"/>
            </w:r>
            <w:r w:rsidR="003D38A0">
              <w:rPr>
                <w:noProof/>
                <w:webHidden/>
              </w:rPr>
              <w:t>14</w:t>
            </w:r>
            <w:r w:rsidR="003D38A0">
              <w:rPr>
                <w:noProof/>
                <w:webHidden/>
              </w:rPr>
              <w:fldChar w:fldCharType="end"/>
            </w:r>
          </w:hyperlink>
        </w:p>
        <w:p w:rsidR="0098796C" w:rsidRDefault="0098796C">
          <w:r>
            <w:rPr>
              <w:b/>
              <w:bCs/>
              <w:noProof/>
            </w:rPr>
            <w:fldChar w:fldCharType="end"/>
          </w:r>
        </w:p>
      </w:sdtContent>
    </w:sdt>
    <w:p w:rsidR="00AE33AF" w:rsidRDefault="00AE33AF" w:rsidP="00CB2805">
      <w:pPr>
        <w:rPr>
          <w:b/>
          <w:szCs w:val="24"/>
          <w:u w:val="single"/>
        </w:rPr>
      </w:pPr>
    </w:p>
    <w:p w:rsidR="00AE33AF" w:rsidRDefault="00AE33AF" w:rsidP="00CB2805">
      <w:pPr>
        <w:rPr>
          <w:b/>
          <w:szCs w:val="24"/>
          <w:u w:val="single"/>
        </w:rPr>
      </w:pPr>
    </w:p>
    <w:p w:rsidR="00CB2805" w:rsidRDefault="00CB2805" w:rsidP="00CB2805">
      <w:pPr>
        <w:rPr>
          <w:b/>
          <w:sz w:val="28"/>
          <w:szCs w:val="28"/>
        </w:rPr>
      </w:pPr>
      <w:r>
        <w:rPr>
          <w:szCs w:val="24"/>
        </w:rPr>
        <w:br/>
      </w:r>
      <w:r w:rsidR="000B7A16" w:rsidRPr="000F0C3A">
        <w:rPr>
          <w:sz w:val="28"/>
          <w:szCs w:val="28"/>
        </w:rPr>
        <w:br/>
      </w:r>
    </w:p>
    <w:p w:rsidR="00CB2805" w:rsidRDefault="00CB2805">
      <w:pPr>
        <w:rPr>
          <w:b/>
          <w:sz w:val="28"/>
          <w:szCs w:val="28"/>
        </w:rPr>
      </w:pPr>
      <w:r>
        <w:rPr>
          <w:b/>
          <w:sz w:val="28"/>
          <w:szCs w:val="28"/>
        </w:rPr>
        <w:br w:type="page"/>
      </w:r>
    </w:p>
    <w:p w:rsidR="000B7A16" w:rsidRPr="0081174A" w:rsidRDefault="000B7A16" w:rsidP="00B37EB4">
      <w:pPr>
        <w:pStyle w:val="Heading2"/>
        <w:spacing w:before="120" w:after="240"/>
        <w:contextualSpacing/>
      </w:pPr>
      <w:bookmarkStart w:id="1" w:name="_Toc443983688"/>
      <w:r w:rsidRPr="000034EE">
        <w:lastRenderedPageBreak/>
        <w:t>Introduction</w:t>
      </w:r>
      <w:bookmarkEnd w:id="1"/>
    </w:p>
    <w:p w:rsidR="004F737F" w:rsidRDefault="000B7A16" w:rsidP="004F737F">
      <w:pPr>
        <w:pStyle w:val="ListParagraph"/>
        <w:numPr>
          <w:ilvl w:val="0"/>
          <w:numId w:val="1"/>
        </w:numPr>
        <w:spacing w:before="120" w:after="120"/>
        <w:ind w:hanging="357"/>
        <w:contextualSpacing w:val="0"/>
      </w:pPr>
      <w:r>
        <w:t>In October 2003 APEC established the Health Task Force (HTF) to address health-related threats to economies' trade and security, focusing mainly on emerging infectious diseases, including naturally occurring and man-made diseases.  In 2007, as a result of a review of the APEC fora, the HTF became the Health Working Group (HWG).</w:t>
      </w:r>
    </w:p>
    <w:p w:rsidR="000B7A16" w:rsidRDefault="000B7A16" w:rsidP="004F737F">
      <w:pPr>
        <w:pStyle w:val="ListParagraph"/>
        <w:numPr>
          <w:ilvl w:val="0"/>
          <w:numId w:val="1"/>
        </w:numPr>
        <w:spacing w:before="120" w:after="120"/>
        <w:ind w:hanging="357"/>
        <w:contextualSpacing w:val="0"/>
      </w:pPr>
      <w:r>
        <w:t xml:space="preserve">The HWG is a </w:t>
      </w:r>
      <w:r w:rsidR="00F866EF">
        <w:t>sub-forum</w:t>
      </w:r>
      <w:r>
        <w:t xml:space="preserve"> of the </w:t>
      </w:r>
      <w:r w:rsidR="00922FAA">
        <w:t>APEC Senior Offic</w:t>
      </w:r>
      <w:r w:rsidR="00E95CC3">
        <w:t>i</w:t>
      </w:r>
      <w:r w:rsidR="00922FAA">
        <w:t>als’ Meeting</w:t>
      </w:r>
      <w:r>
        <w:t xml:space="preserve"> Steering Committee on Economic and Technical Cooperation (SCE). The development of Strategic Plans amongst all SCE sub-fora commenced in 2010</w:t>
      </w:r>
      <w:r w:rsidR="002F3DCD">
        <w:t xml:space="preserve"> as a way to ensure alignment with APEC’s broader vision and objectives</w:t>
      </w:r>
      <w:r>
        <w:t xml:space="preserve">. </w:t>
      </w:r>
    </w:p>
    <w:p w:rsidR="002A6303" w:rsidRDefault="000F0C3A" w:rsidP="004F737F">
      <w:pPr>
        <w:pStyle w:val="ListParagraph"/>
        <w:numPr>
          <w:ilvl w:val="0"/>
          <w:numId w:val="1"/>
        </w:numPr>
        <w:spacing w:before="120" w:after="120"/>
        <w:ind w:hanging="357"/>
        <w:contextualSpacing w:val="0"/>
      </w:pPr>
      <w:r>
        <w:t xml:space="preserve">In July 2013 the </w:t>
      </w:r>
      <w:r w:rsidR="00AA23BF">
        <w:t>HWG</w:t>
      </w:r>
      <w:r>
        <w:t xml:space="preserve"> endorsed a Strategic Plan for 2013-</w:t>
      </w:r>
      <w:r w:rsidR="007F7739">
        <w:t>20</w:t>
      </w:r>
      <w:r>
        <w:t>15</w:t>
      </w:r>
      <w:r w:rsidR="00162AE7">
        <w:t xml:space="preserve"> (</w:t>
      </w:r>
      <w:r w:rsidR="00162AE7" w:rsidRPr="009D4EFE">
        <w:t>Annex A)</w:t>
      </w:r>
      <w:r w:rsidRPr="009D4EFE">
        <w:t>,</w:t>
      </w:r>
      <w:r>
        <w:t xml:space="preserve"> consistent with guidance from SCE and</w:t>
      </w:r>
      <w:r w:rsidR="00922FAA">
        <w:t xml:space="preserve"> the</w:t>
      </w:r>
      <w:r>
        <w:t xml:space="preserve"> </w:t>
      </w:r>
      <w:r w:rsidRPr="000F0C3A">
        <w:t>APEC Technical Assistance and Training Facility (TAT</w:t>
      </w:r>
      <w:r w:rsidR="00F866EF">
        <w:t>F</w:t>
      </w:r>
      <w:r w:rsidRPr="000F0C3A">
        <w:t>).</w:t>
      </w:r>
      <w:r>
        <w:t xml:space="preserve"> </w:t>
      </w:r>
    </w:p>
    <w:p w:rsidR="002A6303" w:rsidRDefault="000F0C3A" w:rsidP="004F737F">
      <w:pPr>
        <w:pStyle w:val="ListParagraph"/>
        <w:numPr>
          <w:ilvl w:val="0"/>
          <w:numId w:val="1"/>
        </w:numPr>
        <w:spacing w:before="120" w:after="120"/>
        <w:ind w:hanging="357"/>
        <w:contextualSpacing w:val="0"/>
      </w:pPr>
      <w:r>
        <w:t>A Key Performance Indic</w:t>
      </w:r>
      <w:r w:rsidR="00DE65BC">
        <w:t>a</w:t>
      </w:r>
      <w:r>
        <w:t>tor of the Strategic Plan for 2013-15 provide</w:t>
      </w:r>
      <w:r w:rsidR="00987428">
        <w:t>d</w:t>
      </w:r>
      <w:r>
        <w:t xml:space="preserve"> that </w:t>
      </w:r>
      <w:r w:rsidR="00AA23BF">
        <w:t>it</w:t>
      </w:r>
      <w:r>
        <w:t xml:space="preserve"> </w:t>
      </w:r>
      <w:r w:rsidR="00987428">
        <w:t>be reviewed and updated in 2016</w:t>
      </w:r>
      <w:r w:rsidR="00AA23BF">
        <w:t>, or earlier if agreed by the HWG</w:t>
      </w:r>
      <w:r>
        <w:t xml:space="preserve">. </w:t>
      </w:r>
    </w:p>
    <w:p w:rsidR="003529A6" w:rsidRDefault="000F0C3A" w:rsidP="004F737F">
      <w:pPr>
        <w:pStyle w:val="ListParagraph"/>
        <w:numPr>
          <w:ilvl w:val="0"/>
          <w:numId w:val="1"/>
        </w:numPr>
        <w:spacing w:before="120" w:after="120"/>
        <w:ind w:hanging="357"/>
        <w:contextualSpacing w:val="0"/>
      </w:pPr>
      <w:r>
        <w:t xml:space="preserve">At the August 2015 </w:t>
      </w:r>
      <w:r w:rsidR="003529A6">
        <w:t>HWG</w:t>
      </w:r>
      <w:r>
        <w:t xml:space="preserve"> meeting, it was agreed that the Plan would be updated to map out how the HWG will continue to reach its goals and objectives, and ensure it aligns with the broader APEC agenda. </w:t>
      </w:r>
    </w:p>
    <w:p w:rsidR="00497AA4" w:rsidRDefault="000F0C3A" w:rsidP="004F737F">
      <w:pPr>
        <w:pStyle w:val="ListParagraph"/>
        <w:numPr>
          <w:ilvl w:val="0"/>
          <w:numId w:val="1"/>
        </w:numPr>
        <w:spacing w:before="120" w:after="120"/>
        <w:ind w:hanging="357"/>
        <w:contextualSpacing w:val="0"/>
      </w:pPr>
      <w:r>
        <w:t>The updat</w:t>
      </w:r>
      <w:r w:rsidR="00AD5019">
        <w:t xml:space="preserve">ing of the Strategic Plan for 2013-2015 was undertaken by a small drafting group of </w:t>
      </w:r>
      <w:r w:rsidR="0012793B">
        <w:t xml:space="preserve">HWG </w:t>
      </w:r>
      <w:r w:rsidR="00AD5019">
        <w:t xml:space="preserve">member economies </w:t>
      </w:r>
      <w:r w:rsidR="003845CB" w:rsidRPr="003845CB">
        <w:t xml:space="preserve">and was presented to the wider HWG for comment and endorsement </w:t>
      </w:r>
      <w:r w:rsidR="00AD5019">
        <w:t>in a manner consistent</w:t>
      </w:r>
      <w:r>
        <w:t xml:space="preserve"> with the </w:t>
      </w:r>
      <w:r w:rsidRPr="000F0C3A">
        <w:rPr>
          <w:i/>
        </w:rPr>
        <w:t>Process for the updating of Health Working Group Documents</w:t>
      </w:r>
      <w:r w:rsidR="002A6303">
        <w:rPr>
          <w:i/>
        </w:rPr>
        <w:t>,</w:t>
      </w:r>
      <w:r w:rsidRPr="000F0C3A">
        <w:rPr>
          <w:i/>
        </w:rPr>
        <w:t xml:space="preserve"> </w:t>
      </w:r>
      <w:r>
        <w:t xml:space="preserve">agreed by the </w:t>
      </w:r>
      <w:r w:rsidR="00B074EA">
        <w:t>HWG</w:t>
      </w:r>
      <w:r>
        <w:t xml:space="preserve"> in February 2014. </w:t>
      </w:r>
    </w:p>
    <w:p w:rsidR="00B074EA" w:rsidRDefault="000B7A16" w:rsidP="004F737F">
      <w:pPr>
        <w:pStyle w:val="ListParagraph"/>
        <w:numPr>
          <w:ilvl w:val="0"/>
          <w:numId w:val="1"/>
        </w:numPr>
        <w:spacing w:before="120" w:after="120"/>
        <w:ind w:hanging="357"/>
        <w:contextualSpacing w:val="0"/>
      </w:pPr>
      <w:r>
        <w:t xml:space="preserve">The </w:t>
      </w:r>
      <w:r w:rsidR="002A6303">
        <w:t xml:space="preserve">revised </w:t>
      </w:r>
      <w:r>
        <w:t>Strategic Plan is</w:t>
      </w:r>
      <w:r w:rsidR="00497AA4">
        <w:t xml:space="preserve"> a five year plan, </w:t>
      </w:r>
      <w:r w:rsidR="002A6303">
        <w:t xml:space="preserve">spanning 2016-2020, </w:t>
      </w:r>
      <w:r w:rsidR="00497AA4">
        <w:t xml:space="preserve">allowing the HWG to set its medium term strategic objectives and ensure they are fulfilled </w:t>
      </w:r>
      <w:r w:rsidR="00B074EA">
        <w:t>within a</w:t>
      </w:r>
      <w:r w:rsidR="00497AA4">
        <w:t xml:space="preserve"> realistic time</w:t>
      </w:r>
      <w:r w:rsidR="00B074EA">
        <w:t>frame.</w:t>
      </w:r>
    </w:p>
    <w:p w:rsidR="00AE03CD" w:rsidRDefault="00EB6701" w:rsidP="004F737F">
      <w:pPr>
        <w:pStyle w:val="ListParagraph"/>
        <w:numPr>
          <w:ilvl w:val="0"/>
          <w:numId w:val="1"/>
        </w:numPr>
        <w:spacing w:before="120" w:after="120"/>
        <w:ind w:hanging="357"/>
        <w:contextualSpacing w:val="0"/>
      </w:pPr>
      <w:r>
        <w:t>T</w:t>
      </w:r>
      <w:r w:rsidRPr="00EB6701">
        <w:t>he</w:t>
      </w:r>
      <w:r>
        <w:t xml:space="preserve"> Strategic Plan </w:t>
      </w:r>
      <w:r w:rsidRPr="003107FC">
        <w:t>2016</w:t>
      </w:r>
      <w:r w:rsidR="003107FC" w:rsidRPr="003107FC">
        <w:t>-2020 aligns</w:t>
      </w:r>
      <w:r w:rsidRPr="003107FC">
        <w:t xml:space="preserve"> with the </w:t>
      </w:r>
      <w:r w:rsidRPr="00AC3CB0">
        <w:rPr>
          <w:i/>
        </w:rPr>
        <w:t>Health</w:t>
      </w:r>
      <w:r w:rsidR="00D76D28">
        <w:rPr>
          <w:i/>
        </w:rPr>
        <w:t>y</w:t>
      </w:r>
      <w:r w:rsidRPr="00AC3CB0">
        <w:rPr>
          <w:i/>
        </w:rPr>
        <w:t xml:space="preserve"> Asia Pacific 2020 </w:t>
      </w:r>
      <w:r w:rsidRPr="003107FC">
        <w:t>initiative,</w:t>
      </w:r>
      <w:r w:rsidRPr="00EB6701">
        <w:t xml:space="preserve"> </w:t>
      </w:r>
      <w:r w:rsidR="00482CBF">
        <w:t>including the</w:t>
      </w:r>
      <w:r w:rsidR="002A6303">
        <w:t xml:space="preserve"> associated</w:t>
      </w:r>
      <w:r w:rsidR="00482CBF">
        <w:t xml:space="preserve"> Roadmap, </w:t>
      </w:r>
      <w:r w:rsidRPr="00EB6701">
        <w:t xml:space="preserve">which aims to </w:t>
      </w:r>
      <w:r w:rsidR="00AC3CB0">
        <w:t>promote people’s health and well-being through</w:t>
      </w:r>
      <w:r w:rsidR="00A74D1C">
        <w:t>out the</w:t>
      </w:r>
      <w:r w:rsidR="00AC3CB0">
        <w:t xml:space="preserve"> whole life-course</w:t>
      </w:r>
      <w:r w:rsidRPr="00EB6701">
        <w:t xml:space="preserve"> by</w:t>
      </w:r>
      <w:r w:rsidR="00AC3CB0">
        <w:t xml:space="preserve"> </w:t>
      </w:r>
      <w:r w:rsidR="0012793B">
        <w:t xml:space="preserve">using </w:t>
      </w:r>
      <w:r w:rsidR="00D76D28">
        <w:t xml:space="preserve">a </w:t>
      </w:r>
      <w:r w:rsidRPr="00EB6701">
        <w:t>collaborati</w:t>
      </w:r>
      <w:r w:rsidR="00D76D28">
        <w:t xml:space="preserve">ve approach </w:t>
      </w:r>
      <w:r w:rsidR="0012793B">
        <w:t>to promote</w:t>
      </w:r>
      <w:r w:rsidR="00922FAA">
        <w:t xml:space="preserve"> </w:t>
      </w:r>
      <w:r w:rsidR="00D76D28">
        <w:t xml:space="preserve">health security, growth and development </w:t>
      </w:r>
      <w:r w:rsidR="00922FAA">
        <w:t xml:space="preserve">in </w:t>
      </w:r>
      <w:r w:rsidRPr="00EB6701">
        <w:t>the Asia-Pacific region</w:t>
      </w:r>
      <w:r w:rsidR="001A5373">
        <w:t xml:space="preserve"> consistent with the Sustainable Development Goals</w:t>
      </w:r>
      <w:r w:rsidR="00497AA4">
        <w:t>.</w:t>
      </w:r>
      <w:r w:rsidR="001A5373">
        <w:t xml:space="preserve"> </w:t>
      </w:r>
    </w:p>
    <w:p w:rsidR="000B7A16" w:rsidRDefault="00A05F29" w:rsidP="004F737F">
      <w:pPr>
        <w:pStyle w:val="ListParagraph"/>
        <w:numPr>
          <w:ilvl w:val="0"/>
          <w:numId w:val="1"/>
        </w:numPr>
        <w:spacing w:before="120" w:after="120"/>
        <w:ind w:hanging="357"/>
        <w:contextualSpacing w:val="0"/>
      </w:pPr>
      <w:r>
        <w:t>T</w:t>
      </w:r>
      <w:r w:rsidR="000B7A16">
        <w:t xml:space="preserve">he </w:t>
      </w:r>
      <w:r w:rsidR="00497AA4">
        <w:t>Strategic Plan for 201</w:t>
      </w:r>
      <w:r>
        <w:t>6</w:t>
      </w:r>
      <w:r w:rsidR="00497AA4">
        <w:t>-20</w:t>
      </w:r>
      <w:r>
        <w:t>20</w:t>
      </w:r>
      <w:r w:rsidR="000B7A16">
        <w:t xml:space="preserve"> reference</w:t>
      </w:r>
      <w:r w:rsidR="00AE03CD">
        <w:t>s</w:t>
      </w:r>
      <w:r w:rsidR="000B7A16">
        <w:t xml:space="preserve"> the 20</w:t>
      </w:r>
      <w:r w:rsidR="00FD57BE">
        <w:t xml:space="preserve">14 </w:t>
      </w:r>
      <w:r w:rsidR="00CE139F" w:rsidRPr="00CE139F">
        <w:rPr>
          <w:i/>
        </w:rPr>
        <w:t>Report for Independent A</w:t>
      </w:r>
      <w:r w:rsidR="00FD57BE" w:rsidRPr="00CE139F">
        <w:rPr>
          <w:i/>
        </w:rPr>
        <w:t>ssessment</w:t>
      </w:r>
      <w:r w:rsidR="000B7A16" w:rsidRPr="00CE139F">
        <w:rPr>
          <w:i/>
        </w:rPr>
        <w:t xml:space="preserve"> of the HWG</w:t>
      </w:r>
      <w:r w:rsidR="000B7A16">
        <w:t xml:space="preserve"> </w:t>
      </w:r>
      <w:r w:rsidR="000B7A16" w:rsidRPr="00497AA4">
        <w:t>and continue</w:t>
      </w:r>
      <w:r w:rsidR="00AE03CD">
        <w:t>s</w:t>
      </w:r>
      <w:r w:rsidR="000B7A16" w:rsidRPr="00497AA4">
        <w:t xml:space="preserve"> implementation of the</w:t>
      </w:r>
      <w:r w:rsidR="00987428">
        <w:t xml:space="preserve"> relevant recommendations of the</w:t>
      </w:r>
      <w:r w:rsidR="004F737F">
        <w:t xml:space="preserve"> evaluation</w:t>
      </w:r>
      <w:r w:rsidR="00162AE7">
        <w:t xml:space="preserve"> (</w:t>
      </w:r>
      <w:r w:rsidR="00162AE7" w:rsidRPr="009D4EFE">
        <w:t>Annex B</w:t>
      </w:r>
      <w:r w:rsidR="00162AE7">
        <w:t>)</w:t>
      </w:r>
      <w:r w:rsidR="004F737F">
        <w:t>.</w:t>
      </w:r>
      <w:r w:rsidR="00162AE7">
        <w:t xml:space="preserve"> </w:t>
      </w:r>
    </w:p>
    <w:p w:rsidR="00155516" w:rsidRDefault="00497AA4" w:rsidP="004F737F">
      <w:pPr>
        <w:pStyle w:val="ListParagraph"/>
        <w:numPr>
          <w:ilvl w:val="0"/>
          <w:numId w:val="1"/>
        </w:numPr>
        <w:spacing w:before="120" w:after="120"/>
        <w:ind w:hanging="357"/>
        <w:contextualSpacing w:val="0"/>
      </w:pPr>
      <w:r w:rsidRPr="00497AA4">
        <w:t xml:space="preserve">Key elements of the Strategic </w:t>
      </w:r>
      <w:r w:rsidRPr="00AD5019">
        <w:t>Plan include: a</w:t>
      </w:r>
      <w:r w:rsidR="00A7583E">
        <w:t xml:space="preserve"> Mandate,</w:t>
      </w:r>
      <w:r w:rsidRPr="00AD5019">
        <w:t xml:space="preserve"> Vision Statement</w:t>
      </w:r>
      <w:r w:rsidR="007B3DD9">
        <w:t xml:space="preserve">, </w:t>
      </w:r>
      <w:r w:rsidRPr="00AD5019">
        <w:t>a Mission Statement</w:t>
      </w:r>
      <w:r w:rsidR="007B3DD9">
        <w:t>,</w:t>
      </w:r>
      <w:r w:rsidRPr="00AD5019">
        <w:t xml:space="preserve"> Objectives</w:t>
      </w:r>
      <w:r w:rsidR="007B3DD9">
        <w:t>,</w:t>
      </w:r>
      <w:r w:rsidRPr="00AD5019">
        <w:t xml:space="preserve"> Key Performance Indicators</w:t>
      </w:r>
      <w:r w:rsidR="00AD5019" w:rsidRPr="00AD5019">
        <w:t xml:space="preserve"> (KPIs)</w:t>
      </w:r>
      <w:r w:rsidR="007B3DD9">
        <w:t>, a</w:t>
      </w:r>
      <w:r w:rsidR="00155516">
        <w:t>nd</w:t>
      </w:r>
      <w:r w:rsidRPr="00AD5019">
        <w:t xml:space="preserve"> Prioritised Implementation Schedule</w:t>
      </w:r>
      <w:r w:rsidR="007B3DD9">
        <w:t xml:space="preserve"> </w:t>
      </w:r>
      <w:r w:rsidR="00155516">
        <w:t xml:space="preserve">that will ensure appropriate monitoring </w:t>
      </w:r>
      <w:r w:rsidR="007B3DD9">
        <w:t>of APEC HWG Projects</w:t>
      </w:r>
      <w:r w:rsidRPr="00AD5019">
        <w:t>.</w:t>
      </w:r>
      <w:r w:rsidRPr="00497AA4">
        <w:t xml:space="preserve"> This structure </w:t>
      </w:r>
      <w:r w:rsidR="00C3603E">
        <w:t>does not differ substantially from the</w:t>
      </w:r>
      <w:r w:rsidR="007F7739">
        <w:t xml:space="preserve"> Strategic Plan for 2013-2015</w:t>
      </w:r>
      <w:r w:rsidR="00155516">
        <w:t>.</w:t>
      </w:r>
    </w:p>
    <w:p w:rsidR="00022120" w:rsidRDefault="00155516" w:rsidP="004F737F">
      <w:pPr>
        <w:pStyle w:val="ListParagraph"/>
        <w:numPr>
          <w:ilvl w:val="0"/>
          <w:numId w:val="1"/>
        </w:numPr>
        <w:spacing w:before="120" w:after="120"/>
        <w:ind w:hanging="357"/>
        <w:contextualSpacing w:val="0"/>
      </w:pPr>
      <w:r>
        <w:t>T</w:t>
      </w:r>
      <w:r w:rsidR="00C3603E">
        <w:t>he key change</w:t>
      </w:r>
      <w:r>
        <w:t xml:space="preserve"> is </w:t>
      </w:r>
      <w:r w:rsidR="00C3603E">
        <w:t xml:space="preserve">the merging of </w:t>
      </w:r>
      <w:r>
        <w:t xml:space="preserve">the previous </w:t>
      </w:r>
      <w:r w:rsidR="00C3603E">
        <w:t xml:space="preserve">Critical Success Factors and </w:t>
      </w:r>
      <w:r w:rsidR="00AD5019">
        <w:t>KPI</w:t>
      </w:r>
      <w:r w:rsidR="00C3603E">
        <w:t>s</w:t>
      </w:r>
      <w:r w:rsidR="00D5288F">
        <w:t xml:space="preserve"> to</w:t>
      </w:r>
      <w:r>
        <w:t xml:space="preserve"> provide clarity around </w:t>
      </w:r>
      <w:r w:rsidR="00D5288F">
        <w:t>deliverable</w:t>
      </w:r>
      <w:r w:rsidR="007B3DD9">
        <w:t xml:space="preserve"> and</w:t>
      </w:r>
      <w:r w:rsidR="00D5288F">
        <w:t xml:space="preserve"> measurable</w:t>
      </w:r>
      <w:r>
        <w:t xml:space="preserve"> KPIs.  Th</w:t>
      </w:r>
      <w:r w:rsidR="00C3603E">
        <w:t>e Prio</w:t>
      </w:r>
      <w:r w:rsidR="00AD5019">
        <w:t>ri</w:t>
      </w:r>
      <w:r w:rsidR="00C3603E">
        <w:t>tised Implement</w:t>
      </w:r>
      <w:r w:rsidR="00AD5019">
        <w:t>ation</w:t>
      </w:r>
      <w:r w:rsidR="00C3603E">
        <w:t xml:space="preserve"> </w:t>
      </w:r>
      <w:r w:rsidR="00C3603E">
        <w:lastRenderedPageBreak/>
        <w:t>Schedule</w:t>
      </w:r>
      <w:r>
        <w:t xml:space="preserve"> has also been amended</w:t>
      </w:r>
      <w:r w:rsidR="00C3603E">
        <w:t xml:space="preserve"> to ensure it</w:t>
      </w:r>
      <w:r w:rsidR="00022120">
        <w:t xml:space="preserve"> accurately</w:t>
      </w:r>
      <w:r w:rsidR="00C3603E">
        <w:t xml:space="preserve"> tracks </w:t>
      </w:r>
      <w:r w:rsidR="00022120">
        <w:t xml:space="preserve">the </w:t>
      </w:r>
      <w:r w:rsidR="00C3603E">
        <w:t>objectives and KPIs</w:t>
      </w:r>
      <w:r w:rsidR="00AD5019">
        <w:t xml:space="preserve"> </w:t>
      </w:r>
      <w:r w:rsidR="00022120">
        <w:t>in</w:t>
      </w:r>
      <w:r w:rsidR="00CE139F">
        <w:t xml:space="preserve"> the Strategic P</w:t>
      </w:r>
      <w:r w:rsidR="00AD5019">
        <w:t>lan</w:t>
      </w:r>
      <w:r w:rsidR="00867C56">
        <w:t>,</w:t>
      </w:r>
      <w:r w:rsidR="00FE2130">
        <w:t xml:space="preserve"> </w:t>
      </w:r>
      <w:r>
        <w:t>including</w:t>
      </w:r>
      <w:r w:rsidR="00867C56">
        <w:t xml:space="preserve"> a table for monitoring</w:t>
      </w:r>
      <w:r w:rsidR="00FE2130">
        <w:t xml:space="preserve"> </w:t>
      </w:r>
      <w:r>
        <w:t xml:space="preserve">of </w:t>
      </w:r>
      <w:r w:rsidR="00FE2130">
        <w:t>APEC HWG Projects</w:t>
      </w:r>
      <w:r w:rsidR="00A7583E">
        <w:t xml:space="preserve"> (Attachment A)</w:t>
      </w:r>
      <w:r w:rsidR="00AD5019">
        <w:t>.</w:t>
      </w:r>
      <w:r w:rsidR="00C3603E">
        <w:t xml:space="preserve"> </w:t>
      </w:r>
    </w:p>
    <w:p w:rsidR="00FD57BE" w:rsidRPr="00497AA4" w:rsidRDefault="00AD5019" w:rsidP="004F737F">
      <w:pPr>
        <w:pStyle w:val="ListParagraph"/>
        <w:numPr>
          <w:ilvl w:val="0"/>
          <w:numId w:val="1"/>
        </w:numPr>
        <w:spacing w:before="120" w:after="120"/>
        <w:ind w:hanging="357"/>
        <w:contextualSpacing w:val="0"/>
      </w:pPr>
      <w:r>
        <w:t xml:space="preserve">KPIs not fulfilled under the Strategic Plan for 2013-2015 </w:t>
      </w:r>
      <w:r w:rsidR="00EC4FFA">
        <w:t xml:space="preserve">which continue to be relevant to the HWG beyond 2015 </w:t>
      </w:r>
      <w:r>
        <w:t xml:space="preserve">will be progressed </w:t>
      </w:r>
      <w:r w:rsidR="00FE2130">
        <w:t>through the KPIs in</w:t>
      </w:r>
      <w:r>
        <w:t xml:space="preserve"> the Strategic Plan for 2016-2020. </w:t>
      </w:r>
    </w:p>
    <w:p w:rsidR="00497AA4" w:rsidRPr="00497AA4" w:rsidRDefault="00497AA4" w:rsidP="004F737F">
      <w:pPr>
        <w:pStyle w:val="ListParagraph"/>
        <w:numPr>
          <w:ilvl w:val="0"/>
          <w:numId w:val="1"/>
        </w:numPr>
        <w:spacing w:before="120" w:after="120"/>
        <w:ind w:hanging="357"/>
        <w:contextualSpacing w:val="0"/>
      </w:pPr>
      <w:r w:rsidRPr="00497AA4">
        <w:t>The Strategic Plan for 2016-2020 is consistent with the new HWG Terms of Reference (ToR) agreed at the August 2015 HWG meeting</w:t>
      </w:r>
      <w:r w:rsidR="00162AE7">
        <w:t xml:space="preserve"> (</w:t>
      </w:r>
      <w:r w:rsidR="00162AE7" w:rsidRPr="009D4EFE">
        <w:t>Annex C</w:t>
      </w:r>
      <w:r w:rsidR="00162AE7">
        <w:t>)</w:t>
      </w:r>
      <w:r w:rsidRPr="00497AA4">
        <w:t xml:space="preserve">. </w:t>
      </w:r>
    </w:p>
    <w:p w:rsidR="00AD308C" w:rsidRDefault="00155516" w:rsidP="004F737F">
      <w:pPr>
        <w:pStyle w:val="ListParagraph"/>
        <w:numPr>
          <w:ilvl w:val="0"/>
          <w:numId w:val="1"/>
        </w:numPr>
        <w:spacing w:before="120" w:after="120"/>
        <w:ind w:hanging="357"/>
        <w:contextualSpacing w:val="0"/>
      </w:pPr>
      <w:r>
        <w:t xml:space="preserve">Recent </w:t>
      </w:r>
      <w:r w:rsidR="000B7A16">
        <w:t xml:space="preserve">guidance to HWG from APEC </w:t>
      </w:r>
      <w:r w:rsidR="00AD308C">
        <w:t xml:space="preserve">Leaders </w:t>
      </w:r>
      <w:r w:rsidR="000B7A16">
        <w:t xml:space="preserve">and Ministers </w:t>
      </w:r>
      <w:r w:rsidR="007F049C">
        <w:t xml:space="preserve">was </w:t>
      </w:r>
      <w:r w:rsidR="000B7A16">
        <w:t xml:space="preserve">drawn upon to shape </w:t>
      </w:r>
      <w:r w:rsidR="003845CB">
        <w:t>the</w:t>
      </w:r>
      <w:r w:rsidR="00FE1942" w:rsidRPr="00FE1942">
        <w:t xml:space="preserve"> Strategic Plan for 2016-2020</w:t>
      </w:r>
      <w:r w:rsidR="005F109F">
        <w:t>, including the following recurring key issues</w:t>
      </w:r>
      <w:r w:rsidR="00AD308C">
        <w:t>:</w:t>
      </w:r>
    </w:p>
    <w:p w:rsidR="00AD308C" w:rsidRPr="00EB6701" w:rsidRDefault="000B7A16" w:rsidP="004F737F">
      <w:pPr>
        <w:pStyle w:val="ListParagraph"/>
        <w:numPr>
          <w:ilvl w:val="0"/>
          <w:numId w:val="2"/>
        </w:numPr>
        <w:spacing w:before="120" w:after="120"/>
        <w:ind w:hanging="357"/>
        <w:contextualSpacing w:val="0"/>
      </w:pPr>
      <w:r w:rsidRPr="00EB6701">
        <w:t>Infectio</w:t>
      </w:r>
      <w:r w:rsidR="000A2A67" w:rsidRPr="00EB6701">
        <w:t xml:space="preserve">us disease, including HIV/AIDS </w:t>
      </w:r>
      <w:r w:rsidR="00AD308C" w:rsidRPr="00EB6701">
        <w:t>(</w:t>
      </w:r>
      <w:r w:rsidR="00EB6701" w:rsidRPr="00EB6701">
        <w:t>2013</w:t>
      </w:r>
      <w:r w:rsidR="001C38F8">
        <w:t>-2015</w:t>
      </w:r>
      <w:r w:rsidR="000A2A67" w:rsidRPr="00EB6701">
        <w:t xml:space="preserve"> </w:t>
      </w:r>
      <w:r w:rsidRPr="00EB6701">
        <w:t>Statements)</w:t>
      </w:r>
    </w:p>
    <w:p w:rsidR="00EB6701" w:rsidRPr="00EB6701" w:rsidRDefault="00EB6701" w:rsidP="004F737F">
      <w:pPr>
        <w:pStyle w:val="ListParagraph"/>
        <w:numPr>
          <w:ilvl w:val="0"/>
          <w:numId w:val="2"/>
        </w:numPr>
        <w:spacing w:before="120" w:after="120"/>
        <w:ind w:hanging="357"/>
        <w:contextualSpacing w:val="0"/>
      </w:pPr>
      <w:r w:rsidRPr="00EB6701">
        <w:t>Non-communicable diseases (2013</w:t>
      </w:r>
      <w:r w:rsidR="001C38F8">
        <w:t>-2015</w:t>
      </w:r>
      <w:r w:rsidRPr="00EB6701">
        <w:t xml:space="preserve"> Statements)</w:t>
      </w:r>
    </w:p>
    <w:p w:rsidR="00AD308C" w:rsidRPr="00EB6701" w:rsidRDefault="000A2A67" w:rsidP="004F737F">
      <w:pPr>
        <w:pStyle w:val="ListParagraph"/>
        <w:numPr>
          <w:ilvl w:val="0"/>
          <w:numId w:val="2"/>
        </w:numPr>
        <w:spacing w:before="120" w:after="120"/>
        <w:ind w:hanging="357"/>
        <w:contextualSpacing w:val="0"/>
      </w:pPr>
      <w:r w:rsidRPr="00EB6701">
        <w:t xml:space="preserve">Multisectoral </w:t>
      </w:r>
      <w:r w:rsidR="00AD308C" w:rsidRPr="00EB6701">
        <w:t>collaboration</w:t>
      </w:r>
      <w:r w:rsidRPr="00EB6701">
        <w:t xml:space="preserve"> and cooperation</w:t>
      </w:r>
      <w:r w:rsidR="00AD308C" w:rsidRPr="00EB6701">
        <w:t xml:space="preserve"> (</w:t>
      </w:r>
      <w:r w:rsidR="00EB6701" w:rsidRPr="00EB6701">
        <w:t>2013</w:t>
      </w:r>
      <w:r w:rsidR="001C38F8">
        <w:t>-2015</w:t>
      </w:r>
      <w:r w:rsidRPr="00EB6701">
        <w:t xml:space="preserve"> </w:t>
      </w:r>
      <w:r w:rsidR="000B7A16" w:rsidRPr="00EB6701">
        <w:t>Statements)</w:t>
      </w:r>
    </w:p>
    <w:p w:rsidR="00E95CC3" w:rsidRDefault="000A2A67" w:rsidP="005F109F">
      <w:pPr>
        <w:pStyle w:val="ListParagraph"/>
        <w:numPr>
          <w:ilvl w:val="0"/>
          <w:numId w:val="2"/>
        </w:numPr>
        <w:spacing w:before="120" w:after="120"/>
        <w:ind w:hanging="357"/>
        <w:contextualSpacing w:val="0"/>
      </w:pPr>
      <w:r w:rsidRPr="00EB6701">
        <w:t>H</w:t>
      </w:r>
      <w:r w:rsidR="000B7A16" w:rsidRPr="00EB6701">
        <w:t>ealth systems</w:t>
      </w:r>
      <w:r w:rsidRPr="00EB6701">
        <w:t xml:space="preserve"> strengthening</w:t>
      </w:r>
      <w:r w:rsidR="000B7A16" w:rsidRPr="00EB6701">
        <w:t xml:space="preserve"> (</w:t>
      </w:r>
      <w:r w:rsidR="001C38F8">
        <w:t>2013-2015</w:t>
      </w:r>
      <w:r w:rsidRPr="00EB6701">
        <w:t xml:space="preserve"> Statements</w:t>
      </w:r>
      <w:r w:rsidR="000B7A16" w:rsidRPr="00EB6701">
        <w:t>)</w:t>
      </w:r>
      <w:r w:rsidR="009C004A">
        <w:br/>
      </w:r>
    </w:p>
    <w:p w:rsidR="00E95CC3" w:rsidRDefault="00E95CC3" w:rsidP="00E95CC3">
      <w:r>
        <w:br w:type="page"/>
      </w:r>
    </w:p>
    <w:p w:rsidR="00E95CC3" w:rsidRDefault="00E95CC3" w:rsidP="00E95CC3">
      <w:pPr>
        <w:pStyle w:val="Heading2"/>
        <w:spacing w:after="240"/>
      </w:pPr>
      <w:bookmarkStart w:id="2" w:name="_Toc443983689"/>
      <w:r>
        <w:lastRenderedPageBreak/>
        <w:t>Mandate</w:t>
      </w:r>
      <w:bookmarkEnd w:id="2"/>
    </w:p>
    <w:p w:rsidR="009C004A" w:rsidRDefault="00CA5C45" w:rsidP="00711D95">
      <w:pPr>
        <w:pStyle w:val="ListParagraph"/>
        <w:numPr>
          <w:ilvl w:val="0"/>
          <w:numId w:val="1"/>
        </w:numPr>
        <w:spacing w:before="120" w:after="120"/>
      </w:pPr>
      <w:r>
        <w:t>As agreed by the Steering Committee for Economic and Technical Cooperation, t</w:t>
      </w:r>
      <w:r w:rsidR="009C004A">
        <w:t>he mandate of the HWG is to work together to improve people’s health and well-being</w:t>
      </w:r>
      <w:r w:rsidR="00792314">
        <w:t>,</w:t>
      </w:r>
      <w:r w:rsidR="009C004A">
        <w:t xml:space="preserve"> aiming to promote trade, security, inclusive growth and development in the APEC region. </w:t>
      </w:r>
    </w:p>
    <w:p w:rsidR="00F35A89" w:rsidRDefault="000034EE" w:rsidP="00B37EB4">
      <w:pPr>
        <w:pStyle w:val="Heading2"/>
        <w:spacing w:after="240"/>
      </w:pPr>
      <w:bookmarkStart w:id="3" w:name="_Toc443983690"/>
      <w:r w:rsidRPr="00F35A89">
        <w:t>Vision Statement</w:t>
      </w:r>
      <w:bookmarkEnd w:id="3"/>
    </w:p>
    <w:p w:rsidR="002A065A" w:rsidRPr="00711D95" w:rsidRDefault="00C90243" w:rsidP="00711D95">
      <w:pPr>
        <w:pStyle w:val="ListParagraph"/>
        <w:numPr>
          <w:ilvl w:val="0"/>
          <w:numId w:val="1"/>
        </w:numPr>
        <w:rPr>
          <w:b/>
        </w:rPr>
      </w:pPr>
      <w:r>
        <w:t xml:space="preserve">As outlined in the </w:t>
      </w:r>
      <w:r w:rsidRPr="00C90243">
        <w:rPr>
          <w:i/>
        </w:rPr>
        <w:t>Healthy Asia Pacific 2020</w:t>
      </w:r>
      <w:r>
        <w:t xml:space="preserve"> Initiative, t</w:t>
      </w:r>
      <w:r w:rsidR="00E95CC3">
        <w:t>he HWG strives to</w:t>
      </w:r>
      <w:r w:rsidR="00792314">
        <w:t xml:space="preserve">wards an APEC region </w:t>
      </w:r>
      <w:r w:rsidR="002A065A">
        <w:t>with:</w:t>
      </w:r>
    </w:p>
    <w:p w:rsidR="002A065A" w:rsidRPr="00711D95" w:rsidRDefault="002A065A" w:rsidP="00711D95">
      <w:pPr>
        <w:pStyle w:val="ListParagraph"/>
        <w:numPr>
          <w:ilvl w:val="1"/>
          <w:numId w:val="1"/>
        </w:numPr>
        <w:rPr>
          <w:b/>
        </w:rPr>
      </w:pPr>
      <w:r>
        <w:t>resilient</w:t>
      </w:r>
      <w:r w:rsidR="00C90243">
        <w:t xml:space="preserve"> and sustainable</w:t>
      </w:r>
      <w:r>
        <w:t xml:space="preserve"> health systems that mitigate health-related threats to the region’s people, trade and economic security, and </w:t>
      </w:r>
    </w:p>
    <w:p w:rsidR="00F35A89" w:rsidRPr="00711D95" w:rsidRDefault="002A065A" w:rsidP="00711D95">
      <w:pPr>
        <w:pStyle w:val="ListParagraph"/>
        <w:numPr>
          <w:ilvl w:val="1"/>
          <w:numId w:val="1"/>
        </w:numPr>
        <w:rPr>
          <w:b/>
        </w:rPr>
      </w:pPr>
      <w:r>
        <w:t xml:space="preserve">healthy populations, with improved health outcomes </w:t>
      </w:r>
      <w:r w:rsidR="0083623B">
        <w:t>throughout the life course</w:t>
      </w:r>
      <w:r w:rsidR="00C90243">
        <w:t xml:space="preserve">.  </w:t>
      </w:r>
    </w:p>
    <w:p w:rsidR="00094E14" w:rsidRDefault="000034EE" w:rsidP="00B37EB4">
      <w:pPr>
        <w:pStyle w:val="Heading2"/>
        <w:spacing w:after="240"/>
      </w:pPr>
      <w:bookmarkStart w:id="4" w:name="_Toc443983691"/>
      <w:r w:rsidRPr="00F35A89">
        <w:t>Mission Statement</w:t>
      </w:r>
      <w:bookmarkEnd w:id="4"/>
    </w:p>
    <w:p w:rsidR="00FE1942" w:rsidRPr="00FE1942" w:rsidRDefault="00097AAA" w:rsidP="00573FE4">
      <w:pPr>
        <w:pStyle w:val="ListParagraph"/>
        <w:numPr>
          <w:ilvl w:val="0"/>
          <w:numId w:val="1"/>
        </w:numPr>
        <w:rPr>
          <w:b/>
        </w:rPr>
      </w:pPr>
      <w:r>
        <w:t xml:space="preserve">The </w:t>
      </w:r>
      <w:r w:rsidR="00FE1942">
        <w:t>HWG aims t</w:t>
      </w:r>
      <w:r w:rsidR="00094E14">
        <w:t>o red</w:t>
      </w:r>
      <w:r w:rsidR="00AE03CD">
        <w:t>uce the impact of health-related</w:t>
      </w:r>
      <w:r w:rsidR="00094E14">
        <w:t xml:space="preserve"> threats to the economy, trade and security of member economies</w:t>
      </w:r>
      <w:r w:rsidR="00D62D68">
        <w:t>,</w:t>
      </w:r>
      <w:r w:rsidR="00573FE4">
        <w:t xml:space="preserve"> and t</w:t>
      </w:r>
      <w:r w:rsidR="00094E14">
        <w:t>o strengthen health systems to increase their efficiency, responsiveness and</w:t>
      </w:r>
      <w:r w:rsidR="00573FE4">
        <w:t xml:space="preserve"> resilience to achieve and maintain Universal H</w:t>
      </w:r>
      <w:r w:rsidR="00094E14">
        <w:t xml:space="preserve">ealth </w:t>
      </w:r>
      <w:r w:rsidR="00573FE4">
        <w:t>C</w:t>
      </w:r>
      <w:r w:rsidR="00094E14">
        <w:t>overage</w:t>
      </w:r>
      <w:r w:rsidR="00C52C12">
        <w:t>.</w:t>
      </w:r>
    </w:p>
    <w:p w:rsidR="00573FE4" w:rsidRPr="00FE1942" w:rsidRDefault="00573FE4" w:rsidP="00B37EB4">
      <w:pPr>
        <w:pStyle w:val="Heading2"/>
        <w:spacing w:after="240"/>
      </w:pPr>
      <w:bookmarkStart w:id="5" w:name="_Toc443983692"/>
      <w:r w:rsidRPr="00FE1942">
        <w:t>Objectives</w:t>
      </w:r>
      <w:bookmarkEnd w:id="5"/>
    </w:p>
    <w:p w:rsidR="00573FE4" w:rsidRPr="001A5373" w:rsidRDefault="001A5373" w:rsidP="001A5373">
      <w:pPr>
        <w:pStyle w:val="ListParagraph"/>
        <w:numPr>
          <w:ilvl w:val="0"/>
          <w:numId w:val="1"/>
        </w:numPr>
        <w:rPr>
          <w:b/>
        </w:rPr>
      </w:pPr>
      <w:r>
        <w:t>Emphasizing the goals and impacts of trade and economic development, t</w:t>
      </w:r>
      <w:r w:rsidR="00573FE4">
        <w:t>he</w:t>
      </w:r>
      <w:r w:rsidR="007A35E6">
        <w:t xml:space="preserve"> HWG</w:t>
      </w:r>
      <w:r w:rsidR="00C61A77">
        <w:t xml:space="preserve"> promotes a </w:t>
      </w:r>
      <w:r w:rsidR="00C61A77" w:rsidRPr="00C61A77">
        <w:t>whole of government</w:t>
      </w:r>
      <w:r w:rsidR="00C61A77">
        <w:t xml:space="preserve"> and whole of society approach to</w:t>
      </w:r>
      <w:r w:rsidR="007A35E6">
        <w:t xml:space="preserve"> improving people’s health and well-being by</w:t>
      </w:r>
      <w:r w:rsidR="00573FE4">
        <w:t>:</w:t>
      </w:r>
    </w:p>
    <w:p w:rsidR="00573FE4" w:rsidRPr="00393240" w:rsidRDefault="007A35E6" w:rsidP="00573FE4">
      <w:pPr>
        <w:pStyle w:val="ListParagraph"/>
        <w:numPr>
          <w:ilvl w:val="0"/>
          <w:numId w:val="3"/>
        </w:numPr>
      </w:pPr>
      <w:r w:rsidRPr="00393240">
        <w:t>E</w:t>
      </w:r>
      <w:r w:rsidR="00573FE4" w:rsidRPr="00393240">
        <w:t>nhanc</w:t>
      </w:r>
      <w:r w:rsidRPr="00393240">
        <w:t>ing</w:t>
      </w:r>
      <w:r w:rsidR="00573FE4" w:rsidRPr="00393240">
        <w:t xml:space="preserve"> preparedness and response to public health emergencies and disasters, including prevention and control of emerging and re-emerging infectious diseases; </w:t>
      </w:r>
    </w:p>
    <w:p w:rsidR="00573FE4" w:rsidRPr="00393240" w:rsidRDefault="007A35E6" w:rsidP="00573FE4">
      <w:pPr>
        <w:pStyle w:val="ListParagraph"/>
        <w:numPr>
          <w:ilvl w:val="0"/>
          <w:numId w:val="3"/>
        </w:numPr>
      </w:pPr>
      <w:r w:rsidRPr="00393240">
        <w:t>S</w:t>
      </w:r>
      <w:r w:rsidR="00573FE4" w:rsidRPr="00393240">
        <w:t>trengthen</w:t>
      </w:r>
      <w:r w:rsidRPr="00393240">
        <w:t>ing</w:t>
      </w:r>
      <w:r w:rsidR="00573FE4" w:rsidRPr="00393240">
        <w:t xml:space="preserve"> health systems to improve accessibility, sustainability and quality of healthcare;</w:t>
      </w:r>
    </w:p>
    <w:p w:rsidR="00573FE4" w:rsidRPr="00393240" w:rsidRDefault="007A35E6" w:rsidP="00573FE4">
      <w:pPr>
        <w:pStyle w:val="ListParagraph"/>
        <w:numPr>
          <w:ilvl w:val="0"/>
          <w:numId w:val="3"/>
        </w:numPr>
        <w:rPr>
          <w:szCs w:val="24"/>
        </w:rPr>
      </w:pPr>
      <w:r w:rsidRPr="00393240">
        <w:rPr>
          <w:szCs w:val="24"/>
        </w:rPr>
        <w:t>S</w:t>
      </w:r>
      <w:r w:rsidR="00573FE4" w:rsidRPr="00393240">
        <w:rPr>
          <w:szCs w:val="24"/>
        </w:rPr>
        <w:t>upport</w:t>
      </w:r>
      <w:r w:rsidRPr="00393240">
        <w:rPr>
          <w:szCs w:val="24"/>
        </w:rPr>
        <w:t>ing</w:t>
      </w:r>
      <w:r w:rsidR="00573FE4" w:rsidRPr="00393240">
        <w:rPr>
          <w:szCs w:val="24"/>
        </w:rPr>
        <w:t xml:space="preserve"> healthy populations across the life-course, including the prevention and control of non-communicable diseases and improved materna</w:t>
      </w:r>
      <w:r w:rsidR="00C61A77" w:rsidRPr="00393240">
        <w:rPr>
          <w:szCs w:val="24"/>
        </w:rPr>
        <w:t xml:space="preserve">l, newborn and child health; </w:t>
      </w:r>
    </w:p>
    <w:p w:rsidR="00711F11" w:rsidRPr="00393240" w:rsidRDefault="007A35E6" w:rsidP="00711F11">
      <w:pPr>
        <w:pStyle w:val="ListParagraph"/>
        <w:numPr>
          <w:ilvl w:val="0"/>
          <w:numId w:val="3"/>
        </w:numPr>
        <w:rPr>
          <w:szCs w:val="24"/>
        </w:rPr>
      </w:pPr>
      <w:r w:rsidRPr="00393240">
        <w:rPr>
          <w:rFonts w:eastAsia="SimSun" w:cs="Times New Roman"/>
          <w:szCs w:val="24"/>
          <w:lang w:eastAsia="zh-CN"/>
        </w:rPr>
        <w:t>E</w:t>
      </w:r>
      <w:r w:rsidR="00573FE4" w:rsidRPr="00393240">
        <w:rPr>
          <w:rFonts w:eastAsia="SimSun" w:cs="Times New Roman"/>
          <w:szCs w:val="24"/>
          <w:lang w:eastAsia="zh-CN"/>
        </w:rPr>
        <w:t>ncourag</w:t>
      </w:r>
      <w:r w:rsidRPr="00393240">
        <w:rPr>
          <w:rFonts w:eastAsia="SimSun" w:cs="Times New Roman"/>
          <w:szCs w:val="24"/>
          <w:lang w:eastAsia="zh-CN"/>
        </w:rPr>
        <w:t>ing and facilitating</w:t>
      </w:r>
      <w:r w:rsidR="00573FE4" w:rsidRPr="00393240">
        <w:rPr>
          <w:rFonts w:eastAsia="SimSun" w:cs="Times New Roman"/>
          <w:szCs w:val="24"/>
          <w:lang w:eastAsia="zh-CN"/>
        </w:rPr>
        <w:t xml:space="preserve"> collaboration between health and other sectors and other APEC fora </w:t>
      </w:r>
      <w:r w:rsidR="00C61A77" w:rsidRPr="00393240">
        <w:rPr>
          <w:rFonts w:eastAsia="SimSun" w:cs="Times New Roman"/>
          <w:szCs w:val="24"/>
          <w:lang w:eastAsia="zh-CN"/>
        </w:rPr>
        <w:t>and international health bodies; and</w:t>
      </w:r>
    </w:p>
    <w:p w:rsidR="005F109F" w:rsidRPr="00393240" w:rsidRDefault="005F109F" w:rsidP="00711F11">
      <w:pPr>
        <w:pStyle w:val="ListParagraph"/>
        <w:numPr>
          <w:ilvl w:val="0"/>
          <w:numId w:val="3"/>
        </w:numPr>
        <w:rPr>
          <w:szCs w:val="24"/>
        </w:rPr>
      </w:pPr>
      <w:r w:rsidRPr="00393240">
        <w:t xml:space="preserve">Encouraging research and supporting innovation that adds value to health systems </w:t>
      </w:r>
      <w:r w:rsidR="001A5373">
        <w:t xml:space="preserve">and outcomes </w:t>
      </w:r>
      <w:r w:rsidRPr="00393240">
        <w:t xml:space="preserve">and </w:t>
      </w:r>
      <w:r w:rsidR="001A5373">
        <w:t>addresses</w:t>
      </w:r>
      <w:r w:rsidR="001A5373" w:rsidRPr="00393240">
        <w:t xml:space="preserve"> </w:t>
      </w:r>
      <w:r w:rsidRPr="00393240">
        <w:t>the</w:t>
      </w:r>
      <w:r w:rsidR="001A5373">
        <w:t xml:space="preserve"> current and future</w:t>
      </w:r>
      <w:r w:rsidRPr="00393240">
        <w:t xml:space="preserve"> needs of all APEC member economies.</w:t>
      </w:r>
    </w:p>
    <w:p w:rsidR="005F109F" w:rsidRDefault="007A35E6" w:rsidP="007A35E6">
      <w:pPr>
        <w:rPr>
          <w:szCs w:val="24"/>
        </w:rPr>
      </w:pPr>
      <w:r>
        <w:rPr>
          <w:szCs w:val="24"/>
        </w:rPr>
        <w:t>To ensure the HWG’s discussions remain topical, host economies may wish to introduce a special theme of work for their host year complementing the ongoing objectives of the HWG.</w:t>
      </w:r>
    </w:p>
    <w:p w:rsidR="00711D95" w:rsidRDefault="00711D95">
      <w:pPr>
        <w:rPr>
          <w:rFonts w:asciiTheme="majorHAnsi" w:eastAsiaTheme="majorEastAsia" w:hAnsiTheme="majorHAnsi" w:cstheme="majorBidi"/>
          <w:b/>
          <w:bCs/>
          <w:color w:val="4F81BD" w:themeColor="accent1"/>
          <w:sz w:val="26"/>
          <w:szCs w:val="26"/>
        </w:rPr>
      </w:pPr>
      <w:r>
        <w:br w:type="page"/>
      </w:r>
    </w:p>
    <w:p w:rsidR="00573FE4" w:rsidRPr="00573FE4" w:rsidRDefault="00573FE4" w:rsidP="00B37EB4">
      <w:pPr>
        <w:pStyle w:val="Heading2"/>
        <w:spacing w:before="120" w:after="240"/>
        <w:contextualSpacing/>
      </w:pPr>
      <w:bookmarkStart w:id="6" w:name="_Toc443983693"/>
      <w:r w:rsidRPr="00573FE4">
        <w:lastRenderedPageBreak/>
        <w:t>Key Performance Indicators</w:t>
      </w:r>
      <w:bookmarkEnd w:id="6"/>
    </w:p>
    <w:p w:rsidR="00B12A30" w:rsidRDefault="00F23FC9" w:rsidP="005F109F">
      <w:pPr>
        <w:pStyle w:val="ListParagraph"/>
        <w:numPr>
          <w:ilvl w:val="0"/>
          <w:numId w:val="1"/>
        </w:numPr>
        <w:spacing w:before="120" w:after="120"/>
      </w:pPr>
      <w:r>
        <w:t>The following KPIs have been identified to mark progress towards</w:t>
      </w:r>
      <w:r w:rsidR="005F109F">
        <w:t xml:space="preserve"> advancing</w:t>
      </w:r>
      <w:r>
        <w:t xml:space="preserve"> the Objectives. </w:t>
      </w:r>
      <w:r w:rsidRPr="0061365F">
        <w:t>The KPIs</w:t>
      </w:r>
      <w:r w:rsidR="005F109F">
        <w:t xml:space="preserve"> are intended to guide the key work and activities of the HWG to ensure it fulfils its vision and mission. The KPI</w:t>
      </w:r>
      <w:r w:rsidR="00BD234D">
        <w:t>s</w:t>
      </w:r>
      <w:r w:rsidRPr="0061365F">
        <w:t xml:space="preserve"> </w:t>
      </w:r>
      <w:r w:rsidR="0061365F" w:rsidRPr="0061365F">
        <w:t>are deliverable and measurable</w:t>
      </w:r>
      <w:r w:rsidR="00505143" w:rsidRPr="0061365F">
        <w:t xml:space="preserve">, including </w:t>
      </w:r>
      <w:r w:rsidRPr="0061365F">
        <w:t>timeframe</w:t>
      </w:r>
      <w:r w:rsidR="00505143" w:rsidRPr="0061365F">
        <w:t>s where possible</w:t>
      </w:r>
      <w:r w:rsidRPr="0061365F">
        <w:t>. They are to be reviewed annually to ensure they remain</w:t>
      </w:r>
      <w:r>
        <w:t xml:space="preserve"> relevant and reflective of the needs of the HWG. KPIs a</w:t>
      </w:r>
      <w:r w:rsidR="005F109F">
        <w:t>re to be on the agenda for every</w:t>
      </w:r>
      <w:r>
        <w:t xml:space="preserve"> </w:t>
      </w:r>
      <w:r w:rsidR="00FB71EA">
        <w:t xml:space="preserve">HWG </w:t>
      </w:r>
      <w:r>
        <w:t xml:space="preserve">meeting </w:t>
      </w:r>
      <w:r w:rsidR="005F109F">
        <w:t>to ensure the HWG remains committed to the agreed objectives; noting that they can be reviewed and amended upon request from a member economy.</w:t>
      </w:r>
    </w:p>
    <w:p w:rsidR="00F23FC9" w:rsidRPr="00B12A30" w:rsidRDefault="00B12A30" w:rsidP="00B12A30">
      <w:pPr>
        <w:pStyle w:val="Subtitle"/>
      </w:pPr>
      <w:r w:rsidRPr="00B12A30">
        <w:t>Project and policy development</w:t>
      </w:r>
    </w:p>
    <w:p w:rsidR="00D56E5C" w:rsidRPr="00D56E5C" w:rsidRDefault="00B12A30" w:rsidP="00D56E5C">
      <w:pPr>
        <w:pStyle w:val="ListParagraph"/>
        <w:numPr>
          <w:ilvl w:val="0"/>
          <w:numId w:val="11"/>
        </w:numPr>
      </w:pPr>
      <w:r w:rsidRPr="00B12A30">
        <w:rPr>
          <w:b/>
        </w:rPr>
        <w:t>HWG Policy and Project Guiding Principles</w:t>
      </w:r>
      <w:r>
        <w:rPr>
          <w:b/>
        </w:rPr>
        <w:t>:</w:t>
      </w:r>
      <w:r w:rsidRPr="00D56E5C">
        <w:t xml:space="preserve"> </w:t>
      </w:r>
      <w:r w:rsidR="00D56E5C" w:rsidRPr="00D56E5C">
        <w:t>Policy dialogues</w:t>
      </w:r>
      <w:r w:rsidR="00BD234D">
        <w:t xml:space="preserve"> and projects</w:t>
      </w:r>
      <w:r w:rsidR="00D56E5C" w:rsidRPr="00D56E5C">
        <w:t xml:space="preserve"> supported by the HWG</w:t>
      </w:r>
      <w:r w:rsidR="00D56E5C">
        <w:t xml:space="preserve"> must adhere to the</w:t>
      </w:r>
      <w:r w:rsidR="00915E70">
        <w:t xml:space="preserve"> following</w:t>
      </w:r>
      <w:r w:rsidR="00D56E5C">
        <w:t xml:space="preserve"> </w:t>
      </w:r>
      <w:r w:rsidR="009171E5" w:rsidRPr="00915E70">
        <w:t xml:space="preserve">HWG </w:t>
      </w:r>
      <w:r w:rsidR="00D56E5C" w:rsidRPr="00915E70">
        <w:t>Policy and Project Guiding Principles</w:t>
      </w:r>
      <w:r w:rsidR="00915E70">
        <w:t>:</w:t>
      </w:r>
    </w:p>
    <w:p w:rsidR="00D56E5C" w:rsidRDefault="00D56E5C" w:rsidP="00D56E5C">
      <w:pPr>
        <w:pStyle w:val="ListParagraph"/>
        <w:numPr>
          <w:ilvl w:val="0"/>
          <w:numId w:val="9"/>
        </w:numPr>
      </w:pPr>
      <w:r>
        <w:t xml:space="preserve">clearly align with </w:t>
      </w:r>
      <w:r w:rsidRPr="005F6C2A">
        <w:t>the approved Strategic Plan</w:t>
      </w:r>
      <w:r>
        <w:t>,</w:t>
      </w:r>
      <w:r w:rsidRPr="005F6C2A">
        <w:t xml:space="preserve"> </w:t>
      </w:r>
      <w:r>
        <w:t>including one or more of the HWG objectives;</w:t>
      </w:r>
    </w:p>
    <w:p w:rsidR="00D56E5C" w:rsidRDefault="00D56E5C" w:rsidP="00D56E5C">
      <w:pPr>
        <w:pStyle w:val="ListParagraph"/>
        <w:numPr>
          <w:ilvl w:val="0"/>
          <w:numId w:val="9"/>
        </w:numPr>
      </w:pPr>
      <w:r>
        <w:t xml:space="preserve">support at least one of the five key factors in </w:t>
      </w:r>
      <w:r w:rsidR="00BD234D">
        <w:t xml:space="preserve">the </w:t>
      </w:r>
      <w:r>
        <w:t>Healthy Asia Pacific 2020 Roadmap;</w:t>
      </w:r>
    </w:p>
    <w:p w:rsidR="00D56E5C" w:rsidRDefault="00D56E5C" w:rsidP="00D56E5C">
      <w:pPr>
        <w:pStyle w:val="ListParagraph"/>
        <w:numPr>
          <w:ilvl w:val="0"/>
          <w:numId w:val="9"/>
        </w:numPr>
      </w:pPr>
      <w:r>
        <w:t xml:space="preserve">adhere to APEC guidelines and procedures including the </w:t>
      </w:r>
      <w:r w:rsidRPr="0070538E">
        <w:rPr>
          <w:i/>
        </w:rPr>
        <w:t>Guidelines for Consideration and Ranking of New Concept notes</w:t>
      </w:r>
      <w:r>
        <w:rPr>
          <w:i/>
        </w:rPr>
        <w:t xml:space="preserve"> </w:t>
      </w:r>
      <w:r>
        <w:t>(</w:t>
      </w:r>
      <w:r w:rsidR="00976C27" w:rsidRPr="00976C27">
        <w:t xml:space="preserve">Annex </w:t>
      </w:r>
      <w:r w:rsidR="00976C27">
        <w:t>D</w:t>
      </w:r>
      <w:r>
        <w:t>)</w:t>
      </w:r>
      <w:r w:rsidRPr="0070538E">
        <w:rPr>
          <w:i/>
        </w:rPr>
        <w:t>;</w:t>
      </w:r>
    </w:p>
    <w:p w:rsidR="00D56E5C" w:rsidRDefault="00D56E5C" w:rsidP="00D56E5C">
      <w:pPr>
        <w:pStyle w:val="ListParagraph"/>
        <w:numPr>
          <w:ilvl w:val="0"/>
          <w:numId w:val="9"/>
        </w:numPr>
      </w:pPr>
      <w:r>
        <w:t>be evidence-based, and where relevant, reviewed by relevant expert groups or other relevant APEC fora;</w:t>
      </w:r>
    </w:p>
    <w:p w:rsidR="00D56E5C" w:rsidRDefault="00D56E5C" w:rsidP="00D56E5C">
      <w:pPr>
        <w:pStyle w:val="ListParagraph"/>
        <w:numPr>
          <w:ilvl w:val="0"/>
          <w:numId w:val="9"/>
        </w:numPr>
      </w:pPr>
      <w:r>
        <w:t>be relevant and of sustained benefit to more than one economy</w:t>
      </w:r>
      <w:r w:rsidR="0049031A">
        <w:t xml:space="preserve"> </w:t>
      </w:r>
      <w:r>
        <w:t>in the region</w:t>
      </w:r>
      <w:r w:rsidR="00711D95">
        <w:t xml:space="preserve"> and include a mix of both developing and developed economies</w:t>
      </w:r>
      <w:r>
        <w:t>;</w:t>
      </w:r>
    </w:p>
    <w:p w:rsidR="00D56E5C" w:rsidRDefault="00D56E5C" w:rsidP="00D56E5C">
      <w:pPr>
        <w:pStyle w:val="ListParagraph"/>
        <w:numPr>
          <w:ilvl w:val="0"/>
          <w:numId w:val="9"/>
        </w:numPr>
      </w:pPr>
      <w:r>
        <w:t>have clear links to APEC’s broader work in enhancing human security, trade and investment and/or economic growth;</w:t>
      </w:r>
    </w:p>
    <w:p w:rsidR="009171E5" w:rsidRDefault="00860339" w:rsidP="009171E5">
      <w:pPr>
        <w:pStyle w:val="ListParagraph"/>
        <w:numPr>
          <w:ilvl w:val="0"/>
          <w:numId w:val="9"/>
        </w:numPr>
      </w:pPr>
      <w:r>
        <w:t>encourage a</w:t>
      </w:r>
      <w:r w:rsidR="009171E5">
        <w:t xml:space="preserve"> mult</w:t>
      </w:r>
      <w:r w:rsidR="00711D95">
        <w:t>i</w:t>
      </w:r>
      <w:r w:rsidR="009171E5">
        <w:t>sectoral approach, wherever possible, including joint work with other APEC fora, industry dialogues and expert groups;</w:t>
      </w:r>
    </w:p>
    <w:p w:rsidR="00D56E5C" w:rsidRDefault="00D56E5C" w:rsidP="00D56E5C">
      <w:pPr>
        <w:pStyle w:val="ListParagraph"/>
        <w:numPr>
          <w:ilvl w:val="0"/>
          <w:numId w:val="9"/>
        </w:numPr>
      </w:pPr>
      <w:r>
        <w:t xml:space="preserve">provide an analysis of linkages with similar projects </w:t>
      </w:r>
      <w:r w:rsidR="009171E5">
        <w:t xml:space="preserve">or policies </w:t>
      </w:r>
      <w:r>
        <w:t>of other organizations, including international and regional forums and philanthropic organizations;</w:t>
      </w:r>
    </w:p>
    <w:p w:rsidR="00D56E5C" w:rsidRDefault="00D56E5C" w:rsidP="00D56E5C">
      <w:pPr>
        <w:pStyle w:val="ListParagraph"/>
        <w:numPr>
          <w:ilvl w:val="0"/>
          <w:numId w:val="9"/>
        </w:numPr>
      </w:pPr>
      <w:r>
        <w:t>confirm in capacity building projects that there is an acceptance of the need and priority for capacity building from the recipient APEC member economies;</w:t>
      </w:r>
    </w:p>
    <w:p w:rsidR="00D56E5C" w:rsidRDefault="00D56E5C" w:rsidP="00D56E5C">
      <w:pPr>
        <w:pStyle w:val="ListParagraph"/>
        <w:numPr>
          <w:ilvl w:val="0"/>
          <w:numId w:val="9"/>
        </w:numPr>
      </w:pPr>
      <w:r>
        <w:t>Complement and not duplicate work completed, under way or planned by other multilateral health bodies including WHO, the ASEAN Health Committee and the OECD Health Committee; and</w:t>
      </w:r>
    </w:p>
    <w:p w:rsidR="00711D95" w:rsidRDefault="00D56E5C" w:rsidP="00D56E5C">
      <w:pPr>
        <w:pStyle w:val="ListParagraph"/>
        <w:numPr>
          <w:ilvl w:val="0"/>
          <w:numId w:val="9"/>
        </w:numPr>
        <w:spacing w:after="0"/>
        <w:ind w:left="1434" w:hanging="357"/>
        <w:contextualSpacing w:val="0"/>
      </w:pPr>
      <w:r>
        <w:t>explicitly identify linkages with APEC Leaders’ and Ministerial Statements, Declaration and Instructions.</w:t>
      </w:r>
      <w:r w:rsidR="002E21DF">
        <w:br/>
      </w:r>
    </w:p>
    <w:p w:rsidR="00711D95" w:rsidRDefault="00711D95">
      <w:r>
        <w:br w:type="page"/>
      </w:r>
    </w:p>
    <w:p w:rsidR="00860339" w:rsidRPr="00860339" w:rsidRDefault="00860339" w:rsidP="00DC7D2A">
      <w:pPr>
        <w:pStyle w:val="ListParagraph"/>
        <w:numPr>
          <w:ilvl w:val="0"/>
          <w:numId w:val="5"/>
        </w:numPr>
      </w:pPr>
      <w:r w:rsidRPr="00860339">
        <w:rPr>
          <w:b/>
        </w:rPr>
        <w:lastRenderedPageBreak/>
        <w:t>HWG Annual Theme Setting and Work Plan Development:</w:t>
      </w:r>
      <w:r w:rsidRPr="00860339">
        <w:t xml:space="preserve"> </w:t>
      </w:r>
      <w:r>
        <w:t xml:space="preserve">the </w:t>
      </w:r>
      <w:r w:rsidRPr="00860339">
        <w:t>HWG annual theme and work plan should clearly align</w:t>
      </w:r>
      <w:r w:rsidR="00DC7D2A" w:rsidRPr="00DC7D2A">
        <w:t xml:space="preserve"> with the HWG Terms of Reference, the approved Strategic Plan and the Healthy Asia Pacific 2020 Initiative, including the </w:t>
      </w:r>
      <w:r w:rsidR="00DC7D2A">
        <w:t xml:space="preserve">associated </w:t>
      </w:r>
      <w:r w:rsidR="00DC7D2A" w:rsidRPr="00DC7D2A">
        <w:t>Roadmap</w:t>
      </w:r>
      <w:r w:rsidRPr="00860339">
        <w:t xml:space="preserve">. </w:t>
      </w:r>
    </w:p>
    <w:p w:rsidR="00860339" w:rsidRPr="00860339" w:rsidRDefault="00860339" w:rsidP="00860339">
      <w:pPr>
        <w:pStyle w:val="ListParagraph"/>
        <w:ind w:left="786"/>
      </w:pPr>
    </w:p>
    <w:p w:rsidR="002E21DF" w:rsidRDefault="002E21DF" w:rsidP="002E21DF">
      <w:pPr>
        <w:pStyle w:val="ListParagraph"/>
        <w:numPr>
          <w:ilvl w:val="0"/>
          <w:numId w:val="5"/>
        </w:numPr>
      </w:pPr>
      <w:r>
        <w:rPr>
          <w:b/>
        </w:rPr>
        <w:t xml:space="preserve">HAP2020 </w:t>
      </w:r>
      <w:r w:rsidR="00DC7D2A">
        <w:rPr>
          <w:b/>
        </w:rPr>
        <w:t xml:space="preserve">Initiative and </w:t>
      </w:r>
      <w:r>
        <w:rPr>
          <w:b/>
        </w:rPr>
        <w:t xml:space="preserve">Roadmap implementation: </w:t>
      </w:r>
      <w:r>
        <w:t xml:space="preserve">HWG </w:t>
      </w:r>
      <w:r w:rsidR="00915E70">
        <w:t>polic</w:t>
      </w:r>
      <w:r w:rsidR="00BD234D">
        <w:t>y dialogues</w:t>
      </w:r>
      <w:r w:rsidR="00915E70">
        <w:t xml:space="preserve"> and projects</w:t>
      </w:r>
      <w:r w:rsidR="00B37EB4">
        <w:t xml:space="preserve"> will </w:t>
      </w:r>
      <w:r w:rsidR="00915E70">
        <w:t>progress</w:t>
      </w:r>
      <w:r>
        <w:t xml:space="preserve"> the</w:t>
      </w:r>
      <w:r w:rsidR="00915E70">
        <w:t xml:space="preserve"> implementation of the</w:t>
      </w:r>
      <w:r>
        <w:t xml:space="preserve"> </w:t>
      </w:r>
      <w:r w:rsidRPr="00D5288F">
        <w:t>HAP2020</w:t>
      </w:r>
      <w:r w:rsidR="00DC7D2A">
        <w:t xml:space="preserve"> Initiative and </w:t>
      </w:r>
      <w:r w:rsidRPr="00D5288F">
        <w:t>Roadmap</w:t>
      </w:r>
      <w:r>
        <w:t>, including:</w:t>
      </w:r>
      <w:r w:rsidRPr="00D5288F">
        <w:t xml:space="preserve"> </w:t>
      </w:r>
    </w:p>
    <w:p w:rsidR="002E21DF" w:rsidRDefault="002E21DF" w:rsidP="002E21DF">
      <w:pPr>
        <w:pStyle w:val="ListParagraph"/>
        <w:numPr>
          <w:ilvl w:val="0"/>
          <w:numId w:val="6"/>
        </w:numPr>
      </w:pPr>
      <w:r>
        <w:t>demonstrating to government the value of health to economic growth and development;</w:t>
      </w:r>
    </w:p>
    <w:p w:rsidR="002E21DF" w:rsidRDefault="00DC7D2A" w:rsidP="002E21DF">
      <w:pPr>
        <w:pStyle w:val="ListParagraph"/>
        <w:numPr>
          <w:ilvl w:val="0"/>
          <w:numId w:val="6"/>
        </w:numPr>
      </w:pPr>
      <w:r>
        <w:t>strengthening</w:t>
      </w:r>
      <w:r w:rsidR="002E21DF">
        <w:t xml:space="preserve"> platforms for policy dialogue and the adoption of open and transparent government processes and ongoing stakeholder engagement;</w:t>
      </w:r>
    </w:p>
    <w:p w:rsidR="002E21DF" w:rsidRDefault="002E21DF" w:rsidP="002E21DF">
      <w:pPr>
        <w:pStyle w:val="ListParagraph"/>
        <w:numPr>
          <w:ilvl w:val="0"/>
          <w:numId w:val="6"/>
        </w:numPr>
      </w:pPr>
      <w:r>
        <w:t>promoting a comprehensive</w:t>
      </w:r>
      <w:r w:rsidR="00C12934">
        <w:t>, evidence-based</w:t>
      </w:r>
      <w:r>
        <w:t xml:space="preserve"> approach to prevention, control and awareness</w:t>
      </w:r>
      <w:r w:rsidR="00585518">
        <w:t xml:space="preserve"> of diseases</w:t>
      </w:r>
      <w:r>
        <w:t>;</w:t>
      </w:r>
    </w:p>
    <w:p w:rsidR="002E21DF" w:rsidRDefault="002E21DF" w:rsidP="002E21DF">
      <w:pPr>
        <w:pStyle w:val="ListParagraph"/>
        <w:numPr>
          <w:ilvl w:val="0"/>
          <w:numId w:val="6"/>
        </w:numPr>
      </w:pPr>
      <w:r>
        <w:t>increasing awareness of the long-term value of health research and the return on investment in health innovation; and</w:t>
      </w:r>
    </w:p>
    <w:p w:rsidR="002E21DF" w:rsidRDefault="002E21DF" w:rsidP="002E21DF">
      <w:pPr>
        <w:pStyle w:val="ListParagraph"/>
        <w:numPr>
          <w:ilvl w:val="0"/>
          <w:numId w:val="6"/>
        </w:numPr>
      </w:pPr>
      <w:r>
        <w:t>enhancing regional and sub-regional cooperation in healthcare service and delivery for the benefit of the Asia-Pacific region.</w:t>
      </w:r>
      <w:r>
        <w:br/>
      </w:r>
    </w:p>
    <w:p w:rsidR="002E21DF" w:rsidRPr="002E21DF" w:rsidRDefault="002E21DF" w:rsidP="002E21DF">
      <w:pPr>
        <w:pStyle w:val="ListParagraph"/>
        <w:numPr>
          <w:ilvl w:val="0"/>
          <w:numId w:val="11"/>
        </w:numPr>
        <w:spacing w:after="0"/>
      </w:pPr>
      <w:r w:rsidRPr="00B12A30">
        <w:rPr>
          <w:b/>
        </w:rPr>
        <w:t xml:space="preserve">APEC project proposal process: </w:t>
      </w:r>
      <w:r>
        <w:t>HWG member economies will ensure they are familiar with the APEC project proposal process</w:t>
      </w:r>
      <w:r w:rsidR="00A7583E">
        <w:t>, which can be found on the APEC Forms and Resources page on the APEC website,</w:t>
      </w:r>
      <w:r w:rsidR="00585518">
        <w:t xml:space="preserve"> </w:t>
      </w:r>
      <w:r w:rsidR="00585518">
        <w:rPr>
          <w:rFonts w:hint="eastAsia"/>
          <w:lang w:eastAsia="zh-CN"/>
        </w:rPr>
        <w:t xml:space="preserve">and </w:t>
      </w:r>
      <w:r w:rsidR="00585518" w:rsidRPr="00F90B9A">
        <w:rPr>
          <w:lang w:eastAsia="zh-CN"/>
        </w:rPr>
        <w:t>Guidelines for Health Working Group’s consideration and ranking of concept notes</w:t>
      </w:r>
      <w:r w:rsidR="00A7583E">
        <w:t xml:space="preserve"> (Annex D)</w:t>
      </w:r>
      <w:r>
        <w:t>.</w:t>
      </w:r>
      <w:r w:rsidR="00B37EB4">
        <w:t xml:space="preserve"> This will ensure that project proposal discussion at HWG meetings is timely and effective, and avoids unnecessary discussion about procedures which must be adhered to for a project to be approved. </w:t>
      </w:r>
      <w:r>
        <w:br/>
      </w:r>
    </w:p>
    <w:p w:rsidR="009171E5" w:rsidRDefault="00B12A30" w:rsidP="002E21DF">
      <w:pPr>
        <w:pStyle w:val="ListParagraph"/>
        <w:numPr>
          <w:ilvl w:val="0"/>
          <w:numId w:val="11"/>
        </w:numPr>
        <w:spacing w:after="0"/>
      </w:pPr>
      <w:r w:rsidRPr="002E21DF">
        <w:rPr>
          <w:b/>
        </w:rPr>
        <w:t xml:space="preserve">Project consultation: </w:t>
      </w:r>
      <w:r w:rsidR="005042CE">
        <w:t>T</w:t>
      </w:r>
      <w:r w:rsidR="00306934" w:rsidRPr="00306934">
        <w:t xml:space="preserve">he </w:t>
      </w:r>
      <w:r w:rsidR="005042CE">
        <w:t xml:space="preserve">APEC Secretariat will provide all HWG </w:t>
      </w:r>
      <w:r w:rsidRPr="00CC1213">
        <w:t>project proposals</w:t>
      </w:r>
      <w:r w:rsidR="00A7583E">
        <w:t xml:space="preserve"> </w:t>
      </w:r>
      <w:r w:rsidRPr="00CC1213">
        <w:t xml:space="preserve">to </w:t>
      </w:r>
      <w:r w:rsidR="00585518">
        <w:t xml:space="preserve">relevant </w:t>
      </w:r>
      <w:r w:rsidRPr="00CC1213">
        <w:t>APEC fora for review and comment</w:t>
      </w:r>
      <w:r>
        <w:t xml:space="preserve"> immediately (within 1 week of close of the HWG meeting)</w:t>
      </w:r>
      <w:r w:rsidR="001A5373">
        <w:t>, with a view to attracting co-sponsorship,</w:t>
      </w:r>
      <w:r w:rsidR="00AD772F">
        <w:t xml:space="preserve"> </w:t>
      </w:r>
      <w:r>
        <w:t>before provid</w:t>
      </w:r>
      <w:r w:rsidR="005042CE">
        <w:t>ing the</w:t>
      </w:r>
      <w:r w:rsidR="00A90124">
        <w:t xml:space="preserve"> proposals (and prioritization)</w:t>
      </w:r>
      <w:r w:rsidR="005042CE">
        <w:t xml:space="preserve"> </w:t>
      </w:r>
      <w:r>
        <w:t>to SCE for funding consideration. This will ensure alignment with</w:t>
      </w:r>
      <w:r w:rsidRPr="00A855CC">
        <w:t xml:space="preserve"> APEC priorities</w:t>
      </w:r>
      <w:r w:rsidR="005042CE">
        <w:t xml:space="preserve">, increase cross-fora collaboration </w:t>
      </w:r>
      <w:r w:rsidR="005042CE" w:rsidRPr="00A855CC">
        <w:t>and</w:t>
      </w:r>
      <w:r w:rsidRPr="00A855CC">
        <w:t xml:space="preserve"> </w:t>
      </w:r>
      <w:r w:rsidR="005042CE">
        <w:t xml:space="preserve">ensure </w:t>
      </w:r>
      <w:r w:rsidRPr="00A855CC">
        <w:t>responsibility for health</w:t>
      </w:r>
      <w:r w:rsidR="00A90124">
        <w:t>-specific</w:t>
      </w:r>
      <w:r w:rsidRPr="00A855CC">
        <w:t xml:space="preserve"> topics </w:t>
      </w:r>
      <w:r w:rsidR="00BD234D">
        <w:t>is</w:t>
      </w:r>
      <w:r w:rsidRPr="00A855CC">
        <w:t xml:space="preserve"> clearly allocated amongst groups.</w:t>
      </w:r>
      <w:r w:rsidR="00D56E5C">
        <w:br/>
      </w:r>
    </w:p>
    <w:p w:rsidR="00915E70" w:rsidRPr="009171E5" w:rsidRDefault="00915E70" w:rsidP="00915E70">
      <w:pPr>
        <w:pStyle w:val="Subtitle"/>
      </w:pPr>
      <w:r>
        <w:t>Communication</w:t>
      </w:r>
    </w:p>
    <w:p w:rsidR="007B5B56" w:rsidRDefault="00B37EB4" w:rsidP="007B5B56">
      <w:pPr>
        <w:pStyle w:val="ListParagraph"/>
        <w:numPr>
          <w:ilvl w:val="0"/>
          <w:numId w:val="5"/>
        </w:numPr>
        <w:spacing w:after="120"/>
        <w:ind w:left="782" w:hanging="357"/>
      </w:pPr>
      <w:r>
        <w:rPr>
          <w:b/>
        </w:rPr>
        <w:t xml:space="preserve">Review of HWG </w:t>
      </w:r>
      <w:r w:rsidR="009171E5">
        <w:rPr>
          <w:b/>
        </w:rPr>
        <w:t>communication</w:t>
      </w:r>
      <w:r>
        <w:rPr>
          <w:b/>
        </w:rPr>
        <w:t xml:space="preserve"> activities</w:t>
      </w:r>
      <w:r w:rsidR="00AD1F97">
        <w:t>:</w:t>
      </w:r>
      <w:r w:rsidR="007B5B56">
        <w:t xml:space="preserve"> </w:t>
      </w:r>
      <w:r w:rsidR="007B5B56" w:rsidRPr="00097AAA">
        <w:t>The HWG will undertake a review of its communication activities and identify a standardised process for undertaking communication about HWG work</w:t>
      </w:r>
      <w:r w:rsidR="007B5B56">
        <w:t xml:space="preserve"> </w:t>
      </w:r>
      <w:r w:rsidR="007B5B56" w:rsidRPr="00097AAA">
        <w:t>and projects, including</w:t>
      </w:r>
      <w:r w:rsidR="007B5B56">
        <w:t>:</w:t>
      </w:r>
    </w:p>
    <w:p w:rsidR="007B5B56" w:rsidRDefault="007B5B56" w:rsidP="00FF05AB">
      <w:pPr>
        <w:pStyle w:val="ListParagraph"/>
        <w:numPr>
          <w:ilvl w:val="0"/>
          <w:numId w:val="14"/>
        </w:numPr>
      </w:pPr>
      <w:r w:rsidRPr="00097AAA">
        <w:t xml:space="preserve">identifying important audiences that should be informed about HWG work and projects, </w:t>
      </w:r>
      <w:r>
        <w:t>such as</w:t>
      </w:r>
      <w:r w:rsidRPr="00097AAA">
        <w:t xml:space="preserve"> external policy, technical, profe</w:t>
      </w:r>
      <w:r>
        <w:t>ssional</w:t>
      </w:r>
      <w:r w:rsidR="00FF05AB">
        <w:t>,</w:t>
      </w:r>
      <w:r>
        <w:t xml:space="preserve"> media organizations</w:t>
      </w:r>
      <w:r w:rsidR="00FF05AB">
        <w:t xml:space="preserve">, </w:t>
      </w:r>
      <w:r w:rsidR="00FF05AB" w:rsidRPr="00FF05AB">
        <w:t>senior officials, Leaders and Ministers</w:t>
      </w:r>
      <w:r>
        <w:t>;</w:t>
      </w:r>
    </w:p>
    <w:p w:rsidR="007B5B56" w:rsidRDefault="007B5B56" w:rsidP="007B5B56">
      <w:pPr>
        <w:pStyle w:val="ListParagraph"/>
        <w:numPr>
          <w:ilvl w:val="0"/>
          <w:numId w:val="14"/>
        </w:numPr>
      </w:pPr>
      <w:r>
        <w:t xml:space="preserve">determining </w:t>
      </w:r>
      <w:r w:rsidRPr="00097AAA">
        <w:t>the communication</w:t>
      </w:r>
      <w:r>
        <w:t xml:space="preserve"> channels that should be used, such as the HWG website; and</w:t>
      </w:r>
    </w:p>
    <w:p w:rsidR="00711D95" w:rsidRPr="00C271BE" w:rsidRDefault="007B5B56" w:rsidP="00C271BE">
      <w:pPr>
        <w:pStyle w:val="ListParagraph"/>
        <w:numPr>
          <w:ilvl w:val="0"/>
          <w:numId w:val="14"/>
        </w:numPr>
      </w:pPr>
      <w:r>
        <w:lastRenderedPageBreak/>
        <w:t xml:space="preserve">determining </w:t>
      </w:r>
      <w:r w:rsidRPr="00097AAA">
        <w:t>the main messages which should be conveyed</w:t>
      </w:r>
      <w:r>
        <w:t>.</w:t>
      </w:r>
      <w:r w:rsidR="00FF05AB">
        <w:br/>
      </w:r>
    </w:p>
    <w:p w:rsidR="00591BD9" w:rsidRDefault="00915E70" w:rsidP="00915E70">
      <w:pPr>
        <w:pStyle w:val="ListParagraph"/>
        <w:numPr>
          <w:ilvl w:val="0"/>
          <w:numId w:val="5"/>
        </w:numPr>
        <w:spacing w:after="0"/>
      </w:pPr>
      <w:r w:rsidRPr="00915E70">
        <w:rPr>
          <w:b/>
        </w:rPr>
        <w:t>HWG website:</w:t>
      </w:r>
      <w:r>
        <w:t xml:space="preserve"> </w:t>
      </w:r>
      <w:r w:rsidR="00AA1C37" w:rsidRPr="00A01C67">
        <w:t>By 31 December 2016, t</w:t>
      </w:r>
      <w:r w:rsidR="00D943C2" w:rsidRPr="00A01C67">
        <w:t>he</w:t>
      </w:r>
      <w:r w:rsidR="00D943C2">
        <w:t xml:space="preserve"> HWG website will be reviewed, standardised and consolidated </w:t>
      </w:r>
      <w:r w:rsidR="00A01C67">
        <w:t xml:space="preserve">by the Secretariat </w:t>
      </w:r>
      <w:r w:rsidR="00D943C2">
        <w:t>into</w:t>
      </w:r>
      <w:r w:rsidR="00301D1F">
        <w:t xml:space="preserve"> a </w:t>
      </w:r>
      <w:r w:rsidR="00AD1F97">
        <w:t>single</w:t>
      </w:r>
      <w:r w:rsidR="00A01C67">
        <w:t>,</w:t>
      </w:r>
      <w:r w:rsidR="00AD1F97">
        <w:t xml:space="preserve"> publicly accessible and user friendly HWG website </w:t>
      </w:r>
      <w:r w:rsidR="00E81104">
        <w:t>w</w:t>
      </w:r>
      <w:r w:rsidR="00AD1F97">
        <w:t>hich includes all HWG documents</w:t>
      </w:r>
      <w:r w:rsidR="00FB71EA">
        <w:t xml:space="preserve"> created</w:t>
      </w:r>
      <w:r w:rsidR="00AD1F97">
        <w:t xml:space="preserve"> since the HWG’s inception</w:t>
      </w:r>
      <w:r w:rsidR="00E81104">
        <w:t>, including HWG Strategic Plans, summaries of current and completed projects, outcomes of po</w:t>
      </w:r>
      <w:r w:rsidR="00AA1C37">
        <w:t>licy dialogues and HWG meetings</w:t>
      </w:r>
      <w:r w:rsidR="00AD1F97">
        <w:t xml:space="preserve">. New documents will be uploaded </w:t>
      </w:r>
      <w:r w:rsidR="00301D1F">
        <w:t xml:space="preserve">to the website </w:t>
      </w:r>
      <w:r w:rsidR="00AD1F97">
        <w:t>within 30 days of finalisation to ensure there is a single reference point for the HWG’s cumulative work over time</w:t>
      </w:r>
      <w:r w:rsidR="00AA1C37">
        <w:t>. T</w:t>
      </w:r>
      <w:r w:rsidR="00F86F84">
        <w:t>his will help to ensure that the HWG’s work builds into a coherent whole and w</w:t>
      </w:r>
      <w:r w:rsidR="00A01C67">
        <w:t xml:space="preserve">ill support knowledge transfer. This is consistent with the recommendations from the 2014 </w:t>
      </w:r>
      <w:r w:rsidR="00A01C67" w:rsidRPr="00915E70">
        <w:rPr>
          <w:i/>
        </w:rPr>
        <w:t>Report for Independent Assessment of the HWG</w:t>
      </w:r>
      <w:r w:rsidR="00A01C67">
        <w:t>.</w:t>
      </w:r>
      <w:r w:rsidR="00FF05AB">
        <w:t xml:space="preserve"> </w:t>
      </w:r>
      <w:r w:rsidR="00591BD9">
        <w:br/>
      </w:r>
    </w:p>
    <w:p w:rsidR="00B12A30" w:rsidRPr="00591BD9" w:rsidRDefault="00B12A30" w:rsidP="00B12A30">
      <w:pPr>
        <w:pStyle w:val="Subtitle"/>
      </w:pPr>
      <w:r>
        <w:t>Collaboration and cooperation</w:t>
      </w:r>
    </w:p>
    <w:p w:rsidR="002E21DF" w:rsidRPr="002E21DF" w:rsidRDefault="002E21DF" w:rsidP="00591BD9">
      <w:pPr>
        <w:pStyle w:val="ListParagraph"/>
        <w:numPr>
          <w:ilvl w:val="0"/>
          <w:numId w:val="15"/>
        </w:numPr>
        <w:spacing w:after="0"/>
      </w:pPr>
      <w:r>
        <w:rPr>
          <w:b/>
        </w:rPr>
        <w:t xml:space="preserve">Liaison with the Life Sciences Innovation Forum (LSIF): </w:t>
      </w:r>
      <w:r w:rsidR="00BD69C0">
        <w:t>T</w:t>
      </w:r>
      <w:r>
        <w:t>he HWG will closely liaise with the LSIF to ensure strong linkages between the two APEC health-related sub-fora. This will be done by ensuring HWG and LSIF meetings are held close together to create synergies</w:t>
      </w:r>
      <w:r w:rsidR="00BD234D">
        <w:t xml:space="preserve"> and support</w:t>
      </w:r>
      <w:r>
        <w:t xml:space="preserve"> attending each other’s meetings, </w:t>
      </w:r>
      <w:r w:rsidRPr="00520048">
        <w:t xml:space="preserve">establishing and agreeing on clear </w:t>
      </w:r>
      <w:r>
        <w:t xml:space="preserve">topics and programmes </w:t>
      </w:r>
      <w:r w:rsidRPr="00520048">
        <w:t>for joint poli</w:t>
      </w:r>
      <w:r w:rsidR="00BF307C">
        <w:t xml:space="preserve">cy dialogues and joint projects, and ensuring key documents endorsed at LSIF and HWG meetings are shared between the groups. </w:t>
      </w:r>
      <w:r>
        <w:br/>
      </w:r>
    </w:p>
    <w:p w:rsidR="0077458E" w:rsidRDefault="002E21DF" w:rsidP="00591BD9">
      <w:pPr>
        <w:pStyle w:val="ListParagraph"/>
        <w:numPr>
          <w:ilvl w:val="0"/>
          <w:numId w:val="15"/>
        </w:numPr>
        <w:spacing w:after="0"/>
      </w:pPr>
      <w:r>
        <w:rPr>
          <w:b/>
        </w:rPr>
        <w:t xml:space="preserve">Cooperation with other APEC working groups: </w:t>
      </w:r>
      <w:r w:rsidRPr="001916B9">
        <w:t>The</w:t>
      </w:r>
      <w:r>
        <w:rPr>
          <w:b/>
        </w:rPr>
        <w:t xml:space="preserve"> </w:t>
      </w:r>
      <w:r>
        <w:t>HWG will strengthen dialogue with other APEC working groups by</w:t>
      </w:r>
      <w:r w:rsidRPr="00144471">
        <w:t xml:space="preserve"> seek</w:t>
      </w:r>
      <w:r>
        <w:t>ing mutual</w:t>
      </w:r>
      <w:r w:rsidRPr="00144471">
        <w:t xml:space="preserve"> observer</w:t>
      </w:r>
      <w:r>
        <w:t xml:space="preserve"> or correspondence membership</w:t>
      </w:r>
      <w:r w:rsidRPr="00144471">
        <w:t xml:space="preserve"> status </w:t>
      </w:r>
      <w:r>
        <w:t>with</w:t>
      </w:r>
      <w:r w:rsidRPr="00144471">
        <w:t xml:space="preserve"> othe</w:t>
      </w:r>
      <w:r w:rsidR="00A7583E">
        <w:t>r APEC fora that work on health-</w:t>
      </w:r>
      <w:r w:rsidRPr="00144471">
        <w:t>related topic</w:t>
      </w:r>
      <w:r w:rsidR="00C271BE">
        <w:t>s. The</w:t>
      </w:r>
      <w:r>
        <w:t xml:space="preserve"> HWG representative appointed</w:t>
      </w:r>
      <w:r w:rsidR="00C271BE">
        <w:t xml:space="preserve"> to liaise with other APEC fora will </w:t>
      </w:r>
      <w:r>
        <w:t>report on developments of interest to the HWG.</w:t>
      </w:r>
      <w:r w:rsidR="0041607F">
        <w:t xml:space="preserve"> This is consistent with the recommendations from the 2014 </w:t>
      </w:r>
      <w:r w:rsidR="0041607F" w:rsidRPr="00915E70">
        <w:rPr>
          <w:i/>
        </w:rPr>
        <w:t>Report for Independent Assessment of the HWG</w:t>
      </w:r>
      <w:r w:rsidR="0041607F">
        <w:t xml:space="preserve">. </w:t>
      </w:r>
      <w:r w:rsidR="0041607F">
        <w:br/>
      </w:r>
      <w:r w:rsidR="0041607F">
        <w:br/>
      </w:r>
      <w:r>
        <w:t>Collaboration and well prepared policy dialogues will occur with APEC fora including, but not limited to, Senior Finance Officials, Agriculture Technical Cooperation Working Group, Emergency Preparedness Working Group, Transport Working Group and Women Leaders Network. Topics and programmes for these dialogues will be agreed ahead of meetings and will focus on addressing HWG objectives, regional relevance, multisectoral approaches, and relevance to APEC’s broader agenda.</w:t>
      </w:r>
      <w:r w:rsidR="00B37EB4">
        <w:t xml:space="preserve"> A section will be added to the HWG website which highlights </w:t>
      </w:r>
      <w:r w:rsidR="00BF307C">
        <w:t xml:space="preserve">the work of other APEC sub-fora to encourage increased awareness of the broader work of APEC and enable information sharing. </w:t>
      </w:r>
      <w:r>
        <w:br/>
      </w:r>
    </w:p>
    <w:p w:rsidR="0077458E" w:rsidRDefault="0077458E">
      <w:r>
        <w:br w:type="page"/>
      </w:r>
    </w:p>
    <w:p w:rsidR="00BD69C0" w:rsidRDefault="00591BD9" w:rsidP="002D3600">
      <w:pPr>
        <w:pStyle w:val="ListParagraph"/>
        <w:numPr>
          <w:ilvl w:val="0"/>
          <w:numId w:val="15"/>
        </w:numPr>
        <w:spacing w:after="0"/>
      </w:pPr>
      <w:r w:rsidRPr="00591BD9">
        <w:rPr>
          <w:b/>
        </w:rPr>
        <w:lastRenderedPageBreak/>
        <w:t xml:space="preserve">Strengthening dialogue with other multilateral health bodies: </w:t>
      </w:r>
      <w:r>
        <w:t>HWG will ensure there are joint and coherent efforts in the Asia-Pacific region to promote health development by establishing clear and constructive communication channels with other multilateral health bodies (such as WHO, OECD and ASEAN</w:t>
      </w:r>
      <w:r w:rsidR="00BD234D">
        <w:t xml:space="preserve"> Health Ministers</w:t>
      </w:r>
      <w:r>
        <w:t xml:space="preserve">). This will be done by providing these organisations a copy of the HWG agenda in advance of the meeting and an opportunity, where appropriate, for these organisations to participate in HWG </w:t>
      </w:r>
      <w:r w:rsidR="0077458E">
        <w:t>events</w:t>
      </w:r>
      <w:r>
        <w:t xml:space="preserve">. This will ensure better regional planning, open dialogue </w:t>
      </w:r>
      <w:r w:rsidRPr="00C52C12">
        <w:t>and leveraging of activities</w:t>
      </w:r>
      <w:r>
        <w:t xml:space="preserve">, and will avoid duplication of effort. </w:t>
      </w:r>
    </w:p>
    <w:p w:rsidR="00095D79" w:rsidRDefault="00095D79" w:rsidP="00095D79">
      <w:pPr>
        <w:pStyle w:val="ListParagraph"/>
        <w:spacing w:after="0"/>
        <w:ind w:left="1080"/>
      </w:pPr>
    </w:p>
    <w:p w:rsidR="002E21DF" w:rsidRDefault="00095D79" w:rsidP="00BD69C0">
      <w:pPr>
        <w:pStyle w:val="ListParagraph"/>
        <w:numPr>
          <w:ilvl w:val="0"/>
          <w:numId w:val="18"/>
        </w:numPr>
        <w:spacing w:after="0"/>
      </w:pPr>
      <w:r>
        <w:t xml:space="preserve">Member </w:t>
      </w:r>
      <w:r w:rsidR="002D3600" w:rsidRPr="002D3600">
        <w:t>economies</w:t>
      </w:r>
      <w:r>
        <w:t xml:space="preserve"> are encouraged to develop their concept notes early (</w:t>
      </w:r>
      <w:r w:rsidR="00BD69C0">
        <w:t>6 weeks</w:t>
      </w:r>
      <w:r>
        <w:t xml:space="preserve"> prior to consideration by HWG is preferred), to allow</w:t>
      </w:r>
      <w:r w:rsidR="00BD69C0">
        <w:t xml:space="preserve"> the </w:t>
      </w:r>
      <w:r>
        <w:t>APEC</w:t>
      </w:r>
      <w:r w:rsidR="00591BD9">
        <w:t xml:space="preserve"> Secretariat </w:t>
      </w:r>
      <w:r>
        <w:t xml:space="preserve">time to </w:t>
      </w:r>
      <w:r w:rsidR="00591BD9">
        <w:t>provide these organisations</w:t>
      </w:r>
      <w:r w:rsidR="002D3600">
        <w:t xml:space="preserve"> </w:t>
      </w:r>
      <w:r w:rsidR="00591BD9">
        <w:t>with the project proposals</w:t>
      </w:r>
      <w:r>
        <w:t xml:space="preserve">, </w:t>
      </w:r>
      <w:r w:rsidR="00591BD9">
        <w:t xml:space="preserve">prior to </w:t>
      </w:r>
      <w:r>
        <w:t xml:space="preserve">the proposals </w:t>
      </w:r>
      <w:r w:rsidR="00591BD9">
        <w:t xml:space="preserve">being submitted to the </w:t>
      </w:r>
      <w:r w:rsidR="00BD234D">
        <w:t>HWG</w:t>
      </w:r>
      <w:r>
        <w:t xml:space="preserve"> (</w:t>
      </w:r>
      <w:r w:rsidR="00A7583E">
        <w:t>2 weeks before the meeting</w:t>
      </w:r>
      <w:r>
        <w:t>).</w:t>
      </w:r>
      <w:r w:rsidR="002E21DF">
        <w:br/>
      </w:r>
    </w:p>
    <w:p w:rsidR="00B12A30" w:rsidRDefault="00C271BE" w:rsidP="00591BD9">
      <w:pPr>
        <w:pStyle w:val="ListParagraph"/>
        <w:numPr>
          <w:ilvl w:val="0"/>
          <w:numId w:val="15"/>
        </w:numPr>
        <w:spacing w:after="0"/>
      </w:pPr>
      <w:r>
        <w:rPr>
          <w:b/>
        </w:rPr>
        <w:t>Annual funding priority setting</w:t>
      </w:r>
      <w:r w:rsidR="002E21DF">
        <w:rPr>
          <w:b/>
        </w:rPr>
        <w:t xml:space="preserve">: </w:t>
      </w:r>
      <w:r w:rsidR="00A7583E">
        <w:t>the</w:t>
      </w:r>
      <w:r w:rsidR="002E21DF">
        <w:t xml:space="preserve"> </w:t>
      </w:r>
      <w:r w:rsidR="00CC7097">
        <w:t xml:space="preserve">Secretariat </w:t>
      </w:r>
      <w:r w:rsidR="002E21DF">
        <w:t>will develop working relationship</w:t>
      </w:r>
      <w:r w:rsidR="00BD234D">
        <w:t>s</w:t>
      </w:r>
      <w:r w:rsidR="002E21DF">
        <w:t xml:space="preserve"> with trade and economic official counterparts to facilitate greater influence in the setting of annual funding priorities.</w:t>
      </w:r>
    </w:p>
    <w:p w:rsidR="0077458E" w:rsidRDefault="0077458E" w:rsidP="00CA5C45">
      <w:pPr>
        <w:pStyle w:val="ListParagraph"/>
        <w:spacing w:after="0"/>
        <w:ind w:left="786"/>
      </w:pPr>
    </w:p>
    <w:p w:rsidR="00D56E5C" w:rsidRDefault="00B12A30" w:rsidP="00B12A30">
      <w:pPr>
        <w:pStyle w:val="Subtitle"/>
      </w:pPr>
      <w:r>
        <w:t>Governance</w:t>
      </w:r>
    </w:p>
    <w:p w:rsidR="006A27FE" w:rsidRPr="006A27FE" w:rsidRDefault="006A27FE" w:rsidP="001A6BDD">
      <w:pPr>
        <w:pStyle w:val="ListParagraph"/>
        <w:numPr>
          <w:ilvl w:val="0"/>
          <w:numId w:val="5"/>
        </w:numPr>
      </w:pPr>
      <w:r w:rsidRPr="002E21DF">
        <w:rPr>
          <w:b/>
        </w:rPr>
        <w:t xml:space="preserve">Private sector guidelines: </w:t>
      </w:r>
      <w:r w:rsidRPr="00A01C67">
        <w:t>By SOM</w:t>
      </w:r>
      <w:r>
        <w:t xml:space="preserve">1 2016, </w:t>
      </w:r>
      <w:r w:rsidRPr="00A01C67">
        <w:t>HWG</w:t>
      </w:r>
      <w:r>
        <w:t xml:space="preserve"> member economies will develop and endorse guidelines for engagement between the HWG and the private sector consistent with the </w:t>
      </w:r>
      <w:r w:rsidRPr="002E21DF">
        <w:rPr>
          <w:i/>
        </w:rPr>
        <w:t xml:space="preserve">HWG Process and guiding principles for the development of guidelines for engagement between the HWG and the private sector </w:t>
      </w:r>
      <w:r>
        <w:t>(</w:t>
      </w:r>
      <w:r w:rsidRPr="00976C27">
        <w:t xml:space="preserve">Annex </w:t>
      </w:r>
      <w:r w:rsidR="00976C27" w:rsidRPr="00976C27">
        <w:t>E</w:t>
      </w:r>
      <w:r>
        <w:t xml:space="preserve">). The HWG will ensure these guidelines are implemented in 2016-2020 to maximise the value of the interaction and input provided by the private sector, </w:t>
      </w:r>
      <w:r w:rsidR="00A7583E">
        <w:t xml:space="preserve">where appropriate, </w:t>
      </w:r>
      <w:r>
        <w:t xml:space="preserve">whilst ensuring transparency and competitive neutrality are maintained. This is consistent with the recommendations from the 2014 </w:t>
      </w:r>
      <w:r w:rsidRPr="00915E70">
        <w:rPr>
          <w:i/>
        </w:rPr>
        <w:t>Report for Independent Assessment of the HWG</w:t>
      </w:r>
      <w:r>
        <w:t>.</w:t>
      </w:r>
      <w:r>
        <w:br/>
      </w:r>
    </w:p>
    <w:p w:rsidR="0077458E" w:rsidRDefault="00D5288F" w:rsidP="00095D79">
      <w:pPr>
        <w:pStyle w:val="ListParagraph"/>
        <w:numPr>
          <w:ilvl w:val="0"/>
          <w:numId w:val="5"/>
        </w:numPr>
      </w:pPr>
      <w:r w:rsidRPr="00095D79">
        <w:rPr>
          <w:b/>
        </w:rPr>
        <w:t>Document</w:t>
      </w:r>
      <w:r w:rsidR="00F86F84" w:rsidRPr="00095D79">
        <w:rPr>
          <w:b/>
        </w:rPr>
        <w:t>ation submission and</w:t>
      </w:r>
      <w:r w:rsidRPr="00095D79">
        <w:rPr>
          <w:b/>
        </w:rPr>
        <w:t xml:space="preserve"> distribution</w:t>
      </w:r>
      <w:r w:rsidR="00890155" w:rsidRPr="00095D79">
        <w:rPr>
          <w:b/>
        </w:rPr>
        <w:t xml:space="preserve">: </w:t>
      </w:r>
      <w:r w:rsidR="00F86F84">
        <w:t xml:space="preserve">The Secretariat will provide clear and timely requests to </w:t>
      </w:r>
      <w:r w:rsidR="00301D1F">
        <w:t>m</w:t>
      </w:r>
      <w:r w:rsidR="00F86F84">
        <w:t>ember</w:t>
      </w:r>
      <w:r w:rsidR="00301D1F">
        <w:t xml:space="preserve"> economie</w:t>
      </w:r>
      <w:r w:rsidR="00F86F84">
        <w:t>s</w:t>
      </w:r>
      <w:r w:rsidR="00301D1F">
        <w:t>, with t</w:t>
      </w:r>
      <w:r w:rsidR="00F86F84" w:rsidRPr="00F86F84">
        <w:t xml:space="preserve">imeframes for responses proportional to the request to allow appropriate consultation and consideration. </w:t>
      </w:r>
      <w:r w:rsidR="00F86F84">
        <w:t>Member economies will provide information requested inter-sessionally by the Secretariat</w:t>
      </w:r>
      <w:r w:rsidR="00C46A3B">
        <w:t>, including submission of project proposals,</w:t>
      </w:r>
      <w:r w:rsidR="00F86F84">
        <w:t xml:space="preserve"> in a timely manner</w:t>
      </w:r>
      <w:r w:rsidR="00C46A3B">
        <w:t xml:space="preserve"> to assist informed discussion in</w:t>
      </w:r>
      <w:r w:rsidR="00A01C67">
        <w:t>-</w:t>
      </w:r>
      <w:r w:rsidR="00C46A3B">
        <w:t>session at HWG meetings</w:t>
      </w:r>
      <w:r w:rsidR="00E1168D">
        <w:t>.</w:t>
      </w:r>
      <w:r w:rsidR="00F86F84">
        <w:t xml:space="preserve"> Unless urgent and unforeseeable circumstances arise, the Secretariat will ensure that all HWG documents, including meeting agendas and concept notes, are circulated to member economies at least two weeks ahead of </w:t>
      </w:r>
      <w:r w:rsidR="00301D1F">
        <w:t xml:space="preserve">HWG </w:t>
      </w:r>
      <w:r w:rsidR="00F86F84">
        <w:t>meetings.</w:t>
      </w:r>
      <w:r w:rsidR="00A7583E">
        <w:t xml:space="preserve"> The S</w:t>
      </w:r>
      <w:r w:rsidR="00A01C67">
        <w:t>ecretariat will include</w:t>
      </w:r>
      <w:r w:rsidR="002774E0">
        <w:t xml:space="preserve"> </w:t>
      </w:r>
      <w:r w:rsidR="0097584B">
        <w:t xml:space="preserve">a </w:t>
      </w:r>
      <w:r w:rsidR="00A7583E">
        <w:t>standing item on the HWG agenda</w:t>
      </w:r>
      <w:r w:rsidR="00A01C67">
        <w:t xml:space="preserve"> </w:t>
      </w:r>
      <w:r w:rsidR="002774E0">
        <w:t xml:space="preserve">addressing the issue of adherence to </w:t>
      </w:r>
      <w:r w:rsidR="00A01C67">
        <w:t>time</w:t>
      </w:r>
      <w:r w:rsidR="002774E0">
        <w:t>frame</w:t>
      </w:r>
      <w:r w:rsidR="0097584B">
        <w:t>s</w:t>
      </w:r>
      <w:r w:rsidR="002774E0">
        <w:t xml:space="preserve"> for </w:t>
      </w:r>
      <w:r w:rsidR="005814CF">
        <w:t xml:space="preserve">the submission of </w:t>
      </w:r>
      <w:r w:rsidR="00A01C67">
        <w:t xml:space="preserve">papers and responses. </w:t>
      </w:r>
      <w:r w:rsidR="0098796C">
        <w:br/>
      </w:r>
      <w:r w:rsidR="0077458E">
        <w:br w:type="page"/>
      </w:r>
    </w:p>
    <w:p w:rsidR="006A27FE" w:rsidRDefault="00CE2D4C" w:rsidP="006A27FE">
      <w:pPr>
        <w:pStyle w:val="ListParagraph"/>
        <w:numPr>
          <w:ilvl w:val="0"/>
          <w:numId w:val="5"/>
        </w:numPr>
      </w:pPr>
      <w:r w:rsidRPr="002E21DF">
        <w:rPr>
          <w:b/>
        </w:rPr>
        <w:lastRenderedPageBreak/>
        <w:t>HWG meeting discussion</w:t>
      </w:r>
      <w:r w:rsidR="007210AC" w:rsidRPr="002E21DF">
        <w:rPr>
          <w:b/>
        </w:rPr>
        <w:t xml:space="preserve">: </w:t>
      </w:r>
      <w:r w:rsidRPr="00CE2D4C">
        <w:t>Discussion of project proposals and implementat</w:t>
      </w:r>
      <w:r>
        <w:t>ion updates</w:t>
      </w:r>
      <w:r w:rsidR="00A01C67">
        <w:t xml:space="preserve"> of ongoing APEC projects</w:t>
      </w:r>
      <w:r>
        <w:t xml:space="preserve"> will be disciplined</w:t>
      </w:r>
      <w:r w:rsidRPr="00CE2D4C">
        <w:t xml:space="preserve"> and adher</w:t>
      </w:r>
      <w:r>
        <w:t xml:space="preserve">e </w:t>
      </w:r>
      <w:r w:rsidRPr="00CE2D4C">
        <w:t>to time limits for presentations.</w:t>
      </w:r>
      <w:r w:rsidRPr="002E21DF">
        <w:rPr>
          <w:b/>
        </w:rPr>
        <w:t xml:space="preserve"> </w:t>
      </w:r>
      <w:r w:rsidR="00FB71EA">
        <w:t>All</w:t>
      </w:r>
      <w:r w:rsidR="00A65381">
        <w:t xml:space="preserve"> implementation updates will use </w:t>
      </w:r>
      <w:r w:rsidR="00A01C67">
        <w:t>a</w:t>
      </w:r>
      <w:r w:rsidR="00A65381">
        <w:t xml:space="preserve"> reporting template </w:t>
      </w:r>
      <w:r w:rsidR="00A01C67">
        <w:t>agreed by the HWG</w:t>
      </w:r>
      <w:r w:rsidR="00CC7097">
        <w:t xml:space="preserve"> (</w:t>
      </w:r>
      <w:r w:rsidR="00CC7097" w:rsidRPr="00A7583E">
        <w:t xml:space="preserve">Attachment </w:t>
      </w:r>
      <w:r w:rsidR="00925928">
        <w:t>B</w:t>
      </w:r>
      <w:r w:rsidR="00CC7097">
        <w:t>)</w:t>
      </w:r>
      <w:r w:rsidR="00A65381" w:rsidRPr="002E21DF">
        <w:rPr>
          <w:b/>
        </w:rPr>
        <w:t xml:space="preserve"> </w:t>
      </w:r>
      <w:r w:rsidRPr="00CE2D4C">
        <w:t>to guide information sharing</w:t>
      </w:r>
      <w:r w:rsidRPr="002E21DF">
        <w:rPr>
          <w:b/>
        </w:rPr>
        <w:t xml:space="preserve"> </w:t>
      </w:r>
      <w:r w:rsidR="00A65381">
        <w:t xml:space="preserve">and will be </w:t>
      </w:r>
      <w:r w:rsidR="00FB71EA">
        <w:t>provided to the Secretariat at least two</w:t>
      </w:r>
      <w:r w:rsidR="00A65381">
        <w:t xml:space="preserve"> weeks prior to each HWG meeting. </w:t>
      </w:r>
      <w:r w:rsidR="006A27FE">
        <w:br/>
      </w:r>
    </w:p>
    <w:p w:rsidR="002E21DF" w:rsidRDefault="006A27FE" w:rsidP="002E21DF">
      <w:pPr>
        <w:pStyle w:val="ListParagraph"/>
        <w:numPr>
          <w:ilvl w:val="0"/>
          <w:numId w:val="17"/>
        </w:numPr>
      </w:pPr>
      <w:r w:rsidRPr="00A01C67">
        <w:rPr>
          <w:b/>
        </w:rPr>
        <w:t>Strategic Plan review:</w:t>
      </w:r>
      <w:r>
        <w:t xml:space="preserve"> the Strategic Plan for 2016-2020 will be reviewed and updated by HWG member economies before </w:t>
      </w:r>
      <w:r w:rsidRPr="00A01C67">
        <w:t>31 December 2020.</w:t>
      </w:r>
    </w:p>
    <w:p w:rsidR="0070538E" w:rsidRDefault="0070538E" w:rsidP="0070538E">
      <w:r>
        <w:br w:type="page"/>
      </w:r>
    </w:p>
    <w:p w:rsidR="00573FE4" w:rsidRPr="0061365F" w:rsidRDefault="00573FE4" w:rsidP="00B37EB4">
      <w:pPr>
        <w:pStyle w:val="Heading2"/>
        <w:spacing w:after="240"/>
      </w:pPr>
      <w:bookmarkStart w:id="7" w:name="_Toc443983694"/>
      <w:r w:rsidRPr="0061365F">
        <w:lastRenderedPageBreak/>
        <w:t>Prioritized Implementation Schedule</w:t>
      </w:r>
      <w:bookmarkEnd w:id="7"/>
    </w:p>
    <w:p w:rsidR="000034EE" w:rsidRPr="006825D9" w:rsidRDefault="00D5288F" w:rsidP="007176FA">
      <w:pPr>
        <w:pStyle w:val="ListParagraph"/>
        <w:numPr>
          <w:ilvl w:val="0"/>
          <w:numId w:val="1"/>
        </w:numPr>
      </w:pPr>
      <w:r w:rsidRPr="006825D9">
        <w:t>T</w:t>
      </w:r>
      <w:r w:rsidR="00711F11" w:rsidRPr="006825D9">
        <w:t>he schedule will be the key document for</w:t>
      </w:r>
      <w:r w:rsidR="003119D2">
        <w:t xml:space="preserve"> tracking</w:t>
      </w:r>
      <w:r w:rsidR="00711F11" w:rsidRPr="006825D9">
        <w:t xml:space="preserve"> all relevant HWG activities</w:t>
      </w:r>
      <w:r w:rsidR="003119D2">
        <w:t>,</w:t>
      </w:r>
      <w:r w:rsidR="007176FA" w:rsidRPr="006825D9">
        <w:t xml:space="preserve"> and will be posted on the HWG website</w:t>
      </w:r>
      <w:r w:rsidR="00711F11" w:rsidRPr="006825D9">
        <w:t>. It will</w:t>
      </w:r>
      <w:r w:rsidRPr="006825D9">
        <w:t xml:space="preserve"> measure and monitor all the KPIs</w:t>
      </w:r>
      <w:r w:rsidR="00711F11" w:rsidRPr="006825D9">
        <w:t xml:space="preserve"> in the Strategic Plan for 2016-2020 and </w:t>
      </w:r>
      <w:r w:rsidRPr="006825D9">
        <w:t xml:space="preserve">will </w:t>
      </w:r>
      <w:r w:rsidR="003119D2">
        <w:t xml:space="preserve">be reviewed at each HWG meeting to </w:t>
      </w:r>
      <w:r w:rsidRPr="006825D9">
        <w:t xml:space="preserve">track how implementation is progressing. </w:t>
      </w:r>
    </w:p>
    <w:tbl>
      <w:tblPr>
        <w:tblStyle w:val="TableGrid"/>
        <w:tblW w:w="9180" w:type="dxa"/>
        <w:tblLayout w:type="fixed"/>
        <w:tblLook w:val="04A0" w:firstRow="1" w:lastRow="0" w:firstColumn="1" w:lastColumn="0" w:noHBand="0" w:noVBand="1"/>
      </w:tblPr>
      <w:tblGrid>
        <w:gridCol w:w="2243"/>
        <w:gridCol w:w="2827"/>
        <w:gridCol w:w="1134"/>
        <w:gridCol w:w="1134"/>
        <w:gridCol w:w="1842"/>
      </w:tblGrid>
      <w:tr w:rsidR="00227EA8" w:rsidTr="007126AC">
        <w:tc>
          <w:tcPr>
            <w:tcW w:w="2243" w:type="dxa"/>
          </w:tcPr>
          <w:p w:rsidR="00227EA8" w:rsidRPr="006B7C37" w:rsidRDefault="003119D2" w:rsidP="000B7A16">
            <w:pPr>
              <w:rPr>
                <w:b/>
              </w:rPr>
            </w:pPr>
            <w:r w:rsidRPr="006B7C37">
              <w:rPr>
                <w:b/>
              </w:rPr>
              <w:t>KPIs/Outputs</w:t>
            </w:r>
          </w:p>
        </w:tc>
        <w:tc>
          <w:tcPr>
            <w:tcW w:w="2827" w:type="dxa"/>
          </w:tcPr>
          <w:p w:rsidR="00227EA8" w:rsidRPr="006B7C37" w:rsidRDefault="003119D2" w:rsidP="000B7A16">
            <w:pPr>
              <w:rPr>
                <w:b/>
              </w:rPr>
            </w:pPr>
            <w:r w:rsidRPr="006B7C37">
              <w:rPr>
                <w:b/>
              </w:rPr>
              <w:t>Objectives/</w:t>
            </w:r>
            <w:r w:rsidRPr="006B7C37">
              <w:rPr>
                <w:b/>
              </w:rPr>
              <w:br/>
              <w:t>Activities</w:t>
            </w:r>
          </w:p>
        </w:tc>
        <w:tc>
          <w:tcPr>
            <w:tcW w:w="1134" w:type="dxa"/>
          </w:tcPr>
          <w:p w:rsidR="00227EA8" w:rsidRPr="006B7C37" w:rsidRDefault="00227EA8" w:rsidP="000B7A16">
            <w:pPr>
              <w:rPr>
                <w:b/>
              </w:rPr>
            </w:pPr>
            <w:r w:rsidRPr="006B7C37">
              <w:rPr>
                <w:b/>
              </w:rPr>
              <w:t>Start date</w:t>
            </w:r>
          </w:p>
        </w:tc>
        <w:tc>
          <w:tcPr>
            <w:tcW w:w="1134" w:type="dxa"/>
          </w:tcPr>
          <w:p w:rsidR="00227EA8" w:rsidRPr="006B7C37" w:rsidRDefault="007126AC" w:rsidP="000B7A16">
            <w:pPr>
              <w:rPr>
                <w:b/>
              </w:rPr>
            </w:pPr>
            <w:r w:rsidRPr="006B7C37">
              <w:rPr>
                <w:b/>
              </w:rPr>
              <w:t>End date</w:t>
            </w:r>
          </w:p>
        </w:tc>
        <w:tc>
          <w:tcPr>
            <w:tcW w:w="1842" w:type="dxa"/>
          </w:tcPr>
          <w:p w:rsidR="00227EA8" w:rsidRPr="006B7C37" w:rsidRDefault="007126AC" w:rsidP="007126AC">
            <w:pPr>
              <w:rPr>
                <w:b/>
              </w:rPr>
            </w:pPr>
            <w:r w:rsidRPr="006B7C37">
              <w:rPr>
                <w:b/>
              </w:rPr>
              <w:t>Lead Fora/ Economy</w:t>
            </w:r>
          </w:p>
        </w:tc>
      </w:tr>
      <w:tr w:rsidR="00227EA8" w:rsidTr="007126AC">
        <w:tc>
          <w:tcPr>
            <w:tcW w:w="2243" w:type="dxa"/>
          </w:tcPr>
          <w:p w:rsidR="00227EA8" w:rsidRDefault="00227EA8" w:rsidP="000B7A16">
            <w:pPr>
              <w:rPr>
                <w:b/>
              </w:rPr>
            </w:pPr>
          </w:p>
        </w:tc>
        <w:tc>
          <w:tcPr>
            <w:tcW w:w="2827" w:type="dxa"/>
          </w:tcPr>
          <w:p w:rsidR="00227EA8" w:rsidRDefault="00227EA8" w:rsidP="000B7A16">
            <w:pPr>
              <w:rPr>
                <w:b/>
              </w:rPr>
            </w:pPr>
          </w:p>
        </w:tc>
        <w:tc>
          <w:tcPr>
            <w:tcW w:w="1134" w:type="dxa"/>
          </w:tcPr>
          <w:p w:rsidR="00227EA8" w:rsidRDefault="00227EA8" w:rsidP="000B7A16">
            <w:pPr>
              <w:rPr>
                <w:b/>
              </w:rPr>
            </w:pPr>
          </w:p>
        </w:tc>
        <w:tc>
          <w:tcPr>
            <w:tcW w:w="1134" w:type="dxa"/>
          </w:tcPr>
          <w:p w:rsidR="00227EA8" w:rsidRDefault="00227EA8" w:rsidP="000B7A16">
            <w:pPr>
              <w:rPr>
                <w:b/>
              </w:rPr>
            </w:pPr>
          </w:p>
        </w:tc>
        <w:tc>
          <w:tcPr>
            <w:tcW w:w="1842" w:type="dxa"/>
          </w:tcPr>
          <w:p w:rsidR="00227EA8" w:rsidRDefault="00227EA8" w:rsidP="000B7A16">
            <w:pPr>
              <w:rPr>
                <w:b/>
              </w:rPr>
            </w:pPr>
          </w:p>
        </w:tc>
      </w:tr>
      <w:tr w:rsidR="00227EA8" w:rsidTr="007126AC">
        <w:tc>
          <w:tcPr>
            <w:tcW w:w="2243" w:type="dxa"/>
          </w:tcPr>
          <w:p w:rsidR="00227EA8" w:rsidRDefault="00227EA8" w:rsidP="000B7A16">
            <w:pPr>
              <w:rPr>
                <w:b/>
              </w:rPr>
            </w:pPr>
          </w:p>
        </w:tc>
        <w:tc>
          <w:tcPr>
            <w:tcW w:w="2827" w:type="dxa"/>
          </w:tcPr>
          <w:p w:rsidR="00227EA8" w:rsidRDefault="00227EA8" w:rsidP="000B7A16">
            <w:pPr>
              <w:rPr>
                <w:b/>
              </w:rPr>
            </w:pPr>
          </w:p>
        </w:tc>
        <w:tc>
          <w:tcPr>
            <w:tcW w:w="1134" w:type="dxa"/>
          </w:tcPr>
          <w:p w:rsidR="00227EA8" w:rsidRDefault="00227EA8" w:rsidP="000B7A16">
            <w:pPr>
              <w:rPr>
                <w:b/>
              </w:rPr>
            </w:pPr>
          </w:p>
        </w:tc>
        <w:tc>
          <w:tcPr>
            <w:tcW w:w="1134" w:type="dxa"/>
          </w:tcPr>
          <w:p w:rsidR="00227EA8" w:rsidRDefault="00227EA8" w:rsidP="000B7A16">
            <w:pPr>
              <w:rPr>
                <w:b/>
              </w:rPr>
            </w:pPr>
          </w:p>
        </w:tc>
        <w:tc>
          <w:tcPr>
            <w:tcW w:w="1842" w:type="dxa"/>
          </w:tcPr>
          <w:p w:rsidR="00227EA8" w:rsidRDefault="00227EA8" w:rsidP="000B7A16">
            <w:pPr>
              <w:rPr>
                <w:b/>
              </w:rPr>
            </w:pPr>
          </w:p>
        </w:tc>
      </w:tr>
      <w:tr w:rsidR="00227EA8" w:rsidTr="007126AC">
        <w:tc>
          <w:tcPr>
            <w:tcW w:w="2243" w:type="dxa"/>
          </w:tcPr>
          <w:p w:rsidR="00227EA8" w:rsidRDefault="00227EA8" w:rsidP="000B7A16">
            <w:pPr>
              <w:rPr>
                <w:b/>
              </w:rPr>
            </w:pPr>
          </w:p>
        </w:tc>
        <w:tc>
          <w:tcPr>
            <w:tcW w:w="2827" w:type="dxa"/>
          </w:tcPr>
          <w:p w:rsidR="00227EA8" w:rsidRDefault="00227EA8" w:rsidP="000B7A16">
            <w:pPr>
              <w:rPr>
                <w:b/>
              </w:rPr>
            </w:pPr>
          </w:p>
        </w:tc>
        <w:tc>
          <w:tcPr>
            <w:tcW w:w="1134" w:type="dxa"/>
          </w:tcPr>
          <w:p w:rsidR="00227EA8" w:rsidRDefault="00227EA8" w:rsidP="000B7A16">
            <w:pPr>
              <w:rPr>
                <w:b/>
              </w:rPr>
            </w:pPr>
          </w:p>
        </w:tc>
        <w:tc>
          <w:tcPr>
            <w:tcW w:w="1134" w:type="dxa"/>
          </w:tcPr>
          <w:p w:rsidR="00227EA8" w:rsidRDefault="00227EA8" w:rsidP="000B7A16">
            <w:pPr>
              <w:rPr>
                <w:b/>
              </w:rPr>
            </w:pPr>
          </w:p>
        </w:tc>
        <w:tc>
          <w:tcPr>
            <w:tcW w:w="1842" w:type="dxa"/>
          </w:tcPr>
          <w:p w:rsidR="00227EA8" w:rsidRDefault="00227EA8" w:rsidP="000B7A16">
            <w:pPr>
              <w:rPr>
                <w:b/>
              </w:rPr>
            </w:pPr>
          </w:p>
        </w:tc>
      </w:tr>
      <w:tr w:rsidR="00227EA8" w:rsidTr="007126AC">
        <w:tc>
          <w:tcPr>
            <w:tcW w:w="2243" w:type="dxa"/>
          </w:tcPr>
          <w:p w:rsidR="00227EA8" w:rsidRDefault="00227EA8" w:rsidP="000B7A16">
            <w:pPr>
              <w:rPr>
                <w:b/>
              </w:rPr>
            </w:pPr>
          </w:p>
        </w:tc>
        <w:tc>
          <w:tcPr>
            <w:tcW w:w="2827" w:type="dxa"/>
          </w:tcPr>
          <w:p w:rsidR="00227EA8" w:rsidRDefault="00227EA8" w:rsidP="000B7A16">
            <w:pPr>
              <w:rPr>
                <w:b/>
              </w:rPr>
            </w:pPr>
          </w:p>
        </w:tc>
        <w:tc>
          <w:tcPr>
            <w:tcW w:w="1134" w:type="dxa"/>
          </w:tcPr>
          <w:p w:rsidR="00227EA8" w:rsidRDefault="00227EA8" w:rsidP="000B7A16">
            <w:pPr>
              <w:rPr>
                <w:b/>
              </w:rPr>
            </w:pPr>
          </w:p>
        </w:tc>
        <w:tc>
          <w:tcPr>
            <w:tcW w:w="1134" w:type="dxa"/>
          </w:tcPr>
          <w:p w:rsidR="00227EA8" w:rsidRDefault="00227EA8" w:rsidP="000B7A16">
            <w:pPr>
              <w:rPr>
                <w:b/>
              </w:rPr>
            </w:pPr>
          </w:p>
        </w:tc>
        <w:tc>
          <w:tcPr>
            <w:tcW w:w="1842" w:type="dxa"/>
          </w:tcPr>
          <w:p w:rsidR="00227EA8" w:rsidRDefault="00227EA8" w:rsidP="000B7A16">
            <w:pPr>
              <w:rPr>
                <w:b/>
              </w:rPr>
            </w:pPr>
          </w:p>
        </w:tc>
      </w:tr>
    </w:tbl>
    <w:p w:rsidR="002272BC" w:rsidRDefault="002272BC" w:rsidP="0098796C">
      <w:pPr>
        <w:pStyle w:val="Heading2"/>
      </w:pPr>
    </w:p>
    <w:p w:rsidR="002272BC" w:rsidRDefault="002272BC" w:rsidP="002272BC">
      <w:pPr>
        <w:rPr>
          <w:rFonts w:asciiTheme="majorHAnsi" w:eastAsiaTheme="majorEastAsia" w:hAnsiTheme="majorHAnsi" w:cstheme="majorBidi"/>
          <w:color w:val="4F81BD" w:themeColor="accent1"/>
          <w:sz w:val="26"/>
          <w:szCs w:val="26"/>
        </w:rPr>
      </w:pPr>
      <w:r>
        <w:br w:type="page"/>
      </w:r>
    </w:p>
    <w:p w:rsidR="006E61D4" w:rsidRPr="000034EE" w:rsidRDefault="00A7583E" w:rsidP="00B37EB4">
      <w:pPr>
        <w:pStyle w:val="Heading2"/>
        <w:spacing w:after="240"/>
      </w:pPr>
      <w:bookmarkStart w:id="8" w:name="_Toc443983695"/>
      <w:r>
        <w:lastRenderedPageBreak/>
        <w:t xml:space="preserve">Attachment A: </w:t>
      </w:r>
      <w:r w:rsidR="00947C06">
        <w:t>Project</w:t>
      </w:r>
      <w:r w:rsidR="006B7C37">
        <w:t xml:space="preserve"> Monitoring</w:t>
      </w:r>
      <w:r>
        <w:t xml:space="preserve"> Table</w:t>
      </w:r>
      <w:bookmarkEnd w:id="8"/>
    </w:p>
    <w:tbl>
      <w:tblPr>
        <w:tblStyle w:val="TableGrid"/>
        <w:tblW w:w="0" w:type="auto"/>
        <w:tblLayout w:type="fixed"/>
        <w:tblLook w:val="04A0" w:firstRow="1" w:lastRow="0" w:firstColumn="1" w:lastColumn="0" w:noHBand="0" w:noVBand="1"/>
      </w:tblPr>
      <w:tblGrid>
        <w:gridCol w:w="1101"/>
        <w:gridCol w:w="1701"/>
        <w:gridCol w:w="708"/>
        <w:gridCol w:w="709"/>
        <w:gridCol w:w="1559"/>
        <w:gridCol w:w="2127"/>
        <w:gridCol w:w="1275"/>
      </w:tblGrid>
      <w:tr w:rsidR="006E61D4" w:rsidTr="00A7583E">
        <w:tc>
          <w:tcPr>
            <w:tcW w:w="1101" w:type="dxa"/>
            <w:shd w:val="clear" w:color="auto" w:fill="D9D9D9" w:themeFill="background1" w:themeFillShade="D9"/>
          </w:tcPr>
          <w:p w:rsidR="006E61D4" w:rsidRPr="006E61D4" w:rsidRDefault="009978FD" w:rsidP="000B7A16">
            <w:pPr>
              <w:rPr>
                <w:b/>
                <w:sz w:val="20"/>
                <w:szCs w:val="20"/>
              </w:rPr>
            </w:pPr>
            <w:r>
              <w:rPr>
                <w:b/>
                <w:sz w:val="20"/>
                <w:szCs w:val="20"/>
              </w:rPr>
              <w:t xml:space="preserve">APEC HWG </w:t>
            </w:r>
            <w:r w:rsidR="00947C06">
              <w:rPr>
                <w:b/>
                <w:sz w:val="20"/>
                <w:szCs w:val="20"/>
              </w:rPr>
              <w:t>Project</w:t>
            </w:r>
          </w:p>
        </w:tc>
        <w:tc>
          <w:tcPr>
            <w:tcW w:w="1701" w:type="dxa"/>
            <w:shd w:val="clear" w:color="auto" w:fill="D9D9D9" w:themeFill="background1" w:themeFillShade="D9"/>
          </w:tcPr>
          <w:p w:rsidR="006E61D4" w:rsidRPr="006E61D4" w:rsidRDefault="00947C06" w:rsidP="000B7A16">
            <w:pPr>
              <w:rPr>
                <w:b/>
                <w:sz w:val="20"/>
                <w:szCs w:val="20"/>
              </w:rPr>
            </w:pPr>
            <w:r>
              <w:rPr>
                <w:b/>
                <w:sz w:val="20"/>
                <w:szCs w:val="20"/>
              </w:rPr>
              <w:t>Objective</w:t>
            </w:r>
            <w:r w:rsidR="00A7583E">
              <w:rPr>
                <w:b/>
                <w:sz w:val="20"/>
                <w:szCs w:val="20"/>
              </w:rPr>
              <w:t>/s</w:t>
            </w:r>
          </w:p>
        </w:tc>
        <w:tc>
          <w:tcPr>
            <w:tcW w:w="708" w:type="dxa"/>
            <w:shd w:val="clear" w:color="auto" w:fill="D9D9D9" w:themeFill="background1" w:themeFillShade="D9"/>
          </w:tcPr>
          <w:p w:rsidR="006E61D4" w:rsidRPr="006E61D4" w:rsidRDefault="006E61D4" w:rsidP="000B7A16">
            <w:pPr>
              <w:rPr>
                <w:b/>
                <w:sz w:val="20"/>
                <w:szCs w:val="20"/>
              </w:rPr>
            </w:pPr>
            <w:r w:rsidRPr="006E61D4">
              <w:rPr>
                <w:b/>
                <w:sz w:val="20"/>
                <w:szCs w:val="20"/>
              </w:rPr>
              <w:t>Start date</w:t>
            </w:r>
          </w:p>
        </w:tc>
        <w:tc>
          <w:tcPr>
            <w:tcW w:w="709" w:type="dxa"/>
            <w:shd w:val="clear" w:color="auto" w:fill="D9D9D9" w:themeFill="background1" w:themeFillShade="D9"/>
          </w:tcPr>
          <w:p w:rsidR="006E61D4" w:rsidRPr="006E61D4" w:rsidRDefault="007126AC" w:rsidP="000B7A16">
            <w:pPr>
              <w:rPr>
                <w:b/>
                <w:sz w:val="20"/>
                <w:szCs w:val="20"/>
              </w:rPr>
            </w:pPr>
            <w:r>
              <w:rPr>
                <w:b/>
                <w:sz w:val="20"/>
                <w:szCs w:val="20"/>
              </w:rPr>
              <w:t>End</w:t>
            </w:r>
            <w:r w:rsidR="006E61D4" w:rsidRPr="006E61D4">
              <w:rPr>
                <w:b/>
                <w:sz w:val="20"/>
                <w:szCs w:val="20"/>
              </w:rPr>
              <w:t xml:space="preserve"> date</w:t>
            </w:r>
          </w:p>
        </w:tc>
        <w:tc>
          <w:tcPr>
            <w:tcW w:w="1559" w:type="dxa"/>
            <w:shd w:val="clear" w:color="auto" w:fill="D9D9D9" w:themeFill="background1" w:themeFillShade="D9"/>
          </w:tcPr>
          <w:p w:rsidR="006E61D4" w:rsidRPr="006E61D4" w:rsidRDefault="007126AC" w:rsidP="000B7A16">
            <w:pPr>
              <w:rPr>
                <w:b/>
                <w:sz w:val="20"/>
                <w:szCs w:val="20"/>
              </w:rPr>
            </w:pPr>
            <w:r>
              <w:rPr>
                <w:b/>
                <w:sz w:val="20"/>
                <w:szCs w:val="20"/>
              </w:rPr>
              <w:t xml:space="preserve">Lead economy </w:t>
            </w:r>
            <w:r>
              <w:rPr>
                <w:b/>
                <w:sz w:val="20"/>
                <w:szCs w:val="20"/>
              </w:rPr>
              <w:br/>
              <w:t>(Co-</w:t>
            </w:r>
            <w:r w:rsidR="006E61D4" w:rsidRPr="006E61D4">
              <w:rPr>
                <w:b/>
                <w:sz w:val="20"/>
                <w:szCs w:val="20"/>
              </w:rPr>
              <w:t>sponsor</w:t>
            </w:r>
            <w:r w:rsidR="00A7583E">
              <w:rPr>
                <w:b/>
                <w:sz w:val="20"/>
                <w:szCs w:val="20"/>
              </w:rPr>
              <w:t>/s</w:t>
            </w:r>
            <w:r w:rsidR="006E61D4" w:rsidRPr="006E61D4">
              <w:rPr>
                <w:b/>
                <w:sz w:val="20"/>
                <w:szCs w:val="20"/>
              </w:rPr>
              <w:t>)</w:t>
            </w:r>
          </w:p>
        </w:tc>
        <w:tc>
          <w:tcPr>
            <w:tcW w:w="2127" w:type="dxa"/>
            <w:shd w:val="clear" w:color="auto" w:fill="D9D9D9" w:themeFill="background1" w:themeFillShade="D9"/>
          </w:tcPr>
          <w:p w:rsidR="006E61D4" w:rsidRPr="006E61D4" w:rsidRDefault="006E61D4" w:rsidP="009978FD">
            <w:pPr>
              <w:rPr>
                <w:b/>
                <w:sz w:val="20"/>
                <w:szCs w:val="20"/>
              </w:rPr>
            </w:pPr>
            <w:r w:rsidRPr="006E61D4">
              <w:rPr>
                <w:b/>
                <w:sz w:val="20"/>
                <w:szCs w:val="20"/>
              </w:rPr>
              <w:t xml:space="preserve">Deliverables of the Project </w:t>
            </w:r>
            <w:r w:rsidR="00E163BD">
              <w:rPr>
                <w:b/>
                <w:sz w:val="20"/>
                <w:szCs w:val="20"/>
              </w:rPr>
              <w:br/>
            </w:r>
            <w:r w:rsidRPr="006E61D4">
              <w:rPr>
                <w:b/>
                <w:sz w:val="20"/>
                <w:szCs w:val="20"/>
              </w:rPr>
              <w:t>(how it contributes to</w:t>
            </w:r>
            <w:r w:rsidR="009978FD">
              <w:rPr>
                <w:b/>
                <w:sz w:val="20"/>
                <w:szCs w:val="20"/>
              </w:rPr>
              <w:t xml:space="preserve"> the</w:t>
            </w:r>
            <w:r w:rsidRPr="006E61D4">
              <w:rPr>
                <w:b/>
                <w:sz w:val="20"/>
                <w:szCs w:val="20"/>
              </w:rPr>
              <w:t xml:space="preserve"> Objective</w:t>
            </w:r>
            <w:r w:rsidR="00A7583E">
              <w:rPr>
                <w:b/>
                <w:sz w:val="20"/>
                <w:szCs w:val="20"/>
              </w:rPr>
              <w:t>/s</w:t>
            </w:r>
            <w:r w:rsidRPr="006E61D4">
              <w:rPr>
                <w:b/>
                <w:sz w:val="20"/>
                <w:szCs w:val="20"/>
              </w:rPr>
              <w:t>)</w:t>
            </w:r>
          </w:p>
        </w:tc>
        <w:tc>
          <w:tcPr>
            <w:tcW w:w="1275" w:type="dxa"/>
            <w:shd w:val="clear" w:color="auto" w:fill="D9D9D9" w:themeFill="background1" w:themeFillShade="D9"/>
          </w:tcPr>
          <w:p w:rsidR="006E61D4" w:rsidRPr="006E61D4" w:rsidRDefault="006E61D4" w:rsidP="000B7A16">
            <w:pPr>
              <w:rPr>
                <w:b/>
                <w:sz w:val="20"/>
                <w:szCs w:val="20"/>
              </w:rPr>
            </w:pPr>
            <w:r w:rsidRPr="006E61D4">
              <w:rPr>
                <w:b/>
                <w:sz w:val="20"/>
                <w:szCs w:val="20"/>
              </w:rPr>
              <w:t>Consistent with KPIs</w:t>
            </w: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r w:rsidR="006E61D4" w:rsidTr="00A7583E">
        <w:tc>
          <w:tcPr>
            <w:tcW w:w="1101" w:type="dxa"/>
          </w:tcPr>
          <w:p w:rsidR="006E61D4" w:rsidRDefault="006E61D4" w:rsidP="000B7A16">
            <w:pPr>
              <w:rPr>
                <w:b/>
              </w:rPr>
            </w:pPr>
          </w:p>
        </w:tc>
        <w:tc>
          <w:tcPr>
            <w:tcW w:w="1701" w:type="dxa"/>
          </w:tcPr>
          <w:p w:rsidR="006E61D4" w:rsidRDefault="006E61D4" w:rsidP="000B7A16">
            <w:pPr>
              <w:rPr>
                <w:b/>
              </w:rPr>
            </w:pPr>
          </w:p>
        </w:tc>
        <w:tc>
          <w:tcPr>
            <w:tcW w:w="708" w:type="dxa"/>
          </w:tcPr>
          <w:p w:rsidR="006E61D4" w:rsidRDefault="006E61D4" w:rsidP="000B7A16">
            <w:pPr>
              <w:rPr>
                <w:b/>
              </w:rPr>
            </w:pPr>
          </w:p>
        </w:tc>
        <w:tc>
          <w:tcPr>
            <w:tcW w:w="709" w:type="dxa"/>
          </w:tcPr>
          <w:p w:rsidR="006E61D4" w:rsidRDefault="006E61D4" w:rsidP="000B7A16">
            <w:pPr>
              <w:rPr>
                <w:b/>
              </w:rPr>
            </w:pPr>
          </w:p>
        </w:tc>
        <w:tc>
          <w:tcPr>
            <w:tcW w:w="1559" w:type="dxa"/>
          </w:tcPr>
          <w:p w:rsidR="006E61D4" w:rsidRDefault="006E61D4" w:rsidP="000B7A16">
            <w:pPr>
              <w:rPr>
                <w:b/>
              </w:rPr>
            </w:pPr>
          </w:p>
        </w:tc>
        <w:tc>
          <w:tcPr>
            <w:tcW w:w="2127" w:type="dxa"/>
          </w:tcPr>
          <w:p w:rsidR="006E61D4" w:rsidRDefault="006E61D4" w:rsidP="000B7A16">
            <w:pPr>
              <w:rPr>
                <w:b/>
              </w:rPr>
            </w:pPr>
          </w:p>
        </w:tc>
        <w:tc>
          <w:tcPr>
            <w:tcW w:w="1275" w:type="dxa"/>
          </w:tcPr>
          <w:p w:rsidR="006E61D4" w:rsidRDefault="006E61D4" w:rsidP="000B7A16">
            <w:pPr>
              <w:rPr>
                <w:b/>
              </w:rPr>
            </w:pPr>
          </w:p>
        </w:tc>
      </w:tr>
    </w:tbl>
    <w:p w:rsidR="00CC7097" w:rsidRDefault="00A7583E" w:rsidP="0098796C">
      <w:pPr>
        <w:pStyle w:val="Heading2"/>
      </w:pPr>
      <w:bookmarkStart w:id="9" w:name="_Toc443983696"/>
      <w:r>
        <w:lastRenderedPageBreak/>
        <w:t>Attachment B</w:t>
      </w:r>
      <w:r w:rsidR="00CC7097">
        <w:t xml:space="preserve">: </w:t>
      </w:r>
      <w:r w:rsidR="009A19B2">
        <w:t xml:space="preserve">Implementation Update </w:t>
      </w:r>
      <w:r w:rsidR="00CC7097">
        <w:t>Reporting</w:t>
      </w:r>
      <w:r w:rsidR="009A19B2">
        <w:t xml:space="preserve"> T</w:t>
      </w:r>
      <w:r w:rsidR="00CC7097">
        <w:t>emplate</w:t>
      </w:r>
      <w:bookmarkEnd w:id="9"/>
      <w:r w:rsidR="00CC7097">
        <w:br/>
      </w:r>
    </w:p>
    <w:tbl>
      <w:tblPr>
        <w:tblStyle w:val="TableGrid"/>
        <w:tblW w:w="0" w:type="auto"/>
        <w:tblLook w:val="04A0" w:firstRow="1" w:lastRow="0" w:firstColumn="1" w:lastColumn="0" w:noHBand="0" w:noVBand="1"/>
      </w:tblPr>
      <w:tblGrid>
        <w:gridCol w:w="3085"/>
        <w:gridCol w:w="6157"/>
      </w:tblGrid>
      <w:tr w:rsidR="00CC7097" w:rsidRPr="00FB32B4" w:rsidTr="009E5F41">
        <w:tc>
          <w:tcPr>
            <w:tcW w:w="3085" w:type="dxa"/>
            <w:shd w:val="clear" w:color="auto" w:fill="F2F2F2" w:themeFill="background1" w:themeFillShade="F2"/>
          </w:tcPr>
          <w:p w:rsidR="00CC7097" w:rsidRPr="00FB32B4" w:rsidRDefault="009A19B2" w:rsidP="009A19B2">
            <w:pPr>
              <w:pStyle w:val="Heading2"/>
              <w:spacing w:before="120" w:after="120"/>
              <w:outlineLvl w:val="1"/>
              <w:rPr>
                <w:rFonts w:ascii="Times New Roman" w:hAnsi="Times New Roman" w:cs="Times New Roman"/>
                <w:color w:val="auto"/>
                <w:sz w:val="24"/>
                <w:szCs w:val="24"/>
              </w:rPr>
            </w:pPr>
            <w:bookmarkStart w:id="10" w:name="_Toc443928450"/>
            <w:bookmarkStart w:id="11" w:name="_Toc443979932"/>
            <w:bookmarkStart w:id="12" w:name="_Toc443979985"/>
            <w:bookmarkStart w:id="13" w:name="_Toc443983697"/>
            <w:r w:rsidRPr="00FB32B4">
              <w:rPr>
                <w:rFonts w:ascii="Times New Roman" w:hAnsi="Times New Roman" w:cs="Times New Roman"/>
                <w:color w:val="auto"/>
                <w:sz w:val="24"/>
                <w:szCs w:val="24"/>
              </w:rPr>
              <w:t>APEC HWG Project</w:t>
            </w:r>
            <w:bookmarkEnd w:id="10"/>
            <w:bookmarkEnd w:id="11"/>
            <w:bookmarkEnd w:id="12"/>
            <w:bookmarkEnd w:id="13"/>
          </w:p>
        </w:tc>
        <w:tc>
          <w:tcPr>
            <w:tcW w:w="6157" w:type="dxa"/>
          </w:tcPr>
          <w:p w:rsidR="00CC7097" w:rsidRPr="00FB32B4" w:rsidRDefault="00CC7097" w:rsidP="009A19B2">
            <w:pPr>
              <w:pStyle w:val="Heading2"/>
              <w:spacing w:before="120" w:after="120"/>
              <w:outlineLvl w:val="1"/>
              <w:rPr>
                <w:rFonts w:ascii="Times New Roman" w:hAnsi="Times New Roman" w:cs="Times New Roman"/>
                <w:sz w:val="24"/>
                <w:szCs w:val="24"/>
              </w:rPr>
            </w:pPr>
          </w:p>
        </w:tc>
      </w:tr>
      <w:tr w:rsidR="00CC7097" w:rsidRPr="00FB32B4" w:rsidTr="009E5F41">
        <w:tc>
          <w:tcPr>
            <w:tcW w:w="3085" w:type="dxa"/>
            <w:shd w:val="clear" w:color="auto" w:fill="F2F2F2" w:themeFill="background1" w:themeFillShade="F2"/>
          </w:tcPr>
          <w:p w:rsidR="00CC7097" w:rsidRPr="00FB32B4" w:rsidRDefault="009A19B2" w:rsidP="009A19B2">
            <w:pPr>
              <w:pStyle w:val="Heading2"/>
              <w:spacing w:before="120" w:after="120"/>
              <w:outlineLvl w:val="1"/>
              <w:rPr>
                <w:rFonts w:ascii="Times New Roman" w:hAnsi="Times New Roman" w:cs="Times New Roman"/>
                <w:color w:val="auto"/>
                <w:sz w:val="24"/>
                <w:szCs w:val="24"/>
              </w:rPr>
            </w:pPr>
            <w:bookmarkStart w:id="14" w:name="_Toc443928451"/>
            <w:bookmarkStart w:id="15" w:name="_Toc443979933"/>
            <w:bookmarkStart w:id="16" w:name="_Toc443979986"/>
            <w:bookmarkStart w:id="17" w:name="_Toc443983698"/>
            <w:r w:rsidRPr="00FB32B4">
              <w:rPr>
                <w:rFonts w:ascii="Times New Roman" w:hAnsi="Times New Roman" w:cs="Times New Roman"/>
                <w:color w:val="auto"/>
                <w:sz w:val="24"/>
                <w:szCs w:val="24"/>
              </w:rPr>
              <w:t>Lead Economy</w:t>
            </w:r>
            <w:bookmarkEnd w:id="14"/>
            <w:bookmarkEnd w:id="15"/>
            <w:bookmarkEnd w:id="16"/>
            <w:bookmarkEnd w:id="17"/>
          </w:p>
        </w:tc>
        <w:tc>
          <w:tcPr>
            <w:tcW w:w="6157" w:type="dxa"/>
          </w:tcPr>
          <w:p w:rsidR="00CC7097" w:rsidRPr="00FB32B4" w:rsidRDefault="00CC7097" w:rsidP="009A19B2">
            <w:pPr>
              <w:pStyle w:val="Heading2"/>
              <w:spacing w:before="120" w:after="120"/>
              <w:outlineLvl w:val="1"/>
              <w:rPr>
                <w:rFonts w:ascii="Times New Roman" w:hAnsi="Times New Roman" w:cs="Times New Roman"/>
                <w:sz w:val="24"/>
                <w:szCs w:val="24"/>
              </w:rPr>
            </w:pPr>
          </w:p>
        </w:tc>
      </w:tr>
      <w:tr w:rsidR="00CC7097" w:rsidRPr="00FB32B4" w:rsidTr="009E5F41">
        <w:tc>
          <w:tcPr>
            <w:tcW w:w="3085" w:type="dxa"/>
            <w:shd w:val="clear" w:color="auto" w:fill="F2F2F2" w:themeFill="background1" w:themeFillShade="F2"/>
          </w:tcPr>
          <w:p w:rsidR="00CC7097" w:rsidRPr="00FB32B4" w:rsidRDefault="009A19B2" w:rsidP="009A19B2">
            <w:pPr>
              <w:pStyle w:val="Heading2"/>
              <w:spacing w:before="120" w:after="120"/>
              <w:outlineLvl w:val="1"/>
              <w:rPr>
                <w:rFonts w:ascii="Times New Roman" w:hAnsi="Times New Roman" w:cs="Times New Roman"/>
                <w:color w:val="auto"/>
                <w:sz w:val="24"/>
                <w:szCs w:val="24"/>
              </w:rPr>
            </w:pPr>
            <w:bookmarkStart w:id="18" w:name="_Toc443928452"/>
            <w:bookmarkStart w:id="19" w:name="_Toc443979934"/>
            <w:bookmarkStart w:id="20" w:name="_Toc443979987"/>
            <w:bookmarkStart w:id="21" w:name="_Toc443983699"/>
            <w:r w:rsidRPr="00FB32B4">
              <w:rPr>
                <w:rFonts w:ascii="Times New Roman" w:hAnsi="Times New Roman" w:cs="Times New Roman"/>
                <w:color w:val="auto"/>
                <w:sz w:val="24"/>
                <w:szCs w:val="24"/>
              </w:rPr>
              <w:t>Co-sponsor/s</w:t>
            </w:r>
            <w:bookmarkEnd w:id="18"/>
            <w:bookmarkEnd w:id="19"/>
            <w:bookmarkEnd w:id="20"/>
            <w:bookmarkEnd w:id="21"/>
          </w:p>
        </w:tc>
        <w:tc>
          <w:tcPr>
            <w:tcW w:w="6157" w:type="dxa"/>
          </w:tcPr>
          <w:p w:rsidR="00CC7097" w:rsidRPr="00FB32B4" w:rsidRDefault="00CC7097" w:rsidP="009A19B2">
            <w:pPr>
              <w:pStyle w:val="Heading2"/>
              <w:spacing w:before="120" w:after="120"/>
              <w:outlineLvl w:val="1"/>
              <w:rPr>
                <w:rFonts w:ascii="Times New Roman" w:hAnsi="Times New Roman" w:cs="Times New Roman"/>
                <w:sz w:val="24"/>
                <w:szCs w:val="24"/>
              </w:rPr>
            </w:pPr>
          </w:p>
        </w:tc>
      </w:tr>
      <w:tr w:rsidR="00CC7097" w:rsidRPr="00FB32B4" w:rsidTr="009E5F41">
        <w:tc>
          <w:tcPr>
            <w:tcW w:w="3085" w:type="dxa"/>
            <w:shd w:val="clear" w:color="auto" w:fill="F2F2F2" w:themeFill="background1" w:themeFillShade="F2"/>
          </w:tcPr>
          <w:p w:rsidR="00CC7097" w:rsidRPr="00FB32B4" w:rsidRDefault="009A19B2" w:rsidP="009A19B2">
            <w:pPr>
              <w:pStyle w:val="Heading2"/>
              <w:spacing w:before="120" w:after="120"/>
              <w:outlineLvl w:val="1"/>
              <w:rPr>
                <w:rFonts w:ascii="Times New Roman" w:hAnsi="Times New Roman" w:cs="Times New Roman"/>
                <w:color w:val="auto"/>
                <w:sz w:val="24"/>
                <w:szCs w:val="24"/>
              </w:rPr>
            </w:pPr>
            <w:bookmarkStart w:id="22" w:name="_Toc443928453"/>
            <w:bookmarkStart w:id="23" w:name="_Toc443979935"/>
            <w:bookmarkStart w:id="24" w:name="_Toc443979988"/>
            <w:bookmarkStart w:id="25" w:name="_Toc443983700"/>
            <w:r w:rsidRPr="00FB32B4">
              <w:rPr>
                <w:rFonts w:ascii="Times New Roman" w:hAnsi="Times New Roman" w:cs="Times New Roman"/>
                <w:color w:val="auto"/>
                <w:sz w:val="24"/>
                <w:szCs w:val="24"/>
              </w:rPr>
              <w:t>HWG meeting</w:t>
            </w:r>
            <w:r w:rsidR="00FB32B4" w:rsidRPr="00FB32B4">
              <w:rPr>
                <w:rFonts w:ascii="Times New Roman" w:hAnsi="Times New Roman" w:cs="Times New Roman"/>
                <w:color w:val="auto"/>
                <w:sz w:val="24"/>
                <w:szCs w:val="24"/>
              </w:rPr>
              <w:t xml:space="preserve"> the</w:t>
            </w:r>
            <w:r w:rsidRPr="00FB32B4">
              <w:rPr>
                <w:rFonts w:ascii="Times New Roman" w:hAnsi="Times New Roman" w:cs="Times New Roman"/>
                <w:color w:val="auto"/>
                <w:sz w:val="24"/>
                <w:szCs w:val="24"/>
              </w:rPr>
              <w:t xml:space="preserve"> project was endorsed at</w:t>
            </w:r>
            <w:bookmarkEnd w:id="22"/>
            <w:bookmarkEnd w:id="23"/>
            <w:bookmarkEnd w:id="24"/>
            <w:bookmarkEnd w:id="25"/>
          </w:p>
        </w:tc>
        <w:tc>
          <w:tcPr>
            <w:tcW w:w="6157" w:type="dxa"/>
          </w:tcPr>
          <w:p w:rsidR="00CC7097" w:rsidRPr="009978FD" w:rsidRDefault="00FB32B4" w:rsidP="009978FD">
            <w:pPr>
              <w:pStyle w:val="Heading2"/>
              <w:spacing w:before="120" w:after="120"/>
              <w:outlineLvl w:val="1"/>
              <w:rPr>
                <w:rFonts w:ascii="Times New Roman" w:hAnsi="Times New Roman" w:cs="Times New Roman"/>
                <w:b w:val="0"/>
                <w:i/>
                <w:sz w:val="24"/>
                <w:szCs w:val="24"/>
              </w:rPr>
            </w:pPr>
            <w:bookmarkStart w:id="26" w:name="_Toc443983701"/>
            <w:r w:rsidRPr="009978FD">
              <w:rPr>
                <w:rFonts w:ascii="Times New Roman" w:hAnsi="Times New Roman" w:cs="Times New Roman"/>
                <w:b w:val="0"/>
                <w:i/>
                <w:color w:val="auto"/>
                <w:sz w:val="24"/>
                <w:szCs w:val="24"/>
              </w:rPr>
              <w:t>E.g.</w:t>
            </w:r>
            <w:r w:rsidR="009978FD">
              <w:rPr>
                <w:rFonts w:ascii="Times New Roman" w:hAnsi="Times New Roman" w:cs="Times New Roman"/>
                <w:b w:val="0"/>
                <w:i/>
                <w:color w:val="auto"/>
                <w:sz w:val="24"/>
                <w:szCs w:val="24"/>
              </w:rPr>
              <w:t xml:space="preserve"> August 2015 (APEC SOM3 HWG)</w:t>
            </w:r>
            <w:bookmarkEnd w:id="26"/>
          </w:p>
        </w:tc>
      </w:tr>
      <w:tr w:rsidR="00CC7097" w:rsidRPr="00FB32B4" w:rsidTr="009E5F41">
        <w:tc>
          <w:tcPr>
            <w:tcW w:w="3085" w:type="dxa"/>
            <w:shd w:val="clear" w:color="auto" w:fill="F2F2F2" w:themeFill="background1" w:themeFillShade="F2"/>
          </w:tcPr>
          <w:p w:rsidR="00925928" w:rsidRDefault="00727AFA" w:rsidP="00925928">
            <w:pPr>
              <w:pStyle w:val="Heading2"/>
              <w:spacing w:before="120" w:after="120"/>
              <w:outlineLvl w:val="1"/>
              <w:rPr>
                <w:rFonts w:ascii="Times New Roman" w:hAnsi="Times New Roman" w:cs="Times New Roman"/>
                <w:color w:val="auto"/>
                <w:sz w:val="24"/>
                <w:szCs w:val="24"/>
              </w:rPr>
            </w:pPr>
            <w:bookmarkStart w:id="27" w:name="_Toc443928454"/>
            <w:bookmarkStart w:id="28" w:name="_Toc443979936"/>
            <w:bookmarkStart w:id="29" w:name="_Toc443979989"/>
            <w:bookmarkStart w:id="30" w:name="_Toc443983702"/>
            <w:r>
              <w:rPr>
                <w:rFonts w:ascii="Times New Roman" w:hAnsi="Times New Roman" w:cs="Times New Roman"/>
                <w:color w:val="auto"/>
                <w:sz w:val="24"/>
                <w:szCs w:val="24"/>
              </w:rPr>
              <w:t>Project s</w:t>
            </w:r>
            <w:r w:rsidR="00CD7FBE">
              <w:rPr>
                <w:rFonts w:ascii="Times New Roman" w:hAnsi="Times New Roman" w:cs="Times New Roman"/>
                <w:color w:val="auto"/>
                <w:sz w:val="24"/>
                <w:szCs w:val="24"/>
              </w:rPr>
              <w:t xml:space="preserve">tatus </w:t>
            </w:r>
          </w:p>
          <w:p w:rsidR="00CC7097" w:rsidRPr="00925928" w:rsidRDefault="00925928" w:rsidP="00925928">
            <w:pPr>
              <w:pStyle w:val="Heading2"/>
              <w:spacing w:before="120" w:after="120"/>
              <w:outlineLvl w:val="1"/>
              <w:rPr>
                <w:rFonts w:ascii="Times New Roman" w:hAnsi="Times New Roman" w:cs="Times New Roman"/>
                <w:b w:val="0"/>
                <w:i/>
                <w:color w:val="auto"/>
                <w:sz w:val="24"/>
                <w:szCs w:val="24"/>
              </w:rPr>
            </w:pPr>
            <w:r w:rsidRPr="00925928">
              <w:rPr>
                <w:rFonts w:ascii="Times New Roman" w:hAnsi="Times New Roman" w:cs="Times New Roman"/>
                <w:b w:val="0"/>
                <w:i/>
                <w:color w:val="auto"/>
                <w:sz w:val="24"/>
                <w:szCs w:val="24"/>
              </w:rPr>
              <w:t>(</w:t>
            </w:r>
            <w:r w:rsidR="009A19B2" w:rsidRPr="00925928">
              <w:rPr>
                <w:rFonts w:ascii="Times New Roman" w:hAnsi="Times New Roman" w:cs="Times New Roman"/>
                <w:b w:val="0"/>
                <w:i/>
                <w:color w:val="auto"/>
                <w:sz w:val="24"/>
                <w:szCs w:val="24"/>
              </w:rPr>
              <w:t>including expected completion date</w:t>
            </w:r>
            <w:bookmarkEnd w:id="27"/>
            <w:bookmarkEnd w:id="28"/>
            <w:bookmarkEnd w:id="29"/>
            <w:bookmarkEnd w:id="30"/>
            <w:r w:rsidRPr="00925928">
              <w:rPr>
                <w:rFonts w:ascii="Times New Roman" w:hAnsi="Times New Roman" w:cs="Times New Roman"/>
                <w:b w:val="0"/>
                <w:i/>
                <w:color w:val="auto"/>
                <w:sz w:val="24"/>
                <w:szCs w:val="24"/>
              </w:rPr>
              <w:t>)</w:t>
            </w:r>
          </w:p>
        </w:tc>
        <w:tc>
          <w:tcPr>
            <w:tcW w:w="6157" w:type="dxa"/>
          </w:tcPr>
          <w:p w:rsidR="00CD7FBE" w:rsidRDefault="00CD7FBE" w:rsidP="00CD7FBE">
            <w:pPr>
              <w:pStyle w:val="Heading2"/>
              <w:spacing w:before="120" w:after="120"/>
              <w:outlineLvl w:val="1"/>
              <w:rPr>
                <w:rFonts w:ascii="Times New Roman" w:hAnsi="Times New Roman" w:cs="Times New Roman"/>
                <w:b w:val="0"/>
                <w:i/>
                <w:color w:val="auto"/>
                <w:sz w:val="24"/>
                <w:szCs w:val="24"/>
              </w:rPr>
            </w:pPr>
            <w:bookmarkStart w:id="31" w:name="_Toc443983703"/>
            <w:bookmarkStart w:id="32" w:name="_Toc443928455"/>
            <w:bookmarkStart w:id="33" w:name="_Toc443979937"/>
            <w:bookmarkStart w:id="34" w:name="_Toc443979990"/>
            <w:r w:rsidRPr="00CD7FBE">
              <w:rPr>
                <w:rFonts w:ascii="Times New Roman" w:hAnsi="Times New Roman" w:cs="Times New Roman"/>
                <w:b w:val="0"/>
                <w:i/>
                <w:color w:val="auto"/>
                <w:sz w:val="24"/>
                <w:szCs w:val="24"/>
                <w:u w:val="single"/>
              </w:rPr>
              <w:t>Project status examples</w:t>
            </w:r>
            <w:r>
              <w:rPr>
                <w:rFonts w:ascii="Times New Roman" w:hAnsi="Times New Roman" w:cs="Times New Roman"/>
                <w:b w:val="0"/>
                <w:i/>
                <w:color w:val="auto"/>
                <w:sz w:val="24"/>
                <w:szCs w:val="24"/>
              </w:rPr>
              <w:t>:</w:t>
            </w:r>
            <w:bookmarkEnd w:id="31"/>
            <w:r w:rsidR="00FB32B4" w:rsidRPr="009978FD">
              <w:rPr>
                <w:rFonts w:ascii="Times New Roman" w:hAnsi="Times New Roman" w:cs="Times New Roman"/>
                <w:b w:val="0"/>
                <w:i/>
                <w:color w:val="auto"/>
                <w:sz w:val="24"/>
                <w:szCs w:val="24"/>
              </w:rPr>
              <w:t xml:space="preserve"> </w:t>
            </w:r>
          </w:p>
          <w:p w:rsidR="00CD7FBE" w:rsidRDefault="00CD7FBE" w:rsidP="00CD7FBE">
            <w:pPr>
              <w:pStyle w:val="Heading2"/>
              <w:numPr>
                <w:ilvl w:val="0"/>
                <w:numId w:val="18"/>
              </w:numPr>
              <w:spacing w:before="120" w:after="120"/>
              <w:outlineLvl w:val="1"/>
              <w:rPr>
                <w:rFonts w:ascii="Times New Roman" w:hAnsi="Times New Roman" w:cs="Times New Roman"/>
                <w:b w:val="0"/>
                <w:i/>
                <w:color w:val="auto"/>
                <w:sz w:val="24"/>
                <w:szCs w:val="24"/>
              </w:rPr>
            </w:pPr>
            <w:bookmarkStart w:id="35" w:name="_Toc443983704"/>
            <w:r w:rsidRPr="009978FD">
              <w:rPr>
                <w:rFonts w:ascii="Times New Roman" w:hAnsi="Times New Roman" w:cs="Times New Roman"/>
                <w:b w:val="0"/>
                <w:i/>
                <w:color w:val="auto"/>
                <w:sz w:val="24"/>
                <w:szCs w:val="24"/>
              </w:rPr>
              <w:t>Development</w:t>
            </w:r>
            <w:r w:rsidR="009E5F41" w:rsidRPr="009978FD">
              <w:rPr>
                <w:rFonts w:ascii="Times New Roman" w:hAnsi="Times New Roman" w:cs="Times New Roman"/>
                <w:b w:val="0"/>
                <w:i/>
                <w:color w:val="auto"/>
                <w:sz w:val="24"/>
                <w:szCs w:val="24"/>
              </w:rPr>
              <w:t xml:space="preserve"> stage</w:t>
            </w:r>
            <w:bookmarkEnd w:id="35"/>
          </w:p>
          <w:p w:rsidR="00CD7FBE" w:rsidRDefault="00CD7FBE" w:rsidP="00CD7FBE">
            <w:pPr>
              <w:pStyle w:val="Heading2"/>
              <w:numPr>
                <w:ilvl w:val="0"/>
                <w:numId w:val="18"/>
              </w:numPr>
              <w:spacing w:before="120" w:after="120"/>
              <w:outlineLvl w:val="1"/>
              <w:rPr>
                <w:rFonts w:ascii="Times New Roman" w:hAnsi="Times New Roman" w:cs="Times New Roman"/>
                <w:b w:val="0"/>
                <w:i/>
                <w:color w:val="auto"/>
                <w:sz w:val="24"/>
                <w:szCs w:val="24"/>
              </w:rPr>
            </w:pPr>
            <w:bookmarkStart w:id="36" w:name="_Toc443983705"/>
            <w:r>
              <w:rPr>
                <w:rFonts w:ascii="Times New Roman" w:hAnsi="Times New Roman" w:cs="Times New Roman"/>
                <w:b w:val="0"/>
                <w:i/>
                <w:color w:val="auto"/>
                <w:sz w:val="24"/>
                <w:szCs w:val="24"/>
              </w:rPr>
              <w:t>Implementation stage</w:t>
            </w:r>
            <w:bookmarkEnd w:id="36"/>
          </w:p>
          <w:p w:rsidR="00CC7097" w:rsidRPr="00CD7FBE" w:rsidRDefault="00CD7FBE" w:rsidP="00CD7FBE">
            <w:pPr>
              <w:pStyle w:val="Heading2"/>
              <w:numPr>
                <w:ilvl w:val="0"/>
                <w:numId w:val="18"/>
              </w:numPr>
              <w:spacing w:before="120" w:after="120"/>
              <w:outlineLvl w:val="1"/>
              <w:rPr>
                <w:rFonts w:ascii="Times New Roman" w:hAnsi="Times New Roman" w:cs="Times New Roman"/>
                <w:b w:val="0"/>
                <w:i/>
                <w:color w:val="auto"/>
                <w:sz w:val="24"/>
                <w:szCs w:val="24"/>
              </w:rPr>
            </w:pPr>
            <w:bookmarkStart w:id="37" w:name="_Toc443983706"/>
            <w:bookmarkEnd w:id="32"/>
            <w:bookmarkEnd w:id="33"/>
            <w:bookmarkEnd w:id="34"/>
            <w:r w:rsidRPr="009978FD">
              <w:rPr>
                <w:rFonts w:ascii="Times New Roman" w:hAnsi="Times New Roman" w:cs="Times New Roman"/>
                <w:b w:val="0"/>
                <w:i/>
                <w:color w:val="auto"/>
                <w:sz w:val="24"/>
                <w:szCs w:val="24"/>
              </w:rPr>
              <w:t>Complete</w:t>
            </w:r>
            <w:r w:rsidR="007464E7">
              <w:rPr>
                <w:rFonts w:ascii="Times New Roman" w:hAnsi="Times New Roman" w:cs="Times New Roman"/>
                <w:b w:val="0"/>
                <w:i/>
                <w:color w:val="auto"/>
                <w:sz w:val="24"/>
                <w:szCs w:val="24"/>
              </w:rPr>
              <w:t>d</w:t>
            </w:r>
            <w:bookmarkEnd w:id="37"/>
          </w:p>
        </w:tc>
      </w:tr>
      <w:tr w:rsidR="00CC7097" w:rsidRPr="00FB32B4" w:rsidTr="009E5F41">
        <w:trPr>
          <w:trHeight w:val="64"/>
        </w:trPr>
        <w:tc>
          <w:tcPr>
            <w:tcW w:w="3085" w:type="dxa"/>
            <w:shd w:val="clear" w:color="auto" w:fill="F2F2F2" w:themeFill="background1" w:themeFillShade="F2"/>
          </w:tcPr>
          <w:p w:rsidR="00925928" w:rsidRDefault="00727AFA" w:rsidP="00925928">
            <w:pPr>
              <w:pStyle w:val="Heading2"/>
              <w:spacing w:before="120" w:after="120"/>
              <w:outlineLvl w:val="1"/>
              <w:rPr>
                <w:rFonts w:ascii="Times New Roman" w:hAnsi="Times New Roman" w:cs="Times New Roman"/>
                <w:color w:val="auto"/>
                <w:sz w:val="24"/>
                <w:szCs w:val="24"/>
              </w:rPr>
            </w:pPr>
            <w:bookmarkStart w:id="38" w:name="_Toc443928456"/>
            <w:bookmarkStart w:id="39" w:name="_Toc443979938"/>
            <w:bookmarkStart w:id="40" w:name="_Toc443979991"/>
            <w:bookmarkStart w:id="41" w:name="_Toc443983707"/>
            <w:r>
              <w:rPr>
                <w:rFonts w:ascii="Times New Roman" w:hAnsi="Times New Roman" w:cs="Times New Roman"/>
                <w:color w:val="auto"/>
                <w:sz w:val="24"/>
                <w:szCs w:val="24"/>
              </w:rPr>
              <w:t>Project i</w:t>
            </w:r>
            <w:r w:rsidR="009A19B2" w:rsidRPr="00FB32B4">
              <w:rPr>
                <w:rFonts w:ascii="Times New Roman" w:hAnsi="Times New Roman" w:cs="Times New Roman"/>
                <w:color w:val="auto"/>
                <w:sz w:val="24"/>
                <w:szCs w:val="24"/>
              </w:rPr>
              <w:t xml:space="preserve">mplementation update </w:t>
            </w:r>
          </w:p>
          <w:p w:rsidR="00CC7097" w:rsidRPr="00FB32B4" w:rsidRDefault="00925928" w:rsidP="00925928">
            <w:pPr>
              <w:pStyle w:val="Heading2"/>
              <w:spacing w:before="120" w:after="120"/>
              <w:outlineLvl w:val="1"/>
              <w:rPr>
                <w:rFonts w:ascii="Times New Roman" w:hAnsi="Times New Roman" w:cs="Times New Roman"/>
                <w:color w:val="auto"/>
                <w:sz w:val="24"/>
                <w:szCs w:val="24"/>
              </w:rPr>
            </w:pPr>
            <w:r>
              <w:rPr>
                <w:rFonts w:ascii="Times New Roman" w:hAnsi="Times New Roman" w:cs="Times New Roman"/>
                <w:color w:val="auto"/>
                <w:sz w:val="24"/>
                <w:szCs w:val="24"/>
              </w:rPr>
              <w:t>(</w:t>
            </w:r>
            <w:r w:rsidR="009A19B2" w:rsidRPr="00925928">
              <w:rPr>
                <w:rFonts w:ascii="Times New Roman" w:hAnsi="Times New Roman" w:cs="Times New Roman"/>
                <w:b w:val="0"/>
                <w:i/>
                <w:color w:val="auto"/>
                <w:sz w:val="24"/>
                <w:szCs w:val="24"/>
              </w:rPr>
              <w:t>current progress report</w:t>
            </w:r>
            <w:r w:rsidR="009E5F41" w:rsidRPr="00925928">
              <w:rPr>
                <w:rFonts w:ascii="Times New Roman" w:hAnsi="Times New Roman" w:cs="Times New Roman"/>
                <w:b w:val="0"/>
                <w:i/>
                <w:color w:val="auto"/>
                <w:sz w:val="24"/>
                <w:szCs w:val="24"/>
              </w:rPr>
              <w:t xml:space="preserve"> on</w:t>
            </w:r>
            <w:r w:rsidR="009A19B2" w:rsidRPr="00925928">
              <w:rPr>
                <w:rFonts w:ascii="Times New Roman" w:hAnsi="Times New Roman" w:cs="Times New Roman"/>
                <w:b w:val="0"/>
                <w:i/>
                <w:color w:val="auto"/>
                <w:sz w:val="24"/>
                <w:szCs w:val="24"/>
              </w:rPr>
              <w:t xml:space="preserve"> the status of the project; including the remaining deliverables</w:t>
            </w:r>
            <w:bookmarkEnd w:id="38"/>
            <w:bookmarkEnd w:id="39"/>
            <w:bookmarkEnd w:id="40"/>
            <w:bookmarkEnd w:id="41"/>
            <w:r w:rsidRPr="00925928">
              <w:rPr>
                <w:rFonts w:ascii="Times New Roman" w:hAnsi="Times New Roman" w:cs="Times New Roman"/>
                <w:b w:val="0"/>
                <w:i/>
                <w:color w:val="auto"/>
                <w:sz w:val="24"/>
                <w:szCs w:val="24"/>
              </w:rPr>
              <w:t>)</w:t>
            </w:r>
          </w:p>
        </w:tc>
        <w:tc>
          <w:tcPr>
            <w:tcW w:w="6157" w:type="dxa"/>
          </w:tcPr>
          <w:p w:rsidR="00CD7FBE" w:rsidRDefault="00CD7FBE" w:rsidP="00CD7FBE">
            <w:pPr>
              <w:pStyle w:val="Heading2"/>
              <w:spacing w:before="120" w:after="120"/>
              <w:outlineLvl w:val="1"/>
              <w:rPr>
                <w:rFonts w:ascii="Times New Roman" w:hAnsi="Times New Roman" w:cs="Times New Roman"/>
                <w:b w:val="0"/>
                <w:i/>
                <w:color w:val="auto"/>
                <w:sz w:val="24"/>
                <w:szCs w:val="24"/>
              </w:rPr>
            </w:pPr>
            <w:bookmarkStart w:id="42" w:name="_Toc443983708"/>
            <w:r w:rsidRPr="00CD7FBE">
              <w:rPr>
                <w:rFonts w:ascii="Times New Roman" w:hAnsi="Times New Roman" w:cs="Times New Roman"/>
                <w:b w:val="0"/>
                <w:i/>
                <w:color w:val="auto"/>
                <w:sz w:val="24"/>
                <w:szCs w:val="24"/>
                <w:u w:val="single"/>
              </w:rPr>
              <w:t>Project implementation update examples</w:t>
            </w:r>
            <w:r>
              <w:rPr>
                <w:rFonts w:ascii="Times New Roman" w:hAnsi="Times New Roman" w:cs="Times New Roman"/>
                <w:b w:val="0"/>
                <w:i/>
                <w:color w:val="auto"/>
                <w:sz w:val="24"/>
                <w:szCs w:val="24"/>
              </w:rPr>
              <w:t>:</w:t>
            </w:r>
            <w:bookmarkEnd w:id="42"/>
          </w:p>
          <w:p w:rsidR="001E67F7" w:rsidRDefault="001E67F7" w:rsidP="00CD7FBE">
            <w:pPr>
              <w:pStyle w:val="Heading2"/>
              <w:numPr>
                <w:ilvl w:val="0"/>
                <w:numId w:val="19"/>
              </w:numPr>
              <w:spacing w:before="120" w:after="120"/>
              <w:outlineLvl w:val="1"/>
              <w:rPr>
                <w:rFonts w:ascii="Times New Roman" w:hAnsi="Times New Roman" w:cs="Times New Roman"/>
                <w:b w:val="0"/>
                <w:i/>
                <w:color w:val="auto"/>
                <w:sz w:val="24"/>
                <w:szCs w:val="24"/>
              </w:rPr>
            </w:pPr>
            <w:bookmarkStart w:id="43" w:name="_Toc443983709"/>
            <w:r>
              <w:rPr>
                <w:rFonts w:ascii="Times New Roman" w:hAnsi="Times New Roman" w:cs="Times New Roman"/>
                <w:b w:val="0"/>
                <w:i/>
                <w:color w:val="auto"/>
                <w:sz w:val="24"/>
                <w:szCs w:val="24"/>
              </w:rPr>
              <w:t>The project is still in the development stage with deliverables yet to be implemented.</w:t>
            </w:r>
            <w:bookmarkEnd w:id="43"/>
          </w:p>
          <w:p w:rsidR="001E67F7" w:rsidRDefault="009978FD" w:rsidP="00CD7FBE">
            <w:pPr>
              <w:pStyle w:val="Heading2"/>
              <w:numPr>
                <w:ilvl w:val="0"/>
                <w:numId w:val="19"/>
              </w:numPr>
              <w:spacing w:before="120" w:after="120"/>
              <w:outlineLvl w:val="1"/>
              <w:rPr>
                <w:rFonts w:ascii="Times New Roman" w:hAnsi="Times New Roman" w:cs="Times New Roman"/>
                <w:b w:val="0"/>
                <w:i/>
                <w:color w:val="auto"/>
                <w:sz w:val="24"/>
                <w:szCs w:val="24"/>
              </w:rPr>
            </w:pPr>
            <w:bookmarkStart w:id="44" w:name="_Toc443983710"/>
            <w:r>
              <w:rPr>
                <w:rFonts w:ascii="Times New Roman" w:hAnsi="Times New Roman" w:cs="Times New Roman"/>
                <w:b w:val="0"/>
                <w:i/>
                <w:color w:val="auto"/>
                <w:sz w:val="24"/>
                <w:szCs w:val="24"/>
              </w:rPr>
              <w:t>Project implementation is ongoing with (</w:t>
            </w:r>
            <w:r w:rsidR="001E67F7">
              <w:rPr>
                <w:rFonts w:ascii="Times New Roman" w:hAnsi="Times New Roman" w:cs="Times New Roman"/>
                <w:b w:val="0"/>
                <w:i/>
                <w:color w:val="auto"/>
                <w:sz w:val="24"/>
                <w:szCs w:val="24"/>
              </w:rPr>
              <w:t xml:space="preserve">insert </w:t>
            </w:r>
            <w:r>
              <w:rPr>
                <w:rFonts w:ascii="Times New Roman" w:hAnsi="Times New Roman" w:cs="Times New Roman"/>
                <w:b w:val="0"/>
                <w:i/>
                <w:color w:val="auto"/>
                <w:sz w:val="24"/>
                <w:szCs w:val="24"/>
              </w:rPr>
              <w:t>remaining deliverables</w:t>
            </w:r>
            <w:r w:rsidR="001E67F7">
              <w:rPr>
                <w:rFonts w:ascii="Times New Roman" w:hAnsi="Times New Roman" w:cs="Times New Roman"/>
                <w:b w:val="0"/>
                <w:i/>
                <w:color w:val="auto"/>
                <w:sz w:val="24"/>
                <w:szCs w:val="24"/>
              </w:rPr>
              <w:t>) yet to be complete</w:t>
            </w:r>
            <w:r w:rsidR="007464E7">
              <w:rPr>
                <w:rFonts w:ascii="Times New Roman" w:hAnsi="Times New Roman" w:cs="Times New Roman"/>
                <w:b w:val="0"/>
                <w:i/>
                <w:color w:val="auto"/>
                <w:sz w:val="24"/>
                <w:szCs w:val="24"/>
              </w:rPr>
              <w:t>d</w:t>
            </w:r>
            <w:r w:rsidR="001E67F7">
              <w:rPr>
                <w:rFonts w:ascii="Times New Roman" w:hAnsi="Times New Roman" w:cs="Times New Roman"/>
                <w:b w:val="0"/>
                <w:i/>
                <w:color w:val="auto"/>
                <w:sz w:val="24"/>
                <w:szCs w:val="24"/>
              </w:rPr>
              <w:t>.</w:t>
            </w:r>
            <w:bookmarkEnd w:id="44"/>
          </w:p>
          <w:p w:rsidR="001E67F7" w:rsidRPr="00CD7FBE" w:rsidRDefault="001E67F7" w:rsidP="00CD7FBE">
            <w:pPr>
              <w:pStyle w:val="ListParagraph"/>
              <w:numPr>
                <w:ilvl w:val="0"/>
                <w:numId w:val="19"/>
              </w:numPr>
              <w:rPr>
                <w:i/>
              </w:rPr>
            </w:pPr>
            <w:r w:rsidRPr="00CD7FBE">
              <w:rPr>
                <w:i/>
              </w:rPr>
              <w:t>All project deliverables are complete</w:t>
            </w:r>
            <w:r w:rsidR="007464E7">
              <w:rPr>
                <w:i/>
              </w:rPr>
              <w:t>d</w:t>
            </w:r>
            <w:r w:rsidRPr="00CD7FBE">
              <w:rPr>
                <w:i/>
              </w:rPr>
              <w:t xml:space="preserve">. </w:t>
            </w:r>
          </w:p>
        </w:tc>
      </w:tr>
    </w:tbl>
    <w:p w:rsidR="00CC7097" w:rsidRPr="00FB32B4" w:rsidRDefault="00CC7097" w:rsidP="0098796C">
      <w:pPr>
        <w:pStyle w:val="Heading2"/>
        <w:rPr>
          <w:rFonts w:ascii="Times New Roman" w:hAnsi="Times New Roman" w:cs="Times New Roman"/>
          <w:b w:val="0"/>
          <w:color w:val="auto"/>
          <w:sz w:val="24"/>
          <w:szCs w:val="24"/>
        </w:rPr>
      </w:pPr>
      <w:bookmarkStart w:id="45" w:name="_Toc443928457"/>
      <w:bookmarkStart w:id="46" w:name="_Toc443979939"/>
      <w:bookmarkStart w:id="47" w:name="_Toc443979992"/>
      <w:bookmarkStart w:id="48" w:name="_Toc443983711"/>
      <w:r w:rsidRPr="00FB32B4">
        <w:rPr>
          <w:rFonts w:ascii="Times New Roman" w:hAnsi="Times New Roman" w:cs="Times New Roman"/>
          <w:b w:val="0"/>
          <w:color w:val="auto"/>
          <w:sz w:val="24"/>
          <w:szCs w:val="24"/>
        </w:rPr>
        <w:t xml:space="preserve">All implementation updates will use </w:t>
      </w:r>
      <w:r w:rsidR="009A19B2" w:rsidRPr="00FB32B4">
        <w:rPr>
          <w:rFonts w:ascii="Times New Roman" w:hAnsi="Times New Roman" w:cs="Times New Roman"/>
          <w:b w:val="0"/>
          <w:color w:val="auto"/>
          <w:sz w:val="24"/>
          <w:szCs w:val="24"/>
        </w:rPr>
        <w:t>the above</w:t>
      </w:r>
      <w:r w:rsidRPr="00FB32B4">
        <w:rPr>
          <w:rFonts w:ascii="Times New Roman" w:hAnsi="Times New Roman" w:cs="Times New Roman"/>
          <w:b w:val="0"/>
          <w:color w:val="auto"/>
          <w:sz w:val="24"/>
          <w:szCs w:val="24"/>
        </w:rPr>
        <w:t xml:space="preserve"> reporting template to guide information sharing and will be provided to the Secretariat at least two weeks prior to each HWG meeting.</w:t>
      </w:r>
      <w:bookmarkEnd w:id="45"/>
      <w:bookmarkEnd w:id="46"/>
      <w:bookmarkEnd w:id="47"/>
      <w:bookmarkEnd w:id="48"/>
    </w:p>
    <w:p w:rsidR="00CC7097" w:rsidRDefault="00CC7097" w:rsidP="0098796C">
      <w:pPr>
        <w:pStyle w:val="Heading2"/>
      </w:pPr>
    </w:p>
    <w:p w:rsidR="00CC7097" w:rsidRDefault="00CC7097" w:rsidP="0098796C">
      <w:pPr>
        <w:pStyle w:val="Heading2"/>
      </w:pPr>
    </w:p>
    <w:p w:rsidR="00CC7097" w:rsidRDefault="00CC7097" w:rsidP="0098796C">
      <w:pPr>
        <w:pStyle w:val="Heading2"/>
      </w:pPr>
    </w:p>
    <w:p w:rsidR="00CC7097" w:rsidRDefault="00CC7097" w:rsidP="0098796C">
      <w:pPr>
        <w:pStyle w:val="Heading2"/>
      </w:pPr>
    </w:p>
    <w:p w:rsidR="00CC7097" w:rsidRDefault="00CC7097" w:rsidP="0098796C">
      <w:pPr>
        <w:pStyle w:val="Heading2"/>
      </w:pPr>
    </w:p>
    <w:p w:rsidR="00CC7097" w:rsidRDefault="00CC7097" w:rsidP="0098796C">
      <w:pPr>
        <w:pStyle w:val="Heading2"/>
      </w:pPr>
    </w:p>
    <w:p w:rsidR="00CC7097" w:rsidRDefault="00CC7097" w:rsidP="0098796C">
      <w:pPr>
        <w:pStyle w:val="Heading2"/>
      </w:pPr>
    </w:p>
    <w:p w:rsidR="00CC7097" w:rsidRDefault="00CC7097" w:rsidP="0098796C">
      <w:pPr>
        <w:pStyle w:val="Heading2"/>
      </w:pPr>
    </w:p>
    <w:p w:rsidR="00CC7097" w:rsidRDefault="00CC7097" w:rsidP="0098796C">
      <w:pPr>
        <w:pStyle w:val="Heading2"/>
      </w:pPr>
      <w:r>
        <w:br w:type="page"/>
      </w:r>
    </w:p>
    <w:p w:rsidR="0098796C" w:rsidRDefault="0098796C" w:rsidP="0098796C">
      <w:pPr>
        <w:pStyle w:val="Heading2"/>
      </w:pPr>
      <w:bookmarkStart w:id="49" w:name="_Toc443983712"/>
      <w:r>
        <w:lastRenderedPageBreak/>
        <w:t>Appendices</w:t>
      </w:r>
      <w:bookmarkEnd w:id="49"/>
      <w:r w:rsidR="003119D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62AE7" w:rsidTr="00D56E5C">
        <w:tc>
          <w:tcPr>
            <w:tcW w:w="1242" w:type="dxa"/>
          </w:tcPr>
          <w:p w:rsidR="00162AE7" w:rsidRPr="00D56E5C" w:rsidRDefault="00162AE7" w:rsidP="00D56E5C">
            <w:pPr>
              <w:spacing w:after="120"/>
              <w:rPr>
                <w:b/>
              </w:rPr>
            </w:pPr>
            <w:r w:rsidRPr="00D56E5C">
              <w:rPr>
                <w:b/>
              </w:rPr>
              <w:t>Annex A</w:t>
            </w:r>
          </w:p>
        </w:tc>
        <w:tc>
          <w:tcPr>
            <w:tcW w:w="8000" w:type="dxa"/>
          </w:tcPr>
          <w:p w:rsidR="00162AE7" w:rsidRDefault="00162AE7" w:rsidP="00D56E5C">
            <w:pPr>
              <w:spacing w:after="120"/>
            </w:pPr>
            <w:r>
              <w:t xml:space="preserve">Strategic Plan for 2013-2015 </w:t>
            </w:r>
          </w:p>
        </w:tc>
      </w:tr>
      <w:tr w:rsidR="00162AE7" w:rsidTr="00D56E5C">
        <w:tc>
          <w:tcPr>
            <w:tcW w:w="1242" w:type="dxa"/>
          </w:tcPr>
          <w:p w:rsidR="00162AE7" w:rsidRPr="00D56E5C" w:rsidRDefault="00162AE7" w:rsidP="00D56E5C">
            <w:pPr>
              <w:spacing w:after="120"/>
              <w:rPr>
                <w:b/>
              </w:rPr>
            </w:pPr>
            <w:r w:rsidRPr="00D56E5C">
              <w:rPr>
                <w:b/>
              </w:rPr>
              <w:t>Annex B</w:t>
            </w:r>
          </w:p>
        </w:tc>
        <w:tc>
          <w:tcPr>
            <w:tcW w:w="8000" w:type="dxa"/>
          </w:tcPr>
          <w:p w:rsidR="00162AE7" w:rsidRDefault="00162AE7" w:rsidP="00D56E5C">
            <w:pPr>
              <w:spacing w:after="120"/>
            </w:pPr>
            <w:r>
              <w:t>Report for Independent Assessment of the HWG, April 2014</w:t>
            </w:r>
          </w:p>
        </w:tc>
      </w:tr>
      <w:tr w:rsidR="00162AE7" w:rsidTr="00D56E5C">
        <w:tc>
          <w:tcPr>
            <w:tcW w:w="1242" w:type="dxa"/>
          </w:tcPr>
          <w:p w:rsidR="00162AE7" w:rsidRPr="00D56E5C" w:rsidRDefault="00162AE7" w:rsidP="00D56E5C">
            <w:pPr>
              <w:spacing w:after="120"/>
              <w:rPr>
                <w:b/>
              </w:rPr>
            </w:pPr>
            <w:r w:rsidRPr="00D56E5C">
              <w:rPr>
                <w:b/>
              </w:rPr>
              <w:t>Annex C</w:t>
            </w:r>
          </w:p>
        </w:tc>
        <w:tc>
          <w:tcPr>
            <w:tcW w:w="8000" w:type="dxa"/>
          </w:tcPr>
          <w:p w:rsidR="00162AE7" w:rsidRDefault="00162AE7" w:rsidP="00D56E5C">
            <w:pPr>
              <w:spacing w:after="120"/>
            </w:pPr>
            <w:r>
              <w:t>HWG Terms of Reference</w:t>
            </w:r>
          </w:p>
        </w:tc>
      </w:tr>
      <w:tr w:rsidR="00976C27" w:rsidTr="00D56E5C">
        <w:tc>
          <w:tcPr>
            <w:tcW w:w="1242" w:type="dxa"/>
          </w:tcPr>
          <w:p w:rsidR="00976C27" w:rsidRPr="00D56E5C" w:rsidRDefault="00976C27" w:rsidP="005E29FC">
            <w:pPr>
              <w:spacing w:after="120"/>
              <w:rPr>
                <w:b/>
              </w:rPr>
            </w:pPr>
            <w:r>
              <w:rPr>
                <w:b/>
              </w:rPr>
              <w:t>Annex D</w:t>
            </w:r>
          </w:p>
        </w:tc>
        <w:tc>
          <w:tcPr>
            <w:tcW w:w="8000" w:type="dxa"/>
          </w:tcPr>
          <w:p w:rsidR="00976C27" w:rsidRDefault="00D37EDA" w:rsidP="005E29FC">
            <w:pPr>
              <w:spacing w:after="120"/>
            </w:pPr>
            <w:r w:rsidRPr="00D37EDA">
              <w:t>Guidelines for HWG’s consideration and ranking of concept notes</w:t>
            </w:r>
          </w:p>
        </w:tc>
      </w:tr>
      <w:tr w:rsidR="00162AE7" w:rsidTr="00D56E5C">
        <w:tc>
          <w:tcPr>
            <w:tcW w:w="1242" w:type="dxa"/>
          </w:tcPr>
          <w:p w:rsidR="00162AE7" w:rsidRPr="00D56E5C" w:rsidRDefault="00976C27" w:rsidP="00D56E5C">
            <w:pPr>
              <w:spacing w:after="120"/>
              <w:rPr>
                <w:b/>
              </w:rPr>
            </w:pPr>
            <w:r>
              <w:rPr>
                <w:b/>
              </w:rPr>
              <w:t>Annex E</w:t>
            </w:r>
          </w:p>
        </w:tc>
        <w:tc>
          <w:tcPr>
            <w:tcW w:w="8000" w:type="dxa"/>
          </w:tcPr>
          <w:p w:rsidR="00162AE7" w:rsidRDefault="00162AE7" w:rsidP="00591BD9">
            <w:pPr>
              <w:spacing w:after="120"/>
            </w:pPr>
            <w:r>
              <w:t xml:space="preserve">HWG </w:t>
            </w:r>
            <w:r w:rsidR="00591BD9">
              <w:t>Process and G</w:t>
            </w:r>
            <w:r>
              <w:t>uid</w:t>
            </w:r>
            <w:r w:rsidR="00591BD9">
              <w:t>ing Principles for the Development of Guidelines for E</w:t>
            </w:r>
            <w:r>
              <w:t xml:space="preserve">ngagement between the HWG and the </w:t>
            </w:r>
            <w:r w:rsidR="00591BD9">
              <w:t>Private S</w:t>
            </w:r>
            <w:r>
              <w:t>ector</w:t>
            </w:r>
          </w:p>
        </w:tc>
      </w:tr>
      <w:tr w:rsidR="00162AE7" w:rsidTr="00D56E5C">
        <w:tc>
          <w:tcPr>
            <w:tcW w:w="1242" w:type="dxa"/>
          </w:tcPr>
          <w:p w:rsidR="00162AE7" w:rsidRPr="00D56E5C" w:rsidRDefault="00A10BBC" w:rsidP="00D56E5C">
            <w:pPr>
              <w:spacing w:after="120"/>
              <w:rPr>
                <w:b/>
              </w:rPr>
            </w:pPr>
            <w:r>
              <w:rPr>
                <w:b/>
              </w:rPr>
              <w:t>Annex F</w:t>
            </w:r>
          </w:p>
        </w:tc>
        <w:tc>
          <w:tcPr>
            <w:tcW w:w="8000" w:type="dxa"/>
          </w:tcPr>
          <w:p w:rsidR="00162AE7" w:rsidRDefault="00162AE7" w:rsidP="00D56E5C">
            <w:pPr>
              <w:spacing w:after="120"/>
            </w:pPr>
            <w:r>
              <w:t>Template for concept notes</w:t>
            </w:r>
          </w:p>
        </w:tc>
      </w:tr>
      <w:tr w:rsidR="00162AE7" w:rsidTr="00D56E5C">
        <w:tc>
          <w:tcPr>
            <w:tcW w:w="1242" w:type="dxa"/>
          </w:tcPr>
          <w:p w:rsidR="00162AE7" w:rsidRPr="00D56E5C" w:rsidRDefault="00A10BBC" w:rsidP="00D56E5C">
            <w:pPr>
              <w:spacing w:after="120"/>
              <w:rPr>
                <w:b/>
              </w:rPr>
            </w:pPr>
            <w:r>
              <w:rPr>
                <w:b/>
              </w:rPr>
              <w:t>Annex G</w:t>
            </w:r>
          </w:p>
        </w:tc>
        <w:tc>
          <w:tcPr>
            <w:tcW w:w="8000" w:type="dxa"/>
          </w:tcPr>
          <w:p w:rsidR="00162AE7" w:rsidRDefault="00FB5F5A" w:rsidP="00D56E5C">
            <w:pPr>
              <w:spacing w:after="120"/>
            </w:pPr>
            <w:r w:rsidRPr="00FB5F5A">
              <w:t>Process for the updating of Health Working Group documents</w:t>
            </w:r>
          </w:p>
        </w:tc>
      </w:tr>
    </w:tbl>
    <w:p w:rsidR="00162AE7" w:rsidRPr="00162AE7" w:rsidRDefault="00162AE7" w:rsidP="00162AE7"/>
    <w:p w:rsidR="003119D2" w:rsidRPr="003F22EF" w:rsidRDefault="003F22EF" w:rsidP="003F22EF">
      <w:r>
        <w:br/>
      </w:r>
      <w:r>
        <w:br/>
      </w:r>
      <w:r w:rsidR="003119D2">
        <w:br/>
      </w:r>
      <w:r w:rsidR="003119D2">
        <w:br/>
      </w:r>
      <w:r w:rsidR="003119D2">
        <w:br/>
      </w:r>
    </w:p>
    <w:sectPr w:rsidR="003119D2" w:rsidRPr="003F22EF" w:rsidSect="00DE65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4E" w:rsidRDefault="000E6B4E" w:rsidP="00DE65BC">
      <w:pPr>
        <w:spacing w:after="0" w:line="240" w:lineRule="auto"/>
      </w:pPr>
      <w:r>
        <w:separator/>
      </w:r>
    </w:p>
  </w:endnote>
  <w:endnote w:type="continuationSeparator" w:id="0">
    <w:p w:rsidR="000E6B4E" w:rsidRDefault="000E6B4E" w:rsidP="00DE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899658"/>
      <w:docPartObj>
        <w:docPartGallery w:val="Page Numbers (Bottom of Page)"/>
        <w:docPartUnique/>
      </w:docPartObj>
    </w:sdtPr>
    <w:sdtEndPr>
      <w:rPr>
        <w:noProof/>
      </w:rPr>
    </w:sdtEndPr>
    <w:sdtContent>
      <w:p w:rsidR="00DE65BC" w:rsidRDefault="00DE65BC">
        <w:pPr>
          <w:pStyle w:val="Footer"/>
          <w:jc w:val="right"/>
        </w:pPr>
        <w:r>
          <w:fldChar w:fldCharType="begin"/>
        </w:r>
        <w:r>
          <w:instrText xml:space="preserve"> PAGE   \* MERGEFORMAT </w:instrText>
        </w:r>
        <w:r>
          <w:fldChar w:fldCharType="separate"/>
        </w:r>
        <w:r w:rsidR="00883EAA">
          <w:rPr>
            <w:noProof/>
          </w:rPr>
          <w:t>1</w:t>
        </w:r>
        <w:r>
          <w:rPr>
            <w:noProof/>
          </w:rPr>
          <w:fldChar w:fldCharType="end"/>
        </w:r>
      </w:p>
    </w:sdtContent>
  </w:sdt>
  <w:p w:rsidR="00DE65BC" w:rsidRPr="00CA5C45" w:rsidRDefault="0077458E">
    <w:pPr>
      <w:pStyle w:val="Footer"/>
      <w:rPr>
        <w:color w:val="BFBFBF" w:themeColor="background1" w:themeShade="BF"/>
      </w:rPr>
    </w:pPr>
    <w:r w:rsidRPr="00CA5C45">
      <w:rPr>
        <w:color w:val="BFBFBF" w:themeColor="background1" w:themeShade="BF"/>
      </w:rPr>
      <w:t>Health Working Group Strategic Plan 2016-2020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4E" w:rsidRDefault="000E6B4E" w:rsidP="00DE65BC">
      <w:pPr>
        <w:spacing w:after="0" w:line="240" w:lineRule="auto"/>
      </w:pPr>
      <w:r>
        <w:separator/>
      </w:r>
    </w:p>
  </w:footnote>
  <w:footnote w:type="continuationSeparator" w:id="0">
    <w:p w:rsidR="000E6B4E" w:rsidRDefault="000E6B4E" w:rsidP="00DE6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8E" w:rsidRPr="00B11147" w:rsidRDefault="0077458E" w:rsidP="0077458E">
    <w:pPr>
      <w:pStyle w:val="Footer"/>
      <w:rPr>
        <w:color w:val="BFBFBF" w:themeColor="background1" w:themeShade="BF"/>
      </w:rPr>
    </w:pPr>
    <w:r w:rsidRPr="00B11147">
      <w:rPr>
        <w:color w:val="BFBFBF" w:themeColor="background1" w:themeShade="BF"/>
      </w:rPr>
      <w:t>Health Working Group Strategic Plan 2016-2020</w:t>
    </w:r>
  </w:p>
  <w:p w:rsidR="0077458E" w:rsidRDefault="00774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C71"/>
    <w:multiLevelType w:val="hybridMultilevel"/>
    <w:tmpl w:val="67A6A238"/>
    <w:lvl w:ilvl="0" w:tplc="0C090003">
      <w:start w:val="1"/>
      <w:numFmt w:val="bullet"/>
      <w:lvlText w:val="o"/>
      <w:lvlJc w:val="left"/>
      <w:pPr>
        <w:ind w:left="1562" w:hanging="360"/>
      </w:pPr>
      <w:rPr>
        <w:rFonts w:ascii="Courier New" w:hAnsi="Courier New" w:cs="Courier New" w:hint="default"/>
      </w:rPr>
    </w:lvl>
    <w:lvl w:ilvl="1" w:tplc="0C090003" w:tentative="1">
      <w:start w:val="1"/>
      <w:numFmt w:val="bullet"/>
      <w:lvlText w:val="o"/>
      <w:lvlJc w:val="left"/>
      <w:pPr>
        <w:ind w:left="2282" w:hanging="360"/>
      </w:pPr>
      <w:rPr>
        <w:rFonts w:ascii="Courier New" w:hAnsi="Courier New" w:cs="Courier New" w:hint="default"/>
      </w:rPr>
    </w:lvl>
    <w:lvl w:ilvl="2" w:tplc="0C090005" w:tentative="1">
      <w:start w:val="1"/>
      <w:numFmt w:val="bullet"/>
      <w:lvlText w:val=""/>
      <w:lvlJc w:val="left"/>
      <w:pPr>
        <w:ind w:left="3002" w:hanging="360"/>
      </w:pPr>
      <w:rPr>
        <w:rFonts w:ascii="Wingdings" w:hAnsi="Wingdings" w:hint="default"/>
      </w:rPr>
    </w:lvl>
    <w:lvl w:ilvl="3" w:tplc="0C090001" w:tentative="1">
      <w:start w:val="1"/>
      <w:numFmt w:val="bullet"/>
      <w:lvlText w:val=""/>
      <w:lvlJc w:val="left"/>
      <w:pPr>
        <w:ind w:left="3722" w:hanging="360"/>
      </w:pPr>
      <w:rPr>
        <w:rFonts w:ascii="Symbol" w:hAnsi="Symbol" w:hint="default"/>
      </w:rPr>
    </w:lvl>
    <w:lvl w:ilvl="4" w:tplc="0C090003" w:tentative="1">
      <w:start w:val="1"/>
      <w:numFmt w:val="bullet"/>
      <w:lvlText w:val="o"/>
      <w:lvlJc w:val="left"/>
      <w:pPr>
        <w:ind w:left="4442" w:hanging="360"/>
      </w:pPr>
      <w:rPr>
        <w:rFonts w:ascii="Courier New" w:hAnsi="Courier New" w:cs="Courier New" w:hint="default"/>
      </w:rPr>
    </w:lvl>
    <w:lvl w:ilvl="5" w:tplc="0C090005" w:tentative="1">
      <w:start w:val="1"/>
      <w:numFmt w:val="bullet"/>
      <w:lvlText w:val=""/>
      <w:lvlJc w:val="left"/>
      <w:pPr>
        <w:ind w:left="5162" w:hanging="360"/>
      </w:pPr>
      <w:rPr>
        <w:rFonts w:ascii="Wingdings" w:hAnsi="Wingdings" w:hint="default"/>
      </w:rPr>
    </w:lvl>
    <w:lvl w:ilvl="6" w:tplc="0C090001" w:tentative="1">
      <w:start w:val="1"/>
      <w:numFmt w:val="bullet"/>
      <w:lvlText w:val=""/>
      <w:lvlJc w:val="left"/>
      <w:pPr>
        <w:ind w:left="5882" w:hanging="360"/>
      </w:pPr>
      <w:rPr>
        <w:rFonts w:ascii="Symbol" w:hAnsi="Symbol" w:hint="default"/>
      </w:rPr>
    </w:lvl>
    <w:lvl w:ilvl="7" w:tplc="0C090003" w:tentative="1">
      <w:start w:val="1"/>
      <w:numFmt w:val="bullet"/>
      <w:lvlText w:val="o"/>
      <w:lvlJc w:val="left"/>
      <w:pPr>
        <w:ind w:left="6602" w:hanging="360"/>
      </w:pPr>
      <w:rPr>
        <w:rFonts w:ascii="Courier New" w:hAnsi="Courier New" w:cs="Courier New" w:hint="default"/>
      </w:rPr>
    </w:lvl>
    <w:lvl w:ilvl="8" w:tplc="0C090005" w:tentative="1">
      <w:start w:val="1"/>
      <w:numFmt w:val="bullet"/>
      <w:lvlText w:val=""/>
      <w:lvlJc w:val="left"/>
      <w:pPr>
        <w:ind w:left="7322" w:hanging="360"/>
      </w:pPr>
      <w:rPr>
        <w:rFonts w:ascii="Wingdings" w:hAnsi="Wingdings" w:hint="default"/>
      </w:rPr>
    </w:lvl>
  </w:abstractNum>
  <w:abstractNum w:abstractNumId="1" w15:restartNumberingAfterBreak="0">
    <w:nsid w:val="153423AC"/>
    <w:multiLevelType w:val="hybridMultilevel"/>
    <w:tmpl w:val="60843270"/>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5C42894"/>
    <w:multiLevelType w:val="hybridMultilevel"/>
    <w:tmpl w:val="2F6003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A265ECD"/>
    <w:multiLevelType w:val="hybridMultilevel"/>
    <w:tmpl w:val="7054BE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B943946"/>
    <w:multiLevelType w:val="hybridMultilevel"/>
    <w:tmpl w:val="4F167606"/>
    <w:lvl w:ilvl="0" w:tplc="7DF4819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C791642"/>
    <w:multiLevelType w:val="hybridMultilevel"/>
    <w:tmpl w:val="3F8EC02A"/>
    <w:lvl w:ilvl="0" w:tplc="0C090003">
      <w:start w:val="1"/>
      <w:numFmt w:val="bullet"/>
      <w:lvlText w:val="o"/>
      <w:lvlJc w:val="left"/>
      <w:pPr>
        <w:ind w:left="1562" w:hanging="360"/>
      </w:pPr>
      <w:rPr>
        <w:rFonts w:ascii="Courier New" w:hAnsi="Courier New" w:cs="Courier New" w:hint="default"/>
      </w:rPr>
    </w:lvl>
    <w:lvl w:ilvl="1" w:tplc="0C090003" w:tentative="1">
      <w:start w:val="1"/>
      <w:numFmt w:val="bullet"/>
      <w:lvlText w:val="o"/>
      <w:lvlJc w:val="left"/>
      <w:pPr>
        <w:ind w:left="2282" w:hanging="360"/>
      </w:pPr>
      <w:rPr>
        <w:rFonts w:ascii="Courier New" w:hAnsi="Courier New" w:cs="Courier New" w:hint="default"/>
      </w:rPr>
    </w:lvl>
    <w:lvl w:ilvl="2" w:tplc="0C090005" w:tentative="1">
      <w:start w:val="1"/>
      <w:numFmt w:val="bullet"/>
      <w:lvlText w:val=""/>
      <w:lvlJc w:val="left"/>
      <w:pPr>
        <w:ind w:left="3002" w:hanging="360"/>
      </w:pPr>
      <w:rPr>
        <w:rFonts w:ascii="Wingdings" w:hAnsi="Wingdings" w:hint="default"/>
      </w:rPr>
    </w:lvl>
    <w:lvl w:ilvl="3" w:tplc="0C090001" w:tentative="1">
      <w:start w:val="1"/>
      <w:numFmt w:val="bullet"/>
      <w:lvlText w:val=""/>
      <w:lvlJc w:val="left"/>
      <w:pPr>
        <w:ind w:left="3722" w:hanging="360"/>
      </w:pPr>
      <w:rPr>
        <w:rFonts w:ascii="Symbol" w:hAnsi="Symbol" w:hint="default"/>
      </w:rPr>
    </w:lvl>
    <w:lvl w:ilvl="4" w:tplc="0C090003" w:tentative="1">
      <w:start w:val="1"/>
      <w:numFmt w:val="bullet"/>
      <w:lvlText w:val="o"/>
      <w:lvlJc w:val="left"/>
      <w:pPr>
        <w:ind w:left="4442" w:hanging="360"/>
      </w:pPr>
      <w:rPr>
        <w:rFonts w:ascii="Courier New" w:hAnsi="Courier New" w:cs="Courier New" w:hint="default"/>
      </w:rPr>
    </w:lvl>
    <w:lvl w:ilvl="5" w:tplc="0C090005" w:tentative="1">
      <w:start w:val="1"/>
      <w:numFmt w:val="bullet"/>
      <w:lvlText w:val=""/>
      <w:lvlJc w:val="left"/>
      <w:pPr>
        <w:ind w:left="5162" w:hanging="360"/>
      </w:pPr>
      <w:rPr>
        <w:rFonts w:ascii="Wingdings" w:hAnsi="Wingdings" w:hint="default"/>
      </w:rPr>
    </w:lvl>
    <w:lvl w:ilvl="6" w:tplc="0C090001" w:tentative="1">
      <w:start w:val="1"/>
      <w:numFmt w:val="bullet"/>
      <w:lvlText w:val=""/>
      <w:lvlJc w:val="left"/>
      <w:pPr>
        <w:ind w:left="5882" w:hanging="360"/>
      </w:pPr>
      <w:rPr>
        <w:rFonts w:ascii="Symbol" w:hAnsi="Symbol" w:hint="default"/>
      </w:rPr>
    </w:lvl>
    <w:lvl w:ilvl="7" w:tplc="0C090003" w:tentative="1">
      <w:start w:val="1"/>
      <w:numFmt w:val="bullet"/>
      <w:lvlText w:val="o"/>
      <w:lvlJc w:val="left"/>
      <w:pPr>
        <w:ind w:left="6602" w:hanging="360"/>
      </w:pPr>
      <w:rPr>
        <w:rFonts w:ascii="Courier New" w:hAnsi="Courier New" w:cs="Courier New" w:hint="default"/>
      </w:rPr>
    </w:lvl>
    <w:lvl w:ilvl="8" w:tplc="0C090005" w:tentative="1">
      <w:start w:val="1"/>
      <w:numFmt w:val="bullet"/>
      <w:lvlText w:val=""/>
      <w:lvlJc w:val="left"/>
      <w:pPr>
        <w:ind w:left="7322" w:hanging="360"/>
      </w:pPr>
      <w:rPr>
        <w:rFonts w:ascii="Wingdings" w:hAnsi="Wingdings" w:hint="default"/>
      </w:rPr>
    </w:lvl>
  </w:abstractNum>
  <w:abstractNum w:abstractNumId="6" w15:restartNumberingAfterBreak="0">
    <w:nsid w:val="22CA5ACE"/>
    <w:multiLevelType w:val="hybridMultilevel"/>
    <w:tmpl w:val="CF184372"/>
    <w:lvl w:ilvl="0" w:tplc="7DF4819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F3AD9"/>
    <w:multiLevelType w:val="hybridMultilevel"/>
    <w:tmpl w:val="C36A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B6737"/>
    <w:multiLevelType w:val="hybridMultilevel"/>
    <w:tmpl w:val="BD285C5E"/>
    <w:lvl w:ilvl="0" w:tplc="0C090003">
      <w:start w:val="1"/>
      <w:numFmt w:val="bullet"/>
      <w:lvlText w:val="o"/>
      <w:lvlJc w:val="left"/>
      <w:pPr>
        <w:ind w:left="2282" w:hanging="360"/>
      </w:pPr>
      <w:rPr>
        <w:rFonts w:ascii="Courier New" w:hAnsi="Courier New" w:cs="Courier New" w:hint="default"/>
      </w:rPr>
    </w:lvl>
    <w:lvl w:ilvl="1" w:tplc="0C090003" w:tentative="1">
      <w:start w:val="1"/>
      <w:numFmt w:val="bullet"/>
      <w:lvlText w:val="o"/>
      <w:lvlJc w:val="left"/>
      <w:pPr>
        <w:ind w:left="3002" w:hanging="360"/>
      </w:pPr>
      <w:rPr>
        <w:rFonts w:ascii="Courier New" w:hAnsi="Courier New" w:cs="Courier New" w:hint="default"/>
      </w:rPr>
    </w:lvl>
    <w:lvl w:ilvl="2" w:tplc="0C090005" w:tentative="1">
      <w:start w:val="1"/>
      <w:numFmt w:val="bullet"/>
      <w:lvlText w:val=""/>
      <w:lvlJc w:val="left"/>
      <w:pPr>
        <w:ind w:left="3722" w:hanging="360"/>
      </w:pPr>
      <w:rPr>
        <w:rFonts w:ascii="Wingdings" w:hAnsi="Wingdings" w:hint="default"/>
      </w:rPr>
    </w:lvl>
    <w:lvl w:ilvl="3" w:tplc="0C090001" w:tentative="1">
      <w:start w:val="1"/>
      <w:numFmt w:val="bullet"/>
      <w:lvlText w:val=""/>
      <w:lvlJc w:val="left"/>
      <w:pPr>
        <w:ind w:left="4442" w:hanging="360"/>
      </w:pPr>
      <w:rPr>
        <w:rFonts w:ascii="Symbol" w:hAnsi="Symbol" w:hint="default"/>
      </w:rPr>
    </w:lvl>
    <w:lvl w:ilvl="4" w:tplc="0C090003" w:tentative="1">
      <w:start w:val="1"/>
      <w:numFmt w:val="bullet"/>
      <w:lvlText w:val="o"/>
      <w:lvlJc w:val="left"/>
      <w:pPr>
        <w:ind w:left="5162" w:hanging="360"/>
      </w:pPr>
      <w:rPr>
        <w:rFonts w:ascii="Courier New" w:hAnsi="Courier New" w:cs="Courier New" w:hint="default"/>
      </w:rPr>
    </w:lvl>
    <w:lvl w:ilvl="5" w:tplc="0C090005" w:tentative="1">
      <w:start w:val="1"/>
      <w:numFmt w:val="bullet"/>
      <w:lvlText w:val=""/>
      <w:lvlJc w:val="left"/>
      <w:pPr>
        <w:ind w:left="5882" w:hanging="360"/>
      </w:pPr>
      <w:rPr>
        <w:rFonts w:ascii="Wingdings" w:hAnsi="Wingdings" w:hint="default"/>
      </w:rPr>
    </w:lvl>
    <w:lvl w:ilvl="6" w:tplc="0C090001" w:tentative="1">
      <w:start w:val="1"/>
      <w:numFmt w:val="bullet"/>
      <w:lvlText w:val=""/>
      <w:lvlJc w:val="left"/>
      <w:pPr>
        <w:ind w:left="6602" w:hanging="360"/>
      </w:pPr>
      <w:rPr>
        <w:rFonts w:ascii="Symbol" w:hAnsi="Symbol" w:hint="default"/>
      </w:rPr>
    </w:lvl>
    <w:lvl w:ilvl="7" w:tplc="0C090003" w:tentative="1">
      <w:start w:val="1"/>
      <w:numFmt w:val="bullet"/>
      <w:lvlText w:val="o"/>
      <w:lvlJc w:val="left"/>
      <w:pPr>
        <w:ind w:left="7322" w:hanging="360"/>
      </w:pPr>
      <w:rPr>
        <w:rFonts w:ascii="Courier New" w:hAnsi="Courier New" w:cs="Courier New" w:hint="default"/>
      </w:rPr>
    </w:lvl>
    <w:lvl w:ilvl="8" w:tplc="0C090005" w:tentative="1">
      <w:start w:val="1"/>
      <w:numFmt w:val="bullet"/>
      <w:lvlText w:val=""/>
      <w:lvlJc w:val="left"/>
      <w:pPr>
        <w:ind w:left="8042" w:hanging="360"/>
      </w:pPr>
      <w:rPr>
        <w:rFonts w:ascii="Wingdings" w:hAnsi="Wingdings" w:hint="default"/>
      </w:rPr>
    </w:lvl>
  </w:abstractNum>
  <w:abstractNum w:abstractNumId="9" w15:restartNumberingAfterBreak="0">
    <w:nsid w:val="2D5F548B"/>
    <w:multiLevelType w:val="hybridMultilevel"/>
    <w:tmpl w:val="804C6F8E"/>
    <w:lvl w:ilvl="0" w:tplc="7DF48198">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D6E0370"/>
    <w:multiLevelType w:val="hybridMultilevel"/>
    <w:tmpl w:val="37900A64"/>
    <w:lvl w:ilvl="0" w:tplc="057A71B2">
      <w:start w:val="1"/>
      <w:numFmt w:val="lowerLetter"/>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3D2362C"/>
    <w:multiLevelType w:val="hybridMultilevel"/>
    <w:tmpl w:val="16B2F5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917579D"/>
    <w:multiLevelType w:val="hybridMultilevel"/>
    <w:tmpl w:val="CA300D6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486756D6"/>
    <w:multiLevelType w:val="hybridMultilevel"/>
    <w:tmpl w:val="FECC9B98"/>
    <w:lvl w:ilvl="0" w:tplc="C3922D18">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B7E2E12"/>
    <w:multiLevelType w:val="hybridMultilevel"/>
    <w:tmpl w:val="E4E4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F5CC0"/>
    <w:multiLevelType w:val="hybridMultilevel"/>
    <w:tmpl w:val="9E1C0418"/>
    <w:lvl w:ilvl="0" w:tplc="7DF48198">
      <w:start w:val="1"/>
      <w:numFmt w:val="bullet"/>
      <w:lvlText w:val="­"/>
      <w:lvlJc w:val="left"/>
      <w:pPr>
        <w:ind w:left="1495" w:hanging="360"/>
      </w:pPr>
      <w:rPr>
        <w:rFonts w:ascii="Courier New" w:hAnsi="Courier New"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6" w15:restartNumberingAfterBreak="0">
    <w:nsid w:val="633E03D3"/>
    <w:multiLevelType w:val="hybridMultilevel"/>
    <w:tmpl w:val="AD48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1912D0"/>
    <w:multiLevelType w:val="hybridMultilevel"/>
    <w:tmpl w:val="3190CECA"/>
    <w:lvl w:ilvl="0" w:tplc="0C09000F">
      <w:start w:val="1"/>
      <w:numFmt w:val="decimal"/>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6FC108EE"/>
    <w:multiLevelType w:val="hybridMultilevel"/>
    <w:tmpl w:val="867A6B3A"/>
    <w:lvl w:ilvl="0" w:tplc="0C090003">
      <w:start w:val="1"/>
      <w:numFmt w:val="bullet"/>
      <w:lvlText w:val="o"/>
      <w:lvlJc w:val="left"/>
      <w:pPr>
        <w:ind w:left="783" w:hanging="360"/>
      </w:pPr>
      <w:rPr>
        <w:rFonts w:ascii="Courier New" w:hAnsi="Courier New" w:cs="Courier New"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3"/>
  </w:num>
  <w:num w:numId="2">
    <w:abstractNumId w:val="2"/>
  </w:num>
  <w:num w:numId="3">
    <w:abstractNumId w:val="10"/>
  </w:num>
  <w:num w:numId="4">
    <w:abstractNumId w:val="3"/>
  </w:num>
  <w:num w:numId="5">
    <w:abstractNumId w:val="11"/>
  </w:num>
  <w:num w:numId="6">
    <w:abstractNumId w:val="17"/>
  </w:num>
  <w:num w:numId="7">
    <w:abstractNumId w:val="18"/>
  </w:num>
  <w:num w:numId="8">
    <w:abstractNumId w:val="14"/>
  </w:num>
  <w:num w:numId="9">
    <w:abstractNumId w:val="9"/>
  </w:num>
  <w:num w:numId="10">
    <w:abstractNumId w:val="0"/>
  </w:num>
  <w:num w:numId="11">
    <w:abstractNumId w:val="16"/>
  </w:num>
  <w:num w:numId="12">
    <w:abstractNumId w:val="5"/>
  </w:num>
  <w:num w:numId="13">
    <w:abstractNumId w:val="8"/>
  </w:num>
  <w:num w:numId="14">
    <w:abstractNumId w:val="15"/>
  </w:num>
  <w:num w:numId="15">
    <w:abstractNumId w:val="12"/>
  </w:num>
  <w:num w:numId="16">
    <w:abstractNumId w:val="1"/>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16"/>
    <w:rsid w:val="000034EE"/>
    <w:rsid w:val="000115A9"/>
    <w:rsid w:val="00022120"/>
    <w:rsid w:val="00052B98"/>
    <w:rsid w:val="0005417D"/>
    <w:rsid w:val="000725AE"/>
    <w:rsid w:val="00075A94"/>
    <w:rsid w:val="00091824"/>
    <w:rsid w:val="00094E14"/>
    <w:rsid w:val="00095D79"/>
    <w:rsid w:val="00097AAA"/>
    <w:rsid w:val="000A2A67"/>
    <w:rsid w:val="000B2C5A"/>
    <w:rsid w:val="000B7A16"/>
    <w:rsid w:val="000C23B5"/>
    <w:rsid w:val="000D3E27"/>
    <w:rsid w:val="000E6B4E"/>
    <w:rsid w:val="000F0C3A"/>
    <w:rsid w:val="0012793B"/>
    <w:rsid w:val="00144471"/>
    <w:rsid w:val="00155516"/>
    <w:rsid w:val="00162AE7"/>
    <w:rsid w:val="00180DDC"/>
    <w:rsid w:val="001816A3"/>
    <w:rsid w:val="001916B9"/>
    <w:rsid w:val="001961D6"/>
    <w:rsid w:val="001A1CB1"/>
    <w:rsid w:val="001A5373"/>
    <w:rsid w:val="001A6BDD"/>
    <w:rsid w:val="001B1795"/>
    <w:rsid w:val="001C38F8"/>
    <w:rsid w:val="001C51D1"/>
    <w:rsid w:val="001E67F7"/>
    <w:rsid w:val="00224CE9"/>
    <w:rsid w:val="002270DF"/>
    <w:rsid w:val="002272BC"/>
    <w:rsid w:val="00227EA8"/>
    <w:rsid w:val="002556FF"/>
    <w:rsid w:val="00266A52"/>
    <w:rsid w:val="0027150B"/>
    <w:rsid w:val="00275565"/>
    <w:rsid w:val="002774E0"/>
    <w:rsid w:val="002A065A"/>
    <w:rsid w:val="002A6303"/>
    <w:rsid w:val="002D2057"/>
    <w:rsid w:val="002D2CE7"/>
    <w:rsid w:val="002D3600"/>
    <w:rsid w:val="002E21DF"/>
    <w:rsid w:val="002F24E2"/>
    <w:rsid w:val="002F3DCD"/>
    <w:rsid w:val="00301D1F"/>
    <w:rsid w:val="00306934"/>
    <w:rsid w:val="003107FC"/>
    <w:rsid w:val="003119D2"/>
    <w:rsid w:val="00322797"/>
    <w:rsid w:val="003529A6"/>
    <w:rsid w:val="00381A4C"/>
    <w:rsid w:val="003845CB"/>
    <w:rsid w:val="00393240"/>
    <w:rsid w:val="00396497"/>
    <w:rsid w:val="003D38A0"/>
    <w:rsid w:val="003E3307"/>
    <w:rsid w:val="003F22EF"/>
    <w:rsid w:val="003F353F"/>
    <w:rsid w:val="00405134"/>
    <w:rsid w:val="004133C5"/>
    <w:rsid w:val="0041607F"/>
    <w:rsid w:val="0043643B"/>
    <w:rsid w:val="004516E6"/>
    <w:rsid w:val="00464EC8"/>
    <w:rsid w:val="00482CBF"/>
    <w:rsid w:val="0049031A"/>
    <w:rsid w:val="00497AA4"/>
    <w:rsid w:val="004B32AC"/>
    <w:rsid w:val="004C74FE"/>
    <w:rsid w:val="004E2444"/>
    <w:rsid w:val="004F737F"/>
    <w:rsid w:val="005042CE"/>
    <w:rsid w:val="00505143"/>
    <w:rsid w:val="00520048"/>
    <w:rsid w:val="00573FE4"/>
    <w:rsid w:val="005814CF"/>
    <w:rsid w:val="00585518"/>
    <w:rsid w:val="00591BD9"/>
    <w:rsid w:val="005B3831"/>
    <w:rsid w:val="005B7607"/>
    <w:rsid w:val="005C218A"/>
    <w:rsid w:val="005C6A3F"/>
    <w:rsid w:val="005F109F"/>
    <w:rsid w:val="005F5F86"/>
    <w:rsid w:val="005F6C2A"/>
    <w:rsid w:val="00610BB1"/>
    <w:rsid w:val="0061365F"/>
    <w:rsid w:val="00676E1B"/>
    <w:rsid w:val="006825D9"/>
    <w:rsid w:val="006A27FE"/>
    <w:rsid w:val="006B7C37"/>
    <w:rsid w:val="006E61D4"/>
    <w:rsid w:val="006F314D"/>
    <w:rsid w:val="0070538E"/>
    <w:rsid w:val="00711D95"/>
    <w:rsid w:val="00711F11"/>
    <w:rsid w:val="007126AC"/>
    <w:rsid w:val="007176FA"/>
    <w:rsid w:val="007210AC"/>
    <w:rsid w:val="0072116D"/>
    <w:rsid w:val="00727AFA"/>
    <w:rsid w:val="007326F0"/>
    <w:rsid w:val="007464E7"/>
    <w:rsid w:val="00772508"/>
    <w:rsid w:val="0077458E"/>
    <w:rsid w:val="007863B8"/>
    <w:rsid w:val="00792314"/>
    <w:rsid w:val="007A35E6"/>
    <w:rsid w:val="007B3DD9"/>
    <w:rsid w:val="007B5B56"/>
    <w:rsid w:val="007F049C"/>
    <w:rsid w:val="007F4E20"/>
    <w:rsid w:val="007F5AD3"/>
    <w:rsid w:val="007F7739"/>
    <w:rsid w:val="0081174A"/>
    <w:rsid w:val="00826AA1"/>
    <w:rsid w:val="0083623B"/>
    <w:rsid w:val="00851083"/>
    <w:rsid w:val="00860339"/>
    <w:rsid w:val="00867C56"/>
    <w:rsid w:val="00883EAA"/>
    <w:rsid w:val="00887019"/>
    <w:rsid w:val="00890155"/>
    <w:rsid w:val="00891B5B"/>
    <w:rsid w:val="008C0F99"/>
    <w:rsid w:val="008E690B"/>
    <w:rsid w:val="008F00AE"/>
    <w:rsid w:val="008F14CC"/>
    <w:rsid w:val="00915E70"/>
    <w:rsid w:val="009171E5"/>
    <w:rsid w:val="00922FAA"/>
    <w:rsid w:val="00925928"/>
    <w:rsid w:val="00947C06"/>
    <w:rsid w:val="0097122F"/>
    <w:rsid w:val="0097584B"/>
    <w:rsid w:val="00976C27"/>
    <w:rsid w:val="00987428"/>
    <w:rsid w:val="0098796C"/>
    <w:rsid w:val="009978FD"/>
    <w:rsid w:val="009A19B2"/>
    <w:rsid w:val="009A44D9"/>
    <w:rsid w:val="009C004A"/>
    <w:rsid w:val="009C7D54"/>
    <w:rsid w:val="009D4EFE"/>
    <w:rsid w:val="009E5F41"/>
    <w:rsid w:val="00A01C67"/>
    <w:rsid w:val="00A03781"/>
    <w:rsid w:val="00A0405D"/>
    <w:rsid w:val="00A05F29"/>
    <w:rsid w:val="00A10BBC"/>
    <w:rsid w:val="00A3010A"/>
    <w:rsid w:val="00A61FE0"/>
    <w:rsid w:val="00A65381"/>
    <w:rsid w:val="00A74D1C"/>
    <w:rsid w:val="00A7583E"/>
    <w:rsid w:val="00A8110C"/>
    <w:rsid w:val="00A855CC"/>
    <w:rsid w:val="00A900FF"/>
    <w:rsid w:val="00A90124"/>
    <w:rsid w:val="00AA1C37"/>
    <w:rsid w:val="00AA23BF"/>
    <w:rsid w:val="00AA588D"/>
    <w:rsid w:val="00AB77A3"/>
    <w:rsid w:val="00AC3CB0"/>
    <w:rsid w:val="00AD1F97"/>
    <w:rsid w:val="00AD308C"/>
    <w:rsid w:val="00AD5019"/>
    <w:rsid w:val="00AD772F"/>
    <w:rsid w:val="00AE03CD"/>
    <w:rsid w:val="00AE33AF"/>
    <w:rsid w:val="00B074EA"/>
    <w:rsid w:val="00B10823"/>
    <w:rsid w:val="00B12A30"/>
    <w:rsid w:val="00B22E92"/>
    <w:rsid w:val="00B37EB4"/>
    <w:rsid w:val="00B546B1"/>
    <w:rsid w:val="00B97D18"/>
    <w:rsid w:val="00BA4BC4"/>
    <w:rsid w:val="00BD234D"/>
    <w:rsid w:val="00BD6335"/>
    <w:rsid w:val="00BD69C0"/>
    <w:rsid w:val="00BF307C"/>
    <w:rsid w:val="00C075A6"/>
    <w:rsid w:val="00C12934"/>
    <w:rsid w:val="00C271BE"/>
    <w:rsid w:val="00C34B77"/>
    <w:rsid w:val="00C3603E"/>
    <w:rsid w:val="00C46A3B"/>
    <w:rsid w:val="00C52C12"/>
    <w:rsid w:val="00C61A77"/>
    <w:rsid w:val="00C727A1"/>
    <w:rsid w:val="00C90243"/>
    <w:rsid w:val="00CA5C45"/>
    <w:rsid w:val="00CB2805"/>
    <w:rsid w:val="00CB6D83"/>
    <w:rsid w:val="00CC1213"/>
    <w:rsid w:val="00CC29A4"/>
    <w:rsid w:val="00CC7097"/>
    <w:rsid w:val="00CD7FBE"/>
    <w:rsid w:val="00CE139F"/>
    <w:rsid w:val="00CE2D4C"/>
    <w:rsid w:val="00CE4C16"/>
    <w:rsid w:val="00D03D4B"/>
    <w:rsid w:val="00D37EDA"/>
    <w:rsid w:val="00D5288F"/>
    <w:rsid w:val="00D56E5C"/>
    <w:rsid w:val="00D62D68"/>
    <w:rsid w:val="00D76D28"/>
    <w:rsid w:val="00D943C2"/>
    <w:rsid w:val="00DA3D11"/>
    <w:rsid w:val="00DA3FEA"/>
    <w:rsid w:val="00DC7D2A"/>
    <w:rsid w:val="00DE4058"/>
    <w:rsid w:val="00DE65BC"/>
    <w:rsid w:val="00DF5102"/>
    <w:rsid w:val="00E077B1"/>
    <w:rsid w:val="00E1168D"/>
    <w:rsid w:val="00E163BD"/>
    <w:rsid w:val="00E42221"/>
    <w:rsid w:val="00E8046F"/>
    <w:rsid w:val="00E81104"/>
    <w:rsid w:val="00E91152"/>
    <w:rsid w:val="00E95CC3"/>
    <w:rsid w:val="00EB6701"/>
    <w:rsid w:val="00EC4FFA"/>
    <w:rsid w:val="00EE6654"/>
    <w:rsid w:val="00F23FC9"/>
    <w:rsid w:val="00F26216"/>
    <w:rsid w:val="00F34F54"/>
    <w:rsid w:val="00F35A89"/>
    <w:rsid w:val="00F8275D"/>
    <w:rsid w:val="00F83064"/>
    <w:rsid w:val="00F866EF"/>
    <w:rsid w:val="00F86F84"/>
    <w:rsid w:val="00FB32B4"/>
    <w:rsid w:val="00FB5F5A"/>
    <w:rsid w:val="00FB71EA"/>
    <w:rsid w:val="00FC0467"/>
    <w:rsid w:val="00FD1E65"/>
    <w:rsid w:val="00FD57BE"/>
    <w:rsid w:val="00FE1942"/>
    <w:rsid w:val="00FE2130"/>
    <w:rsid w:val="00FF05A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7C468-811A-4C03-8A3C-D5B6806A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A16"/>
    <w:pPr>
      <w:ind w:left="720"/>
      <w:contextualSpacing/>
    </w:pPr>
  </w:style>
  <w:style w:type="table" w:styleId="TableGrid">
    <w:name w:val="Table Grid"/>
    <w:basedOn w:val="TableNormal"/>
    <w:uiPriority w:val="59"/>
    <w:rsid w:val="0000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104"/>
    <w:rPr>
      <w:color w:val="0000FF" w:themeColor="hyperlink"/>
      <w:u w:val="single"/>
    </w:rPr>
  </w:style>
  <w:style w:type="paragraph" w:styleId="NoSpacing">
    <w:name w:val="No Spacing"/>
    <w:uiPriority w:val="1"/>
    <w:qFormat/>
    <w:rsid w:val="0098796C"/>
    <w:pPr>
      <w:spacing w:after="0" w:line="240" w:lineRule="auto"/>
    </w:pPr>
  </w:style>
  <w:style w:type="character" w:customStyle="1" w:styleId="Heading1Char">
    <w:name w:val="Heading 1 Char"/>
    <w:basedOn w:val="DefaultParagraphFont"/>
    <w:link w:val="Heading1"/>
    <w:uiPriority w:val="9"/>
    <w:rsid w:val="009879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6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8796C"/>
    <w:pPr>
      <w:outlineLvl w:val="9"/>
    </w:pPr>
    <w:rPr>
      <w:lang w:val="en-US" w:eastAsia="ja-JP"/>
    </w:rPr>
  </w:style>
  <w:style w:type="paragraph" w:styleId="TOC2">
    <w:name w:val="toc 2"/>
    <w:basedOn w:val="Normal"/>
    <w:next w:val="Normal"/>
    <w:autoRedefine/>
    <w:uiPriority w:val="39"/>
    <w:unhideWhenUsed/>
    <w:rsid w:val="0098796C"/>
    <w:pPr>
      <w:spacing w:after="100"/>
      <w:ind w:left="240"/>
    </w:pPr>
  </w:style>
  <w:style w:type="paragraph" w:styleId="BalloonText">
    <w:name w:val="Balloon Text"/>
    <w:basedOn w:val="Normal"/>
    <w:link w:val="BalloonTextChar"/>
    <w:uiPriority w:val="99"/>
    <w:semiHidden/>
    <w:unhideWhenUsed/>
    <w:rsid w:val="0098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6C"/>
    <w:rPr>
      <w:rFonts w:ascii="Tahoma" w:hAnsi="Tahoma" w:cs="Tahoma"/>
      <w:sz w:val="16"/>
      <w:szCs w:val="16"/>
    </w:rPr>
  </w:style>
  <w:style w:type="paragraph" w:styleId="Title">
    <w:name w:val="Title"/>
    <w:basedOn w:val="Normal"/>
    <w:next w:val="Normal"/>
    <w:link w:val="TitleChar"/>
    <w:uiPriority w:val="10"/>
    <w:qFormat/>
    <w:rsid w:val="00987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2A3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12A30"/>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DE6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5BC"/>
  </w:style>
  <w:style w:type="paragraph" w:styleId="Footer">
    <w:name w:val="footer"/>
    <w:basedOn w:val="Normal"/>
    <w:link w:val="FooterChar"/>
    <w:uiPriority w:val="99"/>
    <w:unhideWhenUsed/>
    <w:rsid w:val="00DE6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5BC"/>
  </w:style>
  <w:style w:type="character" w:styleId="CommentReference">
    <w:name w:val="annotation reference"/>
    <w:basedOn w:val="DefaultParagraphFont"/>
    <w:uiPriority w:val="99"/>
    <w:semiHidden/>
    <w:unhideWhenUsed/>
    <w:rsid w:val="009C004A"/>
    <w:rPr>
      <w:sz w:val="16"/>
      <w:szCs w:val="16"/>
    </w:rPr>
  </w:style>
  <w:style w:type="paragraph" w:styleId="CommentText">
    <w:name w:val="annotation text"/>
    <w:basedOn w:val="Normal"/>
    <w:link w:val="CommentTextChar"/>
    <w:uiPriority w:val="99"/>
    <w:semiHidden/>
    <w:unhideWhenUsed/>
    <w:rsid w:val="009C004A"/>
    <w:pPr>
      <w:spacing w:line="240" w:lineRule="auto"/>
    </w:pPr>
    <w:rPr>
      <w:sz w:val="20"/>
      <w:szCs w:val="20"/>
    </w:rPr>
  </w:style>
  <w:style w:type="character" w:customStyle="1" w:styleId="CommentTextChar">
    <w:name w:val="Comment Text Char"/>
    <w:basedOn w:val="DefaultParagraphFont"/>
    <w:link w:val="CommentText"/>
    <w:uiPriority w:val="99"/>
    <w:semiHidden/>
    <w:rsid w:val="009C004A"/>
    <w:rPr>
      <w:sz w:val="20"/>
      <w:szCs w:val="20"/>
    </w:rPr>
  </w:style>
  <w:style w:type="paragraph" w:styleId="CommentSubject">
    <w:name w:val="annotation subject"/>
    <w:basedOn w:val="CommentText"/>
    <w:next w:val="CommentText"/>
    <w:link w:val="CommentSubjectChar"/>
    <w:uiPriority w:val="99"/>
    <w:semiHidden/>
    <w:unhideWhenUsed/>
    <w:rsid w:val="009C004A"/>
    <w:rPr>
      <w:b/>
      <w:bCs/>
    </w:rPr>
  </w:style>
  <w:style w:type="character" w:customStyle="1" w:styleId="CommentSubjectChar">
    <w:name w:val="Comment Subject Char"/>
    <w:basedOn w:val="CommentTextChar"/>
    <w:link w:val="CommentSubject"/>
    <w:uiPriority w:val="99"/>
    <w:semiHidden/>
    <w:rsid w:val="009C004A"/>
    <w:rPr>
      <w:b/>
      <w:bCs/>
      <w:sz w:val="20"/>
      <w:szCs w:val="20"/>
    </w:rPr>
  </w:style>
  <w:style w:type="table" w:styleId="LightShading">
    <w:name w:val="Light Shading"/>
    <w:basedOn w:val="TableNormal"/>
    <w:uiPriority w:val="60"/>
    <w:rsid w:val="009E5F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B098-D28F-4427-84FC-F29AED62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Williams</dc:creator>
  <cp:lastModifiedBy>David Wu</cp:lastModifiedBy>
  <cp:revision>3</cp:revision>
  <cp:lastPrinted>2016-02-22T07:16:00Z</cp:lastPrinted>
  <dcterms:created xsi:type="dcterms:W3CDTF">2016-08-19T16:59:00Z</dcterms:created>
  <dcterms:modified xsi:type="dcterms:W3CDTF">2016-08-19T16:59:00Z</dcterms:modified>
</cp:coreProperties>
</file>