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55" w:rsidRDefault="00FA3655" w:rsidP="00A0600B">
      <w:pPr>
        <w:jc w:val="center"/>
        <w:rPr>
          <w:rFonts w:ascii="Times New Roman" w:hAnsi="Times New Roman"/>
          <w:b/>
          <w:sz w:val="24"/>
          <w:szCs w:val="24"/>
        </w:rPr>
      </w:pPr>
      <w:r w:rsidRPr="002E5CAF">
        <w:rPr>
          <w:rFonts w:ascii="Times New Roman" w:hAnsi="Times New Roman"/>
          <w:b/>
          <w:sz w:val="24"/>
          <w:szCs w:val="24"/>
        </w:rPr>
        <w:t xml:space="preserve">TERMS OF REFERENCE </w:t>
      </w:r>
    </w:p>
    <w:p w:rsidR="00D875DD" w:rsidRPr="002E5CAF" w:rsidRDefault="00D875DD" w:rsidP="00A0600B">
      <w:pPr>
        <w:jc w:val="center"/>
        <w:rPr>
          <w:rFonts w:ascii="Times New Roman" w:hAnsi="Times New Roman"/>
          <w:b/>
          <w:sz w:val="24"/>
          <w:szCs w:val="24"/>
        </w:rPr>
      </w:pPr>
      <w:r>
        <w:rPr>
          <w:rFonts w:ascii="Times New Roman" w:hAnsi="Times New Roman"/>
          <w:b/>
          <w:sz w:val="24"/>
          <w:szCs w:val="24"/>
        </w:rPr>
        <w:t>September 2014</w:t>
      </w:r>
      <w:r w:rsidR="00F53C93">
        <w:rPr>
          <w:rFonts w:ascii="Times New Roman" w:hAnsi="Times New Roman"/>
          <w:b/>
          <w:sz w:val="24"/>
          <w:szCs w:val="24"/>
        </w:rPr>
        <w:t xml:space="preserve"> USG Comments</w:t>
      </w:r>
    </w:p>
    <w:p w:rsidR="00FA3655" w:rsidRPr="00FB6726" w:rsidRDefault="00FA3655" w:rsidP="00A0600B">
      <w:pPr>
        <w:jc w:val="center"/>
        <w:rPr>
          <w:rFonts w:ascii="Times New Roman" w:hAnsi="Times New Roman"/>
          <w:b/>
          <w:sz w:val="24"/>
          <w:szCs w:val="24"/>
        </w:rPr>
      </w:pPr>
      <w:r w:rsidRPr="00FB6726">
        <w:rPr>
          <w:rFonts w:ascii="Times New Roman" w:hAnsi="Times New Roman"/>
          <w:b/>
          <w:sz w:val="24"/>
          <w:szCs w:val="24"/>
        </w:rPr>
        <w:t xml:space="preserve">APEC </w:t>
      </w:r>
      <w:r w:rsidR="002E5CAF" w:rsidRPr="00FB6726">
        <w:rPr>
          <w:rFonts w:ascii="Times New Roman" w:hAnsi="Times New Roman"/>
          <w:b/>
          <w:sz w:val="24"/>
          <w:szCs w:val="24"/>
        </w:rPr>
        <w:t>High Level on Agricultural Biotechnology</w:t>
      </w:r>
      <w:r w:rsidR="00962E23">
        <w:rPr>
          <w:rFonts w:ascii="Times New Roman" w:hAnsi="Times New Roman"/>
          <w:b/>
          <w:sz w:val="24"/>
          <w:szCs w:val="24"/>
        </w:rPr>
        <w:t xml:space="preserve"> (HL</w:t>
      </w:r>
      <w:r w:rsidR="00A243CC">
        <w:rPr>
          <w:rFonts w:ascii="Times New Roman" w:hAnsi="Times New Roman"/>
          <w:b/>
          <w:sz w:val="24"/>
          <w:szCs w:val="24"/>
        </w:rPr>
        <w:t>PDAB)</w:t>
      </w:r>
    </w:p>
    <w:p w:rsidR="00FA3655" w:rsidRPr="002E5CAF" w:rsidRDefault="00FA3655" w:rsidP="00016F7D">
      <w:pPr>
        <w:spacing w:line="240" w:lineRule="auto"/>
        <w:rPr>
          <w:rFonts w:ascii="Times New Roman" w:hAnsi="Times New Roman"/>
          <w:b/>
          <w:i/>
          <w:sz w:val="24"/>
          <w:szCs w:val="24"/>
        </w:rPr>
      </w:pPr>
      <w:r w:rsidRPr="002E5CAF">
        <w:rPr>
          <w:rFonts w:ascii="Times New Roman" w:hAnsi="Times New Roman"/>
          <w:b/>
          <w:i/>
          <w:sz w:val="24"/>
          <w:szCs w:val="24"/>
        </w:rPr>
        <w:t>Background</w:t>
      </w:r>
    </w:p>
    <w:p w:rsidR="002E5CAF" w:rsidRPr="002E5CAF" w:rsidRDefault="002E5CAF" w:rsidP="00016F7D">
      <w:pPr>
        <w:spacing w:line="240" w:lineRule="auto"/>
        <w:rPr>
          <w:rFonts w:ascii="Times New Roman" w:hAnsi="Times New Roman"/>
          <w:sz w:val="24"/>
          <w:szCs w:val="24"/>
        </w:rPr>
      </w:pPr>
      <w:r w:rsidRPr="002E5CAF">
        <w:rPr>
          <w:rFonts w:ascii="Times New Roman" w:hAnsi="Times New Roman"/>
          <w:sz w:val="24"/>
          <w:szCs w:val="24"/>
        </w:rPr>
        <w:t xml:space="preserve">At its inception in 2001, APEC Senior Officials affirmed the benefits of biotechnology and called for the establishment of a High Level </w:t>
      </w:r>
      <w:r w:rsidR="00A243CC">
        <w:rPr>
          <w:rFonts w:ascii="Times New Roman" w:hAnsi="Times New Roman"/>
          <w:sz w:val="24"/>
          <w:szCs w:val="24"/>
        </w:rPr>
        <w:t>Policy Dialogue</w:t>
      </w:r>
      <w:r w:rsidRPr="002E5CAF">
        <w:rPr>
          <w:rFonts w:ascii="Times New Roman" w:hAnsi="Times New Roman"/>
          <w:sz w:val="24"/>
          <w:szCs w:val="24"/>
        </w:rPr>
        <w:t xml:space="preserve"> on Agricultural Biotechnology (</w:t>
      </w:r>
      <w:r w:rsidR="00962E23">
        <w:rPr>
          <w:rFonts w:ascii="Times New Roman" w:hAnsi="Times New Roman"/>
          <w:sz w:val="24"/>
          <w:szCs w:val="24"/>
        </w:rPr>
        <w:t>HLPDAB</w:t>
      </w:r>
      <w:r w:rsidR="00FB6726">
        <w:rPr>
          <w:rFonts w:ascii="Times New Roman" w:hAnsi="Times New Roman"/>
          <w:sz w:val="24"/>
          <w:szCs w:val="24"/>
        </w:rPr>
        <w:t>)</w:t>
      </w:r>
      <w:r w:rsidRPr="002E5CAF">
        <w:rPr>
          <w:rFonts w:ascii="Times New Roman" w:hAnsi="Times New Roman"/>
          <w:sz w:val="24"/>
          <w:szCs w:val="24"/>
        </w:rPr>
        <w:t xml:space="preserve">. As APEC economies incorporate biotechnology into their agricultural sectors, the </w:t>
      </w:r>
      <w:r w:rsidR="00962E23">
        <w:rPr>
          <w:rFonts w:ascii="Times New Roman" w:hAnsi="Times New Roman"/>
          <w:sz w:val="24"/>
          <w:szCs w:val="24"/>
        </w:rPr>
        <w:t>HLPDAB</w:t>
      </w:r>
      <w:r w:rsidRPr="002E5CAF">
        <w:rPr>
          <w:rFonts w:ascii="Times New Roman" w:hAnsi="Times New Roman"/>
          <w:sz w:val="24"/>
          <w:szCs w:val="24"/>
        </w:rPr>
        <w:t xml:space="preserve"> will continue to serve as an important forum for these economies to share information, to exchange experiences</w:t>
      </w:r>
      <w:r w:rsidR="00A126D6">
        <w:rPr>
          <w:rFonts w:ascii="Times New Roman" w:hAnsi="Times New Roman"/>
          <w:sz w:val="24"/>
          <w:szCs w:val="24"/>
          <w:lang w:val="id-ID"/>
        </w:rPr>
        <w:t>, to promote capacity building,</w:t>
      </w:r>
      <w:r w:rsidRPr="002E5CAF">
        <w:rPr>
          <w:rFonts w:ascii="Times New Roman" w:hAnsi="Times New Roman"/>
          <w:sz w:val="24"/>
          <w:szCs w:val="24"/>
        </w:rPr>
        <w:t xml:space="preserve"> and also to identify and begin to address common challenges associated with the responsible adoption and informed use of </w:t>
      </w:r>
      <w:r w:rsidR="001575CD">
        <w:rPr>
          <w:rFonts w:ascii="Times New Roman" w:hAnsi="Times New Roman"/>
          <w:sz w:val="24"/>
          <w:szCs w:val="24"/>
        </w:rPr>
        <w:t xml:space="preserve">innovative </w:t>
      </w:r>
      <w:r w:rsidRPr="002E5CAF">
        <w:rPr>
          <w:rFonts w:ascii="Times New Roman" w:hAnsi="Times New Roman"/>
          <w:sz w:val="24"/>
          <w:szCs w:val="24"/>
        </w:rPr>
        <w:t>agricultural biotechnolog</w:t>
      </w:r>
      <w:r w:rsidR="001575CD">
        <w:rPr>
          <w:rFonts w:ascii="Times New Roman" w:hAnsi="Times New Roman"/>
          <w:sz w:val="24"/>
          <w:szCs w:val="24"/>
        </w:rPr>
        <w:t>y</w:t>
      </w:r>
      <w:r w:rsidRPr="002E5CAF">
        <w:rPr>
          <w:rFonts w:ascii="Times New Roman" w:hAnsi="Times New Roman"/>
          <w:sz w:val="24"/>
          <w:szCs w:val="24"/>
        </w:rPr>
        <w:t>.</w:t>
      </w:r>
    </w:p>
    <w:p w:rsidR="002E5CAF" w:rsidRPr="0059752C" w:rsidRDefault="0059752C" w:rsidP="00016F7D">
      <w:pPr>
        <w:spacing w:line="240" w:lineRule="auto"/>
        <w:rPr>
          <w:rFonts w:ascii="Times New Roman" w:hAnsi="Times New Roman"/>
          <w:b/>
          <w:i/>
          <w:sz w:val="24"/>
          <w:szCs w:val="24"/>
        </w:rPr>
      </w:pPr>
      <w:r>
        <w:rPr>
          <w:rFonts w:ascii="Times New Roman" w:hAnsi="Times New Roman"/>
          <w:b/>
          <w:i/>
          <w:sz w:val="24"/>
          <w:szCs w:val="24"/>
        </w:rPr>
        <w:t xml:space="preserve">Goals and </w:t>
      </w:r>
      <w:r w:rsidRPr="0059752C">
        <w:rPr>
          <w:rFonts w:ascii="Times New Roman" w:hAnsi="Times New Roman"/>
          <w:b/>
          <w:i/>
          <w:sz w:val="24"/>
          <w:szCs w:val="24"/>
        </w:rPr>
        <w:t>Objectives</w:t>
      </w:r>
    </w:p>
    <w:p w:rsidR="008B006D" w:rsidRPr="0059752C" w:rsidRDefault="002E5CAF" w:rsidP="008B006D">
      <w:pPr>
        <w:spacing w:line="240" w:lineRule="auto"/>
        <w:rPr>
          <w:rFonts w:ascii="Times New Roman" w:hAnsi="Times New Roman"/>
          <w:sz w:val="24"/>
          <w:szCs w:val="24"/>
        </w:rPr>
      </w:pPr>
      <w:r w:rsidRPr="002E5CAF">
        <w:rPr>
          <w:rFonts w:ascii="Times New Roman" w:hAnsi="Times New Roman"/>
          <w:sz w:val="24"/>
          <w:szCs w:val="24"/>
        </w:rPr>
        <w:t xml:space="preserve">The </w:t>
      </w:r>
      <w:r w:rsidR="0059752C">
        <w:rPr>
          <w:rFonts w:ascii="Times New Roman" w:hAnsi="Times New Roman"/>
          <w:sz w:val="24"/>
          <w:szCs w:val="24"/>
        </w:rPr>
        <w:t>goal of</w:t>
      </w:r>
      <w:r w:rsidRPr="002E5CAF">
        <w:rPr>
          <w:rFonts w:ascii="Times New Roman" w:hAnsi="Times New Roman"/>
          <w:sz w:val="24"/>
          <w:szCs w:val="24"/>
        </w:rPr>
        <w:t xml:space="preserve"> the </w:t>
      </w:r>
      <w:r w:rsidR="00962E23">
        <w:rPr>
          <w:rFonts w:ascii="Times New Roman" w:hAnsi="Times New Roman"/>
          <w:sz w:val="24"/>
          <w:szCs w:val="24"/>
        </w:rPr>
        <w:t>HLPDAB</w:t>
      </w:r>
      <w:r w:rsidRPr="002E5CAF">
        <w:rPr>
          <w:rFonts w:ascii="Times New Roman" w:hAnsi="Times New Roman"/>
          <w:sz w:val="24"/>
          <w:szCs w:val="24"/>
        </w:rPr>
        <w:t xml:space="preserve"> is for policy makers in APEC’s 21-member economies to exchange information</w:t>
      </w:r>
      <w:r w:rsidR="00A126D6">
        <w:rPr>
          <w:rFonts w:ascii="Times New Roman" w:hAnsi="Times New Roman"/>
          <w:sz w:val="24"/>
          <w:szCs w:val="24"/>
          <w:lang w:val="id-ID"/>
        </w:rPr>
        <w:t xml:space="preserve">, </w:t>
      </w:r>
      <w:r w:rsidR="001E4DFB">
        <w:rPr>
          <w:rFonts w:ascii="Times New Roman" w:hAnsi="Times New Roman"/>
          <w:sz w:val="24"/>
          <w:szCs w:val="24"/>
        </w:rPr>
        <w:t>encourage</w:t>
      </w:r>
      <w:r w:rsidR="00A126D6">
        <w:rPr>
          <w:rFonts w:ascii="Times New Roman" w:hAnsi="Times New Roman"/>
          <w:sz w:val="24"/>
          <w:szCs w:val="24"/>
          <w:lang w:val="id-ID"/>
        </w:rPr>
        <w:t xml:space="preserve"> capacity building,</w:t>
      </w:r>
      <w:r w:rsidRPr="002E5CAF">
        <w:rPr>
          <w:rFonts w:ascii="Times New Roman" w:hAnsi="Times New Roman"/>
          <w:sz w:val="24"/>
          <w:szCs w:val="24"/>
        </w:rPr>
        <w:t xml:space="preserve"> and promote public policy development to support the responsible use</w:t>
      </w:r>
      <w:r w:rsidR="00824429">
        <w:rPr>
          <w:rFonts w:ascii="Times New Roman" w:hAnsi="Times New Roman"/>
          <w:sz w:val="24"/>
          <w:szCs w:val="24"/>
        </w:rPr>
        <w:t>, development</w:t>
      </w:r>
      <w:r w:rsidRPr="002E5CAF">
        <w:rPr>
          <w:rFonts w:ascii="Times New Roman" w:hAnsi="Times New Roman"/>
          <w:sz w:val="24"/>
          <w:szCs w:val="24"/>
        </w:rPr>
        <w:t xml:space="preserve"> and informed adoption of </w:t>
      </w:r>
      <w:r w:rsidR="00E04BDC">
        <w:rPr>
          <w:rFonts w:ascii="Times New Roman" w:hAnsi="Times New Roman"/>
          <w:sz w:val="24"/>
          <w:szCs w:val="24"/>
        </w:rPr>
        <w:t xml:space="preserve">innovative </w:t>
      </w:r>
      <w:r w:rsidRPr="002E5CAF">
        <w:rPr>
          <w:rFonts w:ascii="Times New Roman" w:hAnsi="Times New Roman"/>
          <w:sz w:val="24"/>
          <w:szCs w:val="24"/>
        </w:rPr>
        <w:t xml:space="preserve">agricultural biotechnology as </w:t>
      </w:r>
      <w:r w:rsidR="0059752C">
        <w:rPr>
          <w:rFonts w:ascii="Times New Roman" w:hAnsi="Times New Roman"/>
          <w:sz w:val="24"/>
          <w:szCs w:val="24"/>
        </w:rPr>
        <w:t>a</w:t>
      </w:r>
      <w:r w:rsidRPr="002E5CAF">
        <w:rPr>
          <w:rFonts w:ascii="Times New Roman" w:hAnsi="Times New Roman"/>
          <w:sz w:val="24"/>
          <w:szCs w:val="24"/>
        </w:rPr>
        <w:t xml:space="preserve"> tool to increase agricultural productivity, </w:t>
      </w:r>
      <w:r w:rsidR="00824429">
        <w:rPr>
          <w:rFonts w:ascii="Times New Roman" w:hAnsi="Times New Roman"/>
          <w:sz w:val="24"/>
          <w:szCs w:val="24"/>
        </w:rPr>
        <w:t>raise farm income</w:t>
      </w:r>
      <w:r w:rsidR="00A126D6">
        <w:rPr>
          <w:rFonts w:ascii="Times New Roman" w:hAnsi="Times New Roman"/>
          <w:sz w:val="24"/>
          <w:szCs w:val="24"/>
          <w:lang w:val="id-ID"/>
        </w:rPr>
        <w:t xml:space="preserve"> and farmer’s welfare</w:t>
      </w:r>
      <w:r w:rsidR="00824429">
        <w:rPr>
          <w:rFonts w:ascii="Times New Roman" w:hAnsi="Times New Roman"/>
          <w:sz w:val="24"/>
          <w:szCs w:val="24"/>
        </w:rPr>
        <w:t xml:space="preserve">, spur economic growth, </w:t>
      </w:r>
      <w:r w:rsidRPr="002E5CAF">
        <w:rPr>
          <w:rFonts w:ascii="Times New Roman" w:hAnsi="Times New Roman"/>
          <w:sz w:val="24"/>
          <w:szCs w:val="24"/>
        </w:rPr>
        <w:t xml:space="preserve">protect the environment, </w:t>
      </w:r>
      <w:r w:rsidR="006C43F9">
        <w:rPr>
          <w:rFonts w:ascii="Times New Roman" w:hAnsi="Times New Roman"/>
          <w:sz w:val="24"/>
          <w:szCs w:val="24"/>
        </w:rPr>
        <w:t>mitigate and adjust to impacts of climate change,</w:t>
      </w:r>
      <w:r w:rsidR="001E4DFB">
        <w:rPr>
          <w:rFonts w:ascii="Times New Roman" w:hAnsi="Times New Roman"/>
          <w:sz w:val="24"/>
          <w:szCs w:val="24"/>
        </w:rPr>
        <w:t xml:space="preserve"> </w:t>
      </w:r>
      <w:r w:rsidRPr="002E5CAF">
        <w:rPr>
          <w:rFonts w:ascii="Times New Roman" w:hAnsi="Times New Roman"/>
          <w:sz w:val="24"/>
          <w:szCs w:val="24"/>
        </w:rPr>
        <w:t xml:space="preserve">and </w:t>
      </w:r>
      <w:r w:rsidR="0059752C">
        <w:rPr>
          <w:rFonts w:ascii="Times New Roman" w:hAnsi="Times New Roman"/>
          <w:sz w:val="24"/>
          <w:szCs w:val="24"/>
        </w:rPr>
        <w:t>to strengthen foo</w:t>
      </w:r>
      <w:r w:rsidRPr="002E5CAF">
        <w:rPr>
          <w:rFonts w:ascii="Times New Roman" w:hAnsi="Times New Roman"/>
          <w:sz w:val="24"/>
          <w:szCs w:val="24"/>
        </w:rPr>
        <w:t>d security in the Asia-Pacific region.</w:t>
      </w:r>
      <w:r w:rsidR="001E4DFB">
        <w:rPr>
          <w:rFonts w:ascii="Times New Roman" w:hAnsi="Times New Roman"/>
          <w:sz w:val="24"/>
          <w:szCs w:val="24"/>
        </w:rPr>
        <w:t xml:space="preserve"> </w:t>
      </w:r>
      <w:r w:rsidR="008B006D">
        <w:rPr>
          <w:rFonts w:ascii="Times New Roman" w:hAnsi="Times New Roman"/>
          <w:sz w:val="24"/>
          <w:szCs w:val="24"/>
        </w:rPr>
        <w:t xml:space="preserve">To </w:t>
      </w:r>
      <w:r w:rsidR="00BF0D3A">
        <w:rPr>
          <w:rFonts w:ascii="Times New Roman" w:hAnsi="Times New Roman"/>
          <w:sz w:val="24"/>
          <w:szCs w:val="24"/>
        </w:rPr>
        <w:t>t</w:t>
      </w:r>
      <w:r w:rsidR="008B006D">
        <w:rPr>
          <w:rFonts w:ascii="Times New Roman" w:hAnsi="Times New Roman"/>
          <w:sz w:val="24"/>
          <w:szCs w:val="24"/>
        </w:rPr>
        <w:t>his</w:t>
      </w:r>
      <w:r w:rsidR="008B006D" w:rsidRPr="0059752C">
        <w:rPr>
          <w:rFonts w:ascii="Times New Roman" w:hAnsi="Times New Roman"/>
          <w:sz w:val="24"/>
          <w:szCs w:val="24"/>
        </w:rPr>
        <w:t xml:space="preserve"> end, the </w:t>
      </w:r>
      <w:r w:rsidR="00962E23">
        <w:rPr>
          <w:rFonts w:ascii="Times New Roman" w:hAnsi="Times New Roman"/>
          <w:sz w:val="24"/>
          <w:szCs w:val="24"/>
        </w:rPr>
        <w:t>HLPDAB</w:t>
      </w:r>
      <w:r w:rsidR="008B006D" w:rsidRPr="0059752C">
        <w:rPr>
          <w:rFonts w:ascii="Times New Roman" w:hAnsi="Times New Roman"/>
          <w:sz w:val="24"/>
          <w:szCs w:val="24"/>
        </w:rPr>
        <w:t xml:space="preserve"> will support efforts </w:t>
      </w:r>
      <w:r w:rsidR="008B006D">
        <w:rPr>
          <w:rFonts w:ascii="Times New Roman" w:hAnsi="Times New Roman"/>
          <w:sz w:val="24"/>
          <w:szCs w:val="24"/>
        </w:rPr>
        <w:t>toward</w:t>
      </w:r>
      <w:r w:rsidR="008B006D" w:rsidRPr="0059752C">
        <w:rPr>
          <w:rFonts w:ascii="Times New Roman" w:hAnsi="Times New Roman"/>
          <w:sz w:val="24"/>
          <w:szCs w:val="24"/>
        </w:rPr>
        <w:t xml:space="preserve"> the following objectives:  </w:t>
      </w:r>
    </w:p>
    <w:p w:rsidR="009B63D7" w:rsidRPr="000D1D2E" w:rsidRDefault="009B63D7" w:rsidP="009B63D7">
      <w:pPr>
        <w:numPr>
          <w:ilvl w:val="0"/>
          <w:numId w:val="5"/>
        </w:numPr>
        <w:tabs>
          <w:tab w:val="num" w:pos="360"/>
        </w:tabs>
        <w:spacing w:after="0" w:line="240" w:lineRule="auto"/>
        <w:ind w:left="360"/>
        <w:rPr>
          <w:rFonts w:ascii="Times New Roman" w:hAnsi="Times New Roman"/>
          <w:i/>
          <w:iCs/>
          <w:sz w:val="24"/>
          <w:szCs w:val="24"/>
        </w:rPr>
      </w:pPr>
      <w:r w:rsidRPr="00371DA8">
        <w:rPr>
          <w:rFonts w:ascii="Times New Roman" w:hAnsi="Times New Roman"/>
          <w:iCs/>
          <w:sz w:val="24"/>
          <w:szCs w:val="24"/>
        </w:rPr>
        <w:t>Exchange information</w:t>
      </w:r>
      <w:r w:rsidR="00A126D6">
        <w:rPr>
          <w:rFonts w:ascii="Times New Roman" w:hAnsi="Times New Roman"/>
          <w:iCs/>
          <w:sz w:val="24"/>
          <w:szCs w:val="24"/>
          <w:lang w:val="id-ID"/>
        </w:rPr>
        <w:t xml:space="preserve"> and promote capacity building</w:t>
      </w:r>
      <w:r w:rsidR="001E4DFB">
        <w:rPr>
          <w:rFonts w:ascii="Times New Roman" w:hAnsi="Times New Roman"/>
          <w:iCs/>
          <w:sz w:val="24"/>
          <w:szCs w:val="24"/>
        </w:rPr>
        <w:t xml:space="preserve"> </w:t>
      </w:r>
      <w:r w:rsidRPr="000D1D2E">
        <w:rPr>
          <w:rFonts w:ascii="Times New Roman" w:hAnsi="Times New Roman"/>
          <w:sz w:val="24"/>
          <w:szCs w:val="24"/>
        </w:rPr>
        <w:t>regarding the responsible use, development</w:t>
      </w:r>
      <w:r>
        <w:rPr>
          <w:rFonts w:ascii="Times New Roman" w:hAnsi="Times New Roman"/>
          <w:sz w:val="24"/>
          <w:szCs w:val="24"/>
        </w:rPr>
        <w:t xml:space="preserve"> and informed adoption of agricultural biotechnology as a tool to increase agricultural productivity, raise farm income, spur economic growth, protect the environment, </w:t>
      </w:r>
      <w:r w:rsidR="00363923">
        <w:rPr>
          <w:rFonts w:ascii="Times New Roman" w:hAnsi="Times New Roman"/>
          <w:sz w:val="24"/>
          <w:szCs w:val="24"/>
        </w:rPr>
        <w:t xml:space="preserve">mitigate and adjust to impacts of climate change, </w:t>
      </w:r>
      <w:r>
        <w:rPr>
          <w:rFonts w:ascii="Times New Roman" w:hAnsi="Times New Roman"/>
          <w:sz w:val="24"/>
          <w:szCs w:val="24"/>
        </w:rPr>
        <w:t>and to strengthen food security in the Asia-Pacific region.</w:t>
      </w:r>
    </w:p>
    <w:p w:rsidR="000C4BEE" w:rsidRDefault="000C4BEE">
      <w:pPr>
        <w:spacing w:after="0" w:line="240" w:lineRule="auto"/>
        <w:ind w:left="360"/>
        <w:rPr>
          <w:rFonts w:ascii="Times New Roman" w:hAnsi="Times New Roman"/>
          <w:i/>
          <w:iCs/>
          <w:sz w:val="24"/>
          <w:szCs w:val="24"/>
        </w:rPr>
      </w:pPr>
    </w:p>
    <w:p w:rsidR="002E5CAF" w:rsidRPr="00824429" w:rsidRDefault="0059752C" w:rsidP="00016F7D">
      <w:pPr>
        <w:numPr>
          <w:ilvl w:val="0"/>
          <w:numId w:val="5"/>
        </w:numPr>
        <w:tabs>
          <w:tab w:val="num" w:pos="360"/>
        </w:tabs>
        <w:spacing w:after="0" w:line="240" w:lineRule="auto"/>
        <w:ind w:left="360"/>
        <w:rPr>
          <w:rFonts w:ascii="Times New Roman" w:hAnsi="Times New Roman"/>
          <w:i/>
          <w:iCs/>
          <w:sz w:val="24"/>
          <w:szCs w:val="24"/>
        </w:rPr>
      </w:pPr>
      <w:r>
        <w:rPr>
          <w:rFonts w:ascii="Times New Roman" w:hAnsi="Times New Roman"/>
          <w:sz w:val="24"/>
          <w:szCs w:val="24"/>
        </w:rPr>
        <w:t>P</w:t>
      </w:r>
      <w:r w:rsidR="002E5CAF" w:rsidRPr="002E5CAF">
        <w:rPr>
          <w:rFonts w:ascii="Times New Roman" w:hAnsi="Times New Roman"/>
          <w:sz w:val="24"/>
          <w:szCs w:val="24"/>
        </w:rPr>
        <w:t>romote transparent</w:t>
      </w:r>
      <w:r>
        <w:rPr>
          <w:rFonts w:ascii="Times New Roman" w:hAnsi="Times New Roman"/>
          <w:sz w:val="24"/>
          <w:szCs w:val="24"/>
        </w:rPr>
        <w:t>, science-based,</w:t>
      </w:r>
      <w:r w:rsidR="002E5CAF" w:rsidRPr="002E5CAF">
        <w:rPr>
          <w:rFonts w:ascii="Times New Roman" w:hAnsi="Times New Roman"/>
          <w:sz w:val="24"/>
          <w:szCs w:val="24"/>
        </w:rPr>
        <w:t xml:space="preserve"> and functioning regulatory systems to ensure safety and to facilitate investment in and the development and application of innovative biotechnologies.</w:t>
      </w:r>
    </w:p>
    <w:p w:rsidR="00824429" w:rsidRPr="00824429" w:rsidRDefault="00824429" w:rsidP="00016F7D">
      <w:pPr>
        <w:spacing w:after="0" w:line="240" w:lineRule="auto"/>
        <w:ind w:left="360"/>
        <w:rPr>
          <w:rFonts w:ascii="Times New Roman" w:hAnsi="Times New Roman"/>
          <w:i/>
          <w:iCs/>
          <w:sz w:val="24"/>
          <w:szCs w:val="24"/>
        </w:rPr>
      </w:pPr>
    </w:p>
    <w:p w:rsidR="002E5CAF" w:rsidRDefault="00824429" w:rsidP="00016F7D">
      <w:pPr>
        <w:numPr>
          <w:ilvl w:val="0"/>
          <w:numId w:val="5"/>
        </w:numPr>
        <w:spacing w:line="240" w:lineRule="auto"/>
        <w:ind w:left="360"/>
        <w:rPr>
          <w:rFonts w:ascii="Times New Roman" w:hAnsi="Times New Roman"/>
          <w:sz w:val="24"/>
          <w:szCs w:val="24"/>
        </w:rPr>
      </w:pPr>
      <w:r>
        <w:rPr>
          <w:rFonts w:ascii="Times New Roman" w:hAnsi="Times New Roman"/>
          <w:sz w:val="24"/>
          <w:szCs w:val="24"/>
        </w:rPr>
        <w:t>B</w:t>
      </w:r>
      <w:r w:rsidR="002E5CAF" w:rsidRPr="002E5CAF">
        <w:rPr>
          <w:rFonts w:ascii="Times New Roman" w:hAnsi="Times New Roman"/>
          <w:sz w:val="24"/>
          <w:szCs w:val="24"/>
        </w:rPr>
        <w:t xml:space="preserve">uild upon the work of international </w:t>
      </w:r>
      <w:r>
        <w:rPr>
          <w:rFonts w:ascii="Times New Roman" w:hAnsi="Times New Roman"/>
          <w:sz w:val="24"/>
          <w:szCs w:val="24"/>
        </w:rPr>
        <w:t>fora and existing international standards</w:t>
      </w:r>
      <w:r w:rsidR="002E5CAF" w:rsidRPr="002E5CAF">
        <w:rPr>
          <w:rFonts w:ascii="Times New Roman" w:hAnsi="Times New Roman"/>
          <w:sz w:val="24"/>
          <w:szCs w:val="24"/>
        </w:rPr>
        <w:t xml:space="preserve">, such as the Codex </w:t>
      </w:r>
      <w:proofErr w:type="spellStart"/>
      <w:r w:rsidR="002E5CAF" w:rsidRPr="002E5CAF">
        <w:rPr>
          <w:rFonts w:ascii="Times New Roman" w:hAnsi="Times New Roman"/>
          <w:sz w:val="24"/>
          <w:szCs w:val="24"/>
        </w:rPr>
        <w:t>Alimentarius</w:t>
      </w:r>
      <w:proofErr w:type="spellEnd"/>
      <w:r w:rsidR="002E5CAF" w:rsidRPr="002E5CAF">
        <w:rPr>
          <w:rFonts w:ascii="Times New Roman" w:hAnsi="Times New Roman"/>
          <w:sz w:val="24"/>
          <w:szCs w:val="24"/>
        </w:rPr>
        <w:t xml:space="preserve"> Commission, to </w:t>
      </w:r>
      <w:r w:rsidR="002E5CAF" w:rsidRPr="009D79DA">
        <w:rPr>
          <w:rFonts w:ascii="Times New Roman" w:hAnsi="Times New Roman"/>
          <w:sz w:val="24"/>
          <w:szCs w:val="24"/>
        </w:rPr>
        <w:t>promote</w:t>
      </w:r>
      <w:r w:rsidR="00033769" w:rsidRPr="009D79DA">
        <w:rPr>
          <w:rFonts w:ascii="Times New Roman" w:hAnsi="Times New Roman"/>
          <w:sz w:val="24"/>
          <w:szCs w:val="24"/>
        </w:rPr>
        <w:t xml:space="preserve"> greater alignment of national standards with relevant international standards</w:t>
      </w:r>
      <w:r w:rsidR="002E5CAF" w:rsidRPr="009D79DA">
        <w:rPr>
          <w:rFonts w:ascii="Times New Roman" w:hAnsi="Times New Roman"/>
          <w:sz w:val="24"/>
          <w:szCs w:val="24"/>
        </w:rPr>
        <w:t xml:space="preserve"> among A</w:t>
      </w:r>
      <w:r w:rsidR="002E5CAF" w:rsidRPr="002E5CAF">
        <w:rPr>
          <w:rFonts w:ascii="Times New Roman" w:hAnsi="Times New Roman"/>
          <w:sz w:val="24"/>
          <w:szCs w:val="24"/>
        </w:rPr>
        <w:t xml:space="preserve">PEC </w:t>
      </w:r>
      <w:r>
        <w:rPr>
          <w:rFonts w:ascii="Times New Roman" w:hAnsi="Times New Roman"/>
          <w:sz w:val="24"/>
          <w:szCs w:val="24"/>
        </w:rPr>
        <w:t>e</w:t>
      </w:r>
      <w:r w:rsidR="002E5CAF" w:rsidRPr="002E5CAF">
        <w:rPr>
          <w:rFonts w:ascii="Times New Roman" w:hAnsi="Times New Roman"/>
          <w:sz w:val="24"/>
          <w:szCs w:val="24"/>
        </w:rPr>
        <w:t>conomies and public confidence in those systems.</w:t>
      </w:r>
    </w:p>
    <w:p w:rsidR="006C43F9" w:rsidRDefault="006C43F9" w:rsidP="00016F7D">
      <w:pPr>
        <w:numPr>
          <w:ilvl w:val="0"/>
          <w:numId w:val="5"/>
        </w:numPr>
        <w:spacing w:line="240" w:lineRule="auto"/>
        <w:ind w:left="360"/>
        <w:rPr>
          <w:rFonts w:ascii="Times New Roman" w:hAnsi="Times New Roman"/>
          <w:sz w:val="24"/>
          <w:szCs w:val="24"/>
        </w:rPr>
      </w:pPr>
      <w:r>
        <w:rPr>
          <w:rFonts w:ascii="Times New Roman" w:hAnsi="Times New Roman"/>
          <w:sz w:val="24"/>
          <w:szCs w:val="24"/>
        </w:rPr>
        <w:t xml:space="preserve">Support outreach and capacity building activities to help achieve </w:t>
      </w:r>
      <w:r w:rsidR="00875FC1">
        <w:rPr>
          <w:rFonts w:ascii="Times New Roman" w:hAnsi="Times New Roman"/>
          <w:sz w:val="24"/>
          <w:szCs w:val="24"/>
        </w:rPr>
        <w:t xml:space="preserve">above </w:t>
      </w:r>
      <w:r>
        <w:rPr>
          <w:rFonts w:ascii="Times New Roman" w:hAnsi="Times New Roman"/>
          <w:sz w:val="24"/>
          <w:szCs w:val="24"/>
        </w:rPr>
        <w:t>objectives</w:t>
      </w:r>
      <w:r w:rsidR="00875FC1">
        <w:rPr>
          <w:rFonts w:ascii="Times New Roman" w:hAnsi="Times New Roman"/>
          <w:sz w:val="24"/>
          <w:szCs w:val="24"/>
        </w:rPr>
        <w:t>.</w:t>
      </w:r>
    </w:p>
    <w:p w:rsidR="00E04BDC" w:rsidRPr="002E5CAF" w:rsidRDefault="00E04BDC" w:rsidP="00016F7D">
      <w:pPr>
        <w:spacing w:line="240" w:lineRule="auto"/>
        <w:rPr>
          <w:rFonts w:ascii="Times New Roman" w:hAnsi="Times New Roman"/>
          <w:b/>
          <w:i/>
          <w:sz w:val="24"/>
          <w:szCs w:val="24"/>
        </w:rPr>
      </w:pPr>
      <w:r w:rsidRPr="002E5CAF">
        <w:rPr>
          <w:rFonts w:ascii="Times New Roman" w:hAnsi="Times New Roman"/>
          <w:b/>
          <w:i/>
          <w:sz w:val="24"/>
          <w:szCs w:val="24"/>
        </w:rPr>
        <w:t xml:space="preserve">Scope </w:t>
      </w:r>
    </w:p>
    <w:p w:rsidR="001E4DFB" w:rsidRDefault="00E04BDC">
      <w:pPr>
        <w:spacing w:after="0" w:line="240" w:lineRule="auto"/>
        <w:rPr>
          <w:rFonts w:ascii="Times New Roman" w:hAnsi="Times New Roman"/>
          <w:sz w:val="24"/>
          <w:szCs w:val="24"/>
        </w:rPr>
      </w:pPr>
      <w:r w:rsidRPr="002E5CAF">
        <w:rPr>
          <w:rFonts w:ascii="Times New Roman" w:hAnsi="Times New Roman"/>
          <w:sz w:val="24"/>
          <w:szCs w:val="24"/>
        </w:rPr>
        <w:t xml:space="preserve">The </w:t>
      </w:r>
      <w:r w:rsidR="00962E23">
        <w:rPr>
          <w:rFonts w:ascii="Times New Roman" w:hAnsi="Times New Roman"/>
          <w:sz w:val="24"/>
          <w:szCs w:val="24"/>
        </w:rPr>
        <w:t>HLPDAB</w:t>
      </w:r>
      <w:r w:rsidRPr="002E5CAF">
        <w:rPr>
          <w:rFonts w:ascii="Times New Roman" w:hAnsi="Times New Roman"/>
          <w:sz w:val="24"/>
          <w:szCs w:val="24"/>
        </w:rPr>
        <w:t xml:space="preserve"> should be the primary APEC</w:t>
      </w:r>
      <w:r w:rsidR="001E4DFB">
        <w:rPr>
          <w:rFonts w:ascii="Times New Roman" w:hAnsi="Times New Roman"/>
          <w:sz w:val="24"/>
          <w:szCs w:val="24"/>
        </w:rPr>
        <w:t xml:space="preserve"> </w:t>
      </w:r>
      <w:r w:rsidR="00FB6726">
        <w:rPr>
          <w:rFonts w:ascii="Times New Roman" w:hAnsi="Times New Roman"/>
          <w:sz w:val="24"/>
          <w:szCs w:val="24"/>
        </w:rPr>
        <w:t>forum</w:t>
      </w:r>
      <w:r>
        <w:rPr>
          <w:rFonts w:ascii="Times New Roman" w:hAnsi="Times New Roman"/>
          <w:sz w:val="24"/>
          <w:szCs w:val="24"/>
        </w:rPr>
        <w:t xml:space="preserve"> for the </w:t>
      </w:r>
      <w:r w:rsidRPr="002E5CAF">
        <w:rPr>
          <w:rFonts w:ascii="Times New Roman" w:hAnsi="Times New Roman"/>
          <w:sz w:val="24"/>
          <w:szCs w:val="24"/>
        </w:rPr>
        <w:t xml:space="preserve">exchange </w:t>
      </w:r>
      <w:r>
        <w:rPr>
          <w:rFonts w:ascii="Times New Roman" w:hAnsi="Times New Roman"/>
          <w:sz w:val="24"/>
          <w:szCs w:val="24"/>
        </w:rPr>
        <w:t xml:space="preserve">of </w:t>
      </w:r>
      <w:r w:rsidRPr="002E5CAF">
        <w:rPr>
          <w:rFonts w:ascii="Times New Roman" w:hAnsi="Times New Roman"/>
          <w:sz w:val="24"/>
          <w:szCs w:val="24"/>
        </w:rPr>
        <w:t xml:space="preserve">information and </w:t>
      </w:r>
      <w:r>
        <w:rPr>
          <w:rFonts w:ascii="Times New Roman" w:hAnsi="Times New Roman"/>
          <w:sz w:val="24"/>
          <w:szCs w:val="24"/>
        </w:rPr>
        <w:t>discussion of policy issues</w:t>
      </w:r>
      <w:r w:rsidR="006C43F9">
        <w:rPr>
          <w:rFonts w:ascii="Times New Roman" w:hAnsi="Times New Roman"/>
          <w:sz w:val="24"/>
          <w:szCs w:val="24"/>
        </w:rPr>
        <w:t>, taking into consideration economies’ internal laws</w:t>
      </w:r>
      <w:r w:rsidR="00033769">
        <w:rPr>
          <w:rFonts w:ascii="Times New Roman" w:hAnsi="Times New Roman"/>
          <w:sz w:val="24"/>
          <w:szCs w:val="24"/>
        </w:rPr>
        <w:t>,</w:t>
      </w:r>
      <w:r w:rsidR="006C43F9">
        <w:rPr>
          <w:rFonts w:ascii="Times New Roman" w:hAnsi="Times New Roman"/>
          <w:sz w:val="24"/>
          <w:szCs w:val="24"/>
        </w:rPr>
        <w:t xml:space="preserve"> regulations</w:t>
      </w:r>
      <w:r w:rsidR="00A126D6">
        <w:rPr>
          <w:rFonts w:ascii="Times New Roman" w:hAnsi="Times New Roman"/>
          <w:sz w:val="24"/>
          <w:szCs w:val="24"/>
          <w:lang w:val="id-ID"/>
        </w:rPr>
        <w:t>, and capacit</w:t>
      </w:r>
      <w:r w:rsidR="00033769">
        <w:rPr>
          <w:rFonts w:ascii="Times New Roman" w:hAnsi="Times New Roman"/>
          <w:sz w:val="24"/>
          <w:szCs w:val="24"/>
        </w:rPr>
        <w:t>y</w:t>
      </w:r>
      <w:r w:rsidR="006C43F9">
        <w:rPr>
          <w:rFonts w:ascii="Times New Roman" w:hAnsi="Times New Roman"/>
          <w:sz w:val="24"/>
          <w:szCs w:val="24"/>
        </w:rPr>
        <w:t>,</w:t>
      </w:r>
      <w:r w:rsidR="001E4DFB">
        <w:rPr>
          <w:rFonts w:ascii="Times New Roman" w:hAnsi="Times New Roman"/>
          <w:sz w:val="24"/>
          <w:szCs w:val="24"/>
        </w:rPr>
        <w:t xml:space="preserve"> </w:t>
      </w:r>
      <w:r>
        <w:rPr>
          <w:rFonts w:ascii="Times New Roman" w:hAnsi="Times New Roman"/>
          <w:sz w:val="24"/>
          <w:szCs w:val="24"/>
        </w:rPr>
        <w:t xml:space="preserve">regarding </w:t>
      </w:r>
      <w:r w:rsidRPr="002E5CAF">
        <w:rPr>
          <w:rFonts w:ascii="Times New Roman" w:hAnsi="Times New Roman"/>
          <w:sz w:val="24"/>
          <w:szCs w:val="24"/>
        </w:rPr>
        <w:t>the responsible use</w:t>
      </w:r>
      <w:r>
        <w:rPr>
          <w:rFonts w:ascii="Times New Roman" w:hAnsi="Times New Roman"/>
          <w:sz w:val="24"/>
          <w:szCs w:val="24"/>
        </w:rPr>
        <w:t>, development</w:t>
      </w:r>
      <w:r w:rsidRPr="002E5CAF">
        <w:rPr>
          <w:rFonts w:ascii="Times New Roman" w:hAnsi="Times New Roman"/>
          <w:sz w:val="24"/>
          <w:szCs w:val="24"/>
        </w:rPr>
        <w:t xml:space="preserve"> and informed adoption of agricultural biotechnology as </w:t>
      </w:r>
      <w:r>
        <w:rPr>
          <w:rFonts w:ascii="Times New Roman" w:hAnsi="Times New Roman"/>
          <w:sz w:val="24"/>
          <w:szCs w:val="24"/>
        </w:rPr>
        <w:t>a</w:t>
      </w:r>
      <w:r w:rsidRPr="002E5CAF">
        <w:rPr>
          <w:rFonts w:ascii="Times New Roman" w:hAnsi="Times New Roman"/>
          <w:sz w:val="24"/>
          <w:szCs w:val="24"/>
        </w:rPr>
        <w:t xml:space="preserve"> tool to increase agricultural productivity, </w:t>
      </w:r>
      <w:r>
        <w:rPr>
          <w:rFonts w:ascii="Times New Roman" w:hAnsi="Times New Roman"/>
          <w:sz w:val="24"/>
          <w:szCs w:val="24"/>
        </w:rPr>
        <w:t xml:space="preserve">raise farm income, spur economic growth, </w:t>
      </w:r>
      <w:r w:rsidRPr="002E5CAF">
        <w:rPr>
          <w:rFonts w:ascii="Times New Roman" w:hAnsi="Times New Roman"/>
          <w:sz w:val="24"/>
          <w:szCs w:val="24"/>
        </w:rPr>
        <w:t xml:space="preserve">protect the environment, and </w:t>
      </w:r>
      <w:r>
        <w:rPr>
          <w:rFonts w:ascii="Times New Roman" w:hAnsi="Times New Roman"/>
          <w:sz w:val="24"/>
          <w:szCs w:val="24"/>
        </w:rPr>
        <w:t>to strengthen foo</w:t>
      </w:r>
      <w:r w:rsidRPr="002E5CAF">
        <w:rPr>
          <w:rFonts w:ascii="Times New Roman" w:hAnsi="Times New Roman"/>
          <w:sz w:val="24"/>
          <w:szCs w:val="24"/>
        </w:rPr>
        <w:t>d security in the Asia-Pacific region.</w:t>
      </w:r>
      <w:r>
        <w:rPr>
          <w:rFonts w:ascii="Times New Roman" w:hAnsi="Times New Roman"/>
          <w:sz w:val="24"/>
          <w:szCs w:val="24"/>
        </w:rPr>
        <w:t xml:space="preserve"> This will include </w:t>
      </w:r>
      <w:r w:rsidR="001575CD">
        <w:rPr>
          <w:rFonts w:ascii="Times New Roman" w:hAnsi="Times New Roman"/>
          <w:sz w:val="24"/>
          <w:szCs w:val="24"/>
        </w:rPr>
        <w:t>policies pertaining to the trade of products of innovative agricultural</w:t>
      </w:r>
      <w:r w:rsidR="0038400F">
        <w:rPr>
          <w:rFonts w:ascii="Times New Roman" w:hAnsi="Times New Roman"/>
          <w:sz w:val="24"/>
          <w:szCs w:val="24"/>
        </w:rPr>
        <w:t xml:space="preserve"> </w:t>
      </w:r>
      <w:r w:rsidR="00033769">
        <w:rPr>
          <w:rFonts w:ascii="Times New Roman" w:hAnsi="Times New Roman"/>
          <w:sz w:val="24"/>
          <w:szCs w:val="24"/>
        </w:rPr>
        <w:t>biotechnology. Other</w:t>
      </w:r>
      <w:r w:rsidR="00C1384B" w:rsidRPr="002E5CAF">
        <w:rPr>
          <w:rFonts w:ascii="Times New Roman" w:hAnsi="Times New Roman"/>
          <w:sz w:val="24"/>
          <w:szCs w:val="24"/>
        </w:rPr>
        <w:t xml:space="preserve"> things, </w:t>
      </w:r>
      <w:r w:rsidR="00C1384B">
        <w:rPr>
          <w:rFonts w:ascii="Times New Roman" w:hAnsi="Times New Roman"/>
          <w:sz w:val="24"/>
          <w:szCs w:val="24"/>
        </w:rPr>
        <w:t xml:space="preserve">the </w:t>
      </w:r>
      <w:r w:rsidR="00962E23">
        <w:rPr>
          <w:rFonts w:ascii="Times New Roman" w:hAnsi="Times New Roman"/>
          <w:sz w:val="24"/>
          <w:szCs w:val="24"/>
        </w:rPr>
        <w:t>HLPDAB</w:t>
      </w:r>
      <w:r>
        <w:rPr>
          <w:rFonts w:ascii="Times New Roman" w:hAnsi="Times New Roman"/>
          <w:sz w:val="24"/>
          <w:szCs w:val="24"/>
        </w:rPr>
        <w:t xml:space="preserve"> will</w:t>
      </w:r>
      <w:r w:rsidR="001575CD">
        <w:rPr>
          <w:rFonts w:ascii="Times New Roman" w:hAnsi="Times New Roman"/>
          <w:sz w:val="24"/>
          <w:szCs w:val="24"/>
        </w:rPr>
        <w:t xml:space="preserve"> undertake work on</w:t>
      </w:r>
      <w:r w:rsidR="00C1384B" w:rsidRPr="002E5CAF">
        <w:rPr>
          <w:rFonts w:ascii="Times New Roman" w:hAnsi="Times New Roman"/>
          <w:sz w:val="24"/>
          <w:szCs w:val="24"/>
        </w:rPr>
        <w:t>:</w:t>
      </w:r>
    </w:p>
    <w:p w:rsidR="001575CD" w:rsidRPr="00ED3E41" w:rsidRDefault="001575CD" w:rsidP="00016F7D">
      <w:pPr>
        <w:pStyle w:val="NormalWeb"/>
        <w:keepLines/>
        <w:numPr>
          <w:ilvl w:val="1"/>
          <w:numId w:val="7"/>
        </w:numPr>
        <w:ind w:left="1080"/>
        <w:contextualSpacing/>
      </w:pPr>
      <w:r w:rsidRPr="00FA458C">
        <w:lastRenderedPageBreak/>
        <w:t xml:space="preserve">Enabling policies, </w:t>
      </w:r>
      <w:r w:rsidRPr="00ED3E41">
        <w:t>risk assessment, risk management,</w:t>
      </w:r>
      <w:r w:rsidR="00AC0FC9">
        <w:t xml:space="preserve"> </w:t>
      </w:r>
      <w:r w:rsidRPr="00ED3E41">
        <w:t>field trial manageme</w:t>
      </w:r>
      <w:r>
        <w:t>nt</w:t>
      </w:r>
      <w:r w:rsidRPr="00ED3E41">
        <w:t xml:space="preserve">, new traits including </w:t>
      </w:r>
      <w:r w:rsidR="00033769">
        <w:t xml:space="preserve">nutritional enhancement, </w:t>
      </w:r>
      <w:r w:rsidRPr="00ED3E41">
        <w:t>insect resistance management, and potential animal biotechnology applications to better enable APEC Economies to commercialize beneficial biotechnologies to address challenges of food security, climate change</w:t>
      </w:r>
      <w:r w:rsidR="00BF0D3A">
        <w:t>,</w:t>
      </w:r>
      <w:r w:rsidRPr="00ED3E41">
        <w:t xml:space="preserve"> and promote economic growth and regional integration.</w:t>
      </w:r>
    </w:p>
    <w:p w:rsidR="001575CD" w:rsidRPr="00ED3E41" w:rsidRDefault="001575CD" w:rsidP="00016F7D">
      <w:pPr>
        <w:pStyle w:val="NormalWeb"/>
        <w:keepLines/>
        <w:ind w:left="1080" w:hanging="360"/>
        <w:contextualSpacing/>
      </w:pPr>
    </w:p>
    <w:p w:rsidR="001575CD" w:rsidRPr="00ED3E41" w:rsidRDefault="001575CD" w:rsidP="00875FC1">
      <w:pPr>
        <w:pStyle w:val="NormalWeb"/>
        <w:keepLines/>
        <w:numPr>
          <w:ilvl w:val="1"/>
          <w:numId w:val="7"/>
        </w:numPr>
        <w:ind w:left="1080"/>
        <w:contextualSpacing/>
      </w:pPr>
      <w:r>
        <w:t>R</w:t>
      </w:r>
      <w:r w:rsidRPr="00ED3E41">
        <w:t>isk communication to improve the ability of APEC Economies to effectively communicate biotechnology issues and nurture public confidence in biotechnology regulatory systems.</w:t>
      </w:r>
    </w:p>
    <w:p w:rsidR="001575CD" w:rsidRPr="00ED3E41" w:rsidRDefault="001575CD" w:rsidP="00016F7D">
      <w:pPr>
        <w:pStyle w:val="NormalWeb"/>
        <w:keepLines/>
        <w:ind w:left="1080" w:hanging="360"/>
        <w:contextualSpacing/>
      </w:pPr>
    </w:p>
    <w:p w:rsidR="001575CD" w:rsidRDefault="001575CD" w:rsidP="00016F7D">
      <w:pPr>
        <w:pStyle w:val="NormalWeb"/>
        <w:keepLines/>
        <w:numPr>
          <w:ilvl w:val="1"/>
          <w:numId w:val="7"/>
        </w:numPr>
        <w:ind w:left="1080"/>
        <w:contextualSpacing/>
      </w:pPr>
      <w:r w:rsidRPr="00ED3E41">
        <w:t xml:space="preserve">Continued outreach on international standards and guidance to provide Economies with tools to facilitate trade of biotechnology crops, including the Codex Annex on food safety assessment in situations of low level presence of rDNA plant materials in food (LLP).  </w:t>
      </w:r>
    </w:p>
    <w:p w:rsidR="001575CD" w:rsidRPr="00ED3E41" w:rsidRDefault="001575CD" w:rsidP="00016F7D">
      <w:pPr>
        <w:pStyle w:val="NormalWeb"/>
        <w:keepLines/>
        <w:ind w:left="1080" w:hanging="360"/>
        <w:contextualSpacing/>
      </w:pPr>
    </w:p>
    <w:p w:rsidR="00FB6726" w:rsidRDefault="001575CD" w:rsidP="00016F7D">
      <w:pPr>
        <w:pStyle w:val="NormalWeb"/>
        <w:keepLines/>
        <w:numPr>
          <w:ilvl w:val="1"/>
          <w:numId w:val="7"/>
        </w:numPr>
        <w:ind w:left="1080"/>
        <w:contextualSpacing/>
      </w:pPr>
      <w:r>
        <w:t>Continued o</w:t>
      </w:r>
      <w:r w:rsidRPr="00ED3E41">
        <w:t>utreach on the Cartagena Protocol on Biosafety.</w:t>
      </w:r>
    </w:p>
    <w:p w:rsidR="00FB6726" w:rsidRDefault="00FB6726" w:rsidP="00016F7D">
      <w:pPr>
        <w:pStyle w:val="NormalWeb"/>
        <w:keepLines/>
        <w:ind w:left="1080" w:hanging="360"/>
        <w:contextualSpacing/>
      </w:pPr>
    </w:p>
    <w:p w:rsidR="001575CD" w:rsidRPr="00FB6726" w:rsidRDefault="001575CD" w:rsidP="00016F7D">
      <w:pPr>
        <w:pStyle w:val="NormalWeb"/>
        <w:keepLines/>
        <w:numPr>
          <w:ilvl w:val="1"/>
          <w:numId w:val="7"/>
        </w:numPr>
        <w:ind w:left="1080"/>
        <w:contextualSpacing/>
      </w:pPr>
      <w:r w:rsidRPr="00FB6726">
        <w:t xml:space="preserve">The </w:t>
      </w:r>
      <w:r w:rsidR="00962E23">
        <w:t>HLPDAB</w:t>
      </w:r>
      <w:r w:rsidRPr="00FB6726">
        <w:t xml:space="preserve"> will establish </w:t>
      </w:r>
      <w:r w:rsidR="00F53C93" w:rsidRPr="009D79DA">
        <w:t xml:space="preserve">one or more work plans of up to </w:t>
      </w:r>
      <w:r w:rsidR="00033769" w:rsidRPr="009D79DA">
        <w:t>three</w:t>
      </w:r>
      <w:r w:rsidR="00033769">
        <w:t xml:space="preserve"> </w:t>
      </w:r>
      <w:r w:rsidRPr="00FB6726">
        <w:t>year</w:t>
      </w:r>
      <w:r w:rsidR="00F53C93">
        <w:t>s</w:t>
      </w:r>
      <w:r w:rsidRPr="00FB6726">
        <w:t xml:space="preserve"> </w:t>
      </w:r>
      <w:r w:rsidR="00FB6726">
        <w:t xml:space="preserve">to support </w:t>
      </w:r>
      <w:r w:rsidR="00F53C93">
        <w:t xml:space="preserve">the </w:t>
      </w:r>
      <w:r w:rsidR="00FB6726">
        <w:t>HLPDAB and APEC objectives.</w:t>
      </w:r>
    </w:p>
    <w:p w:rsidR="00C1384B" w:rsidRPr="00C1384B" w:rsidRDefault="00C1384B" w:rsidP="00016F7D">
      <w:pPr>
        <w:spacing w:line="240" w:lineRule="auto"/>
        <w:ind w:left="851" w:hanging="851"/>
        <w:jc w:val="both"/>
        <w:rPr>
          <w:rFonts w:ascii="Times New Roman" w:hAnsi="Times New Roman"/>
          <w:b/>
          <w:i/>
          <w:snapToGrid w:val="0"/>
          <w:sz w:val="24"/>
          <w:szCs w:val="24"/>
          <w:lang w:val="en-AU"/>
        </w:rPr>
      </w:pPr>
      <w:r w:rsidRPr="00C1384B">
        <w:rPr>
          <w:rFonts w:ascii="Times New Roman" w:hAnsi="Times New Roman"/>
          <w:b/>
          <w:i/>
          <w:snapToGrid w:val="0"/>
          <w:sz w:val="24"/>
          <w:szCs w:val="24"/>
          <w:lang w:val="en-AU"/>
        </w:rPr>
        <w:t>Structure</w:t>
      </w:r>
      <w:r>
        <w:rPr>
          <w:rFonts w:ascii="Times New Roman" w:hAnsi="Times New Roman"/>
          <w:b/>
          <w:i/>
          <w:snapToGrid w:val="0"/>
          <w:sz w:val="24"/>
          <w:szCs w:val="24"/>
          <w:lang w:val="en-AU"/>
        </w:rPr>
        <w:t xml:space="preserve"> and Membership</w:t>
      </w:r>
    </w:p>
    <w:p w:rsidR="00C1384B" w:rsidRDefault="00C1384B" w:rsidP="00875FC1">
      <w:pPr>
        <w:numPr>
          <w:ilvl w:val="0"/>
          <w:numId w:val="6"/>
        </w:numPr>
        <w:spacing w:line="240" w:lineRule="auto"/>
        <w:rPr>
          <w:rFonts w:ascii="Times New Roman" w:hAnsi="Times New Roman"/>
          <w:snapToGrid w:val="0"/>
          <w:sz w:val="24"/>
          <w:szCs w:val="24"/>
          <w:lang w:val="en-AU"/>
        </w:rPr>
      </w:pPr>
      <w:r w:rsidRPr="00C1384B">
        <w:rPr>
          <w:rFonts w:ascii="Times New Roman" w:hAnsi="Times New Roman"/>
          <w:snapToGrid w:val="0"/>
          <w:sz w:val="24"/>
          <w:szCs w:val="24"/>
          <w:lang w:val="en-AU"/>
        </w:rPr>
        <w:t xml:space="preserve">The </w:t>
      </w:r>
      <w:r w:rsidR="00962E23">
        <w:rPr>
          <w:rFonts w:ascii="Times New Roman" w:hAnsi="Times New Roman"/>
          <w:snapToGrid w:val="0"/>
          <w:sz w:val="24"/>
          <w:szCs w:val="24"/>
          <w:lang w:val="en-AU"/>
        </w:rPr>
        <w:t>HLPDAB</w:t>
      </w:r>
      <w:r w:rsidRPr="00C1384B">
        <w:rPr>
          <w:rFonts w:ascii="Times New Roman" w:hAnsi="Times New Roman"/>
          <w:snapToGrid w:val="0"/>
          <w:sz w:val="24"/>
          <w:szCs w:val="24"/>
          <w:lang w:val="en-AU"/>
        </w:rPr>
        <w:t xml:space="preserve"> will be composed of </w:t>
      </w:r>
      <w:r>
        <w:rPr>
          <w:rFonts w:ascii="Times New Roman" w:hAnsi="Times New Roman"/>
          <w:snapToGrid w:val="0"/>
          <w:sz w:val="24"/>
          <w:szCs w:val="24"/>
          <w:lang w:val="en-AU"/>
        </w:rPr>
        <w:t xml:space="preserve">interested </w:t>
      </w:r>
      <w:r w:rsidR="00AD6BAF">
        <w:rPr>
          <w:rFonts w:ascii="Times New Roman" w:hAnsi="Times New Roman"/>
          <w:snapToGrid w:val="0"/>
          <w:sz w:val="24"/>
          <w:szCs w:val="24"/>
          <w:lang w:val="en-AU"/>
        </w:rPr>
        <w:t xml:space="preserve">government </w:t>
      </w:r>
      <w:r w:rsidRPr="00C1384B">
        <w:rPr>
          <w:rFonts w:ascii="Times New Roman" w:hAnsi="Times New Roman"/>
          <w:snapToGrid w:val="0"/>
          <w:sz w:val="24"/>
          <w:szCs w:val="24"/>
          <w:lang w:val="en-AU"/>
        </w:rPr>
        <w:t xml:space="preserve">officials </w:t>
      </w:r>
      <w:r>
        <w:rPr>
          <w:rFonts w:ascii="Times New Roman" w:hAnsi="Times New Roman"/>
          <w:snapToGrid w:val="0"/>
          <w:sz w:val="24"/>
          <w:szCs w:val="24"/>
          <w:lang w:val="en-AU"/>
        </w:rPr>
        <w:t>from APEC’s 21 member economies</w:t>
      </w:r>
      <w:r w:rsidR="001575CD">
        <w:rPr>
          <w:rFonts w:ascii="Times New Roman" w:hAnsi="Times New Roman"/>
          <w:snapToGrid w:val="0"/>
          <w:sz w:val="24"/>
          <w:szCs w:val="24"/>
          <w:lang w:val="en-AU"/>
        </w:rPr>
        <w:t xml:space="preserve"> involved with agricultural biotechnology policy.</w:t>
      </w:r>
    </w:p>
    <w:p w:rsidR="00622575" w:rsidRDefault="00C1384B">
      <w:pPr>
        <w:numPr>
          <w:ilvl w:val="0"/>
          <w:numId w:val="6"/>
        </w:numPr>
        <w:spacing w:line="240" w:lineRule="auto"/>
        <w:rPr>
          <w:rFonts w:ascii="Times New Roman" w:hAnsi="Times New Roman"/>
          <w:snapToGrid w:val="0"/>
          <w:sz w:val="24"/>
          <w:szCs w:val="24"/>
          <w:lang w:val="en-AU"/>
        </w:rPr>
      </w:pPr>
      <w:r w:rsidRPr="006C43F9">
        <w:rPr>
          <w:rFonts w:ascii="Times New Roman" w:hAnsi="Times New Roman"/>
          <w:snapToGrid w:val="0"/>
          <w:sz w:val="24"/>
          <w:szCs w:val="24"/>
          <w:lang w:val="en-AU"/>
        </w:rPr>
        <w:t xml:space="preserve">The </w:t>
      </w:r>
      <w:r w:rsidR="00962E23">
        <w:rPr>
          <w:rFonts w:ascii="Times New Roman" w:hAnsi="Times New Roman"/>
          <w:snapToGrid w:val="0"/>
          <w:sz w:val="24"/>
          <w:szCs w:val="24"/>
          <w:lang w:val="en-AU"/>
        </w:rPr>
        <w:t>HLPDAB</w:t>
      </w:r>
      <w:r w:rsidRPr="006C43F9">
        <w:rPr>
          <w:rFonts w:ascii="Times New Roman" w:hAnsi="Times New Roman"/>
          <w:snapToGrid w:val="0"/>
          <w:sz w:val="24"/>
          <w:szCs w:val="24"/>
          <w:lang w:val="en-AU"/>
        </w:rPr>
        <w:t xml:space="preserve"> will have a Chair and Coordinator </w:t>
      </w:r>
      <w:r w:rsidR="006139C3" w:rsidRPr="006C43F9">
        <w:rPr>
          <w:rFonts w:ascii="Times New Roman" w:hAnsi="Times New Roman"/>
          <w:sz w:val="24"/>
          <w:szCs w:val="24"/>
        </w:rPr>
        <w:t>who are</w:t>
      </w:r>
      <w:r w:rsidRPr="006C43F9">
        <w:rPr>
          <w:rFonts w:ascii="Times New Roman" w:hAnsi="Times New Roman"/>
          <w:sz w:val="24"/>
          <w:szCs w:val="24"/>
        </w:rPr>
        <w:t xml:space="preserve"> government representative</w:t>
      </w:r>
      <w:r w:rsidR="006139C3" w:rsidRPr="006C43F9">
        <w:rPr>
          <w:rFonts w:ascii="Times New Roman" w:hAnsi="Times New Roman"/>
          <w:sz w:val="24"/>
          <w:szCs w:val="24"/>
        </w:rPr>
        <w:t>s</w:t>
      </w:r>
      <w:r w:rsidRPr="006C43F9">
        <w:rPr>
          <w:rFonts w:ascii="Times New Roman" w:hAnsi="Times New Roman"/>
          <w:sz w:val="24"/>
          <w:szCs w:val="24"/>
        </w:rPr>
        <w:t xml:space="preserve"> of the current host economy</w:t>
      </w:r>
      <w:r w:rsidR="006139C3" w:rsidRPr="006C43F9">
        <w:rPr>
          <w:rFonts w:ascii="Times New Roman" w:hAnsi="Times New Roman"/>
          <w:sz w:val="24"/>
          <w:szCs w:val="24"/>
        </w:rPr>
        <w:t>.  The Chair and Coordinator</w:t>
      </w:r>
      <w:r w:rsidR="00AC0FC9">
        <w:rPr>
          <w:rFonts w:ascii="Times New Roman" w:hAnsi="Times New Roman"/>
          <w:sz w:val="24"/>
          <w:szCs w:val="24"/>
        </w:rPr>
        <w:t xml:space="preserve"> </w:t>
      </w:r>
      <w:r w:rsidR="006139C3" w:rsidRPr="006C43F9">
        <w:rPr>
          <w:rFonts w:ascii="Times New Roman" w:hAnsi="Times New Roman"/>
          <w:snapToGrid w:val="0"/>
          <w:sz w:val="24"/>
          <w:szCs w:val="24"/>
          <w:lang w:val="en-AU"/>
        </w:rPr>
        <w:t xml:space="preserve">will be appointed with the consensus of </w:t>
      </w:r>
      <w:r w:rsidR="00962E23">
        <w:rPr>
          <w:rFonts w:ascii="Times New Roman" w:hAnsi="Times New Roman"/>
          <w:snapToGrid w:val="0"/>
          <w:sz w:val="24"/>
          <w:szCs w:val="24"/>
          <w:lang w:val="en-AU"/>
        </w:rPr>
        <w:t>HLPDAB</w:t>
      </w:r>
      <w:r w:rsidR="006139C3" w:rsidRPr="006C43F9">
        <w:rPr>
          <w:rFonts w:ascii="Times New Roman" w:hAnsi="Times New Roman"/>
          <w:snapToGrid w:val="0"/>
          <w:sz w:val="24"/>
          <w:szCs w:val="24"/>
          <w:lang w:val="en-AU"/>
        </w:rPr>
        <w:t xml:space="preserve">.  The Chair and Coordinator </w:t>
      </w:r>
      <w:r w:rsidR="008234BA">
        <w:rPr>
          <w:rFonts w:ascii="Times New Roman" w:hAnsi="Times New Roman"/>
          <w:snapToGrid w:val="0"/>
          <w:sz w:val="24"/>
          <w:szCs w:val="24"/>
          <w:lang w:val="en-AU"/>
        </w:rPr>
        <w:t xml:space="preserve">will rotate annually to the host economy. Government representatives from another APEC economy, with consensus of the </w:t>
      </w:r>
      <w:r w:rsidR="00962E23">
        <w:rPr>
          <w:rFonts w:ascii="Times New Roman" w:hAnsi="Times New Roman"/>
          <w:snapToGrid w:val="0"/>
          <w:sz w:val="24"/>
          <w:szCs w:val="24"/>
          <w:lang w:val="en-AU"/>
        </w:rPr>
        <w:t>HLPDAB</w:t>
      </w:r>
      <w:r w:rsidR="006139C3" w:rsidRPr="006C43F9">
        <w:rPr>
          <w:rFonts w:ascii="Times New Roman" w:hAnsi="Times New Roman"/>
          <w:snapToGrid w:val="0"/>
          <w:sz w:val="24"/>
          <w:szCs w:val="24"/>
          <w:lang w:val="en-AU"/>
        </w:rPr>
        <w:t>, can serve as Chair and Coordinator</w:t>
      </w:r>
      <w:r w:rsidR="00875FC1">
        <w:rPr>
          <w:rFonts w:ascii="Times New Roman" w:hAnsi="Times New Roman"/>
          <w:snapToGrid w:val="0"/>
          <w:sz w:val="24"/>
          <w:szCs w:val="24"/>
          <w:lang w:val="en-AU"/>
        </w:rPr>
        <w:t xml:space="preserve">. </w:t>
      </w:r>
    </w:p>
    <w:p w:rsidR="00D875DD" w:rsidRPr="009D79DA" w:rsidRDefault="00D875DD" w:rsidP="00D875DD">
      <w:pPr>
        <w:numPr>
          <w:ilvl w:val="0"/>
          <w:numId w:val="6"/>
        </w:numPr>
        <w:spacing w:line="240" w:lineRule="auto"/>
        <w:rPr>
          <w:rFonts w:ascii="Times New Roman" w:hAnsi="Times New Roman"/>
          <w:snapToGrid w:val="0"/>
          <w:sz w:val="24"/>
          <w:szCs w:val="24"/>
          <w:lang w:val="en-AU"/>
        </w:rPr>
      </w:pPr>
      <w:r w:rsidRPr="009D79DA">
        <w:rPr>
          <w:rFonts w:ascii="Times New Roman" w:hAnsi="Times New Roman"/>
          <w:snapToGrid w:val="0"/>
          <w:sz w:val="24"/>
          <w:szCs w:val="24"/>
          <w:lang w:val="en-AU"/>
        </w:rPr>
        <w:t>The HLPDAB will have a Deputy Chair who will rotate annually to the host economy that holds the APEC meeting the following year. Government representatives from another APEC economy, with consensus of the HLPDAB, can serve as Deputy Chair.</w:t>
      </w:r>
    </w:p>
    <w:p w:rsidR="001E4DFB" w:rsidRPr="00D875DD" w:rsidRDefault="00AD6BAF" w:rsidP="00D875DD">
      <w:pPr>
        <w:numPr>
          <w:ilvl w:val="0"/>
          <w:numId w:val="6"/>
        </w:numPr>
        <w:spacing w:line="240" w:lineRule="auto"/>
        <w:rPr>
          <w:rFonts w:ascii="Times New Roman" w:hAnsi="Times New Roman"/>
          <w:snapToGrid w:val="0"/>
          <w:sz w:val="24"/>
          <w:szCs w:val="24"/>
          <w:lang w:val="en-AU"/>
        </w:rPr>
      </w:pPr>
      <w:bookmarkStart w:id="0" w:name="_GoBack"/>
      <w:bookmarkEnd w:id="0"/>
      <w:r w:rsidRPr="00D875DD">
        <w:rPr>
          <w:rFonts w:ascii="Times New Roman" w:hAnsi="Times New Roman"/>
          <w:snapToGrid w:val="0"/>
          <w:sz w:val="24"/>
          <w:szCs w:val="24"/>
          <w:lang w:val="en-AU"/>
        </w:rPr>
        <w:t xml:space="preserve">The </w:t>
      </w:r>
      <w:r w:rsidR="00962E23" w:rsidRPr="00D875DD">
        <w:rPr>
          <w:rFonts w:ascii="Times New Roman" w:hAnsi="Times New Roman"/>
          <w:snapToGrid w:val="0"/>
          <w:sz w:val="24"/>
          <w:szCs w:val="24"/>
          <w:lang w:val="en-AU"/>
        </w:rPr>
        <w:t>HLPDAB</w:t>
      </w:r>
      <w:r w:rsidRPr="00D875DD">
        <w:rPr>
          <w:rFonts w:ascii="Times New Roman" w:hAnsi="Times New Roman"/>
          <w:snapToGrid w:val="0"/>
          <w:sz w:val="24"/>
          <w:szCs w:val="24"/>
          <w:lang w:val="en-AU"/>
        </w:rPr>
        <w:t xml:space="preserve"> will report </w:t>
      </w:r>
      <w:r w:rsidR="00482065" w:rsidRPr="00D875DD">
        <w:rPr>
          <w:rFonts w:ascii="Times New Roman" w:hAnsi="Times New Roman"/>
          <w:snapToGrid w:val="0"/>
          <w:sz w:val="24"/>
          <w:szCs w:val="24"/>
          <w:lang w:val="en-AU"/>
        </w:rPr>
        <w:t xml:space="preserve">to </w:t>
      </w:r>
      <w:r w:rsidR="006C43F9" w:rsidRPr="00D875DD">
        <w:rPr>
          <w:rFonts w:ascii="Times New Roman" w:hAnsi="Times New Roman"/>
          <w:snapToGrid w:val="0"/>
          <w:sz w:val="24"/>
          <w:szCs w:val="24"/>
          <w:lang w:val="en-AU"/>
        </w:rPr>
        <w:t>Senior Officials</w:t>
      </w:r>
      <w:r w:rsidR="00875FC1" w:rsidRPr="00D875DD">
        <w:rPr>
          <w:rFonts w:ascii="Times New Roman" w:hAnsi="Times New Roman"/>
          <w:snapToGrid w:val="0"/>
          <w:sz w:val="24"/>
          <w:szCs w:val="24"/>
          <w:lang w:val="en-AU"/>
        </w:rPr>
        <w:t xml:space="preserve">.  For </w:t>
      </w:r>
      <w:r w:rsidR="001E1F1A" w:rsidRPr="00D875DD">
        <w:rPr>
          <w:rFonts w:ascii="Times New Roman" w:hAnsi="Times New Roman"/>
          <w:snapToGrid w:val="0"/>
          <w:sz w:val="24"/>
          <w:szCs w:val="24"/>
          <w:lang w:val="en-AU"/>
        </w:rPr>
        <w:t>p</w:t>
      </w:r>
      <w:r w:rsidR="00875FC1" w:rsidRPr="00D875DD">
        <w:rPr>
          <w:rFonts w:ascii="Times New Roman" w:hAnsi="Times New Roman"/>
          <w:snapToGrid w:val="0"/>
          <w:sz w:val="24"/>
          <w:szCs w:val="24"/>
          <w:lang w:val="en-AU"/>
        </w:rPr>
        <w:t xml:space="preserve">roject evaluation and reporting purposes, the </w:t>
      </w:r>
      <w:r w:rsidR="00962E23" w:rsidRPr="00D875DD">
        <w:rPr>
          <w:rFonts w:ascii="Times New Roman" w:hAnsi="Times New Roman"/>
          <w:snapToGrid w:val="0"/>
          <w:sz w:val="24"/>
          <w:szCs w:val="24"/>
          <w:lang w:val="en-AU"/>
        </w:rPr>
        <w:t>HLPDAB</w:t>
      </w:r>
      <w:r w:rsidR="00875FC1" w:rsidRPr="00D875DD">
        <w:rPr>
          <w:rFonts w:ascii="Times New Roman" w:hAnsi="Times New Roman"/>
          <w:snapToGrid w:val="0"/>
          <w:sz w:val="24"/>
          <w:szCs w:val="24"/>
          <w:lang w:val="en-AU"/>
        </w:rPr>
        <w:t xml:space="preserve"> will report to </w:t>
      </w:r>
      <w:r w:rsidR="001E1F1A" w:rsidRPr="00D875DD">
        <w:rPr>
          <w:rFonts w:ascii="Times New Roman" w:hAnsi="Times New Roman"/>
          <w:snapToGrid w:val="0"/>
          <w:sz w:val="24"/>
          <w:szCs w:val="24"/>
          <w:lang w:val="en-AU"/>
        </w:rPr>
        <w:t>t</w:t>
      </w:r>
      <w:r w:rsidRPr="00D875DD">
        <w:rPr>
          <w:rFonts w:ascii="Times New Roman" w:hAnsi="Times New Roman"/>
          <w:snapToGrid w:val="0"/>
          <w:sz w:val="24"/>
          <w:szCs w:val="24"/>
          <w:lang w:val="en-AU"/>
        </w:rPr>
        <w:t xml:space="preserve">he SOM Steering Committee on Economic and Technical Cooperation (SCE) or as otherwise requested by Senior Officials. </w:t>
      </w:r>
    </w:p>
    <w:p w:rsidR="00D562A0" w:rsidRPr="00D562A0" w:rsidRDefault="00D562A0" w:rsidP="00016F7D">
      <w:pPr>
        <w:pStyle w:val="ListParagraph"/>
        <w:numPr>
          <w:ilvl w:val="0"/>
          <w:numId w:val="6"/>
        </w:numPr>
        <w:spacing w:line="240" w:lineRule="auto"/>
        <w:rPr>
          <w:rFonts w:ascii="Times New Roman" w:hAnsi="Times New Roman"/>
          <w:sz w:val="24"/>
          <w:szCs w:val="24"/>
        </w:rPr>
      </w:pPr>
      <w:r w:rsidRPr="00D562A0">
        <w:rPr>
          <w:rFonts w:ascii="Times New Roman" w:hAnsi="Times New Roman"/>
          <w:sz w:val="24"/>
          <w:szCs w:val="24"/>
        </w:rPr>
        <w:t xml:space="preserve">The </w:t>
      </w:r>
      <w:r w:rsidR="001575CD">
        <w:rPr>
          <w:rFonts w:ascii="Times New Roman" w:hAnsi="Times New Roman"/>
          <w:sz w:val="24"/>
          <w:szCs w:val="24"/>
        </w:rPr>
        <w:t>C</w:t>
      </w:r>
      <w:r w:rsidRPr="00D562A0">
        <w:rPr>
          <w:rFonts w:ascii="Times New Roman" w:hAnsi="Times New Roman"/>
          <w:sz w:val="24"/>
          <w:szCs w:val="24"/>
        </w:rPr>
        <w:t xml:space="preserve">hair of the </w:t>
      </w:r>
      <w:r w:rsidR="00962E23">
        <w:rPr>
          <w:rFonts w:ascii="Times New Roman" w:hAnsi="Times New Roman"/>
          <w:sz w:val="24"/>
          <w:szCs w:val="24"/>
        </w:rPr>
        <w:t>HLPDAB</w:t>
      </w:r>
      <w:r w:rsidRPr="00D562A0">
        <w:rPr>
          <w:rFonts w:ascii="Times New Roman" w:hAnsi="Times New Roman"/>
          <w:sz w:val="24"/>
          <w:szCs w:val="24"/>
        </w:rPr>
        <w:t xml:space="preserve">, in consultation with </w:t>
      </w:r>
      <w:r w:rsidR="00962E23">
        <w:rPr>
          <w:rFonts w:ascii="Times New Roman" w:hAnsi="Times New Roman"/>
          <w:sz w:val="24"/>
          <w:szCs w:val="24"/>
        </w:rPr>
        <w:t>HLPDAB</w:t>
      </w:r>
      <w:r w:rsidRPr="00D562A0">
        <w:rPr>
          <w:rFonts w:ascii="Times New Roman" w:hAnsi="Times New Roman"/>
          <w:sz w:val="24"/>
          <w:szCs w:val="24"/>
        </w:rPr>
        <w:t xml:space="preserve"> members, </w:t>
      </w:r>
      <w:r>
        <w:rPr>
          <w:rFonts w:ascii="Times New Roman" w:hAnsi="Times New Roman"/>
          <w:sz w:val="24"/>
          <w:szCs w:val="24"/>
        </w:rPr>
        <w:t>will liaise with other related APEC sub-fora, including the</w:t>
      </w:r>
      <w:r w:rsidR="00AC0FC9">
        <w:rPr>
          <w:rFonts w:ascii="Times New Roman" w:hAnsi="Times New Roman"/>
          <w:sz w:val="24"/>
          <w:szCs w:val="24"/>
        </w:rPr>
        <w:t xml:space="preserve"> </w:t>
      </w:r>
      <w:r w:rsidR="00981F56">
        <w:rPr>
          <w:rFonts w:ascii="Times New Roman" w:hAnsi="Times New Roman"/>
          <w:sz w:val="24"/>
          <w:szCs w:val="24"/>
        </w:rPr>
        <w:t>Agricultural Technical Cooperation Working Group (</w:t>
      </w:r>
      <w:r w:rsidRPr="00D562A0">
        <w:rPr>
          <w:rFonts w:ascii="Times New Roman" w:hAnsi="Times New Roman"/>
          <w:sz w:val="24"/>
          <w:szCs w:val="24"/>
        </w:rPr>
        <w:t>ATCWG</w:t>
      </w:r>
      <w:r w:rsidR="00981F56">
        <w:rPr>
          <w:rFonts w:ascii="Times New Roman" w:hAnsi="Times New Roman"/>
          <w:sz w:val="24"/>
          <w:szCs w:val="24"/>
        </w:rPr>
        <w:t>)</w:t>
      </w:r>
      <w:r>
        <w:rPr>
          <w:rFonts w:ascii="Times New Roman" w:hAnsi="Times New Roman"/>
          <w:sz w:val="24"/>
          <w:szCs w:val="24"/>
        </w:rPr>
        <w:t xml:space="preserve"> and </w:t>
      </w:r>
      <w:r w:rsidR="00981F56">
        <w:rPr>
          <w:rFonts w:ascii="Times New Roman" w:hAnsi="Times New Roman"/>
          <w:sz w:val="24"/>
          <w:szCs w:val="24"/>
        </w:rPr>
        <w:t>Policy Partnership on Food Security (</w:t>
      </w:r>
      <w:r>
        <w:rPr>
          <w:rFonts w:ascii="Times New Roman" w:hAnsi="Times New Roman"/>
          <w:sz w:val="24"/>
          <w:szCs w:val="24"/>
        </w:rPr>
        <w:t>PPFS</w:t>
      </w:r>
      <w:r w:rsidR="00981F56">
        <w:rPr>
          <w:rFonts w:ascii="Times New Roman" w:hAnsi="Times New Roman"/>
          <w:sz w:val="24"/>
          <w:szCs w:val="24"/>
        </w:rPr>
        <w:t>)</w:t>
      </w:r>
      <w:r w:rsidRPr="00D562A0">
        <w:rPr>
          <w:rFonts w:ascii="Times New Roman" w:hAnsi="Times New Roman"/>
          <w:sz w:val="24"/>
          <w:szCs w:val="24"/>
        </w:rPr>
        <w:t xml:space="preserve">, </w:t>
      </w:r>
      <w:r>
        <w:rPr>
          <w:rFonts w:ascii="Times New Roman" w:hAnsi="Times New Roman"/>
          <w:sz w:val="24"/>
          <w:szCs w:val="24"/>
        </w:rPr>
        <w:t xml:space="preserve">as appropriate, </w:t>
      </w:r>
      <w:r w:rsidRPr="00D562A0">
        <w:rPr>
          <w:rFonts w:ascii="Times New Roman" w:hAnsi="Times New Roman"/>
          <w:sz w:val="24"/>
          <w:szCs w:val="24"/>
        </w:rPr>
        <w:t xml:space="preserve">as well as World Bank, Asian Development Bank, Inter-American Development Bank, Food and Agriculture Organization, World Trade Organization, </w:t>
      </w:r>
      <w:r w:rsidR="00E13BDA">
        <w:rPr>
          <w:rFonts w:ascii="Times New Roman" w:hAnsi="Times New Roman"/>
          <w:sz w:val="24"/>
          <w:szCs w:val="24"/>
        </w:rPr>
        <w:t xml:space="preserve">private industry, </w:t>
      </w:r>
      <w:r w:rsidRPr="00D562A0">
        <w:rPr>
          <w:rFonts w:ascii="Times New Roman" w:hAnsi="Times New Roman"/>
          <w:sz w:val="24"/>
          <w:szCs w:val="24"/>
        </w:rPr>
        <w:t xml:space="preserve">and other groups to send observers/advisers to the </w:t>
      </w:r>
      <w:r w:rsidR="00962E23">
        <w:rPr>
          <w:rFonts w:ascii="Times New Roman" w:hAnsi="Times New Roman"/>
          <w:sz w:val="24"/>
          <w:szCs w:val="24"/>
        </w:rPr>
        <w:t>HLPDAB</w:t>
      </w:r>
      <w:r>
        <w:rPr>
          <w:rFonts w:ascii="Times New Roman" w:hAnsi="Times New Roman"/>
          <w:sz w:val="24"/>
          <w:szCs w:val="24"/>
        </w:rPr>
        <w:t>.</w:t>
      </w:r>
    </w:p>
    <w:p w:rsidR="00AC0FC9" w:rsidRDefault="00AC0FC9">
      <w:pPr>
        <w:spacing w:after="0" w:line="240" w:lineRule="auto"/>
        <w:rPr>
          <w:rFonts w:ascii="Times New Roman" w:hAnsi="Times New Roman"/>
          <w:b/>
          <w:i/>
          <w:sz w:val="24"/>
          <w:szCs w:val="24"/>
        </w:rPr>
      </w:pPr>
      <w:r>
        <w:rPr>
          <w:rFonts w:ascii="Times New Roman" w:hAnsi="Times New Roman"/>
          <w:b/>
          <w:i/>
          <w:sz w:val="24"/>
          <w:szCs w:val="24"/>
        </w:rPr>
        <w:br w:type="page"/>
      </w:r>
    </w:p>
    <w:p w:rsidR="00AC0FC9" w:rsidRDefault="00AC0FC9" w:rsidP="00016F7D">
      <w:pPr>
        <w:spacing w:line="240" w:lineRule="auto"/>
        <w:rPr>
          <w:rFonts w:ascii="Times New Roman" w:hAnsi="Times New Roman"/>
          <w:b/>
          <w:i/>
          <w:sz w:val="24"/>
          <w:szCs w:val="24"/>
        </w:rPr>
      </w:pPr>
    </w:p>
    <w:p w:rsidR="00FA3655" w:rsidRPr="002E5CAF" w:rsidRDefault="00FA3655" w:rsidP="00016F7D">
      <w:pPr>
        <w:spacing w:line="240" w:lineRule="auto"/>
        <w:rPr>
          <w:rFonts w:ascii="Times New Roman" w:hAnsi="Times New Roman"/>
          <w:b/>
          <w:i/>
          <w:sz w:val="24"/>
          <w:szCs w:val="24"/>
        </w:rPr>
      </w:pPr>
      <w:r w:rsidRPr="002E5CAF">
        <w:rPr>
          <w:rFonts w:ascii="Times New Roman" w:hAnsi="Times New Roman"/>
          <w:b/>
          <w:i/>
          <w:sz w:val="24"/>
          <w:szCs w:val="24"/>
        </w:rPr>
        <w:t xml:space="preserve">Meetings &amp; Venue </w:t>
      </w:r>
    </w:p>
    <w:p w:rsidR="00573709" w:rsidRDefault="00D562A0" w:rsidP="00573709">
      <w:pPr>
        <w:jc w:val="both"/>
        <w:rPr>
          <w:rFonts w:ascii="Times New Roman" w:hAnsi="Times New Roman"/>
          <w:snapToGrid w:val="0"/>
          <w:sz w:val="24"/>
          <w:szCs w:val="24"/>
          <w:lang w:val="en-AU"/>
        </w:rPr>
      </w:pPr>
      <w:r w:rsidRPr="006139C3">
        <w:rPr>
          <w:rFonts w:ascii="Times New Roman" w:hAnsi="Times New Roman"/>
          <w:snapToGrid w:val="0"/>
          <w:sz w:val="24"/>
          <w:szCs w:val="24"/>
          <w:lang w:val="en-AU"/>
        </w:rPr>
        <w:t xml:space="preserve">The </w:t>
      </w:r>
      <w:r w:rsidR="00962E23">
        <w:rPr>
          <w:rFonts w:ascii="Times New Roman" w:hAnsi="Times New Roman"/>
          <w:snapToGrid w:val="0"/>
          <w:sz w:val="24"/>
          <w:szCs w:val="24"/>
          <w:lang w:val="en-AU"/>
        </w:rPr>
        <w:t>HLPDAB</w:t>
      </w:r>
      <w:r w:rsidRPr="006139C3">
        <w:rPr>
          <w:rFonts w:ascii="Times New Roman" w:hAnsi="Times New Roman"/>
          <w:snapToGrid w:val="0"/>
          <w:sz w:val="24"/>
          <w:szCs w:val="24"/>
          <w:lang w:val="en-AU"/>
        </w:rPr>
        <w:t xml:space="preserve"> will meet at least annually</w:t>
      </w:r>
      <w:r>
        <w:rPr>
          <w:rFonts w:ascii="Times New Roman" w:hAnsi="Times New Roman"/>
          <w:snapToGrid w:val="0"/>
          <w:sz w:val="24"/>
          <w:szCs w:val="24"/>
          <w:lang w:val="en-AU"/>
        </w:rPr>
        <w:t xml:space="preserve"> in plenary</w:t>
      </w:r>
      <w:r w:rsidR="00AC0FC9">
        <w:rPr>
          <w:rFonts w:ascii="Times New Roman" w:hAnsi="Times New Roman"/>
          <w:snapToGrid w:val="0"/>
          <w:sz w:val="24"/>
          <w:szCs w:val="24"/>
          <w:lang w:val="en-AU"/>
        </w:rPr>
        <w:t xml:space="preserve">. </w:t>
      </w:r>
      <w:r w:rsidR="00510D5A" w:rsidRPr="00510D5A">
        <w:rPr>
          <w:rFonts w:ascii="Times New Roman" w:hAnsi="Times New Roman"/>
          <w:snapToGrid w:val="0"/>
          <w:sz w:val="24"/>
          <w:szCs w:val="24"/>
          <w:lang w:val="en-AU"/>
        </w:rPr>
        <w:t xml:space="preserve">To the extent practical, the annual </w:t>
      </w:r>
      <w:r w:rsidR="00962E23">
        <w:rPr>
          <w:rFonts w:ascii="Times New Roman" w:hAnsi="Times New Roman"/>
          <w:snapToGrid w:val="0"/>
          <w:sz w:val="24"/>
          <w:szCs w:val="24"/>
          <w:lang w:val="en-AU"/>
        </w:rPr>
        <w:t>HLPDAB</w:t>
      </w:r>
      <w:r w:rsidR="00510D5A">
        <w:rPr>
          <w:rFonts w:ascii="Times New Roman" w:hAnsi="Times New Roman"/>
          <w:snapToGrid w:val="0"/>
          <w:sz w:val="24"/>
          <w:szCs w:val="24"/>
          <w:lang w:val="en-AU"/>
        </w:rPr>
        <w:t xml:space="preserve"> </w:t>
      </w:r>
      <w:r w:rsidR="00510D5A" w:rsidRPr="00510D5A">
        <w:rPr>
          <w:rFonts w:ascii="Times New Roman" w:hAnsi="Times New Roman"/>
          <w:snapToGrid w:val="0"/>
          <w:sz w:val="24"/>
          <w:szCs w:val="24"/>
          <w:lang w:val="en-AU"/>
        </w:rPr>
        <w:t>plenary meeting will be held “</w:t>
      </w:r>
      <w:r w:rsidR="00573709" w:rsidRPr="00573709">
        <w:rPr>
          <w:rFonts w:ascii="Times New Roman" w:hAnsi="Times New Roman"/>
          <w:sz w:val="24"/>
          <w:szCs w:val="24"/>
        </w:rPr>
        <w:t xml:space="preserve">back to back” with the annual plenary meetings of the Agricultural Technical Cooperation Working Group (ATCWG) and/or Policy </w:t>
      </w:r>
      <w:r w:rsidR="00510D5A">
        <w:rPr>
          <w:rFonts w:ascii="Times New Roman" w:hAnsi="Times New Roman"/>
          <w:sz w:val="24"/>
          <w:szCs w:val="24"/>
        </w:rPr>
        <w:t>P</w:t>
      </w:r>
      <w:r w:rsidR="00573709" w:rsidRPr="00573709">
        <w:rPr>
          <w:rFonts w:ascii="Times New Roman" w:hAnsi="Times New Roman"/>
          <w:sz w:val="24"/>
          <w:szCs w:val="24"/>
        </w:rPr>
        <w:t xml:space="preserve">artnership for Food </w:t>
      </w:r>
      <w:r w:rsidR="00510D5A">
        <w:rPr>
          <w:rFonts w:ascii="Times New Roman" w:hAnsi="Times New Roman"/>
          <w:sz w:val="24"/>
          <w:szCs w:val="24"/>
        </w:rPr>
        <w:t>S</w:t>
      </w:r>
      <w:r w:rsidR="00573709" w:rsidRPr="00573709">
        <w:rPr>
          <w:rFonts w:ascii="Times New Roman" w:hAnsi="Times New Roman"/>
          <w:sz w:val="24"/>
          <w:szCs w:val="24"/>
        </w:rPr>
        <w:t>ecurity (PPFS).</w:t>
      </w:r>
      <w:r w:rsidR="00573709" w:rsidRPr="00573709">
        <w:rPr>
          <w:rFonts w:ascii="Arial" w:hAnsi="Arial" w:cs="Arial"/>
          <w:sz w:val="20"/>
          <w:szCs w:val="20"/>
        </w:rPr>
        <w:t xml:space="preserve">  </w:t>
      </w:r>
      <w:r w:rsidRPr="00510D5A">
        <w:rPr>
          <w:rFonts w:ascii="Times New Roman" w:hAnsi="Times New Roman"/>
          <w:sz w:val="24"/>
          <w:szCs w:val="24"/>
        </w:rPr>
        <w:t>T</w:t>
      </w:r>
      <w:r w:rsidRPr="002E5CAF">
        <w:rPr>
          <w:rFonts w:ascii="Times New Roman" w:hAnsi="Times New Roman"/>
          <w:sz w:val="24"/>
          <w:szCs w:val="24"/>
        </w:rPr>
        <w:t>he duration of the meeting shall be determined by the agenda. Other plenary meetings, or subgroup meetings, may be scheduled as necessary</w:t>
      </w:r>
      <w:r>
        <w:rPr>
          <w:rFonts w:ascii="Times New Roman" w:hAnsi="Times New Roman"/>
          <w:snapToGrid w:val="0"/>
          <w:sz w:val="24"/>
          <w:szCs w:val="24"/>
          <w:lang w:val="en-AU"/>
        </w:rPr>
        <w:t xml:space="preserve">, in order to meet </w:t>
      </w:r>
      <w:r w:rsidR="00962E23">
        <w:rPr>
          <w:rFonts w:ascii="Times New Roman" w:hAnsi="Times New Roman"/>
          <w:snapToGrid w:val="0"/>
          <w:sz w:val="24"/>
          <w:szCs w:val="24"/>
          <w:lang w:val="en-AU"/>
        </w:rPr>
        <w:t>HLPDAB</w:t>
      </w:r>
      <w:r>
        <w:rPr>
          <w:rFonts w:ascii="Times New Roman" w:hAnsi="Times New Roman"/>
          <w:snapToGrid w:val="0"/>
          <w:sz w:val="24"/>
          <w:szCs w:val="24"/>
          <w:lang w:val="en-AU"/>
        </w:rPr>
        <w:t xml:space="preserve"> objectives. If possible, this will include an annual meeting of a </w:t>
      </w:r>
      <w:r w:rsidR="00962E23">
        <w:rPr>
          <w:rFonts w:ascii="Times New Roman" w:hAnsi="Times New Roman"/>
          <w:snapToGrid w:val="0"/>
          <w:sz w:val="24"/>
          <w:szCs w:val="24"/>
          <w:lang w:val="en-AU"/>
        </w:rPr>
        <w:t>HLPDAB</w:t>
      </w:r>
      <w:r>
        <w:rPr>
          <w:rFonts w:ascii="Times New Roman" w:hAnsi="Times New Roman"/>
          <w:snapToGrid w:val="0"/>
          <w:sz w:val="24"/>
          <w:szCs w:val="24"/>
          <w:lang w:val="en-AU"/>
        </w:rPr>
        <w:t xml:space="preserve"> Steering Committee.  The Steering Committee will be composed of government representatives of APEC’s 21 member economies who are committed to the work of the </w:t>
      </w:r>
      <w:r w:rsidR="00962E23">
        <w:rPr>
          <w:rFonts w:ascii="Times New Roman" w:hAnsi="Times New Roman"/>
          <w:snapToGrid w:val="0"/>
          <w:sz w:val="24"/>
          <w:szCs w:val="24"/>
          <w:lang w:val="en-AU"/>
        </w:rPr>
        <w:t>HLPDAB</w:t>
      </w:r>
      <w:r w:rsidR="0082153C">
        <w:rPr>
          <w:rFonts w:ascii="Times New Roman" w:hAnsi="Times New Roman"/>
          <w:snapToGrid w:val="0"/>
          <w:sz w:val="24"/>
          <w:szCs w:val="24"/>
          <w:lang w:val="en-AU"/>
        </w:rPr>
        <w:t xml:space="preserve"> and will</w:t>
      </w:r>
      <w:r>
        <w:rPr>
          <w:rFonts w:ascii="Times New Roman" w:hAnsi="Times New Roman"/>
          <w:snapToGrid w:val="0"/>
          <w:sz w:val="24"/>
          <w:szCs w:val="24"/>
          <w:lang w:val="en-AU"/>
        </w:rPr>
        <w:t xml:space="preserve"> i</w:t>
      </w:r>
      <w:r w:rsidR="0082153C">
        <w:rPr>
          <w:rFonts w:ascii="Times New Roman" w:hAnsi="Times New Roman"/>
          <w:snapToGrid w:val="0"/>
          <w:sz w:val="24"/>
          <w:szCs w:val="24"/>
          <w:lang w:val="en-AU"/>
        </w:rPr>
        <w:t>nclude the Chair and Coordinator</w:t>
      </w:r>
      <w:r>
        <w:rPr>
          <w:rFonts w:ascii="Times New Roman" w:hAnsi="Times New Roman"/>
          <w:snapToGrid w:val="0"/>
          <w:sz w:val="24"/>
          <w:szCs w:val="24"/>
          <w:lang w:val="en-AU"/>
        </w:rPr>
        <w:t xml:space="preserve">. The Steering Committee meeting will ideally take place in the APEC host economy.  The purpose of the Steering Committee is to plan and coordinate the work of the </w:t>
      </w:r>
      <w:r w:rsidR="00962E23">
        <w:rPr>
          <w:rFonts w:ascii="Times New Roman" w:hAnsi="Times New Roman"/>
          <w:snapToGrid w:val="0"/>
          <w:sz w:val="24"/>
          <w:szCs w:val="24"/>
          <w:lang w:val="en-AU"/>
        </w:rPr>
        <w:t>HLPDAB</w:t>
      </w:r>
      <w:r>
        <w:rPr>
          <w:rFonts w:ascii="Times New Roman" w:hAnsi="Times New Roman"/>
          <w:snapToGrid w:val="0"/>
          <w:sz w:val="24"/>
          <w:szCs w:val="24"/>
          <w:lang w:val="en-AU"/>
        </w:rPr>
        <w:t xml:space="preserve"> for onward endorsement by </w:t>
      </w:r>
      <w:r w:rsidR="00962E23">
        <w:rPr>
          <w:rFonts w:ascii="Times New Roman" w:hAnsi="Times New Roman"/>
          <w:snapToGrid w:val="0"/>
          <w:sz w:val="24"/>
          <w:szCs w:val="24"/>
          <w:lang w:val="en-AU"/>
        </w:rPr>
        <w:t>HLPDAB</w:t>
      </w:r>
      <w:r>
        <w:rPr>
          <w:rFonts w:ascii="Times New Roman" w:hAnsi="Times New Roman"/>
          <w:snapToGrid w:val="0"/>
          <w:sz w:val="24"/>
          <w:szCs w:val="24"/>
          <w:lang w:val="en-AU"/>
        </w:rPr>
        <w:t xml:space="preserve"> members. </w:t>
      </w:r>
      <w:r w:rsidR="00E36C42">
        <w:rPr>
          <w:rFonts w:ascii="Times New Roman" w:hAnsi="Times New Roman"/>
          <w:sz w:val="24"/>
          <w:szCs w:val="24"/>
        </w:rPr>
        <w:t xml:space="preserve">A Private Sector Day, organized by private sector representatives, to meet in conjunction with the </w:t>
      </w:r>
      <w:r w:rsidR="00962E23">
        <w:rPr>
          <w:rFonts w:ascii="Times New Roman" w:hAnsi="Times New Roman"/>
          <w:sz w:val="24"/>
          <w:szCs w:val="24"/>
        </w:rPr>
        <w:t>HLPDAB</w:t>
      </w:r>
      <w:r w:rsidR="00E36C42">
        <w:rPr>
          <w:rFonts w:ascii="Times New Roman" w:hAnsi="Times New Roman"/>
          <w:sz w:val="24"/>
          <w:szCs w:val="24"/>
        </w:rPr>
        <w:t xml:space="preserve"> plenary, is encouraged.</w:t>
      </w:r>
    </w:p>
    <w:p w:rsidR="00FA3655" w:rsidRPr="002E5CAF" w:rsidRDefault="00FA3655" w:rsidP="00016F7D">
      <w:pPr>
        <w:spacing w:line="240" w:lineRule="auto"/>
        <w:rPr>
          <w:rFonts w:ascii="Times New Roman" w:hAnsi="Times New Roman"/>
          <w:b/>
          <w:i/>
          <w:sz w:val="24"/>
          <w:szCs w:val="24"/>
        </w:rPr>
      </w:pPr>
      <w:r w:rsidRPr="002E5CAF">
        <w:rPr>
          <w:rFonts w:ascii="Times New Roman" w:hAnsi="Times New Roman"/>
          <w:b/>
          <w:i/>
          <w:sz w:val="24"/>
          <w:szCs w:val="24"/>
        </w:rPr>
        <w:t xml:space="preserve">Support  </w:t>
      </w:r>
    </w:p>
    <w:p w:rsidR="00FA3655" w:rsidRPr="002E5CAF" w:rsidRDefault="00FA3655" w:rsidP="00016F7D">
      <w:pPr>
        <w:spacing w:line="240" w:lineRule="auto"/>
        <w:rPr>
          <w:rFonts w:ascii="Times New Roman" w:hAnsi="Times New Roman"/>
          <w:sz w:val="24"/>
          <w:szCs w:val="24"/>
        </w:rPr>
      </w:pPr>
      <w:r w:rsidRPr="002E5CAF">
        <w:rPr>
          <w:rFonts w:ascii="Times New Roman" w:hAnsi="Times New Roman"/>
          <w:sz w:val="24"/>
          <w:szCs w:val="24"/>
        </w:rPr>
        <w:t xml:space="preserve">The APEC Secretariat will serve as the primary support for the </w:t>
      </w:r>
      <w:r w:rsidR="00962E23">
        <w:rPr>
          <w:rFonts w:ascii="Times New Roman" w:hAnsi="Times New Roman"/>
          <w:sz w:val="24"/>
          <w:szCs w:val="24"/>
        </w:rPr>
        <w:t>HLPDAB</w:t>
      </w:r>
      <w:r w:rsidRPr="002E5CAF">
        <w:rPr>
          <w:rFonts w:ascii="Times New Roman" w:hAnsi="Times New Roman"/>
          <w:sz w:val="24"/>
          <w:szCs w:val="24"/>
        </w:rPr>
        <w:t xml:space="preserve">.  Virtual links to other existing institutions shall be used to increase resources. The </w:t>
      </w:r>
      <w:r w:rsidR="00AC0FC9">
        <w:rPr>
          <w:rFonts w:ascii="Times New Roman" w:hAnsi="Times New Roman"/>
          <w:sz w:val="24"/>
          <w:szCs w:val="24"/>
        </w:rPr>
        <w:t>P</w:t>
      </w:r>
      <w:r w:rsidRPr="002E5CAF">
        <w:rPr>
          <w:rFonts w:ascii="Times New Roman" w:hAnsi="Times New Roman"/>
          <w:sz w:val="24"/>
          <w:szCs w:val="24"/>
        </w:rPr>
        <w:t xml:space="preserve">rogram </w:t>
      </w:r>
      <w:r w:rsidR="00AC0FC9">
        <w:rPr>
          <w:rFonts w:ascii="Times New Roman" w:hAnsi="Times New Roman"/>
          <w:sz w:val="24"/>
          <w:szCs w:val="24"/>
        </w:rPr>
        <w:t>D</w:t>
      </w:r>
      <w:r w:rsidRPr="002E5CAF">
        <w:rPr>
          <w:rFonts w:ascii="Times New Roman" w:hAnsi="Times New Roman"/>
          <w:sz w:val="24"/>
          <w:szCs w:val="24"/>
        </w:rPr>
        <w:t xml:space="preserve">irector at the APEC Secretariat will help to organize meetings, provide guidance regarding APEC guidelines and protocols and serve as a focal point for the distribution of information regarding the </w:t>
      </w:r>
      <w:r w:rsidR="00962E23">
        <w:rPr>
          <w:rFonts w:ascii="Times New Roman" w:hAnsi="Times New Roman"/>
          <w:sz w:val="24"/>
          <w:szCs w:val="24"/>
        </w:rPr>
        <w:t>HLPDAB</w:t>
      </w:r>
      <w:r w:rsidR="0082153C">
        <w:rPr>
          <w:rFonts w:ascii="Times New Roman" w:hAnsi="Times New Roman"/>
          <w:sz w:val="24"/>
          <w:szCs w:val="24"/>
        </w:rPr>
        <w:t xml:space="preserve">. </w:t>
      </w:r>
    </w:p>
    <w:p w:rsidR="00FA3655" w:rsidRPr="002E5CAF" w:rsidRDefault="00FA3655" w:rsidP="00016F7D">
      <w:pPr>
        <w:spacing w:line="240" w:lineRule="auto"/>
        <w:rPr>
          <w:rFonts w:ascii="Times New Roman" w:hAnsi="Times New Roman"/>
          <w:b/>
          <w:i/>
          <w:sz w:val="24"/>
          <w:szCs w:val="24"/>
        </w:rPr>
      </w:pPr>
      <w:r w:rsidRPr="002E5CAF">
        <w:rPr>
          <w:rFonts w:ascii="Times New Roman" w:hAnsi="Times New Roman"/>
          <w:b/>
          <w:i/>
          <w:sz w:val="24"/>
          <w:szCs w:val="24"/>
        </w:rPr>
        <w:t xml:space="preserve">Sunset Clause </w:t>
      </w:r>
    </w:p>
    <w:p w:rsidR="00FA3655" w:rsidRPr="002E5CAF" w:rsidRDefault="00FA3655" w:rsidP="000C3588">
      <w:pPr>
        <w:spacing w:line="240" w:lineRule="auto"/>
        <w:rPr>
          <w:rFonts w:ascii="Times New Roman" w:hAnsi="Times New Roman"/>
          <w:sz w:val="24"/>
          <w:szCs w:val="24"/>
        </w:rPr>
      </w:pPr>
      <w:r w:rsidRPr="002E5CAF">
        <w:rPr>
          <w:rFonts w:ascii="Times New Roman" w:hAnsi="Times New Roman"/>
          <w:sz w:val="24"/>
          <w:szCs w:val="24"/>
        </w:rPr>
        <w:t xml:space="preserve">The </w:t>
      </w:r>
      <w:r w:rsidR="00962E23">
        <w:rPr>
          <w:rFonts w:ascii="Times New Roman" w:hAnsi="Times New Roman"/>
          <w:sz w:val="24"/>
          <w:szCs w:val="24"/>
        </w:rPr>
        <w:t>HLPDAB</w:t>
      </w:r>
      <w:r w:rsidRPr="002E5CAF">
        <w:rPr>
          <w:rFonts w:ascii="Times New Roman" w:hAnsi="Times New Roman"/>
          <w:sz w:val="24"/>
          <w:szCs w:val="24"/>
        </w:rPr>
        <w:t xml:space="preserve"> will evaluate its effectiveness on a regular basis in line with current APEC guidelines. </w:t>
      </w:r>
      <w:r w:rsidR="0082153C">
        <w:rPr>
          <w:rFonts w:ascii="Times New Roman" w:hAnsi="Times New Roman"/>
          <w:snapToGrid w:val="0"/>
          <w:sz w:val="24"/>
          <w:szCs w:val="24"/>
          <w:lang w:val="en-AU"/>
        </w:rPr>
        <w:t xml:space="preserve">The Terms of Reference </w:t>
      </w:r>
      <w:r w:rsidR="000C3588">
        <w:rPr>
          <w:rFonts w:ascii="Times New Roman" w:hAnsi="Times New Roman"/>
          <w:snapToGrid w:val="0"/>
          <w:sz w:val="24"/>
          <w:szCs w:val="24"/>
          <w:lang w:val="en-AU"/>
        </w:rPr>
        <w:t xml:space="preserve">as </w:t>
      </w:r>
      <w:r w:rsidR="0082153C">
        <w:rPr>
          <w:rFonts w:ascii="Times New Roman" w:hAnsi="Times New Roman"/>
          <w:snapToGrid w:val="0"/>
          <w:sz w:val="24"/>
          <w:szCs w:val="24"/>
          <w:lang w:val="en-AU"/>
        </w:rPr>
        <w:t>well as other aspects o</w:t>
      </w:r>
      <w:r w:rsidR="000C3588">
        <w:rPr>
          <w:rFonts w:ascii="Times New Roman" w:hAnsi="Times New Roman"/>
          <w:snapToGrid w:val="0"/>
          <w:sz w:val="24"/>
          <w:szCs w:val="24"/>
          <w:lang w:val="en-AU"/>
        </w:rPr>
        <w:t xml:space="preserve">f </w:t>
      </w:r>
      <w:r w:rsidR="00962E23">
        <w:rPr>
          <w:rFonts w:ascii="Times New Roman" w:hAnsi="Times New Roman"/>
          <w:snapToGrid w:val="0"/>
          <w:sz w:val="24"/>
          <w:szCs w:val="24"/>
          <w:lang w:val="en-AU"/>
        </w:rPr>
        <w:t>HLPDAB</w:t>
      </w:r>
      <w:r w:rsidR="000C3588">
        <w:rPr>
          <w:rFonts w:ascii="Times New Roman" w:hAnsi="Times New Roman"/>
          <w:snapToGrid w:val="0"/>
          <w:sz w:val="24"/>
          <w:szCs w:val="24"/>
          <w:lang w:val="en-AU"/>
        </w:rPr>
        <w:t xml:space="preserve"> operations will</w:t>
      </w:r>
      <w:r w:rsidR="0082153C">
        <w:rPr>
          <w:rFonts w:ascii="Times New Roman" w:hAnsi="Times New Roman"/>
          <w:snapToGrid w:val="0"/>
          <w:sz w:val="24"/>
          <w:szCs w:val="24"/>
          <w:lang w:val="en-AU"/>
        </w:rPr>
        <w:t xml:space="preserve"> be reviewed</w:t>
      </w:r>
      <w:r w:rsidRPr="002E5CAF">
        <w:rPr>
          <w:rFonts w:ascii="Times New Roman" w:hAnsi="Times New Roman"/>
          <w:sz w:val="24"/>
          <w:szCs w:val="24"/>
        </w:rPr>
        <w:t xml:space="preserve"> periodically, particularly if there is a change in situation, with a view to modification or amendment.</w:t>
      </w:r>
    </w:p>
    <w:sectPr w:rsidR="00FA3655" w:rsidRPr="002E5CAF" w:rsidSect="00703CD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FB" w:rsidRDefault="001E4DFB" w:rsidP="008C1586">
      <w:pPr>
        <w:spacing w:after="0" w:line="240" w:lineRule="auto"/>
      </w:pPr>
      <w:r>
        <w:separator/>
      </w:r>
    </w:p>
  </w:endnote>
  <w:endnote w:type="continuationSeparator" w:id="0">
    <w:p w:rsidR="001E4DFB" w:rsidRDefault="001E4DFB" w:rsidP="008C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charset w:val="00"/>
    <w:family w:val="auto"/>
    <w:pitch w:val="variable"/>
    <w:sig w:usb0="00000003"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B" w:rsidRDefault="001E4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B" w:rsidRDefault="001E4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B" w:rsidRDefault="001E4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FB" w:rsidRDefault="001E4DFB" w:rsidP="008C1586">
      <w:pPr>
        <w:spacing w:after="0" w:line="240" w:lineRule="auto"/>
      </w:pPr>
      <w:r>
        <w:separator/>
      </w:r>
    </w:p>
  </w:footnote>
  <w:footnote w:type="continuationSeparator" w:id="0">
    <w:p w:rsidR="001E4DFB" w:rsidRDefault="001E4DFB" w:rsidP="008C1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B" w:rsidRDefault="001E4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B" w:rsidRDefault="001E4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B" w:rsidRDefault="001E4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0C8"/>
    <w:multiLevelType w:val="hybridMultilevel"/>
    <w:tmpl w:val="B19C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75F34"/>
    <w:multiLevelType w:val="hybridMultilevel"/>
    <w:tmpl w:val="2E72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C2F36"/>
    <w:multiLevelType w:val="hybridMultilevel"/>
    <w:tmpl w:val="BA062210"/>
    <w:lvl w:ilvl="0" w:tplc="68946E9E">
      <w:numFmt w:val="bullet"/>
      <w:lvlText w:val="•"/>
      <w:lvlJc w:val="left"/>
      <w:pPr>
        <w:ind w:left="1440" w:hanging="72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3B2FA7"/>
    <w:multiLevelType w:val="hybridMultilevel"/>
    <w:tmpl w:val="BC9E74EC"/>
    <w:lvl w:ilvl="0" w:tplc="68946E9E">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B65A7"/>
    <w:multiLevelType w:val="singleLevel"/>
    <w:tmpl w:val="04090001"/>
    <w:lvl w:ilvl="0">
      <w:start w:val="1"/>
      <w:numFmt w:val="bullet"/>
      <w:lvlText w:val=""/>
      <w:lvlJc w:val="left"/>
      <w:pPr>
        <w:ind w:left="720" w:hanging="360"/>
      </w:pPr>
      <w:rPr>
        <w:rFonts w:ascii="Symbol" w:hAnsi="Symbol" w:hint="default"/>
      </w:rPr>
    </w:lvl>
  </w:abstractNum>
  <w:abstractNum w:abstractNumId="5">
    <w:nsid w:val="554D45C3"/>
    <w:multiLevelType w:val="hybridMultilevel"/>
    <w:tmpl w:val="22660B08"/>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1D7E35"/>
    <w:multiLevelType w:val="hybridMultilevel"/>
    <w:tmpl w:val="0A70C324"/>
    <w:lvl w:ilvl="0" w:tplc="68946E9E">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0E"/>
    <w:rsid w:val="000108EF"/>
    <w:rsid w:val="00016F7D"/>
    <w:rsid w:val="00033769"/>
    <w:rsid w:val="000463BB"/>
    <w:rsid w:val="00052B55"/>
    <w:rsid w:val="0008573B"/>
    <w:rsid w:val="000B087C"/>
    <w:rsid w:val="000C3588"/>
    <w:rsid w:val="000C4BEE"/>
    <w:rsid w:val="000C6305"/>
    <w:rsid w:val="000E6462"/>
    <w:rsid w:val="000F64D8"/>
    <w:rsid w:val="000F731A"/>
    <w:rsid w:val="0010349B"/>
    <w:rsid w:val="001048F9"/>
    <w:rsid w:val="001242DF"/>
    <w:rsid w:val="00144C97"/>
    <w:rsid w:val="001575CD"/>
    <w:rsid w:val="00161C38"/>
    <w:rsid w:val="001A29AB"/>
    <w:rsid w:val="001A7F6A"/>
    <w:rsid w:val="001B11E0"/>
    <w:rsid w:val="001C7DD0"/>
    <w:rsid w:val="001D068F"/>
    <w:rsid w:val="001E1F1A"/>
    <w:rsid w:val="001E4DFB"/>
    <w:rsid w:val="001E5D74"/>
    <w:rsid w:val="002101FE"/>
    <w:rsid w:val="00251DB2"/>
    <w:rsid w:val="0027201B"/>
    <w:rsid w:val="00294941"/>
    <w:rsid w:val="002E0B54"/>
    <w:rsid w:val="002E5CAF"/>
    <w:rsid w:val="00341E0E"/>
    <w:rsid w:val="00346154"/>
    <w:rsid w:val="00346B99"/>
    <w:rsid w:val="00363923"/>
    <w:rsid w:val="00383CD6"/>
    <w:rsid w:val="0038400F"/>
    <w:rsid w:val="00387C51"/>
    <w:rsid w:val="003A7B08"/>
    <w:rsid w:val="003B3467"/>
    <w:rsid w:val="003C3A42"/>
    <w:rsid w:val="004107FA"/>
    <w:rsid w:val="004114F8"/>
    <w:rsid w:val="00414156"/>
    <w:rsid w:val="004575C2"/>
    <w:rsid w:val="00482065"/>
    <w:rsid w:val="00482A04"/>
    <w:rsid w:val="00493C99"/>
    <w:rsid w:val="004A5BE1"/>
    <w:rsid w:val="004B4D19"/>
    <w:rsid w:val="004C0B20"/>
    <w:rsid w:val="004D5766"/>
    <w:rsid w:val="004E363F"/>
    <w:rsid w:val="004E6FE9"/>
    <w:rsid w:val="004F6F77"/>
    <w:rsid w:val="0050008D"/>
    <w:rsid w:val="00507D65"/>
    <w:rsid w:val="00510D5A"/>
    <w:rsid w:val="00535FBF"/>
    <w:rsid w:val="005668E4"/>
    <w:rsid w:val="00573709"/>
    <w:rsid w:val="0059752C"/>
    <w:rsid w:val="005B5547"/>
    <w:rsid w:val="005B628B"/>
    <w:rsid w:val="005C53F5"/>
    <w:rsid w:val="005E4418"/>
    <w:rsid w:val="006128D9"/>
    <w:rsid w:val="006139C3"/>
    <w:rsid w:val="00622191"/>
    <w:rsid w:val="00622575"/>
    <w:rsid w:val="00645CD0"/>
    <w:rsid w:val="006577F3"/>
    <w:rsid w:val="006651C9"/>
    <w:rsid w:val="00667D1B"/>
    <w:rsid w:val="00670208"/>
    <w:rsid w:val="006B2EC4"/>
    <w:rsid w:val="006C338A"/>
    <w:rsid w:val="006C43F9"/>
    <w:rsid w:val="006D056B"/>
    <w:rsid w:val="006E6BC3"/>
    <w:rsid w:val="00701CE7"/>
    <w:rsid w:val="00701F8B"/>
    <w:rsid w:val="00703CDA"/>
    <w:rsid w:val="00722929"/>
    <w:rsid w:val="007376EB"/>
    <w:rsid w:val="00744A28"/>
    <w:rsid w:val="0076187F"/>
    <w:rsid w:val="00767273"/>
    <w:rsid w:val="00777C24"/>
    <w:rsid w:val="00786636"/>
    <w:rsid w:val="00787068"/>
    <w:rsid w:val="00796637"/>
    <w:rsid w:val="007A1672"/>
    <w:rsid w:val="007C40D3"/>
    <w:rsid w:val="007F0FD6"/>
    <w:rsid w:val="0082153C"/>
    <w:rsid w:val="008234BA"/>
    <w:rsid w:val="00824429"/>
    <w:rsid w:val="00830524"/>
    <w:rsid w:val="00843FA2"/>
    <w:rsid w:val="008557FA"/>
    <w:rsid w:val="00875FC1"/>
    <w:rsid w:val="008B006D"/>
    <w:rsid w:val="008C1586"/>
    <w:rsid w:val="008C6CED"/>
    <w:rsid w:val="008F666F"/>
    <w:rsid w:val="00902103"/>
    <w:rsid w:val="00913B0B"/>
    <w:rsid w:val="00917909"/>
    <w:rsid w:val="00935E23"/>
    <w:rsid w:val="00962E23"/>
    <w:rsid w:val="00981F56"/>
    <w:rsid w:val="009B345D"/>
    <w:rsid w:val="009B63D7"/>
    <w:rsid w:val="009B7F35"/>
    <w:rsid w:val="009C492D"/>
    <w:rsid w:val="009C7D5A"/>
    <w:rsid w:val="009D79DA"/>
    <w:rsid w:val="009F1C6C"/>
    <w:rsid w:val="00A0600B"/>
    <w:rsid w:val="00A126D6"/>
    <w:rsid w:val="00A243CC"/>
    <w:rsid w:val="00A344B7"/>
    <w:rsid w:val="00A4315A"/>
    <w:rsid w:val="00AB3F86"/>
    <w:rsid w:val="00AC0FC9"/>
    <w:rsid w:val="00AC7690"/>
    <w:rsid w:val="00AD6BAF"/>
    <w:rsid w:val="00AE09E5"/>
    <w:rsid w:val="00B716D2"/>
    <w:rsid w:val="00B71FF0"/>
    <w:rsid w:val="00B7713E"/>
    <w:rsid w:val="00B83EF6"/>
    <w:rsid w:val="00BC71B8"/>
    <w:rsid w:val="00BF0D3A"/>
    <w:rsid w:val="00BF1D1D"/>
    <w:rsid w:val="00C1384B"/>
    <w:rsid w:val="00C24953"/>
    <w:rsid w:val="00C35E90"/>
    <w:rsid w:val="00C436D7"/>
    <w:rsid w:val="00C47FF4"/>
    <w:rsid w:val="00C56A17"/>
    <w:rsid w:val="00C73C5E"/>
    <w:rsid w:val="00C7765C"/>
    <w:rsid w:val="00C81351"/>
    <w:rsid w:val="00C95350"/>
    <w:rsid w:val="00CC2989"/>
    <w:rsid w:val="00CD5549"/>
    <w:rsid w:val="00CF046F"/>
    <w:rsid w:val="00D00118"/>
    <w:rsid w:val="00D16004"/>
    <w:rsid w:val="00D16ACE"/>
    <w:rsid w:val="00D46EBE"/>
    <w:rsid w:val="00D562A0"/>
    <w:rsid w:val="00D65EFE"/>
    <w:rsid w:val="00D875DD"/>
    <w:rsid w:val="00D9314E"/>
    <w:rsid w:val="00DA37A5"/>
    <w:rsid w:val="00DA4505"/>
    <w:rsid w:val="00DA5269"/>
    <w:rsid w:val="00DB16E7"/>
    <w:rsid w:val="00DC12F5"/>
    <w:rsid w:val="00DC13A4"/>
    <w:rsid w:val="00DC37C9"/>
    <w:rsid w:val="00DE6C99"/>
    <w:rsid w:val="00DE7254"/>
    <w:rsid w:val="00E04BDC"/>
    <w:rsid w:val="00E13BDA"/>
    <w:rsid w:val="00E166B1"/>
    <w:rsid w:val="00E36C42"/>
    <w:rsid w:val="00E73BBD"/>
    <w:rsid w:val="00E80CBC"/>
    <w:rsid w:val="00E8184C"/>
    <w:rsid w:val="00EA7450"/>
    <w:rsid w:val="00EC333E"/>
    <w:rsid w:val="00ED0B2C"/>
    <w:rsid w:val="00EE13A1"/>
    <w:rsid w:val="00EF13A8"/>
    <w:rsid w:val="00F015F1"/>
    <w:rsid w:val="00F0236A"/>
    <w:rsid w:val="00F16F18"/>
    <w:rsid w:val="00F223D2"/>
    <w:rsid w:val="00F53C93"/>
    <w:rsid w:val="00F63634"/>
    <w:rsid w:val="00F85A0C"/>
    <w:rsid w:val="00FA3655"/>
    <w:rsid w:val="00FB6726"/>
    <w:rsid w:val="00FF0996"/>
    <w:rsid w:val="00FF2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5A"/>
    <w:pPr>
      <w:spacing w:after="200" w:line="276" w:lineRule="auto"/>
    </w:pPr>
    <w:rPr>
      <w:rFonts w:eastAsia="Times New Roman"/>
      <w:sz w:val="22"/>
      <w:szCs w:val="22"/>
    </w:rPr>
  </w:style>
  <w:style w:type="paragraph" w:styleId="Heading3">
    <w:name w:val="heading 3"/>
    <w:basedOn w:val="Normal"/>
    <w:next w:val="Normal"/>
    <w:qFormat/>
    <w:locked/>
    <w:rsid w:val="00703CDA"/>
    <w:pPr>
      <w:keepNext/>
      <w:spacing w:after="0" w:line="240" w:lineRule="auto"/>
      <w:jc w:val="center"/>
      <w:outlineLvl w:val="2"/>
    </w:pPr>
    <w:rPr>
      <w:rFonts w:ascii="Times New Roman" w:hAnsi="Times New Roman" w:cs="SimSun"/>
      <w:b/>
      <w:bCs/>
      <w:sz w:val="36"/>
      <w:szCs w:val="36"/>
      <w:lang w:val="en-AU" w:eastAsia="zh-CN" w:bidi="th-TH"/>
    </w:rPr>
  </w:style>
  <w:style w:type="paragraph" w:styleId="Heading7">
    <w:name w:val="heading 7"/>
    <w:basedOn w:val="Normal"/>
    <w:next w:val="Normal"/>
    <w:qFormat/>
    <w:locked/>
    <w:rsid w:val="00703CDA"/>
    <w:pPr>
      <w:keepNext/>
      <w:spacing w:after="0" w:line="240" w:lineRule="auto"/>
      <w:jc w:val="center"/>
      <w:outlineLvl w:val="6"/>
    </w:pPr>
    <w:rPr>
      <w:rFonts w:ascii="Times New Roman" w:eastAsia="??" w:hAnsi="Times New Roman" w:cs="SimSun"/>
      <w:sz w:val="36"/>
      <w:szCs w:val="36"/>
      <w:lang w:eastAsia="ja-JP" w:bidi="th-TH"/>
    </w:rPr>
  </w:style>
  <w:style w:type="paragraph" w:styleId="Heading9">
    <w:name w:val="heading 9"/>
    <w:basedOn w:val="Normal"/>
    <w:next w:val="Normal"/>
    <w:qFormat/>
    <w:locked/>
    <w:rsid w:val="00703CDA"/>
    <w:pPr>
      <w:keepNext/>
      <w:spacing w:after="0" w:line="240" w:lineRule="auto"/>
      <w:jc w:val="right"/>
      <w:outlineLvl w:val="8"/>
    </w:pPr>
    <w:rPr>
      <w:rFonts w:ascii="Times New Roman" w:eastAsia="MS Mincho" w:hAnsi="Times New Roman" w:cs="SimSun"/>
      <w:b/>
      <w:bCs/>
      <w:sz w:val="36"/>
      <w:szCs w:val="36"/>
      <w:lang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1E0E"/>
    <w:pPr>
      <w:ind w:left="720"/>
      <w:contextualSpacing/>
    </w:pPr>
  </w:style>
  <w:style w:type="character" w:styleId="CommentReference">
    <w:name w:val="annotation reference"/>
    <w:basedOn w:val="DefaultParagraphFont"/>
    <w:semiHidden/>
    <w:rsid w:val="00F16F18"/>
    <w:rPr>
      <w:rFonts w:cs="Times New Roman"/>
      <w:sz w:val="16"/>
      <w:szCs w:val="16"/>
    </w:rPr>
  </w:style>
  <w:style w:type="paragraph" w:styleId="CommentText">
    <w:name w:val="annotation text"/>
    <w:basedOn w:val="Normal"/>
    <w:link w:val="CommentTextChar"/>
    <w:semiHidden/>
    <w:rsid w:val="00F16F18"/>
    <w:pPr>
      <w:spacing w:line="240" w:lineRule="auto"/>
    </w:pPr>
    <w:rPr>
      <w:sz w:val="20"/>
      <w:szCs w:val="20"/>
    </w:rPr>
  </w:style>
  <w:style w:type="character" w:customStyle="1" w:styleId="CommentTextChar">
    <w:name w:val="Comment Text Char"/>
    <w:basedOn w:val="DefaultParagraphFont"/>
    <w:link w:val="CommentText"/>
    <w:semiHidden/>
    <w:locked/>
    <w:rsid w:val="00F16F18"/>
    <w:rPr>
      <w:rFonts w:cs="Times New Roman"/>
      <w:sz w:val="20"/>
      <w:szCs w:val="20"/>
    </w:rPr>
  </w:style>
  <w:style w:type="paragraph" w:styleId="CommentSubject">
    <w:name w:val="annotation subject"/>
    <w:basedOn w:val="CommentText"/>
    <w:next w:val="CommentText"/>
    <w:link w:val="CommentSubjectChar"/>
    <w:semiHidden/>
    <w:rsid w:val="00F16F18"/>
    <w:rPr>
      <w:b/>
      <w:bCs/>
    </w:rPr>
  </w:style>
  <w:style w:type="character" w:customStyle="1" w:styleId="CommentSubjectChar">
    <w:name w:val="Comment Subject Char"/>
    <w:basedOn w:val="CommentTextChar"/>
    <w:link w:val="CommentSubject"/>
    <w:semiHidden/>
    <w:locked/>
    <w:rsid w:val="00F16F18"/>
    <w:rPr>
      <w:rFonts w:cs="Times New Roman"/>
      <w:b/>
      <w:bCs/>
      <w:sz w:val="20"/>
      <w:szCs w:val="20"/>
    </w:rPr>
  </w:style>
  <w:style w:type="paragraph" w:styleId="BalloonText">
    <w:name w:val="Balloon Text"/>
    <w:basedOn w:val="Normal"/>
    <w:link w:val="BalloonTextChar"/>
    <w:semiHidden/>
    <w:rsid w:val="00F1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16F18"/>
    <w:rPr>
      <w:rFonts w:ascii="Tahoma" w:hAnsi="Tahoma" w:cs="Tahoma"/>
      <w:sz w:val="16"/>
      <w:szCs w:val="16"/>
    </w:rPr>
  </w:style>
  <w:style w:type="paragraph" w:styleId="Revision">
    <w:name w:val="Revision"/>
    <w:hidden/>
    <w:semiHidden/>
    <w:rsid w:val="00F16F18"/>
    <w:rPr>
      <w:rFonts w:eastAsia="Times New Roman"/>
      <w:sz w:val="22"/>
      <w:szCs w:val="22"/>
    </w:rPr>
  </w:style>
  <w:style w:type="paragraph" w:styleId="Header">
    <w:name w:val="header"/>
    <w:basedOn w:val="Normal"/>
    <w:link w:val="HeaderChar"/>
    <w:semiHidden/>
    <w:rsid w:val="008C1586"/>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C1586"/>
    <w:rPr>
      <w:rFonts w:cs="Times New Roman"/>
    </w:rPr>
  </w:style>
  <w:style w:type="paragraph" w:styleId="Footer">
    <w:name w:val="footer"/>
    <w:basedOn w:val="Normal"/>
    <w:link w:val="FooterChar"/>
    <w:uiPriority w:val="99"/>
    <w:rsid w:val="008C15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1586"/>
    <w:rPr>
      <w:rFonts w:cs="Times New Roman"/>
    </w:rPr>
  </w:style>
  <w:style w:type="character" w:customStyle="1" w:styleId="bodytext">
    <w:name w:val="bodytext"/>
    <w:basedOn w:val="DefaultParagraphFont"/>
    <w:rsid w:val="00FF0996"/>
    <w:rPr>
      <w:rFonts w:cs="Times New Roman"/>
    </w:rPr>
  </w:style>
  <w:style w:type="paragraph" w:styleId="FootnoteText">
    <w:name w:val="footnote text"/>
    <w:basedOn w:val="Normal"/>
    <w:link w:val="FootnoteTextChar"/>
    <w:rsid w:val="002E5CA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E5CAF"/>
    <w:rPr>
      <w:rFonts w:ascii="Times New Roman" w:eastAsia="Times New Roman" w:hAnsi="Times New Roman"/>
    </w:rPr>
  </w:style>
  <w:style w:type="character" w:styleId="FootnoteReference">
    <w:name w:val="footnote reference"/>
    <w:basedOn w:val="DefaultParagraphFont"/>
    <w:rsid w:val="002E5CAF"/>
    <w:rPr>
      <w:vertAlign w:val="superscript"/>
    </w:rPr>
  </w:style>
  <w:style w:type="paragraph" w:styleId="PlainText">
    <w:name w:val="Plain Text"/>
    <w:basedOn w:val="Normal"/>
    <w:link w:val="PlainTextChar"/>
    <w:rsid w:val="002E5CA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2E5CAF"/>
    <w:rPr>
      <w:rFonts w:ascii="Courier New" w:eastAsia="Times New Roman" w:hAnsi="Courier New" w:cs="Courier New"/>
    </w:rPr>
  </w:style>
  <w:style w:type="paragraph" w:styleId="NormalWeb">
    <w:name w:val="Normal (Web)"/>
    <w:basedOn w:val="Normal"/>
    <w:rsid w:val="001575C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5A"/>
    <w:pPr>
      <w:spacing w:after="200" w:line="276" w:lineRule="auto"/>
    </w:pPr>
    <w:rPr>
      <w:rFonts w:eastAsia="Times New Roman"/>
      <w:sz w:val="22"/>
      <w:szCs w:val="22"/>
    </w:rPr>
  </w:style>
  <w:style w:type="paragraph" w:styleId="Heading3">
    <w:name w:val="heading 3"/>
    <w:basedOn w:val="Normal"/>
    <w:next w:val="Normal"/>
    <w:qFormat/>
    <w:locked/>
    <w:rsid w:val="00703CDA"/>
    <w:pPr>
      <w:keepNext/>
      <w:spacing w:after="0" w:line="240" w:lineRule="auto"/>
      <w:jc w:val="center"/>
      <w:outlineLvl w:val="2"/>
    </w:pPr>
    <w:rPr>
      <w:rFonts w:ascii="Times New Roman" w:hAnsi="Times New Roman" w:cs="SimSun"/>
      <w:b/>
      <w:bCs/>
      <w:sz w:val="36"/>
      <w:szCs w:val="36"/>
      <w:lang w:val="en-AU" w:eastAsia="zh-CN" w:bidi="th-TH"/>
    </w:rPr>
  </w:style>
  <w:style w:type="paragraph" w:styleId="Heading7">
    <w:name w:val="heading 7"/>
    <w:basedOn w:val="Normal"/>
    <w:next w:val="Normal"/>
    <w:qFormat/>
    <w:locked/>
    <w:rsid w:val="00703CDA"/>
    <w:pPr>
      <w:keepNext/>
      <w:spacing w:after="0" w:line="240" w:lineRule="auto"/>
      <w:jc w:val="center"/>
      <w:outlineLvl w:val="6"/>
    </w:pPr>
    <w:rPr>
      <w:rFonts w:ascii="Times New Roman" w:eastAsia="??" w:hAnsi="Times New Roman" w:cs="SimSun"/>
      <w:sz w:val="36"/>
      <w:szCs w:val="36"/>
      <w:lang w:eastAsia="ja-JP" w:bidi="th-TH"/>
    </w:rPr>
  </w:style>
  <w:style w:type="paragraph" w:styleId="Heading9">
    <w:name w:val="heading 9"/>
    <w:basedOn w:val="Normal"/>
    <w:next w:val="Normal"/>
    <w:qFormat/>
    <w:locked/>
    <w:rsid w:val="00703CDA"/>
    <w:pPr>
      <w:keepNext/>
      <w:spacing w:after="0" w:line="240" w:lineRule="auto"/>
      <w:jc w:val="right"/>
      <w:outlineLvl w:val="8"/>
    </w:pPr>
    <w:rPr>
      <w:rFonts w:ascii="Times New Roman" w:eastAsia="MS Mincho" w:hAnsi="Times New Roman" w:cs="SimSun"/>
      <w:b/>
      <w:bCs/>
      <w:sz w:val="36"/>
      <w:szCs w:val="36"/>
      <w:lang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1E0E"/>
    <w:pPr>
      <w:ind w:left="720"/>
      <w:contextualSpacing/>
    </w:pPr>
  </w:style>
  <w:style w:type="character" w:styleId="CommentReference">
    <w:name w:val="annotation reference"/>
    <w:basedOn w:val="DefaultParagraphFont"/>
    <w:semiHidden/>
    <w:rsid w:val="00F16F18"/>
    <w:rPr>
      <w:rFonts w:cs="Times New Roman"/>
      <w:sz w:val="16"/>
      <w:szCs w:val="16"/>
    </w:rPr>
  </w:style>
  <w:style w:type="paragraph" w:styleId="CommentText">
    <w:name w:val="annotation text"/>
    <w:basedOn w:val="Normal"/>
    <w:link w:val="CommentTextChar"/>
    <w:semiHidden/>
    <w:rsid w:val="00F16F18"/>
    <w:pPr>
      <w:spacing w:line="240" w:lineRule="auto"/>
    </w:pPr>
    <w:rPr>
      <w:sz w:val="20"/>
      <w:szCs w:val="20"/>
    </w:rPr>
  </w:style>
  <w:style w:type="character" w:customStyle="1" w:styleId="CommentTextChar">
    <w:name w:val="Comment Text Char"/>
    <w:basedOn w:val="DefaultParagraphFont"/>
    <w:link w:val="CommentText"/>
    <w:semiHidden/>
    <w:locked/>
    <w:rsid w:val="00F16F18"/>
    <w:rPr>
      <w:rFonts w:cs="Times New Roman"/>
      <w:sz w:val="20"/>
      <w:szCs w:val="20"/>
    </w:rPr>
  </w:style>
  <w:style w:type="paragraph" w:styleId="CommentSubject">
    <w:name w:val="annotation subject"/>
    <w:basedOn w:val="CommentText"/>
    <w:next w:val="CommentText"/>
    <w:link w:val="CommentSubjectChar"/>
    <w:semiHidden/>
    <w:rsid w:val="00F16F18"/>
    <w:rPr>
      <w:b/>
      <w:bCs/>
    </w:rPr>
  </w:style>
  <w:style w:type="character" w:customStyle="1" w:styleId="CommentSubjectChar">
    <w:name w:val="Comment Subject Char"/>
    <w:basedOn w:val="CommentTextChar"/>
    <w:link w:val="CommentSubject"/>
    <w:semiHidden/>
    <w:locked/>
    <w:rsid w:val="00F16F18"/>
    <w:rPr>
      <w:rFonts w:cs="Times New Roman"/>
      <w:b/>
      <w:bCs/>
      <w:sz w:val="20"/>
      <w:szCs w:val="20"/>
    </w:rPr>
  </w:style>
  <w:style w:type="paragraph" w:styleId="BalloonText">
    <w:name w:val="Balloon Text"/>
    <w:basedOn w:val="Normal"/>
    <w:link w:val="BalloonTextChar"/>
    <w:semiHidden/>
    <w:rsid w:val="00F1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16F18"/>
    <w:rPr>
      <w:rFonts w:ascii="Tahoma" w:hAnsi="Tahoma" w:cs="Tahoma"/>
      <w:sz w:val="16"/>
      <w:szCs w:val="16"/>
    </w:rPr>
  </w:style>
  <w:style w:type="paragraph" w:styleId="Revision">
    <w:name w:val="Revision"/>
    <w:hidden/>
    <w:semiHidden/>
    <w:rsid w:val="00F16F18"/>
    <w:rPr>
      <w:rFonts w:eastAsia="Times New Roman"/>
      <w:sz w:val="22"/>
      <w:szCs w:val="22"/>
    </w:rPr>
  </w:style>
  <w:style w:type="paragraph" w:styleId="Header">
    <w:name w:val="header"/>
    <w:basedOn w:val="Normal"/>
    <w:link w:val="HeaderChar"/>
    <w:semiHidden/>
    <w:rsid w:val="008C1586"/>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C1586"/>
    <w:rPr>
      <w:rFonts w:cs="Times New Roman"/>
    </w:rPr>
  </w:style>
  <w:style w:type="paragraph" w:styleId="Footer">
    <w:name w:val="footer"/>
    <w:basedOn w:val="Normal"/>
    <w:link w:val="FooterChar"/>
    <w:uiPriority w:val="99"/>
    <w:rsid w:val="008C15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1586"/>
    <w:rPr>
      <w:rFonts w:cs="Times New Roman"/>
    </w:rPr>
  </w:style>
  <w:style w:type="character" w:customStyle="1" w:styleId="bodytext">
    <w:name w:val="bodytext"/>
    <w:basedOn w:val="DefaultParagraphFont"/>
    <w:rsid w:val="00FF0996"/>
    <w:rPr>
      <w:rFonts w:cs="Times New Roman"/>
    </w:rPr>
  </w:style>
  <w:style w:type="paragraph" w:styleId="FootnoteText">
    <w:name w:val="footnote text"/>
    <w:basedOn w:val="Normal"/>
    <w:link w:val="FootnoteTextChar"/>
    <w:rsid w:val="002E5CA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E5CAF"/>
    <w:rPr>
      <w:rFonts w:ascii="Times New Roman" w:eastAsia="Times New Roman" w:hAnsi="Times New Roman"/>
    </w:rPr>
  </w:style>
  <w:style w:type="character" w:styleId="FootnoteReference">
    <w:name w:val="footnote reference"/>
    <w:basedOn w:val="DefaultParagraphFont"/>
    <w:rsid w:val="002E5CAF"/>
    <w:rPr>
      <w:vertAlign w:val="superscript"/>
    </w:rPr>
  </w:style>
  <w:style w:type="paragraph" w:styleId="PlainText">
    <w:name w:val="Plain Text"/>
    <w:basedOn w:val="Normal"/>
    <w:link w:val="PlainTextChar"/>
    <w:rsid w:val="002E5CA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2E5CAF"/>
    <w:rPr>
      <w:rFonts w:ascii="Courier New" w:eastAsia="Times New Roman" w:hAnsi="Courier New" w:cs="Courier New"/>
    </w:rPr>
  </w:style>
  <w:style w:type="paragraph" w:styleId="NormalWeb">
    <w:name w:val="Normal (Web)"/>
    <w:basedOn w:val="Normal"/>
    <w:rsid w:val="001575C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5661">
      <w:bodyDiv w:val="1"/>
      <w:marLeft w:val="0"/>
      <w:marRight w:val="0"/>
      <w:marTop w:val="0"/>
      <w:marBottom w:val="0"/>
      <w:divBdr>
        <w:top w:val="none" w:sz="0" w:space="0" w:color="auto"/>
        <w:left w:val="none" w:sz="0" w:space="0" w:color="auto"/>
        <w:bottom w:val="none" w:sz="0" w:space="0" w:color="auto"/>
        <w:right w:val="none" w:sz="0" w:space="0" w:color="auto"/>
      </w:divBdr>
      <w:divsChild>
        <w:div w:id="1954746527">
          <w:marLeft w:val="0"/>
          <w:marRight w:val="0"/>
          <w:marTop w:val="150"/>
          <w:marBottom w:val="0"/>
          <w:divBdr>
            <w:top w:val="none" w:sz="0" w:space="0" w:color="auto"/>
            <w:left w:val="single" w:sz="6" w:space="0" w:color="FFFFFF"/>
            <w:bottom w:val="single" w:sz="6" w:space="31" w:color="BFBFBF"/>
            <w:right w:val="single" w:sz="6" w:space="0" w:color="FFFFFF"/>
          </w:divBdr>
          <w:divsChild>
            <w:div w:id="453983069">
              <w:marLeft w:val="0"/>
              <w:marRight w:val="0"/>
              <w:marTop w:val="0"/>
              <w:marBottom w:val="0"/>
              <w:divBdr>
                <w:top w:val="single" w:sz="6" w:space="0" w:color="FFFFFF"/>
                <w:left w:val="single" w:sz="6" w:space="17" w:color="FFFFFF"/>
                <w:bottom w:val="single" w:sz="6" w:space="0" w:color="FFFFFF"/>
                <w:right w:val="single" w:sz="6" w:space="17" w:color="FFFFFF"/>
              </w:divBdr>
              <w:divsChild>
                <w:div w:id="1291012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EFAB-77AC-48E9-83FB-B664DF76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TERMS OF REFERENCE</vt:lpstr>
    </vt:vector>
  </TitlesOfParts>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
  <cp:lastModifiedBy/>
  <cp:revision>1</cp:revision>
  <dcterms:created xsi:type="dcterms:W3CDTF">2015-01-21T19:35:00Z</dcterms:created>
  <dcterms:modified xsi:type="dcterms:W3CDTF">2015-01-21T19:35:00Z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DBDocType">
    <vt:lpwstr>Paper</vt:lpwstr>
  </property>
  <property fmtid="{D5CDD505-2E9C-101B-9397-08002B2CF9AE}" pid="3" name="Order">
    <vt:lpwstr>259300.000000000</vt:lpwstr>
  </property>
  <property fmtid="{D5CDD505-2E9C-101B-9397-08002B2CF9AE}" pid="4" name="MDDBOrder">
    <vt:lpwstr>99999.0000000000</vt:lpwstr>
  </property>
  <property fmtid="{D5CDD505-2E9C-101B-9397-08002B2CF9AE}" pid="5" name="MDDBClass">
    <vt:lpwstr>Public</vt:lpwstr>
  </property>
  <property fmtid="{D5CDD505-2E9C-101B-9397-08002B2CF9AE}" pid="6" name="MDDBDocNum">
    <vt:lpwstr>2011/SOM3/041</vt:lpwstr>
  </property>
  <property fmtid="{D5CDD505-2E9C-101B-9397-08002B2CF9AE}" pid="7" name="MDDBTitle">
    <vt:lpwstr>APEC Policy Partnership on Food Security – Terms of Reference (TOR)</vt:lpwstr>
  </property>
  <property fmtid="{D5CDD505-2E9C-101B-9397-08002B2CF9AE}" pid="8" name="MDDBSubEco">
    <vt:lpwstr>United States</vt:lpwstr>
  </property>
  <property fmtid="{D5CDD505-2E9C-101B-9397-08002B2CF9AE}" pid="9" name="MDDBStatus">
    <vt:lpwstr>Completed</vt:lpwstr>
  </property>
  <property fmtid="{D5CDD505-2E9C-101B-9397-08002B2CF9AE}" pid="10" name="MDDBEndDate">
    <vt:lpwstr>2011-09-26T00:00:00Z</vt:lpwstr>
  </property>
  <property fmtid="{D5CDD505-2E9C-101B-9397-08002B2CF9AE}" pid="11" name="MDDBVenCity">
    <vt:lpwstr>San Francisco</vt:lpwstr>
  </property>
  <property fmtid="{D5CDD505-2E9C-101B-9397-08002B2CF9AE}" pid="12" name="MDDBGroup">
    <vt:lpwstr>Senior Officials' Meetings (SOM)</vt:lpwstr>
  </property>
  <property fmtid="{D5CDD505-2E9C-101B-9397-08002B2CF9AE}" pid="13" name="MDDBVenEco">
    <vt:lpwstr>United States</vt:lpwstr>
  </property>
  <property fmtid="{D5CDD505-2E9C-101B-9397-08002B2CF9AE}" pid="14" name="MDDBStartDate">
    <vt:lpwstr>2011-09-25T00:00:00Z</vt:lpwstr>
  </property>
  <property fmtid="{D5CDD505-2E9C-101B-9397-08002B2CF9AE}" pid="15" name="MDDBMeetingName">
    <vt:lpwstr>Third Senior Officials' Meeting 2011</vt:lpwstr>
  </property>
</Properties>
</file>