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7A" w:rsidRPr="00FD5349" w:rsidRDefault="006F157A" w:rsidP="006F157A">
      <w:pPr>
        <w:tabs>
          <w:tab w:val="left" w:pos="8280"/>
          <w:tab w:val="left" w:pos="8820"/>
        </w:tabs>
        <w:spacing w:after="0"/>
        <w:jc w:val="center"/>
        <w:rPr>
          <w:rFonts w:ascii="Times New Roman" w:hAnsi="Times New Roman" w:cs="Times New Roman"/>
          <w:b/>
          <w:sz w:val="24"/>
        </w:rPr>
      </w:pPr>
      <w:r w:rsidRPr="00FD5349">
        <w:rPr>
          <w:rFonts w:ascii="Times New Roman" w:hAnsi="Times New Roman" w:cs="Times New Roman"/>
          <w:b/>
          <w:sz w:val="24"/>
        </w:rPr>
        <w:t>APEC COUNTER-TERRORISM WORKING GROUP</w:t>
      </w:r>
    </w:p>
    <w:p w:rsidR="006F157A" w:rsidRPr="00142DBD" w:rsidRDefault="006F157A" w:rsidP="006F157A">
      <w:pPr>
        <w:spacing w:after="0"/>
        <w:ind w:right="-176"/>
        <w:jc w:val="center"/>
        <w:rPr>
          <w:rFonts w:ascii="Times New Roman" w:hAnsi="Times New Roman" w:cs="Times New Roman"/>
          <w:b/>
          <w:sz w:val="24"/>
          <w:szCs w:val="24"/>
        </w:rPr>
      </w:pPr>
      <w:r w:rsidRPr="00142DBD">
        <w:rPr>
          <w:rFonts w:ascii="Times New Roman" w:hAnsi="Times New Roman" w:cs="Times New Roman"/>
          <w:b/>
          <w:sz w:val="24"/>
          <w:szCs w:val="24"/>
        </w:rPr>
        <w:t>STRATEGIC PLAN 2018-2022</w:t>
      </w:r>
    </w:p>
    <w:p w:rsidR="006F157A" w:rsidRPr="00142DBD" w:rsidRDefault="006F157A" w:rsidP="006F157A">
      <w:pPr>
        <w:spacing w:after="0"/>
        <w:ind w:right="-176"/>
        <w:rPr>
          <w:rFonts w:ascii="Times New Roman" w:hAnsi="Times New Roman" w:cs="Times New Roman"/>
          <w:b/>
          <w:sz w:val="24"/>
          <w:szCs w:val="24"/>
        </w:rPr>
      </w:pPr>
    </w:p>
    <w:p w:rsidR="006F157A" w:rsidRPr="00142DBD" w:rsidRDefault="006F157A" w:rsidP="006F157A">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40" w:lineRule="auto"/>
        <w:ind w:left="1440" w:right="1350"/>
        <w:jc w:val="center"/>
        <w:rPr>
          <w:rFonts w:ascii="Times New Roman" w:eastAsia="Times New Roman" w:hAnsi="Times New Roman" w:cs="Times New Roman"/>
          <w:b/>
          <w:sz w:val="24"/>
          <w:szCs w:val="24"/>
          <w:lang w:val="en-US"/>
        </w:rPr>
      </w:pPr>
      <w:r w:rsidRPr="00142DBD">
        <w:rPr>
          <w:rFonts w:ascii="Times New Roman" w:eastAsia="Times New Roman" w:hAnsi="Times New Roman" w:cs="Times New Roman"/>
          <w:b/>
          <w:sz w:val="24"/>
          <w:szCs w:val="24"/>
          <w:lang w:val="en-US"/>
        </w:rPr>
        <w:t>APEC Mission Statement</w:t>
      </w:r>
    </w:p>
    <w:p w:rsidR="006F157A" w:rsidRPr="00142DBD" w:rsidRDefault="006F157A" w:rsidP="006F157A">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40" w:lineRule="auto"/>
        <w:ind w:left="1440" w:right="1350"/>
        <w:jc w:val="both"/>
        <w:rPr>
          <w:rFonts w:ascii="Times New Roman" w:eastAsia="Times New Roman" w:hAnsi="Times New Roman" w:cs="Times New Roman"/>
          <w:sz w:val="24"/>
          <w:szCs w:val="24"/>
          <w:lang w:val="en-US"/>
        </w:rPr>
      </w:pPr>
      <w:r w:rsidRPr="00142DBD">
        <w:rPr>
          <w:rFonts w:ascii="Times New Roman" w:eastAsia="Times New Roman" w:hAnsi="Times New Roman" w:cs="Times New Roman"/>
          <w:sz w:val="24"/>
          <w:szCs w:val="24"/>
          <w:lang w:val="en-US"/>
        </w:rPr>
        <w:t>APEC is the premier Asia-Pacific economic forum. Our primary goal is to support sustainable economic growth and prosperity in the Asia-Pacific region.</w:t>
      </w:r>
    </w:p>
    <w:p w:rsidR="006F157A" w:rsidRPr="00142DBD" w:rsidRDefault="006F157A" w:rsidP="006F157A">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40" w:lineRule="auto"/>
        <w:ind w:left="1440" w:right="1350"/>
        <w:jc w:val="both"/>
        <w:rPr>
          <w:rFonts w:ascii="Times New Roman" w:eastAsia="Times New Roman" w:hAnsi="Times New Roman" w:cs="Times New Roman"/>
          <w:sz w:val="24"/>
          <w:szCs w:val="24"/>
          <w:lang w:val="en-US"/>
        </w:rPr>
      </w:pPr>
      <w:r w:rsidRPr="00142DBD">
        <w:rPr>
          <w:rFonts w:ascii="Times New Roman" w:eastAsia="Times New Roman" w:hAnsi="Times New Roman" w:cs="Times New Roman"/>
          <w:sz w:val="24"/>
          <w:szCs w:val="24"/>
          <w:lang w:val="en-US"/>
        </w:rPr>
        <w:t>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favorable and sustainable business environment. Our initiatives turn policy goals into concrete results and agreements into tangible benefits.</w:t>
      </w:r>
    </w:p>
    <w:p w:rsidR="006F157A" w:rsidRDefault="006F157A" w:rsidP="006F157A">
      <w:pPr>
        <w:spacing w:after="0"/>
        <w:jc w:val="center"/>
        <w:rPr>
          <w:rFonts w:ascii="Times New Roman" w:hAnsi="Times New Roman" w:cs="Times New Roman"/>
          <w:sz w:val="24"/>
          <w:szCs w:val="24"/>
        </w:rPr>
      </w:pPr>
    </w:p>
    <w:p w:rsidR="006F157A" w:rsidRPr="00142DBD" w:rsidRDefault="006F157A" w:rsidP="006F157A">
      <w:pPr>
        <w:spacing w:after="0"/>
        <w:jc w:val="center"/>
        <w:rPr>
          <w:rFonts w:ascii="Times New Roman" w:hAnsi="Times New Roman" w:cs="Times New Roman"/>
          <w:sz w:val="24"/>
          <w:szCs w:val="24"/>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Background – Leaders’ and Ministers’ Stateme</w:t>
      </w:r>
      <w:r w:rsidRPr="00577F62">
        <w:rPr>
          <w:rFonts w:ascii="Times New Roman" w:eastAsia="Calibri" w:hAnsi="Times New Roman" w:cs="Times New Roman"/>
          <w:b/>
          <w:bCs/>
          <w:sz w:val="24"/>
          <w:szCs w:val="24"/>
          <w:lang w:val="en-PH"/>
        </w:rPr>
        <w:t>nts of Intent Regarding Counter-</w:t>
      </w:r>
      <w:r w:rsidRPr="00635A7B">
        <w:rPr>
          <w:rFonts w:ascii="Times New Roman" w:eastAsia="Calibri" w:hAnsi="Times New Roman" w:cs="Times New Roman"/>
          <w:b/>
          <w:bCs/>
          <w:sz w:val="24"/>
          <w:szCs w:val="24"/>
          <w:lang w:val="en-PH"/>
        </w:rPr>
        <w:t>Terrorism in APEC</w:t>
      </w:r>
    </w:p>
    <w:p w:rsidR="006F157A" w:rsidRPr="00577F62" w:rsidRDefault="006F157A" w:rsidP="006F157A">
      <w:pPr>
        <w:pStyle w:val="ListParagraph"/>
        <w:spacing w:after="0"/>
        <w:ind w:left="0"/>
        <w:rPr>
          <w:rFonts w:ascii="Times New Roman" w:hAnsi="Times New Roman" w:cs="Times New Roman"/>
          <w:b/>
          <w:sz w:val="24"/>
          <w:szCs w:val="24"/>
        </w:rPr>
      </w:pPr>
    </w:p>
    <w:p w:rsidR="006F157A" w:rsidRPr="00577F62" w:rsidRDefault="006F157A" w:rsidP="006F157A">
      <w:pPr>
        <w:pStyle w:val="ListParagraph"/>
        <w:spacing w:after="0"/>
        <w:ind w:left="0"/>
        <w:jc w:val="both"/>
        <w:rPr>
          <w:rFonts w:ascii="Times New Roman" w:hAnsi="Times New Roman" w:cs="Times New Roman"/>
          <w:sz w:val="24"/>
          <w:szCs w:val="24"/>
          <w:lang w:val="en-US"/>
        </w:rPr>
      </w:pPr>
      <w:r w:rsidRPr="00577F62">
        <w:rPr>
          <w:rFonts w:ascii="Times New Roman" w:hAnsi="Times New Roman" w:cs="Times New Roman"/>
          <w:sz w:val="24"/>
          <w:szCs w:val="24"/>
          <w:lang w:val="en-US"/>
        </w:rPr>
        <w:t xml:space="preserve">Guided by the two </w:t>
      </w:r>
      <w:r w:rsidR="00F5334A" w:rsidRPr="00577F62">
        <w:rPr>
          <w:rFonts w:ascii="Times New Roman" w:hAnsi="Times New Roman" w:cs="Times New Roman"/>
          <w:sz w:val="24"/>
          <w:szCs w:val="24"/>
          <w:lang w:val="en-US"/>
        </w:rPr>
        <w:t>princip</w:t>
      </w:r>
      <w:r w:rsidR="00F5334A">
        <w:rPr>
          <w:rFonts w:ascii="Times New Roman" w:hAnsi="Times New Roman" w:cs="Times New Roman"/>
          <w:sz w:val="24"/>
          <w:szCs w:val="24"/>
          <w:lang w:val="en-US"/>
        </w:rPr>
        <w:t>al</w:t>
      </w:r>
      <w:r w:rsidR="00F5334A" w:rsidRPr="00577F62">
        <w:rPr>
          <w:rFonts w:ascii="Times New Roman" w:hAnsi="Times New Roman" w:cs="Times New Roman"/>
          <w:sz w:val="24"/>
          <w:szCs w:val="24"/>
          <w:lang w:val="en-US"/>
        </w:rPr>
        <w:t xml:space="preserve"> </w:t>
      </w:r>
      <w:r w:rsidRPr="00577F62">
        <w:rPr>
          <w:rFonts w:ascii="Times New Roman" w:hAnsi="Times New Roman" w:cs="Times New Roman"/>
          <w:sz w:val="24"/>
          <w:szCs w:val="24"/>
          <w:lang w:val="en-US"/>
        </w:rPr>
        <w:t xml:space="preserve">Statements namely the “2001 Leaders’ Statement on Counter-Terrorism” adopted in Shanghai, China and the “2002 Leaders’ Statement on Fighting Terrorism and Promoting Growth” adopted in Los Cabos, Mexico and subsequent annual leaders’ declarations, the group’s primary mission is to coordinate implementation of APEC </w:t>
      </w:r>
      <w:proofErr w:type="gramStart"/>
      <w:r w:rsidRPr="00577F62">
        <w:rPr>
          <w:rFonts w:ascii="Times New Roman" w:hAnsi="Times New Roman" w:cs="Times New Roman"/>
          <w:sz w:val="24"/>
          <w:szCs w:val="24"/>
          <w:lang w:val="en-US"/>
        </w:rPr>
        <w:t>members</w:t>
      </w:r>
      <w:proofErr w:type="gramEnd"/>
      <w:r w:rsidRPr="00577F62">
        <w:rPr>
          <w:rFonts w:ascii="Times New Roman" w:hAnsi="Times New Roman" w:cs="Times New Roman"/>
          <w:sz w:val="24"/>
          <w:szCs w:val="24"/>
          <w:lang w:val="en-US"/>
        </w:rPr>
        <w:t>’ commitments related to counter-terrorism. A key aspect of its role is to help member economies identify, assess, and address capacity</w:t>
      </w:r>
      <w:r>
        <w:rPr>
          <w:rFonts w:ascii="Times New Roman" w:hAnsi="Times New Roman" w:cs="Times New Roman"/>
          <w:sz w:val="24"/>
          <w:szCs w:val="24"/>
          <w:lang w:val="en-US"/>
        </w:rPr>
        <w:t>-</w:t>
      </w:r>
      <w:r w:rsidRPr="00577F62">
        <w:rPr>
          <w:rFonts w:ascii="Times New Roman" w:hAnsi="Times New Roman" w:cs="Times New Roman"/>
          <w:sz w:val="24"/>
          <w:szCs w:val="24"/>
          <w:lang w:val="en-US"/>
        </w:rPr>
        <w:t xml:space="preserve">building and technical assistance needs in this area. </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pStyle w:val="ListParagraph"/>
        <w:spacing w:after="0"/>
        <w:ind w:left="0"/>
        <w:jc w:val="both"/>
        <w:rPr>
          <w:rFonts w:ascii="Times New Roman" w:hAnsi="Times New Roman" w:cs="Times New Roman"/>
          <w:sz w:val="24"/>
          <w:szCs w:val="24"/>
        </w:rPr>
      </w:pPr>
      <w:r w:rsidRPr="00635A7B">
        <w:rPr>
          <w:rFonts w:ascii="Times New Roman" w:hAnsi="Times New Roman" w:cs="Times New Roman"/>
          <w:sz w:val="24"/>
          <w:szCs w:val="24"/>
        </w:rPr>
        <w:t>Since 2001, APEC has played a valuable and constructive role in helping to protect the economic systems of the Asia-Pacific region from disruption as an important component for a safer business environment and a pretext to meet the Bogor goals of free and open trade and investment in the Asia Pacific. This include risk-based efforts to mitigate risks and enhance the resilience of transportation, supply chain</w:t>
      </w:r>
      <w:r w:rsidR="00FF091A">
        <w:rPr>
          <w:rFonts w:ascii="Times New Roman" w:hAnsi="Times New Roman" w:cs="Times New Roman"/>
          <w:sz w:val="24"/>
          <w:szCs w:val="24"/>
          <w:lang w:val="en-AU"/>
        </w:rPr>
        <w:t>s</w:t>
      </w:r>
      <w:r w:rsidRPr="00635A7B">
        <w:rPr>
          <w:rFonts w:ascii="Times New Roman" w:hAnsi="Times New Roman" w:cs="Times New Roman"/>
          <w:sz w:val="24"/>
          <w:szCs w:val="24"/>
        </w:rPr>
        <w:t>, infrastructure, and financial systems, while ensuring the flow of legitimate trade and travel.</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577F62" w:rsidRDefault="006F157A" w:rsidP="006F157A">
      <w:pPr>
        <w:pStyle w:val="ListParagraph"/>
        <w:spacing w:after="0"/>
        <w:ind w:left="0"/>
        <w:jc w:val="both"/>
        <w:rPr>
          <w:rFonts w:ascii="Times New Roman" w:hAnsi="Times New Roman" w:cs="Times New Roman"/>
          <w:sz w:val="24"/>
          <w:szCs w:val="24"/>
        </w:rPr>
      </w:pPr>
      <w:r w:rsidRPr="00577F62">
        <w:rPr>
          <w:rFonts w:ascii="Times New Roman" w:hAnsi="Times New Roman" w:cs="Times New Roman"/>
          <w:sz w:val="24"/>
          <w:szCs w:val="24"/>
        </w:rPr>
        <w:t>The APEC Counter-Terrorism Task Force (CTTF) was established in 2003 in response to the increased terrorist threat</w:t>
      </w:r>
      <w:r w:rsidRPr="00577F62">
        <w:rPr>
          <w:rFonts w:ascii="Times New Roman" w:hAnsi="Times New Roman" w:cs="Times New Roman"/>
          <w:sz w:val="24"/>
          <w:szCs w:val="24"/>
          <w:lang w:val="en-US"/>
        </w:rPr>
        <w:t>s</w:t>
      </w:r>
      <w:r w:rsidRPr="00577F62">
        <w:rPr>
          <w:rFonts w:ascii="Times New Roman" w:hAnsi="Times New Roman" w:cs="Times New Roman"/>
          <w:sz w:val="24"/>
          <w:szCs w:val="24"/>
        </w:rPr>
        <w:t xml:space="preserve"> to the Asia-Pacific region’s people and its economic, trade, investment and financial systems.  </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pStyle w:val="ListParagraph"/>
        <w:spacing w:after="0"/>
        <w:ind w:left="0"/>
        <w:jc w:val="both"/>
        <w:rPr>
          <w:rFonts w:ascii="Times New Roman" w:hAnsi="Times New Roman" w:cs="Times New Roman"/>
          <w:sz w:val="24"/>
          <w:szCs w:val="24"/>
        </w:rPr>
      </w:pPr>
      <w:r w:rsidRPr="00577F62">
        <w:rPr>
          <w:rFonts w:ascii="Times New Roman" w:hAnsi="Times New Roman" w:cs="Times New Roman"/>
          <w:sz w:val="24"/>
          <w:szCs w:val="24"/>
        </w:rPr>
        <w:t>As outlined in the APEC Growth Strategy endorsed by the Leaders in 2010, APEC member economies recognize that creating a secure environment for economic activity is a vital part of ensuring regional growth and prosperity.</w:t>
      </w:r>
      <w:r w:rsidRPr="00577F62">
        <w:rPr>
          <w:rFonts w:ascii="Times New Roman" w:hAnsi="Times New Roman" w:cs="Times New Roman"/>
          <w:sz w:val="24"/>
          <w:szCs w:val="24"/>
          <w:lang w:val="en-AU"/>
        </w:rPr>
        <w:t xml:space="preserve">  </w:t>
      </w:r>
      <w:r w:rsidRPr="00577F62">
        <w:rPr>
          <w:rFonts w:ascii="Times New Roman" w:hAnsi="Times New Roman" w:cs="Times New Roman"/>
          <w:sz w:val="24"/>
          <w:szCs w:val="24"/>
        </w:rPr>
        <w:t>In November 2011, APEC Min</w:t>
      </w:r>
      <w:proofErr w:type="spellStart"/>
      <w:r w:rsidRPr="00577F62">
        <w:rPr>
          <w:rFonts w:ascii="Times New Roman" w:hAnsi="Times New Roman" w:cs="Times New Roman"/>
          <w:sz w:val="24"/>
          <w:szCs w:val="24"/>
          <w:lang w:val="en-US"/>
        </w:rPr>
        <w:t>i</w:t>
      </w:r>
      <w:proofErr w:type="spellEnd"/>
      <w:r w:rsidRPr="00577F62">
        <w:rPr>
          <w:rFonts w:ascii="Times New Roman" w:hAnsi="Times New Roman" w:cs="Times New Roman"/>
          <w:sz w:val="24"/>
          <w:szCs w:val="24"/>
        </w:rPr>
        <w:t>sters welcome</w:t>
      </w:r>
      <w:r w:rsidRPr="00577F62">
        <w:rPr>
          <w:rFonts w:ascii="Times New Roman" w:hAnsi="Times New Roman" w:cs="Times New Roman"/>
          <w:sz w:val="24"/>
          <w:szCs w:val="24"/>
          <w:lang w:val="en-AU"/>
        </w:rPr>
        <w:t>d</w:t>
      </w:r>
      <w:r w:rsidRPr="00577F62">
        <w:rPr>
          <w:rFonts w:ascii="Times New Roman" w:hAnsi="Times New Roman" w:cs="Times New Roman"/>
          <w:sz w:val="24"/>
          <w:szCs w:val="24"/>
        </w:rPr>
        <w:t xml:space="preserve"> the APEC Consolidated Counter-Terrorism and Secure Trade Strategy, which focuses APEC’s </w:t>
      </w:r>
      <w:r w:rsidRPr="00577F62">
        <w:rPr>
          <w:rFonts w:ascii="Times New Roman" w:hAnsi="Times New Roman" w:cs="Times New Roman"/>
          <w:sz w:val="24"/>
          <w:szCs w:val="24"/>
        </w:rPr>
        <w:lastRenderedPageBreak/>
        <w:t>work on secure supply chains, secure travel, secure finance and secure infrastructure, and it is structured around three fundamental pillars of security, efficiency and resilience</w:t>
      </w:r>
      <w:r w:rsidRPr="00635A7B">
        <w:rPr>
          <w:rFonts w:ascii="Times New Roman" w:hAnsi="Times New Roman" w:cs="Times New Roman"/>
          <w:sz w:val="24"/>
          <w:szCs w:val="24"/>
        </w:rPr>
        <w:t xml:space="preserve">. </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577F62" w:rsidRDefault="006F157A" w:rsidP="006F157A">
      <w:pPr>
        <w:pStyle w:val="ListParagraph"/>
        <w:spacing w:after="0"/>
        <w:ind w:left="0"/>
        <w:jc w:val="both"/>
        <w:rPr>
          <w:rFonts w:ascii="Times New Roman" w:hAnsi="Times New Roman" w:cs="Times New Roman"/>
          <w:sz w:val="24"/>
          <w:szCs w:val="24"/>
        </w:rPr>
      </w:pPr>
      <w:r w:rsidRPr="00577F62">
        <w:rPr>
          <w:rFonts w:ascii="Times New Roman" w:hAnsi="Times New Roman" w:cs="Times New Roman"/>
          <w:sz w:val="24"/>
          <w:szCs w:val="24"/>
        </w:rPr>
        <w:t>In 2013, cogni</w:t>
      </w:r>
      <w:r w:rsidRPr="00577F62">
        <w:rPr>
          <w:rFonts w:ascii="Times New Roman" w:hAnsi="Times New Roman" w:cs="Times New Roman"/>
          <w:sz w:val="24"/>
          <w:szCs w:val="24"/>
          <w:lang w:val="en-AU"/>
        </w:rPr>
        <w:t>s</w:t>
      </w:r>
      <w:r w:rsidRPr="00577F62">
        <w:rPr>
          <w:rFonts w:ascii="Times New Roman" w:hAnsi="Times New Roman" w:cs="Times New Roman"/>
          <w:sz w:val="24"/>
          <w:szCs w:val="24"/>
        </w:rPr>
        <w:t>ant that  the t</w:t>
      </w:r>
      <w:r w:rsidRPr="00577F62">
        <w:rPr>
          <w:rFonts w:ascii="Times New Roman" w:hAnsi="Times New Roman" w:cs="Times New Roman"/>
          <w:sz w:val="24"/>
          <w:szCs w:val="24"/>
          <w:lang w:val="en-US"/>
        </w:rPr>
        <w:t>h</w:t>
      </w:r>
      <w:r w:rsidRPr="00577F62">
        <w:rPr>
          <w:rFonts w:ascii="Times New Roman" w:hAnsi="Times New Roman" w:cs="Times New Roman"/>
          <w:sz w:val="24"/>
          <w:szCs w:val="24"/>
        </w:rPr>
        <w:t>reat of terrorism, frequency and intensity of disruption continue to</w:t>
      </w:r>
      <w:r w:rsidRPr="00577F62">
        <w:rPr>
          <w:rFonts w:ascii="Times New Roman" w:hAnsi="Times New Roman" w:cs="Times New Roman"/>
          <w:sz w:val="24"/>
          <w:szCs w:val="24"/>
          <w:lang w:val="en-US"/>
        </w:rPr>
        <w:t xml:space="preserve"> persist</w:t>
      </w:r>
      <w:r w:rsidRPr="00577F62">
        <w:rPr>
          <w:rFonts w:ascii="Times New Roman" w:hAnsi="Times New Roman" w:cs="Times New Roman"/>
          <w:sz w:val="24"/>
          <w:szCs w:val="24"/>
        </w:rPr>
        <w:t xml:space="preserve">, the SOM </w:t>
      </w:r>
      <w:r w:rsidRPr="00577F62">
        <w:rPr>
          <w:rFonts w:ascii="Times New Roman" w:hAnsi="Times New Roman" w:cs="Times New Roman"/>
          <w:sz w:val="24"/>
          <w:szCs w:val="24"/>
          <w:lang w:val="en-US"/>
        </w:rPr>
        <w:t xml:space="preserve">Steering Committee on Economic and Technical Cooperation </w:t>
      </w:r>
      <w:r w:rsidRPr="00577F62">
        <w:rPr>
          <w:rFonts w:ascii="Times New Roman" w:hAnsi="Times New Roman" w:cs="Times New Roman"/>
          <w:sz w:val="24"/>
          <w:szCs w:val="24"/>
        </w:rPr>
        <w:t>(SCE) endorsed the CTTF</w:t>
      </w:r>
      <w:r w:rsidRPr="00577F62">
        <w:rPr>
          <w:rFonts w:ascii="Times New Roman" w:hAnsi="Times New Roman" w:cs="Times New Roman"/>
          <w:sz w:val="24"/>
          <w:szCs w:val="24"/>
          <w:lang w:val="en-AU"/>
        </w:rPr>
        <w:t>’s upgrade</w:t>
      </w:r>
      <w:r w:rsidRPr="00577F62">
        <w:rPr>
          <w:rFonts w:ascii="Times New Roman" w:hAnsi="Times New Roman" w:cs="Times New Roman"/>
          <w:sz w:val="24"/>
          <w:szCs w:val="24"/>
        </w:rPr>
        <w:t xml:space="preserve"> to </w:t>
      </w:r>
      <w:r w:rsidRPr="00577F62">
        <w:rPr>
          <w:rFonts w:ascii="Times New Roman" w:hAnsi="Times New Roman" w:cs="Times New Roman"/>
          <w:sz w:val="24"/>
          <w:szCs w:val="24"/>
          <w:lang w:val="en-US"/>
        </w:rPr>
        <w:t xml:space="preserve">a Counter-Terrorism </w:t>
      </w:r>
      <w:r w:rsidRPr="00577F62">
        <w:rPr>
          <w:rFonts w:ascii="Times New Roman" w:hAnsi="Times New Roman" w:cs="Times New Roman"/>
          <w:sz w:val="24"/>
          <w:szCs w:val="24"/>
        </w:rPr>
        <w:t>Working Group</w:t>
      </w:r>
      <w:r w:rsidRPr="00577F62">
        <w:rPr>
          <w:rFonts w:ascii="Times New Roman" w:hAnsi="Times New Roman" w:cs="Times New Roman"/>
          <w:sz w:val="24"/>
          <w:szCs w:val="24"/>
          <w:lang w:val="en-AU"/>
        </w:rPr>
        <w:t xml:space="preserve"> (CTWG)</w:t>
      </w:r>
      <w:r w:rsidRPr="00577F62">
        <w:rPr>
          <w:rFonts w:ascii="Times New Roman" w:hAnsi="Times New Roman" w:cs="Times New Roman"/>
          <w:sz w:val="24"/>
          <w:szCs w:val="24"/>
        </w:rPr>
        <w:t xml:space="preserve">. </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pStyle w:val="ListParagraph"/>
        <w:spacing w:after="0"/>
        <w:ind w:left="0"/>
        <w:jc w:val="both"/>
        <w:rPr>
          <w:rFonts w:ascii="Times New Roman" w:hAnsi="Times New Roman" w:cs="Times New Roman"/>
          <w:sz w:val="24"/>
          <w:szCs w:val="24"/>
        </w:rPr>
      </w:pPr>
      <w:r w:rsidRPr="00635A7B">
        <w:rPr>
          <w:rFonts w:ascii="Times New Roman" w:hAnsi="Times New Roman" w:cs="Times New Roman"/>
          <w:sz w:val="24"/>
          <w:szCs w:val="24"/>
        </w:rPr>
        <w:t>APEC Leaders have recognised the continuing threat of terrorism in the Asia-Pacific region and the importance of mitigating this threat as we seek to achieve APEC’s vision and objectives. In order to safeguard the region's infrastructure, travel, supply chains, and financial systems from terrorism and other illicit activities, APEC Leaders have committed their economies, through successive Leaders Declarations and Ministerial Statements, to continue to implem</w:t>
      </w:r>
      <w:r w:rsidRPr="00577F62">
        <w:rPr>
          <w:rFonts w:ascii="Times New Roman" w:hAnsi="Times New Roman" w:cs="Times New Roman"/>
          <w:sz w:val="24"/>
          <w:szCs w:val="24"/>
        </w:rPr>
        <w:t xml:space="preserve">ent </w:t>
      </w:r>
      <w:r>
        <w:rPr>
          <w:rFonts w:ascii="Times New Roman" w:hAnsi="Times New Roman" w:cs="Times New Roman"/>
          <w:sz w:val="24"/>
          <w:szCs w:val="24"/>
          <w:lang w:val="en-AU"/>
        </w:rPr>
        <w:t xml:space="preserve">the </w:t>
      </w:r>
      <w:r>
        <w:rPr>
          <w:rFonts w:ascii="Times New Roman" w:hAnsi="Times New Roman" w:cs="Times New Roman"/>
          <w:sz w:val="24"/>
          <w:szCs w:val="24"/>
        </w:rPr>
        <w:t>APEC</w:t>
      </w:r>
      <w:r w:rsidRPr="00577F62">
        <w:rPr>
          <w:rFonts w:ascii="Times New Roman" w:hAnsi="Times New Roman" w:cs="Times New Roman"/>
          <w:sz w:val="24"/>
          <w:szCs w:val="24"/>
        </w:rPr>
        <w:t xml:space="preserve"> Consolidated Counter-</w:t>
      </w:r>
      <w:r w:rsidRPr="00635A7B">
        <w:rPr>
          <w:rFonts w:ascii="Times New Roman" w:hAnsi="Times New Roman" w:cs="Times New Roman"/>
          <w:sz w:val="24"/>
          <w:szCs w:val="24"/>
        </w:rPr>
        <w:t>Terrorism and Secure Trade Strategy by jointly taking action and sharing best practices in the Strategy’s four cross-cutting areas: secure supply chains, secure travel, secure finance, and secure infrastructure.</w:t>
      </w:r>
    </w:p>
    <w:p w:rsidR="006F157A" w:rsidRDefault="006F157A" w:rsidP="006F157A">
      <w:pPr>
        <w:pStyle w:val="ListParagraph"/>
        <w:spacing w:after="0"/>
        <w:ind w:left="0"/>
        <w:jc w:val="both"/>
        <w:rPr>
          <w:rFonts w:ascii="Times New Roman" w:hAnsi="Times New Roman" w:cs="Times New Roman"/>
          <w:sz w:val="24"/>
          <w:szCs w:val="24"/>
        </w:rPr>
      </w:pPr>
    </w:p>
    <w:p w:rsidR="006F157A" w:rsidRDefault="006F157A" w:rsidP="006F157A">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ISIL, Al-Qaida and other terrorist groups, as well as foreign terrorist fighters, pose one of the major challenges to our region. Further consolidation of efforts to prevent, combat and ultimately defeat the terrorist threat in the APEC region is of paramount importance.</w:t>
      </w:r>
    </w:p>
    <w:p w:rsidR="006F157A" w:rsidRPr="00170B12" w:rsidRDefault="006F157A" w:rsidP="006F157A">
      <w:pPr>
        <w:pStyle w:val="ListParagraph"/>
        <w:spacing w:after="0"/>
        <w:ind w:left="0"/>
        <w:jc w:val="both"/>
        <w:rPr>
          <w:rFonts w:ascii="Times New Roman" w:hAnsi="Times New Roman" w:cs="Times New Roman"/>
          <w:sz w:val="24"/>
          <w:szCs w:val="24"/>
          <w:lang w:val="en-US"/>
        </w:rPr>
      </w:pPr>
    </w:p>
    <w:p w:rsidR="006F157A" w:rsidRPr="00635A7B" w:rsidRDefault="006F157A" w:rsidP="006F157A">
      <w:pPr>
        <w:pStyle w:val="ListParagraph"/>
        <w:spacing w:after="0"/>
        <w:ind w:left="0"/>
        <w:jc w:val="both"/>
        <w:rPr>
          <w:rFonts w:ascii="Times New Roman" w:hAnsi="Times New Roman" w:cs="Times New Roman"/>
          <w:sz w:val="24"/>
          <w:szCs w:val="24"/>
          <w:lang w:val="en-AU"/>
        </w:rPr>
      </w:pPr>
      <w:r w:rsidRPr="00635A7B">
        <w:rPr>
          <w:rFonts w:ascii="Times New Roman" w:hAnsi="Times New Roman" w:cs="Times New Roman"/>
          <w:sz w:val="24"/>
          <w:szCs w:val="24"/>
        </w:rPr>
        <w:t xml:space="preserve">In 2016, and in light of </w:t>
      </w:r>
      <w:r>
        <w:rPr>
          <w:rFonts w:ascii="Times New Roman" w:hAnsi="Times New Roman" w:cs="Times New Roman"/>
          <w:sz w:val="24"/>
          <w:szCs w:val="24"/>
          <w:lang w:val="en-US"/>
        </w:rPr>
        <w:t>these threats</w:t>
      </w:r>
      <w:r w:rsidRPr="00635A7B">
        <w:rPr>
          <w:rFonts w:ascii="Times New Roman" w:hAnsi="Times New Roman" w:cs="Times New Roman"/>
          <w:sz w:val="24"/>
          <w:szCs w:val="24"/>
        </w:rPr>
        <w:t>, Ministers encouraged Economies to focus on</w:t>
      </w:r>
      <w:r w:rsidRPr="00577F62">
        <w:rPr>
          <w:rFonts w:ascii="Times New Roman" w:hAnsi="Times New Roman" w:cs="Times New Roman"/>
          <w:sz w:val="24"/>
          <w:szCs w:val="24"/>
        </w:rPr>
        <w:t xml:space="preserve"> the </w:t>
      </w:r>
      <w:r>
        <w:rPr>
          <w:rFonts w:ascii="Times New Roman" w:hAnsi="Times New Roman" w:cs="Times New Roman"/>
          <w:sz w:val="24"/>
          <w:szCs w:val="24"/>
          <w:lang w:val="en-AU"/>
        </w:rPr>
        <w:t xml:space="preserve">APEC </w:t>
      </w:r>
      <w:r w:rsidRPr="00577F62">
        <w:rPr>
          <w:rFonts w:ascii="Times New Roman" w:hAnsi="Times New Roman" w:cs="Times New Roman"/>
          <w:sz w:val="24"/>
          <w:szCs w:val="24"/>
        </w:rPr>
        <w:t>Consolidated Counter-</w:t>
      </w:r>
      <w:r w:rsidRPr="00635A7B">
        <w:rPr>
          <w:rFonts w:ascii="Times New Roman" w:hAnsi="Times New Roman" w:cs="Times New Roman"/>
          <w:sz w:val="24"/>
          <w:szCs w:val="24"/>
        </w:rPr>
        <w:t>Terrorism and Secure Trade Strategy’s call for immigration and border officials to manage the flow of bona-fide international travelers in and out of economies.</w:t>
      </w:r>
    </w:p>
    <w:p w:rsidR="006F157A" w:rsidRPr="00635A7B"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pStyle w:val="ListParagraph"/>
        <w:spacing w:after="0"/>
        <w:ind w:left="0"/>
        <w:jc w:val="both"/>
        <w:rPr>
          <w:rFonts w:ascii="Times New Roman" w:hAnsi="Times New Roman" w:cs="Times New Roman"/>
          <w:sz w:val="24"/>
          <w:szCs w:val="24"/>
        </w:rPr>
      </w:pPr>
    </w:p>
    <w:p w:rsidR="006F157A"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Vision Statement</w:t>
      </w:r>
    </w:p>
    <w:p w:rsidR="006F157A" w:rsidRPr="00635A7B" w:rsidRDefault="006F157A" w:rsidP="006F157A">
      <w:pPr>
        <w:autoSpaceDE w:val="0"/>
        <w:autoSpaceDN w:val="0"/>
        <w:adjustRightInd w:val="0"/>
        <w:spacing w:after="0" w:line="240" w:lineRule="auto"/>
        <w:ind w:left="-284"/>
        <w:jc w:val="both"/>
        <w:rPr>
          <w:rFonts w:ascii="Times New Roman" w:eastAsia="Calibri" w:hAnsi="Times New Roman" w:cs="Times New Roman"/>
          <w:b/>
          <w:bCs/>
          <w:sz w:val="24"/>
          <w:szCs w:val="24"/>
          <w:lang w:val="en-PH"/>
        </w:rPr>
      </w:pPr>
    </w:p>
    <w:p w:rsidR="006F157A" w:rsidRPr="00970D3F" w:rsidRDefault="006F157A" w:rsidP="006F157A">
      <w:pPr>
        <w:pStyle w:val="ListParagraph"/>
        <w:spacing w:after="0"/>
        <w:ind w:left="851" w:right="1100"/>
        <w:jc w:val="both"/>
        <w:rPr>
          <w:rFonts w:ascii="Times New Roman" w:hAnsi="Times New Roman" w:cs="Times New Roman"/>
          <w:i/>
          <w:sz w:val="24"/>
          <w:szCs w:val="24"/>
          <w:lang w:val="en-AU"/>
        </w:rPr>
      </w:pPr>
      <w:r w:rsidRPr="00970D3F">
        <w:rPr>
          <w:rFonts w:ascii="Times New Roman" w:hAnsi="Times New Roman" w:cs="Times New Roman"/>
          <w:i/>
          <w:sz w:val="24"/>
          <w:szCs w:val="24"/>
          <w:lang w:val="en-AU"/>
        </w:rPr>
        <w:t>An</w:t>
      </w:r>
      <w:r w:rsidRPr="00970D3F">
        <w:rPr>
          <w:rFonts w:ascii="Times New Roman" w:hAnsi="Times New Roman" w:cs="Times New Roman"/>
          <w:i/>
          <w:sz w:val="24"/>
          <w:szCs w:val="24"/>
        </w:rPr>
        <w:t xml:space="preserve"> Asia-Pacific region </w:t>
      </w:r>
      <w:r w:rsidRPr="00970D3F">
        <w:rPr>
          <w:rFonts w:ascii="Times New Roman" w:hAnsi="Times New Roman" w:cs="Times New Roman"/>
          <w:i/>
          <w:sz w:val="24"/>
          <w:szCs w:val="24"/>
          <w:lang w:val="en-AU"/>
        </w:rPr>
        <w:t xml:space="preserve">secure from terrorist activity, which supports </w:t>
      </w:r>
      <w:r w:rsidRPr="00970D3F">
        <w:rPr>
          <w:rFonts w:ascii="Times New Roman" w:hAnsi="Times New Roman" w:cs="Times New Roman"/>
          <w:i/>
          <w:sz w:val="24"/>
          <w:szCs w:val="24"/>
        </w:rPr>
        <w:t xml:space="preserve">open and free </w:t>
      </w:r>
      <w:r w:rsidRPr="00970D3F">
        <w:rPr>
          <w:rFonts w:ascii="Times New Roman" w:hAnsi="Times New Roman" w:cs="Times New Roman"/>
          <w:i/>
          <w:sz w:val="24"/>
          <w:szCs w:val="24"/>
          <w:lang w:val="en-AU"/>
        </w:rPr>
        <w:t xml:space="preserve">trade and investment to ensure </w:t>
      </w:r>
      <w:r w:rsidRPr="00970D3F">
        <w:rPr>
          <w:rFonts w:ascii="Times New Roman" w:hAnsi="Times New Roman" w:cs="Times New Roman"/>
          <w:i/>
          <w:sz w:val="24"/>
          <w:szCs w:val="24"/>
        </w:rPr>
        <w:t>regional growth and prosperity.</w:t>
      </w:r>
    </w:p>
    <w:p w:rsidR="006F157A" w:rsidRPr="00635A7B" w:rsidRDefault="006F157A" w:rsidP="006F157A">
      <w:pPr>
        <w:pStyle w:val="ListParagraph"/>
        <w:spacing w:before="100" w:beforeAutospacing="1" w:after="100" w:afterAutospacing="1" w:line="240" w:lineRule="auto"/>
        <w:ind w:left="0"/>
        <w:rPr>
          <w:rFonts w:ascii="Times New Roman" w:hAnsi="Times New Roman" w:cs="Times New Roman"/>
          <w:sz w:val="24"/>
          <w:szCs w:val="24"/>
          <w:lang w:val="en-AU"/>
        </w:rPr>
      </w:pPr>
    </w:p>
    <w:p w:rsidR="006F157A" w:rsidRPr="00635A7B" w:rsidRDefault="006F157A" w:rsidP="006F157A">
      <w:pPr>
        <w:pStyle w:val="ListParagraph"/>
        <w:spacing w:after="0"/>
        <w:ind w:left="0"/>
        <w:rPr>
          <w:rFonts w:ascii="Times New Roman" w:hAnsi="Times New Roman" w:cs="Times New Roman"/>
          <w:sz w:val="24"/>
          <w:szCs w:val="24"/>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Mission Statement</w:t>
      </w:r>
    </w:p>
    <w:p w:rsidR="006F157A" w:rsidRDefault="006F157A" w:rsidP="006F157A">
      <w:pPr>
        <w:pStyle w:val="ListParagraph"/>
        <w:spacing w:after="0"/>
        <w:ind w:left="0"/>
        <w:jc w:val="both"/>
        <w:rPr>
          <w:rFonts w:ascii="Times New Roman" w:hAnsi="Times New Roman" w:cs="Times New Roman"/>
          <w:sz w:val="24"/>
          <w:szCs w:val="24"/>
          <w:lang w:val="en-AU"/>
        </w:rPr>
      </w:pPr>
    </w:p>
    <w:p w:rsidR="006F157A" w:rsidRPr="00970D3F" w:rsidRDefault="006F157A" w:rsidP="006F157A">
      <w:pPr>
        <w:pStyle w:val="ListParagraph"/>
        <w:spacing w:after="0"/>
        <w:ind w:left="0"/>
        <w:jc w:val="both"/>
        <w:rPr>
          <w:rFonts w:ascii="Times New Roman" w:hAnsi="Times New Roman" w:cs="Times New Roman"/>
          <w:sz w:val="24"/>
          <w:szCs w:val="24"/>
          <w:lang w:val="en-AU"/>
        </w:rPr>
      </w:pPr>
      <w:r>
        <w:rPr>
          <w:rFonts w:ascii="Times New Roman" w:hAnsi="Times New Roman" w:cs="Times New Roman"/>
          <w:sz w:val="24"/>
          <w:szCs w:val="24"/>
          <w:lang w:val="en-AU"/>
        </w:rPr>
        <w:t>‘</w:t>
      </w:r>
      <w:r w:rsidRPr="00577F62">
        <w:rPr>
          <w:rFonts w:ascii="Times New Roman" w:hAnsi="Times New Roman" w:cs="Times New Roman"/>
          <w:sz w:val="24"/>
          <w:szCs w:val="24"/>
          <w:lang w:val="en-AU"/>
        </w:rPr>
        <w:t>The CTWG will</w:t>
      </w:r>
      <w:r w:rsidRPr="00577F62">
        <w:rPr>
          <w:rFonts w:ascii="Times New Roman" w:hAnsi="Times New Roman" w:cs="Times New Roman"/>
          <w:sz w:val="24"/>
          <w:szCs w:val="24"/>
        </w:rPr>
        <w:t xml:space="preserve"> assist member economies </w:t>
      </w:r>
      <w:r w:rsidRPr="00577F62">
        <w:rPr>
          <w:rFonts w:ascii="Times New Roman" w:hAnsi="Times New Roman" w:cs="Times New Roman"/>
          <w:sz w:val="24"/>
          <w:szCs w:val="24"/>
          <w:lang w:val="en-AU"/>
        </w:rPr>
        <w:t>build</w:t>
      </w:r>
      <w:r w:rsidRPr="00577F62">
        <w:rPr>
          <w:rFonts w:ascii="Times New Roman" w:hAnsi="Times New Roman" w:cs="Times New Roman"/>
          <w:sz w:val="24"/>
          <w:szCs w:val="24"/>
        </w:rPr>
        <w:t xml:space="preserve"> </w:t>
      </w:r>
      <w:r w:rsidRPr="00577F62">
        <w:rPr>
          <w:rFonts w:ascii="Times New Roman" w:hAnsi="Times New Roman" w:cs="Times New Roman"/>
          <w:sz w:val="24"/>
          <w:szCs w:val="24"/>
          <w:lang w:val="en-AU"/>
        </w:rPr>
        <w:t xml:space="preserve">a </w:t>
      </w:r>
      <w:r w:rsidRPr="00577F62">
        <w:rPr>
          <w:rFonts w:ascii="Times New Roman" w:hAnsi="Times New Roman" w:cs="Times New Roman"/>
          <w:sz w:val="24"/>
          <w:szCs w:val="24"/>
        </w:rPr>
        <w:t xml:space="preserve">robust capacity to protect their supply chains, travel </w:t>
      </w:r>
      <w:r w:rsidRPr="00577F62">
        <w:rPr>
          <w:rFonts w:ascii="Times New Roman" w:hAnsi="Times New Roman" w:cs="Times New Roman"/>
          <w:sz w:val="24"/>
          <w:szCs w:val="24"/>
          <w:lang w:val="en-AU"/>
        </w:rPr>
        <w:t xml:space="preserve">and </w:t>
      </w:r>
      <w:r w:rsidRPr="00577F62">
        <w:rPr>
          <w:rFonts w:ascii="Times New Roman" w:hAnsi="Times New Roman" w:cs="Times New Roman"/>
          <w:sz w:val="24"/>
          <w:szCs w:val="24"/>
        </w:rPr>
        <w:t>financial systems</w:t>
      </w:r>
      <w:r w:rsidRPr="00577F62">
        <w:rPr>
          <w:rFonts w:ascii="Times New Roman" w:hAnsi="Times New Roman" w:cs="Times New Roman"/>
          <w:sz w:val="24"/>
          <w:szCs w:val="24"/>
          <w:lang w:val="en-AU"/>
        </w:rPr>
        <w:t>,</w:t>
      </w:r>
      <w:r w:rsidRPr="00577F62">
        <w:rPr>
          <w:rFonts w:ascii="Times New Roman" w:hAnsi="Times New Roman" w:cs="Times New Roman"/>
          <w:sz w:val="24"/>
          <w:szCs w:val="24"/>
        </w:rPr>
        <w:t xml:space="preserve"> and infrastructure against </w:t>
      </w:r>
      <w:r w:rsidRPr="00577F62">
        <w:rPr>
          <w:rFonts w:ascii="Times New Roman" w:hAnsi="Times New Roman" w:cs="Times New Roman"/>
          <w:sz w:val="24"/>
          <w:szCs w:val="24"/>
          <w:lang w:val="en-AU"/>
        </w:rPr>
        <w:t xml:space="preserve">terrorist </w:t>
      </w:r>
      <w:r w:rsidRPr="00577F62">
        <w:rPr>
          <w:rFonts w:ascii="Times New Roman" w:hAnsi="Times New Roman" w:cs="Times New Roman"/>
          <w:sz w:val="24"/>
          <w:szCs w:val="24"/>
        </w:rPr>
        <w:t>attack, disruption, and misuse, as well as to respond to</w:t>
      </w:r>
      <w:r w:rsidRPr="00577F62">
        <w:rPr>
          <w:rFonts w:ascii="Times New Roman" w:hAnsi="Times New Roman" w:cs="Times New Roman"/>
          <w:sz w:val="24"/>
          <w:szCs w:val="24"/>
          <w:lang w:val="en-AU"/>
        </w:rPr>
        <w:t>,</w:t>
      </w:r>
      <w:r w:rsidRPr="00577F62">
        <w:rPr>
          <w:rFonts w:ascii="Times New Roman" w:hAnsi="Times New Roman" w:cs="Times New Roman"/>
          <w:sz w:val="24"/>
          <w:szCs w:val="24"/>
        </w:rPr>
        <w:t xml:space="preserve"> and recover rapidly from</w:t>
      </w:r>
      <w:r w:rsidRPr="00577F62">
        <w:rPr>
          <w:rFonts w:ascii="Times New Roman" w:hAnsi="Times New Roman" w:cs="Times New Roman"/>
          <w:sz w:val="24"/>
          <w:szCs w:val="24"/>
          <w:lang w:val="en-AU"/>
        </w:rPr>
        <w:t>,</w:t>
      </w:r>
      <w:r w:rsidRPr="00577F62">
        <w:rPr>
          <w:rFonts w:ascii="Times New Roman" w:hAnsi="Times New Roman" w:cs="Times New Roman"/>
          <w:sz w:val="24"/>
          <w:szCs w:val="24"/>
        </w:rPr>
        <w:t xml:space="preserve"> </w:t>
      </w:r>
      <w:r w:rsidRPr="00577F62">
        <w:rPr>
          <w:rFonts w:ascii="Times New Roman" w:hAnsi="Times New Roman" w:cs="Times New Roman"/>
          <w:sz w:val="24"/>
          <w:szCs w:val="24"/>
          <w:lang w:val="en-AU"/>
        </w:rPr>
        <w:t xml:space="preserve">such </w:t>
      </w:r>
      <w:r w:rsidRPr="00577F62">
        <w:rPr>
          <w:rFonts w:ascii="Times New Roman" w:hAnsi="Times New Roman" w:cs="Times New Roman"/>
          <w:sz w:val="24"/>
          <w:szCs w:val="24"/>
        </w:rPr>
        <w:t>disruptions without compromising the flow of legitimate trade and travel.</w:t>
      </w:r>
      <w:r>
        <w:rPr>
          <w:rFonts w:ascii="Times New Roman" w:hAnsi="Times New Roman" w:cs="Times New Roman"/>
          <w:sz w:val="24"/>
          <w:szCs w:val="24"/>
        </w:rPr>
        <w:t>’</w:t>
      </w:r>
    </w:p>
    <w:p w:rsidR="006F157A" w:rsidRDefault="006F157A" w:rsidP="006F157A">
      <w:pPr>
        <w:pStyle w:val="ListParagraph"/>
        <w:spacing w:after="0"/>
        <w:ind w:left="0"/>
        <w:jc w:val="both"/>
        <w:rPr>
          <w:rFonts w:ascii="Times New Roman" w:hAnsi="Times New Roman" w:cs="Times New Roman"/>
          <w:sz w:val="24"/>
          <w:szCs w:val="24"/>
        </w:rPr>
      </w:pPr>
    </w:p>
    <w:p w:rsidR="006F157A" w:rsidRDefault="006F157A" w:rsidP="006F157A">
      <w:pPr>
        <w:autoSpaceDE w:val="0"/>
        <w:autoSpaceDN w:val="0"/>
        <w:adjustRightInd w:val="0"/>
        <w:spacing w:after="0" w:line="240" w:lineRule="auto"/>
        <w:jc w:val="both"/>
        <w:rPr>
          <w:rFonts w:ascii="Times New Roman" w:hAnsi="Times New Roman" w:cs="Times New Roman"/>
          <w:sz w:val="24"/>
          <w:szCs w:val="24"/>
          <w:lang w:val="en-AU"/>
        </w:rPr>
      </w:pPr>
      <w:r w:rsidRPr="00970D3F">
        <w:rPr>
          <w:rFonts w:ascii="Times New Roman" w:hAnsi="Times New Roman" w:cs="Times New Roman"/>
          <w:sz w:val="24"/>
          <w:szCs w:val="24"/>
        </w:rPr>
        <w:t xml:space="preserve">The CTWG will achieve </w:t>
      </w:r>
      <w:r>
        <w:rPr>
          <w:rFonts w:ascii="Times New Roman" w:hAnsi="Times New Roman" w:cs="Times New Roman"/>
          <w:sz w:val="24"/>
          <w:szCs w:val="24"/>
          <w:lang w:val="en-AU"/>
        </w:rPr>
        <w:t xml:space="preserve">its mission </w:t>
      </w:r>
      <w:r w:rsidRPr="00970D3F">
        <w:rPr>
          <w:rFonts w:ascii="Times New Roman" w:hAnsi="Times New Roman" w:cs="Times New Roman"/>
          <w:sz w:val="24"/>
          <w:szCs w:val="24"/>
        </w:rPr>
        <w:t>by</w:t>
      </w:r>
      <w:r>
        <w:rPr>
          <w:rFonts w:ascii="Times New Roman" w:hAnsi="Times New Roman" w:cs="Times New Roman"/>
          <w:sz w:val="24"/>
          <w:szCs w:val="24"/>
          <w:lang w:val="en-AU"/>
        </w:rPr>
        <w:t>:</w:t>
      </w:r>
    </w:p>
    <w:p w:rsidR="006F157A" w:rsidRDefault="006F157A" w:rsidP="006F157A">
      <w:pPr>
        <w:autoSpaceDE w:val="0"/>
        <w:autoSpaceDN w:val="0"/>
        <w:adjustRightInd w:val="0"/>
        <w:spacing w:after="0" w:line="240" w:lineRule="auto"/>
        <w:jc w:val="both"/>
        <w:rPr>
          <w:rFonts w:ascii="Times New Roman" w:hAnsi="Times New Roman" w:cs="Times New Roman"/>
          <w:sz w:val="24"/>
          <w:szCs w:val="24"/>
          <w:lang w:val="en-AU"/>
        </w:rPr>
      </w:pPr>
    </w:p>
    <w:p w:rsidR="006F157A" w:rsidRPr="00970D3F"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970D3F">
        <w:rPr>
          <w:rFonts w:ascii="Times New Roman" w:hAnsi="Times New Roman" w:cs="Times New Roman"/>
          <w:sz w:val="24"/>
          <w:szCs w:val="24"/>
        </w:rPr>
        <w:t>helping build business resilience and fostering private-public partnership to protect business, trade and economic growth from disruption; and</w:t>
      </w:r>
    </w:p>
    <w:p w:rsidR="006F157A"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Default="006F157A" w:rsidP="00DF7F0C">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970D3F">
        <w:rPr>
          <w:rFonts w:ascii="Times New Roman" w:hAnsi="Times New Roman" w:cs="Times New Roman"/>
          <w:sz w:val="24"/>
          <w:szCs w:val="24"/>
        </w:rPr>
        <w:t>improving coordination and enhance intra-APEC cooperation and integration of best practices on counter-terrorism preparedness efforts in APEC</w:t>
      </w:r>
      <w:r>
        <w:rPr>
          <w:rFonts w:ascii="Times New Roman" w:hAnsi="Times New Roman" w:cs="Times New Roman"/>
          <w:sz w:val="24"/>
          <w:szCs w:val="24"/>
          <w:lang w:val="en-US"/>
        </w:rPr>
        <w:t>; and</w:t>
      </w:r>
      <w:r w:rsidRPr="00970D3F">
        <w:rPr>
          <w:rFonts w:ascii="Times New Roman" w:hAnsi="Times New Roman" w:cs="Times New Roman"/>
          <w:sz w:val="24"/>
          <w:szCs w:val="24"/>
        </w:rPr>
        <w:t xml:space="preserve"> </w:t>
      </w:r>
    </w:p>
    <w:p w:rsidR="00DF7F0C" w:rsidRPr="00DF7F0C" w:rsidRDefault="00DF7F0C" w:rsidP="00DF7F0C">
      <w:pPr>
        <w:autoSpaceDE w:val="0"/>
        <w:autoSpaceDN w:val="0"/>
        <w:adjustRightInd w:val="0"/>
        <w:spacing w:after="0" w:line="240" w:lineRule="auto"/>
        <w:jc w:val="both"/>
        <w:rPr>
          <w:rFonts w:ascii="Times New Roman" w:hAnsi="Times New Roman" w:cs="Times New Roman"/>
          <w:sz w:val="24"/>
          <w:szCs w:val="24"/>
        </w:rPr>
      </w:pPr>
    </w:p>
    <w:p w:rsidR="006F157A" w:rsidRPr="00AA3487"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lang w:val="en-US"/>
        </w:rPr>
        <w:t>continuing</w:t>
      </w:r>
      <w:proofErr w:type="gramEnd"/>
      <w:r>
        <w:rPr>
          <w:rFonts w:ascii="Times New Roman" w:hAnsi="Times New Roman" w:cs="Times New Roman"/>
          <w:sz w:val="24"/>
          <w:szCs w:val="24"/>
          <w:lang w:val="en-US"/>
        </w:rPr>
        <w:t xml:space="preserve"> to enhance and develop cooperation with the United Nations and other international organizations and relevant multilateral fora on counter-terrorism issues to ensure a synergy of counter-terrorism efforts between APEC and other international fora.</w:t>
      </w:r>
    </w:p>
    <w:p w:rsidR="006F157A" w:rsidRDefault="006F157A" w:rsidP="00817ACA">
      <w:pPr>
        <w:pStyle w:val="ListParagraph"/>
        <w:spacing w:after="0"/>
        <w:ind w:left="0"/>
        <w:jc w:val="center"/>
        <w:rPr>
          <w:rFonts w:ascii="Times New Roman" w:hAnsi="Times New Roman" w:cs="Times New Roman"/>
          <w:sz w:val="24"/>
          <w:szCs w:val="24"/>
          <w:lang w:val="en-AU"/>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Pr>
          <w:rFonts w:ascii="Times New Roman" w:eastAsia="Calibri" w:hAnsi="Times New Roman" w:cs="Times New Roman"/>
          <w:b/>
          <w:bCs/>
          <w:sz w:val="24"/>
          <w:szCs w:val="24"/>
          <w:lang w:val="en-PH"/>
        </w:rPr>
        <w:t>Guidance on Proposed Counter-Terrorism Activities</w:t>
      </w:r>
    </w:p>
    <w:p w:rsidR="006F157A" w:rsidRDefault="006F157A" w:rsidP="006F157A">
      <w:pPr>
        <w:pStyle w:val="Default"/>
      </w:pPr>
    </w:p>
    <w:p w:rsidR="006F157A" w:rsidRPr="00970D3F" w:rsidRDefault="006F157A" w:rsidP="00BA3B4E">
      <w:pPr>
        <w:pStyle w:val="Default"/>
        <w:jc w:val="both"/>
        <w:rPr>
          <w:rFonts w:ascii="Times New Roman" w:hAnsi="Times New Roman" w:cs="Times New Roman"/>
        </w:rPr>
      </w:pPr>
      <w:r>
        <w:rPr>
          <w:rFonts w:ascii="Times New Roman" w:hAnsi="Times New Roman" w:cs="Times New Roman"/>
          <w:color w:val="auto"/>
        </w:rPr>
        <w:t xml:space="preserve">The </w:t>
      </w:r>
      <w:r w:rsidRPr="002C2C23">
        <w:rPr>
          <w:rFonts w:ascii="Times New Roman" w:hAnsi="Times New Roman" w:cs="Times New Roman"/>
          <w:color w:val="auto"/>
        </w:rPr>
        <w:t>2013</w:t>
      </w:r>
      <w:r w:rsidRPr="00970D3F">
        <w:rPr>
          <w:rFonts w:ascii="Times New Roman" w:hAnsi="Times New Roman" w:cs="Times New Roman"/>
          <w:i/>
          <w:color w:val="auto"/>
        </w:rPr>
        <w:t xml:space="preserve"> Independent Assessment of the APEC Counter-Terrorism Task Force</w:t>
      </w:r>
      <w:r>
        <w:rPr>
          <w:rFonts w:ascii="Times New Roman" w:hAnsi="Times New Roman" w:cs="Times New Roman"/>
          <w:color w:val="auto"/>
        </w:rPr>
        <w:t xml:space="preserve"> made several observations and recommendations on areas to improve the work of the CTTF and as it looked to transition to a working group.  </w:t>
      </w:r>
      <w:r w:rsidR="00FF091A">
        <w:rPr>
          <w:rFonts w:ascii="Times New Roman" w:hAnsi="Times New Roman" w:cs="Times New Roman"/>
          <w:color w:val="auto"/>
        </w:rPr>
        <w:t xml:space="preserve">This Strategic Plan has been informed by </w:t>
      </w:r>
      <w:r>
        <w:rPr>
          <w:rFonts w:ascii="Times New Roman" w:hAnsi="Times New Roman" w:cs="Times New Roman"/>
          <w:color w:val="auto"/>
        </w:rPr>
        <w:t>some of the observations</w:t>
      </w:r>
      <w:r w:rsidR="00FF091A">
        <w:rPr>
          <w:rFonts w:ascii="Times New Roman" w:hAnsi="Times New Roman" w:cs="Times New Roman"/>
          <w:color w:val="auto"/>
        </w:rPr>
        <w:t xml:space="preserve"> made</w:t>
      </w:r>
      <w:r>
        <w:rPr>
          <w:rFonts w:ascii="Times New Roman" w:hAnsi="Times New Roman" w:cs="Times New Roman"/>
          <w:color w:val="auto"/>
        </w:rPr>
        <w:t xml:space="preserve"> </w:t>
      </w:r>
      <w:r w:rsidR="00FF091A">
        <w:rPr>
          <w:rFonts w:ascii="Times New Roman" w:hAnsi="Times New Roman" w:cs="Times New Roman"/>
          <w:color w:val="auto"/>
        </w:rPr>
        <w:t>in the as</w:t>
      </w:r>
      <w:r w:rsidR="00817ACA">
        <w:rPr>
          <w:rFonts w:ascii="Times New Roman" w:hAnsi="Times New Roman" w:cs="Times New Roman"/>
          <w:color w:val="auto"/>
        </w:rPr>
        <w:t>sessment</w:t>
      </w:r>
      <w:r>
        <w:rPr>
          <w:rFonts w:ascii="Times New Roman" w:hAnsi="Times New Roman" w:cs="Times New Roman"/>
          <w:color w:val="auto"/>
        </w:rPr>
        <w:t xml:space="preserve">. </w:t>
      </w:r>
    </w:p>
    <w:p w:rsidR="006F157A" w:rsidRDefault="006F157A" w:rsidP="006F157A">
      <w:pPr>
        <w:pStyle w:val="ListParagraph"/>
        <w:spacing w:after="0"/>
        <w:ind w:left="0"/>
        <w:jc w:val="both"/>
        <w:rPr>
          <w:rFonts w:ascii="Times New Roman" w:hAnsi="Times New Roman" w:cs="Times New Roman"/>
          <w:sz w:val="24"/>
          <w:szCs w:val="24"/>
        </w:rPr>
      </w:pPr>
    </w:p>
    <w:p w:rsidR="006F157A" w:rsidRDefault="008636C5" w:rsidP="006F157A">
      <w:pPr>
        <w:pStyle w:val="ListParagraph"/>
        <w:spacing w:after="0"/>
        <w:ind w:left="0"/>
        <w:jc w:val="both"/>
        <w:rPr>
          <w:rFonts w:ascii="Times New Roman" w:hAnsi="Times New Roman" w:cs="Times New Roman"/>
          <w:sz w:val="24"/>
          <w:szCs w:val="24"/>
          <w:lang w:val="en-AU"/>
        </w:rPr>
      </w:pPr>
      <w:r>
        <w:rPr>
          <w:rFonts w:ascii="Times New Roman" w:hAnsi="Times New Roman" w:cs="Times New Roman"/>
          <w:sz w:val="24"/>
          <w:szCs w:val="24"/>
          <w:lang w:val="en-AU"/>
        </w:rPr>
        <w:t>T</w:t>
      </w:r>
      <w:r w:rsidR="00817ACA">
        <w:rPr>
          <w:rFonts w:ascii="Times New Roman" w:hAnsi="Times New Roman" w:cs="Times New Roman"/>
          <w:sz w:val="24"/>
          <w:szCs w:val="24"/>
          <w:lang w:val="en-AU"/>
        </w:rPr>
        <w:t>he</w:t>
      </w:r>
      <w:r w:rsidR="006F157A">
        <w:rPr>
          <w:rFonts w:ascii="Times New Roman" w:hAnsi="Times New Roman" w:cs="Times New Roman"/>
          <w:sz w:val="24"/>
          <w:szCs w:val="24"/>
          <w:lang w:val="en-AU"/>
        </w:rPr>
        <w:t xml:space="preserve"> 2018 – 2022 Strategic Plan will </w:t>
      </w:r>
      <w:r w:rsidR="00FF091A">
        <w:rPr>
          <w:rFonts w:ascii="Times New Roman" w:hAnsi="Times New Roman" w:cs="Times New Roman"/>
          <w:sz w:val="24"/>
          <w:szCs w:val="24"/>
          <w:lang w:val="en-AU"/>
        </w:rPr>
        <w:t xml:space="preserve">make </w:t>
      </w:r>
      <w:r w:rsidR="006F157A">
        <w:rPr>
          <w:rFonts w:ascii="Times New Roman" w:hAnsi="Times New Roman" w:cs="Times New Roman"/>
          <w:sz w:val="24"/>
          <w:szCs w:val="24"/>
          <w:lang w:val="en-AU"/>
        </w:rPr>
        <w:t xml:space="preserve">the work of the CTWG more targeted and focussed on ensuring activities produce identifiable outcomes and recommendations for future work which are implemented and not forgotten. This includes outlining a series of CTWG Focus Areas (section V below) at least one of which should be identified as the rationale for holding a particular activity. In addition, activities must point to at least one objective and relevant Key Performance Indicators (KPIs) to ensure the activities are outcomes-focussed. Activities should capture recommendations in post-activity reports, and also identify how those recommendations could be implemented in the future work of the CTWG. To ensure </w:t>
      </w:r>
      <w:r>
        <w:rPr>
          <w:rFonts w:ascii="Times New Roman" w:hAnsi="Times New Roman" w:cs="Times New Roman"/>
          <w:sz w:val="24"/>
          <w:szCs w:val="24"/>
          <w:lang w:val="en-AU"/>
        </w:rPr>
        <w:t xml:space="preserve">that </w:t>
      </w:r>
      <w:r w:rsidR="006F157A">
        <w:rPr>
          <w:rFonts w:ascii="Times New Roman" w:hAnsi="Times New Roman" w:cs="Times New Roman"/>
          <w:sz w:val="24"/>
          <w:szCs w:val="24"/>
          <w:lang w:val="en-AU"/>
        </w:rPr>
        <w:t>recommendations are</w:t>
      </w:r>
      <w:r>
        <w:rPr>
          <w:rFonts w:ascii="Times New Roman" w:hAnsi="Times New Roman" w:cs="Times New Roman"/>
          <w:sz w:val="24"/>
          <w:szCs w:val="24"/>
          <w:lang w:val="en-AU"/>
        </w:rPr>
        <w:t xml:space="preserve"> implemented</w:t>
      </w:r>
      <w:r w:rsidR="006F157A">
        <w:rPr>
          <w:rFonts w:ascii="Times New Roman" w:hAnsi="Times New Roman" w:cs="Times New Roman"/>
          <w:sz w:val="24"/>
          <w:szCs w:val="24"/>
          <w:lang w:val="en-AU"/>
        </w:rPr>
        <w:t xml:space="preserve">, recommendations </w:t>
      </w:r>
      <w:r w:rsidR="00FF091A">
        <w:rPr>
          <w:rFonts w:ascii="Times New Roman" w:hAnsi="Times New Roman" w:cs="Times New Roman"/>
          <w:sz w:val="24"/>
          <w:szCs w:val="24"/>
          <w:lang w:val="en-AU"/>
        </w:rPr>
        <w:t xml:space="preserve">will </w:t>
      </w:r>
      <w:r w:rsidR="006F157A">
        <w:rPr>
          <w:rFonts w:ascii="Times New Roman" w:hAnsi="Times New Roman" w:cs="Times New Roman"/>
          <w:sz w:val="24"/>
          <w:szCs w:val="24"/>
          <w:lang w:val="en-AU"/>
        </w:rPr>
        <w:t>be tracked centrally to monitor compliance and where additional support might need to be provided to economies.</w:t>
      </w:r>
    </w:p>
    <w:p w:rsidR="006F157A" w:rsidRDefault="006F157A" w:rsidP="006F157A">
      <w:pPr>
        <w:pStyle w:val="ListParagraph"/>
        <w:spacing w:after="0"/>
        <w:ind w:left="0"/>
        <w:jc w:val="both"/>
        <w:rPr>
          <w:rFonts w:ascii="Times New Roman" w:hAnsi="Times New Roman" w:cs="Times New Roman"/>
          <w:sz w:val="24"/>
          <w:szCs w:val="24"/>
          <w:lang w:val="en-AU"/>
        </w:rPr>
      </w:pPr>
    </w:p>
    <w:p w:rsidR="006F157A" w:rsidRDefault="006F157A" w:rsidP="006F157A">
      <w:pPr>
        <w:pStyle w:val="ListParagraph"/>
        <w:spacing w:after="0"/>
        <w:ind w:left="0"/>
        <w:jc w:val="both"/>
        <w:rPr>
          <w:rFonts w:ascii="Times New Roman" w:hAnsi="Times New Roman" w:cs="Times New Roman"/>
          <w:sz w:val="24"/>
          <w:szCs w:val="24"/>
          <w:lang w:val="en-AU"/>
        </w:rPr>
      </w:pPr>
      <w:r>
        <w:rPr>
          <w:rFonts w:ascii="Times New Roman" w:hAnsi="Times New Roman" w:cs="Times New Roman"/>
          <w:sz w:val="24"/>
          <w:szCs w:val="24"/>
          <w:lang w:val="en-AU"/>
        </w:rPr>
        <w:t>To assist this process, the structure of the Strategic Plan and annual Work Plans have been updated to ensure the former details the long-term, broad direction of the CTWG and APEC’s counter-terrorism related activities, and the latter focuses on concrete activities aligned to the CTWG’s focus areas and objectives.</w:t>
      </w:r>
    </w:p>
    <w:p w:rsidR="006F157A" w:rsidRPr="00577F62"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Focus Areas 2018-2022</w:t>
      </w:r>
    </w:p>
    <w:p w:rsidR="006F157A" w:rsidRDefault="006F157A" w:rsidP="006F157A">
      <w:pPr>
        <w:autoSpaceDE w:val="0"/>
        <w:autoSpaceDN w:val="0"/>
        <w:adjustRightInd w:val="0"/>
        <w:spacing w:after="0" w:line="240" w:lineRule="auto"/>
        <w:jc w:val="both"/>
        <w:rPr>
          <w:rFonts w:ascii="Times New Roman" w:hAnsi="Times New Roman" w:cs="Times New Roman"/>
          <w:sz w:val="24"/>
          <w:szCs w:val="24"/>
          <w:lang w:val="en-AU"/>
        </w:rPr>
      </w:pPr>
    </w:p>
    <w:p w:rsidR="006F157A" w:rsidRPr="009D59D8" w:rsidRDefault="006F157A" w:rsidP="006F157A">
      <w:pPr>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The focus areas have been developed to ensure activities align with the broad, long-term objectives of the CTWG. Annual work plans can identify one or several focus areas as the primary thrust of activities for that year, as agreed by economies. The decision on which of the following focus areas to use for a given year could be guided by previous years’ Leaders Statements, the APEC theme for that year, or those issues which are of intense interest to economies as a significant or emerging CT threat.</w:t>
      </w:r>
    </w:p>
    <w:p w:rsidR="006F157A" w:rsidRDefault="006F157A" w:rsidP="006F157A">
      <w:pPr>
        <w:autoSpaceDE w:val="0"/>
        <w:autoSpaceDN w:val="0"/>
        <w:adjustRightInd w:val="0"/>
        <w:spacing w:after="0" w:line="240" w:lineRule="auto"/>
        <w:ind w:left="1134"/>
        <w:jc w:val="both"/>
        <w:rPr>
          <w:rFonts w:ascii="Times New Roman" w:hAnsi="Times New Roman" w:cs="Times New Roman"/>
          <w:sz w:val="24"/>
          <w:szCs w:val="24"/>
        </w:rPr>
      </w:pPr>
    </w:p>
    <w:p w:rsidR="0021690D" w:rsidRPr="0021690D" w:rsidRDefault="0021690D" w:rsidP="0021690D">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rPr>
      </w:pPr>
      <w:r w:rsidRPr="0021690D">
        <w:rPr>
          <w:rFonts w:ascii="Times New Roman" w:hAnsi="Times New Roman" w:cs="Times New Roman"/>
          <w:sz w:val="24"/>
          <w:szCs w:val="24"/>
        </w:rPr>
        <w:t>Continue to implement, review and assess the APEC Consolidated Counter-Terrorism and Secure Trade Strategy as recognized in successive Leaders Declarations, Ministerial Joint Statements, and Ministers Responsible for Trade Statements;</w:t>
      </w:r>
    </w:p>
    <w:p w:rsidR="006F157A" w:rsidRPr="00635A7B" w:rsidRDefault="006F157A" w:rsidP="006F157A">
      <w:pPr>
        <w:autoSpaceDE w:val="0"/>
        <w:autoSpaceDN w:val="0"/>
        <w:adjustRightInd w:val="0"/>
        <w:spacing w:after="0" w:line="240" w:lineRule="auto"/>
        <w:ind w:left="1134"/>
        <w:jc w:val="both"/>
        <w:rPr>
          <w:rFonts w:ascii="Times New Roman" w:hAnsi="Times New Roman" w:cs="Times New Roman"/>
          <w:sz w:val="24"/>
          <w:szCs w:val="24"/>
        </w:rPr>
      </w:pPr>
    </w:p>
    <w:p w:rsidR="006F157A" w:rsidRPr="00577F62"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PH"/>
        </w:rPr>
      </w:pPr>
      <w:r w:rsidRPr="00577F62">
        <w:rPr>
          <w:rFonts w:ascii="Times New Roman" w:hAnsi="Times New Roman" w:cs="Times New Roman"/>
          <w:sz w:val="24"/>
          <w:szCs w:val="24"/>
          <w:lang w:val="en-PH"/>
        </w:rPr>
        <w:t>Increase cooperation with other APEC sub-fora on cross-cutting, counter-terrorism related issues;</w:t>
      </w:r>
    </w:p>
    <w:p w:rsidR="006F157A" w:rsidRPr="00635A7B" w:rsidRDefault="006F157A" w:rsidP="006F157A">
      <w:pPr>
        <w:autoSpaceDE w:val="0"/>
        <w:autoSpaceDN w:val="0"/>
        <w:adjustRightInd w:val="0"/>
        <w:spacing w:after="0" w:line="240" w:lineRule="auto"/>
        <w:ind w:left="1134"/>
        <w:jc w:val="both"/>
        <w:rPr>
          <w:rFonts w:ascii="Times New Roman" w:hAnsi="Times New Roman" w:cs="Times New Roman"/>
          <w:sz w:val="24"/>
          <w:szCs w:val="24"/>
          <w:lang w:val="en-AU"/>
        </w:rPr>
      </w:pPr>
    </w:p>
    <w:p w:rsidR="006F157A"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PH"/>
        </w:rPr>
      </w:pPr>
      <w:r w:rsidRPr="00635A7B">
        <w:rPr>
          <w:rFonts w:ascii="Times New Roman" w:hAnsi="Times New Roman" w:cs="Times New Roman"/>
          <w:sz w:val="24"/>
          <w:szCs w:val="24"/>
          <w:lang w:val="en-PH"/>
        </w:rPr>
        <w:lastRenderedPageBreak/>
        <w:t xml:space="preserve">Increase cooperation among APEC member economies to </w:t>
      </w:r>
      <w:r w:rsidR="003E6D4E">
        <w:rPr>
          <w:rFonts w:ascii="Times New Roman" w:hAnsi="Times New Roman" w:cs="Times New Roman"/>
          <w:sz w:val="24"/>
          <w:szCs w:val="24"/>
          <w:lang w:val="en-PH"/>
        </w:rPr>
        <w:t>understand</w:t>
      </w:r>
      <w:r w:rsidR="00DC4445">
        <w:rPr>
          <w:rFonts w:ascii="Times New Roman" w:hAnsi="Times New Roman" w:cs="Times New Roman"/>
          <w:sz w:val="24"/>
          <w:szCs w:val="24"/>
          <w:lang w:val="en-PH"/>
        </w:rPr>
        <w:t xml:space="preserve"> and </w:t>
      </w:r>
      <w:r w:rsidR="00081899">
        <w:rPr>
          <w:rFonts w:ascii="Times New Roman" w:hAnsi="Times New Roman" w:cs="Times New Roman"/>
          <w:sz w:val="24"/>
          <w:szCs w:val="24"/>
          <w:lang w:val="en-PH"/>
        </w:rPr>
        <w:t xml:space="preserve">take appropriate actions to </w:t>
      </w:r>
      <w:r w:rsidR="00DC4445">
        <w:rPr>
          <w:rFonts w:ascii="Times New Roman" w:hAnsi="Times New Roman" w:cs="Times New Roman"/>
          <w:sz w:val="24"/>
          <w:szCs w:val="24"/>
          <w:lang w:val="en-PH"/>
        </w:rPr>
        <w:t>address</w:t>
      </w:r>
      <w:r w:rsidR="00134A21">
        <w:rPr>
          <w:rFonts w:ascii="Times New Roman" w:hAnsi="Times New Roman" w:cs="Times New Roman"/>
          <w:sz w:val="24"/>
          <w:szCs w:val="24"/>
          <w:lang w:val="en-PH"/>
        </w:rPr>
        <w:t xml:space="preserve">: </w:t>
      </w:r>
      <w:r w:rsidR="00081899">
        <w:rPr>
          <w:rFonts w:ascii="Times New Roman" w:hAnsi="Times New Roman" w:cs="Times New Roman"/>
          <w:sz w:val="24"/>
          <w:szCs w:val="24"/>
          <w:lang w:val="en-PH"/>
        </w:rPr>
        <w:t xml:space="preserve"> </w:t>
      </w:r>
      <w:r w:rsidR="00DF447A">
        <w:rPr>
          <w:rFonts w:ascii="Times New Roman" w:hAnsi="Times New Roman" w:cs="Times New Roman"/>
          <w:sz w:val="24"/>
          <w:szCs w:val="24"/>
          <w:lang w:val="en-PH"/>
        </w:rPr>
        <w:t>(</w:t>
      </w:r>
      <w:proofErr w:type="spellStart"/>
      <w:r w:rsidR="00DF447A">
        <w:rPr>
          <w:rFonts w:ascii="Times New Roman" w:hAnsi="Times New Roman" w:cs="Times New Roman"/>
          <w:sz w:val="24"/>
          <w:szCs w:val="24"/>
          <w:lang w:val="en-PH"/>
        </w:rPr>
        <w:t>i</w:t>
      </w:r>
      <w:proofErr w:type="spellEnd"/>
      <w:r w:rsidR="00DF447A">
        <w:rPr>
          <w:rFonts w:ascii="Times New Roman" w:hAnsi="Times New Roman" w:cs="Times New Roman"/>
          <w:sz w:val="24"/>
          <w:szCs w:val="24"/>
          <w:lang w:val="en-PH"/>
        </w:rPr>
        <w:t xml:space="preserve">) </w:t>
      </w:r>
      <w:r w:rsidRPr="00635A7B">
        <w:rPr>
          <w:rFonts w:ascii="Times New Roman" w:hAnsi="Times New Roman" w:cs="Times New Roman"/>
          <w:sz w:val="24"/>
          <w:szCs w:val="24"/>
          <w:lang w:val="en-PH"/>
        </w:rPr>
        <w:t xml:space="preserve">the </w:t>
      </w:r>
      <w:r w:rsidR="003E6D4E">
        <w:rPr>
          <w:rFonts w:ascii="Times New Roman" w:hAnsi="Times New Roman" w:cs="Times New Roman"/>
          <w:sz w:val="24"/>
          <w:szCs w:val="24"/>
          <w:lang w:val="en-PH"/>
        </w:rPr>
        <w:t xml:space="preserve">impact of evolving </w:t>
      </w:r>
      <w:r w:rsidRPr="00635A7B">
        <w:rPr>
          <w:rFonts w:ascii="Times New Roman" w:hAnsi="Times New Roman" w:cs="Times New Roman"/>
          <w:sz w:val="24"/>
          <w:szCs w:val="24"/>
          <w:lang w:val="en-PH"/>
        </w:rPr>
        <w:t xml:space="preserve">terrorist threats </w:t>
      </w:r>
      <w:r w:rsidRPr="00B3134C">
        <w:rPr>
          <w:rFonts w:ascii="Times New Roman" w:hAnsi="Times New Roman" w:cs="Times New Roman"/>
          <w:sz w:val="24"/>
          <w:szCs w:val="24"/>
          <w:lang w:val="en-PH"/>
        </w:rPr>
        <w:t>including by ISIL, Al-Qaida and other terrorist groups, as well as foreign terrorist fighters</w:t>
      </w:r>
      <w:r w:rsidR="00184725">
        <w:rPr>
          <w:rFonts w:ascii="Times New Roman" w:hAnsi="Times New Roman" w:cs="Times New Roman"/>
          <w:sz w:val="24"/>
          <w:szCs w:val="24"/>
          <w:lang w:val="en-PH"/>
        </w:rPr>
        <w:t>;</w:t>
      </w:r>
      <w:r w:rsidRPr="00B3134C">
        <w:rPr>
          <w:rFonts w:ascii="Times New Roman" w:hAnsi="Times New Roman" w:cs="Times New Roman"/>
          <w:sz w:val="24"/>
          <w:szCs w:val="24"/>
          <w:lang w:val="en-PH"/>
        </w:rPr>
        <w:t xml:space="preserve"> </w:t>
      </w:r>
      <w:r w:rsidRPr="00635A7B">
        <w:rPr>
          <w:rFonts w:ascii="Times New Roman" w:hAnsi="Times New Roman" w:cs="Times New Roman"/>
          <w:sz w:val="24"/>
          <w:szCs w:val="24"/>
          <w:lang w:val="en-PH"/>
        </w:rPr>
        <w:t xml:space="preserve">and </w:t>
      </w:r>
      <w:r w:rsidR="00DF447A">
        <w:rPr>
          <w:rFonts w:ascii="Times New Roman" w:hAnsi="Times New Roman" w:cs="Times New Roman"/>
          <w:sz w:val="24"/>
          <w:szCs w:val="24"/>
          <w:lang w:val="en-PH"/>
        </w:rPr>
        <w:t xml:space="preserve">(ii) </w:t>
      </w:r>
      <w:r w:rsidRPr="00635A7B">
        <w:rPr>
          <w:rFonts w:ascii="Times New Roman" w:hAnsi="Times New Roman" w:cs="Times New Roman"/>
          <w:sz w:val="24"/>
          <w:szCs w:val="24"/>
          <w:lang w:val="en-PH"/>
        </w:rPr>
        <w:t xml:space="preserve">the </w:t>
      </w:r>
      <w:r w:rsidR="00A02DE2">
        <w:rPr>
          <w:rFonts w:ascii="Times New Roman" w:hAnsi="Times New Roman" w:cs="Times New Roman"/>
          <w:sz w:val="24"/>
          <w:szCs w:val="24"/>
          <w:lang w:val="en-PH"/>
        </w:rPr>
        <w:t>impact</w:t>
      </w:r>
      <w:r w:rsidR="00A02DE2" w:rsidRPr="00635A7B">
        <w:rPr>
          <w:rFonts w:ascii="Times New Roman" w:hAnsi="Times New Roman" w:cs="Times New Roman"/>
          <w:sz w:val="24"/>
          <w:szCs w:val="24"/>
          <w:lang w:val="en-PH"/>
        </w:rPr>
        <w:t xml:space="preserve"> </w:t>
      </w:r>
      <w:r w:rsidRPr="00635A7B">
        <w:rPr>
          <w:rFonts w:ascii="Times New Roman" w:hAnsi="Times New Roman" w:cs="Times New Roman"/>
          <w:sz w:val="24"/>
          <w:szCs w:val="24"/>
          <w:lang w:val="en-PH"/>
        </w:rPr>
        <w:t xml:space="preserve">of </w:t>
      </w:r>
      <w:r>
        <w:rPr>
          <w:rFonts w:ascii="Times New Roman" w:hAnsi="Times New Roman" w:cs="Times New Roman"/>
          <w:sz w:val="24"/>
          <w:szCs w:val="24"/>
          <w:lang w:val="en-PH"/>
        </w:rPr>
        <w:t>radicalization</w:t>
      </w:r>
      <w:r w:rsidR="003D72D5">
        <w:rPr>
          <w:rFonts w:ascii="Times New Roman" w:hAnsi="Times New Roman" w:cs="Times New Roman"/>
          <w:sz w:val="24"/>
          <w:szCs w:val="24"/>
          <w:lang w:val="en-PH"/>
        </w:rPr>
        <w:t xml:space="preserve"> to violence</w:t>
      </w:r>
      <w:r>
        <w:rPr>
          <w:rFonts w:ascii="Times New Roman" w:hAnsi="Times New Roman" w:cs="Times New Roman"/>
          <w:sz w:val="24"/>
          <w:szCs w:val="24"/>
          <w:lang w:val="en-PH"/>
        </w:rPr>
        <w:t xml:space="preserve"> </w:t>
      </w:r>
      <w:r w:rsidR="00221D82">
        <w:rPr>
          <w:rFonts w:ascii="Times New Roman" w:hAnsi="Times New Roman" w:cs="Times New Roman"/>
          <w:sz w:val="24"/>
          <w:szCs w:val="24"/>
          <w:lang w:val="en-PH"/>
        </w:rPr>
        <w:t xml:space="preserve">and violent extremism as and when </w:t>
      </w:r>
      <w:r>
        <w:rPr>
          <w:rFonts w:ascii="Times New Roman" w:hAnsi="Times New Roman" w:cs="Times New Roman"/>
          <w:sz w:val="24"/>
          <w:szCs w:val="24"/>
          <w:lang w:val="en-PH"/>
        </w:rPr>
        <w:t>conducive to terrorism</w:t>
      </w:r>
      <w:r w:rsidR="00E60240">
        <w:rPr>
          <w:rFonts w:ascii="Times New Roman" w:hAnsi="Times New Roman" w:cs="Times New Roman"/>
          <w:sz w:val="24"/>
          <w:szCs w:val="24"/>
          <w:lang w:val="en-PH"/>
        </w:rPr>
        <w:t xml:space="preserve"> </w:t>
      </w:r>
      <w:r w:rsidR="00A02DE2">
        <w:rPr>
          <w:rFonts w:ascii="Times New Roman" w:hAnsi="Times New Roman" w:cs="Times New Roman"/>
          <w:sz w:val="24"/>
          <w:szCs w:val="24"/>
          <w:lang w:val="en-PH"/>
        </w:rPr>
        <w:t>on</w:t>
      </w:r>
      <w:r w:rsidR="00E60240">
        <w:rPr>
          <w:rFonts w:ascii="Times New Roman" w:hAnsi="Times New Roman" w:cs="Times New Roman"/>
          <w:sz w:val="24"/>
          <w:szCs w:val="24"/>
          <w:lang w:val="en-PH"/>
        </w:rPr>
        <w:t xml:space="preserve"> their economies</w:t>
      </w:r>
      <w:r w:rsidRPr="00635A7B">
        <w:rPr>
          <w:rFonts w:ascii="Times New Roman" w:hAnsi="Times New Roman" w:cs="Times New Roman"/>
          <w:sz w:val="24"/>
          <w:szCs w:val="24"/>
          <w:lang w:val="en-PH"/>
        </w:rPr>
        <w:t xml:space="preserve">, </w:t>
      </w:r>
      <w:r w:rsidR="003E6D4E">
        <w:rPr>
          <w:rFonts w:ascii="Times New Roman" w:hAnsi="Times New Roman" w:cs="Times New Roman"/>
          <w:sz w:val="24"/>
          <w:szCs w:val="24"/>
          <w:lang w:val="en-PH"/>
        </w:rPr>
        <w:t xml:space="preserve">including </w:t>
      </w:r>
      <w:r w:rsidR="00134A21">
        <w:rPr>
          <w:rFonts w:ascii="Times New Roman" w:hAnsi="Times New Roman" w:cs="Times New Roman"/>
          <w:sz w:val="24"/>
          <w:szCs w:val="24"/>
          <w:lang w:val="en-PH"/>
        </w:rPr>
        <w:t>increasing risk to soft targets</w:t>
      </w:r>
      <w:r w:rsidR="00E60240">
        <w:rPr>
          <w:rFonts w:ascii="Times New Roman" w:hAnsi="Times New Roman" w:cs="Times New Roman"/>
          <w:sz w:val="24"/>
          <w:szCs w:val="24"/>
          <w:lang w:val="en-PH"/>
        </w:rPr>
        <w:t xml:space="preserve">, </w:t>
      </w:r>
      <w:r w:rsidR="00134A21">
        <w:rPr>
          <w:rFonts w:ascii="Times New Roman" w:hAnsi="Times New Roman" w:cs="Times New Roman"/>
          <w:sz w:val="24"/>
          <w:szCs w:val="24"/>
          <w:lang w:val="en-PH"/>
        </w:rPr>
        <w:t xml:space="preserve">in order </w:t>
      </w:r>
      <w:r w:rsidRPr="00635A7B">
        <w:rPr>
          <w:rFonts w:ascii="Times New Roman" w:hAnsi="Times New Roman" w:cs="Times New Roman"/>
          <w:sz w:val="24"/>
          <w:szCs w:val="24"/>
          <w:lang w:val="en-PH"/>
        </w:rPr>
        <w:t>to promote the security and resilience of businesses and communities;</w:t>
      </w:r>
      <w:r w:rsidRPr="00577F62">
        <w:rPr>
          <w:rFonts w:ascii="Times New Roman" w:hAnsi="Times New Roman" w:cs="Times New Roman"/>
          <w:sz w:val="24"/>
          <w:szCs w:val="24"/>
          <w:lang w:val="en-PH"/>
        </w:rPr>
        <w:t xml:space="preserve"> </w:t>
      </w:r>
    </w:p>
    <w:p w:rsidR="00134A21" w:rsidRDefault="00134A21" w:rsidP="004505CA">
      <w:pPr>
        <w:autoSpaceDE w:val="0"/>
        <w:autoSpaceDN w:val="0"/>
        <w:adjustRightInd w:val="0"/>
        <w:spacing w:after="0" w:line="240" w:lineRule="auto"/>
        <w:jc w:val="both"/>
        <w:rPr>
          <w:rFonts w:ascii="Times New Roman" w:hAnsi="Times New Roman" w:cs="Times New Roman"/>
          <w:sz w:val="24"/>
          <w:szCs w:val="24"/>
          <w:lang w:val="en-PH"/>
        </w:rPr>
      </w:pPr>
    </w:p>
    <w:p w:rsidR="006F157A" w:rsidRPr="003841B3"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PH"/>
        </w:rPr>
      </w:pPr>
      <w:r w:rsidRPr="003841B3">
        <w:rPr>
          <w:rFonts w:ascii="Times New Roman" w:hAnsi="Times New Roman" w:cs="Times New Roman"/>
          <w:sz w:val="24"/>
          <w:szCs w:val="24"/>
          <w:lang w:val="en-PH"/>
        </w:rPr>
        <w:t>I</w:t>
      </w:r>
      <w:r w:rsidRPr="00970D3F">
        <w:rPr>
          <w:rFonts w:ascii="Times New Roman" w:hAnsi="Times New Roman" w:cs="Times New Roman"/>
          <w:sz w:val="24"/>
          <w:szCs w:val="24"/>
          <w:lang w:val="en-PH"/>
        </w:rPr>
        <w:t xml:space="preserve">ncrease </w:t>
      </w:r>
      <w:r>
        <w:rPr>
          <w:rFonts w:ascii="Times New Roman" w:hAnsi="Times New Roman" w:cs="Times New Roman"/>
          <w:sz w:val="24"/>
          <w:szCs w:val="24"/>
          <w:lang w:val="en-PH"/>
        </w:rPr>
        <w:t>m</w:t>
      </w:r>
      <w:r w:rsidRPr="00970D3F">
        <w:rPr>
          <w:rFonts w:ascii="Times New Roman" w:hAnsi="Times New Roman" w:cs="Times New Roman"/>
          <w:sz w:val="24"/>
          <w:szCs w:val="24"/>
          <w:lang w:val="en-PH"/>
        </w:rPr>
        <w:t xml:space="preserve">ember </w:t>
      </w:r>
      <w:r>
        <w:rPr>
          <w:rFonts w:ascii="Times New Roman" w:hAnsi="Times New Roman" w:cs="Times New Roman"/>
          <w:sz w:val="24"/>
          <w:szCs w:val="24"/>
          <w:lang w:val="en-PH"/>
        </w:rPr>
        <w:t>e</w:t>
      </w:r>
      <w:r w:rsidRPr="00970D3F">
        <w:rPr>
          <w:rFonts w:ascii="Times New Roman" w:hAnsi="Times New Roman" w:cs="Times New Roman"/>
          <w:sz w:val="24"/>
          <w:szCs w:val="24"/>
          <w:lang w:val="en-PH"/>
        </w:rPr>
        <w:t xml:space="preserve">conomy capacity to disrupt the flow of </w:t>
      </w:r>
      <w:r w:rsidRPr="003841B3">
        <w:rPr>
          <w:rFonts w:ascii="Times New Roman" w:hAnsi="Times New Roman" w:cs="Times New Roman"/>
          <w:sz w:val="24"/>
          <w:szCs w:val="24"/>
          <w:lang w:val="en-PH"/>
        </w:rPr>
        <w:t xml:space="preserve">foreign </w:t>
      </w:r>
      <w:r w:rsidRPr="00970D3F">
        <w:rPr>
          <w:rFonts w:ascii="Times New Roman" w:hAnsi="Times New Roman" w:cs="Times New Roman"/>
          <w:sz w:val="24"/>
          <w:szCs w:val="24"/>
          <w:lang w:val="en-PH"/>
        </w:rPr>
        <w:t>terrorist fighters (FTFs) within the region without interrupting the movement of bona-fide i</w:t>
      </w:r>
      <w:r>
        <w:rPr>
          <w:rFonts w:ascii="Times New Roman" w:hAnsi="Times New Roman" w:cs="Times New Roman"/>
          <w:sz w:val="24"/>
          <w:szCs w:val="24"/>
          <w:lang w:val="en-PH"/>
        </w:rPr>
        <w:t>nternational travelers between e</w:t>
      </w:r>
      <w:r w:rsidRPr="00970D3F">
        <w:rPr>
          <w:rFonts w:ascii="Times New Roman" w:hAnsi="Times New Roman" w:cs="Times New Roman"/>
          <w:sz w:val="24"/>
          <w:szCs w:val="24"/>
          <w:lang w:val="en-PH"/>
        </w:rPr>
        <w:t xml:space="preserve">conomies, </w:t>
      </w:r>
      <w:r w:rsidRPr="009F4716">
        <w:rPr>
          <w:rFonts w:ascii="Times New Roman" w:hAnsi="Times New Roman" w:cs="Times New Roman"/>
          <w:sz w:val="24"/>
          <w:szCs w:val="24"/>
          <w:lang w:val="en-PH"/>
        </w:rPr>
        <w:t xml:space="preserve">and promote exchange of information </w:t>
      </w:r>
      <w:r>
        <w:rPr>
          <w:rFonts w:ascii="Times New Roman" w:hAnsi="Times New Roman" w:cs="Times New Roman"/>
          <w:sz w:val="24"/>
          <w:szCs w:val="24"/>
          <w:lang w:val="en-PH"/>
        </w:rPr>
        <w:t xml:space="preserve">between special and law enforcement agencies of APEC Economies </w:t>
      </w:r>
      <w:r w:rsidRPr="009F4716">
        <w:rPr>
          <w:rFonts w:ascii="Times New Roman" w:hAnsi="Times New Roman" w:cs="Times New Roman"/>
          <w:sz w:val="24"/>
          <w:szCs w:val="24"/>
          <w:lang w:val="en-PH"/>
        </w:rPr>
        <w:t>regarding actions/movements of terrorist organizations and individuals;</w:t>
      </w:r>
    </w:p>
    <w:p w:rsidR="006F157A" w:rsidRPr="003841B3" w:rsidRDefault="006F157A" w:rsidP="006F157A">
      <w:pPr>
        <w:autoSpaceDE w:val="0"/>
        <w:autoSpaceDN w:val="0"/>
        <w:adjustRightInd w:val="0"/>
        <w:spacing w:after="0" w:line="240" w:lineRule="auto"/>
        <w:ind w:left="1134"/>
        <w:jc w:val="both"/>
        <w:rPr>
          <w:rFonts w:ascii="Times New Roman" w:hAnsi="Times New Roman" w:cs="Times New Roman"/>
          <w:sz w:val="24"/>
          <w:szCs w:val="24"/>
          <w:lang w:val="en-PH"/>
        </w:rPr>
      </w:pPr>
    </w:p>
    <w:p w:rsidR="006F157A" w:rsidRPr="003841B3"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PH"/>
        </w:rPr>
      </w:pPr>
      <w:r w:rsidRPr="009F4716">
        <w:rPr>
          <w:rFonts w:ascii="Times New Roman" w:hAnsi="Times New Roman" w:cs="Times New Roman"/>
          <w:sz w:val="24"/>
          <w:szCs w:val="24"/>
          <w:lang w:val="en-PH"/>
        </w:rPr>
        <w:t xml:space="preserve">Increase cooperation and technical assistance among APEC member economies </w:t>
      </w:r>
      <w:r w:rsidRPr="003841B3">
        <w:rPr>
          <w:rFonts w:ascii="Times New Roman" w:hAnsi="Times New Roman" w:cs="Times New Roman"/>
          <w:sz w:val="24"/>
          <w:szCs w:val="24"/>
          <w:lang w:val="en-PH"/>
        </w:rPr>
        <w:t>in their efforts to implement the Advance Passenger Information and Passenger Name Record (API/PNR) programs to secure and facilitate legi</w:t>
      </w:r>
      <w:r w:rsidR="0021690D">
        <w:rPr>
          <w:rFonts w:ascii="Times New Roman" w:hAnsi="Times New Roman" w:cs="Times New Roman"/>
          <w:sz w:val="24"/>
          <w:szCs w:val="24"/>
          <w:lang w:val="en-PH"/>
        </w:rPr>
        <w:t>timate travel within the region;</w:t>
      </w:r>
    </w:p>
    <w:p w:rsidR="006F157A" w:rsidRPr="00970D3F"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Improve m</w:t>
      </w:r>
      <w:r w:rsidRPr="00970D3F">
        <w:rPr>
          <w:rFonts w:ascii="Times New Roman" w:hAnsi="Times New Roman" w:cs="Times New Roman"/>
          <w:sz w:val="24"/>
          <w:szCs w:val="24"/>
        </w:rPr>
        <w:t xml:space="preserve">ember </w:t>
      </w:r>
      <w:r>
        <w:rPr>
          <w:rFonts w:ascii="Times New Roman" w:hAnsi="Times New Roman" w:cs="Times New Roman"/>
          <w:sz w:val="24"/>
          <w:szCs w:val="24"/>
          <w:lang w:val="en-AU"/>
        </w:rPr>
        <w:t>e</w:t>
      </w:r>
      <w:r w:rsidRPr="00970D3F">
        <w:rPr>
          <w:rFonts w:ascii="Times New Roman" w:hAnsi="Times New Roman" w:cs="Times New Roman"/>
          <w:sz w:val="24"/>
          <w:szCs w:val="24"/>
        </w:rPr>
        <w:t xml:space="preserve">conomy capacity to </w:t>
      </w:r>
      <w:r>
        <w:rPr>
          <w:rFonts w:ascii="Times New Roman" w:hAnsi="Times New Roman" w:cs="Times New Roman"/>
          <w:sz w:val="24"/>
          <w:szCs w:val="24"/>
          <w:lang w:val="en-AU"/>
        </w:rPr>
        <w:t xml:space="preserve">prevent and </w:t>
      </w:r>
      <w:r w:rsidR="00B977F7">
        <w:rPr>
          <w:rFonts w:ascii="Times New Roman" w:hAnsi="Times New Roman" w:cs="Times New Roman"/>
          <w:sz w:val="24"/>
          <w:szCs w:val="24"/>
          <w:lang w:val="en-AU"/>
        </w:rPr>
        <w:t>counter</w:t>
      </w:r>
      <w:r w:rsidRPr="009F4716">
        <w:rPr>
          <w:rFonts w:ascii="Times New Roman" w:hAnsi="Times New Roman" w:cs="Times New Roman"/>
          <w:sz w:val="24"/>
          <w:szCs w:val="24"/>
        </w:rPr>
        <w:t xml:space="preserve"> </w:t>
      </w:r>
      <w:r w:rsidRPr="009F4716">
        <w:rPr>
          <w:rFonts w:ascii="Times New Roman" w:hAnsi="Times New Roman" w:cs="Times New Roman"/>
          <w:sz w:val="24"/>
          <w:szCs w:val="24"/>
          <w:lang w:val="en-AU"/>
        </w:rPr>
        <w:t>terrorist</w:t>
      </w:r>
      <w:r w:rsidRPr="009F4716">
        <w:rPr>
          <w:rFonts w:ascii="Times New Roman" w:hAnsi="Times New Roman" w:cs="Times New Roman"/>
          <w:sz w:val="24"/>
          <w:szCs w:val="24"/>
        </w:rPr>
        <w:t xml:space="preserve"> financing</w:t>
      </w:r>
      <w:r w:rsidR="00010208">
        <w:rPr>
          <w:rFonts w:ascii="Times New Roman" w:hAnsi="Times New Roman" w:cs="Times New Roman"/>
          <w:sz w:val="24"/>
          <w:szCs w:val="24"/>
          <w:lang w:val="en-US"/>
        </w:rPr>
        <w:t>,</w:t>
      </w:r>
      <w:r>
        <w:rPr>
          <w:rFonts w:ascii="Times New Roman" w:hAnsi="Times New Roman" w:cs="Times New Roman"/>
          <w:sz w:val="24"/>
          <w:szCs w:val="24"/>
          <w:lang w:val="en-AU"/>
        </w:rPr>
        <w:t xml:space="preserve"> including by </w:t>
      </w:r>
      <w:r w:rsidRPr="00B25B96">
        <w:rPr>
          <w:rFonts w:ascii="Times New Roman" w:hAnsi="Times New Roman" w:cs="Times New Roman"/>
          <w:sz w:val="24"/>
          <w:szCs w:val="24"/>
        </w:rPr>
        <w:t>ISIL</w:t>
      </w:r>
      <w:r w:rsidR="00010208">
        <w:rPr>
          <w:rFonts w:ascii="Times New Roman" w:hAnsi="Times New Roman" w:cs="Times New Roman"/>
          <w:sz w:val="24"/>
          <w:szCs w:val="24"/>
          <w:lang w:val="en-US"/>
        </w:rPr>
        <w:t xml:space="preserve"> and</w:t>
      </w:r>
      <w:r w:rsidRPr="00B25B96">
        <w:rPr>
          <w:rFonts w:ascii="Times New Roman" w:hAnsi="Times New Roman" w:cs="Times New Roman"/>
          <w:sz w:val="24"/>
          <w:szCs w:val="24"/>
        </w:rPr>
        <w:t xml:space="preserve"> foreign terrorist fighters</w:t>
      </w:r>
      <w:r>
        <w:rPr>
          <w:rFonts w:ascii="Times New Roman" w:hAnsi="Times New Roman" w:cs="Times New Roman"/>
          <w:sz w:val="24"/>
          <w:szCs w:val="24"/>
          <w:lang w:val="en-AU"/>
        </w:rPr>
        <w:t>,</w:t>
      </w:r>
      <w:r w:rsidRPr="00970D3F">
        <w:rPr>
          <w:rFonts w:ascii="Times New Roman" w:hAnsi="Times New Roman" w:cs="Times New Roman"/>
          <w:sz w:val="24"/>
          <w:szCs w:val="24"/>
        </w:rPr>
        <w:t xml:space="preserve"> without impacting on th</w:t>
      </w:r>
      <w:r w:rsidR="0021690D">
        <w:rPr>
          <w:rFonts w:ascii="Times New Roman" w:hAnsi="Times New Roman" w:cs="Times New Roman"/>
          <w:sz w:val="24"/>
          <w:szCs w:val="24"/>
        </w:rPr>
        <w:t>e free flow of legitimate trade</w:t>
      </w:r>
      <w:r w:rsidR="002E39DB">
        <w:rPr>
          <w:rFonts w:ascii="Times New Roman" w:hAnsi="Times New Roman" w:cs="Times New Roman"/>
          <w:sz w:val="24"/>
          <w:szCs w:val="24"/>
          <w:lang w:val="en-US"/>
        </w:rPr>
        <w:t xml:space="preserve"> in accordance with international law and standards</w:t>
      </w:r>
      <w:r w:rsidR="0021690D">
        <w:rPr>
          <w:rFonts w:ascii="Times New Roman" w:hAnsi="Times New Roman" w:cs="Times New Roman"/>
          <w:sz w:val="24"/>
          <w:szCs w:val="24"/>
        </w:rPr>
        <w:t>;</w:t>
      </w:r>
      <w:r w:rsidR="00010208">
        <w:rPr>
          <w:rFonts w:ascii="Times New Roman" w:hAnsi="Times New Roman" w:cs="Times New Roman"/>
          <w:sz w:val="24"/>
          <w:szCs w:val="24"/>
          <w:lang w:val="en-US"/>
        </w:rPr>
        <w:t xml:space="preserve"> </w:t>
      </w:r>
    </w:p>
    <w:p w:rsidR="006F157A"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D00D33" w:rsidRPr="00B3134C" w:rsidRDefault="006F157A" w:rsidP="006F157A">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Improve m</w:t>
      </w:r>
      <w:r w:rsidRPr="00970D3F">
        <w:rPr>
          <w:rFonts w:ascii="Times New Roman" w:hAnsi="Times New Roman" w:cs="Times New Roman"/>
          <w:sz w:val="24"/>
          <w:szCs w:val="24"/>
        </w:rPr>
        <w:t xml:space="preserve">ember </w:t>
      </w:r>
      <w:r w:rsidRPr="00A27C58">
        <w:rPr>
          <w:rFonts w:ascii="Times New Roman" w:hAnsi="Times New Roman" w:cs="Times New Roman"/>
          <w:sz w:val="24"/>
          <w:szCs w:val="24"/>
        </w:rPr>
        <w:t>e</w:t>
      </w:r>
      <w:r w:rsidRPr="00970D3F">
        <w:rPr>
          <w:rFonts w:ascii="Times New Roman" w:hAnsi="Times New Roman" w:cs="Times New Roman"/>
          <w:sz w:val="24"/>
          <w:szCs w:val="24"/>
        </w:rPr>
        <w:t xml:space="preserve">conomy capacity to </w:t>
      </w:r>
      <w:r w:rsidRPr="00A27C58">
        <w:rPr>
          <w:rFonts w:ascii="Times New Roman" w:hAnsi="Times New Roman" w:cs="Times New Roman"/>
          <w:sz w:val="24"/>
          <w:szCs w:val="24"/>
        </w:rPr>
        <w:t xml:space="preserve">ensure the resilience, and security against </w:t>
      </w:r>
      <w:r>
        <w:rPr>
          <w:rFonts w:ascii="Times New Roman" w:hAnsi="Times New Roman" w:cs="Times New Roman"/>
          <w:sz w:val="24"/>
          <w:szCs w:val="24"/>
          <w:lang w:val="en-AU"/>
        </w:rPr>
        <w:t>misuse,</w:t>
      </w:r>
      <w:r>
        <w:rPr>
          <w:rFonts w:ascii="Times New Roman" w:hAnsi="Times New Roman" w:cs="Times New Roman"/>
          <w:sz w:val="24"/>
          <w:szCs w:val="24"/>
        </w:rPr>
        <w:t xml:space="preserve"> attack</w:t>
      </w:r>
      <w:r>
        <w:rPr>
          <w:rFonts w:ascii="Times New Roman" w:hAnsi="Times New Roman" w:cs="Times New Roman"/>
          <w:sz w:val="24"/>
          <w:szCs w:val="24"/>
          <w:lang w:val="en-AU"/>
        </w:rPr>
        <w:t xml:space="preserve">, </w:t>
      </w:r>
      <w:r w:rsidRPr="00A27C58">
        <w:rPr>
          <w:rFonts w:ascii="Times New Roman" w:hAnsi="Times New Roman" w:cs="Times New Roman"/>
          <w:sz w:val="24"/>
          <w:szCs w:val="24"/>
        </w:rPr>
        <w:t>and</w:t>
      </w:r>
      <w:r>
        <w:rPr>
          <w:rFonts w:ascii="Times New Roman" w:hAnsi="Times New Roman" w:cs="Times New Roman"/>
          <w:sz w:val="24"/>
          <w:szCs w:val="24"/>
        </w:rPr>
        <w:t xml:space="preserve"> disruption</w:t>
      </w:r>
      <w:r>
        <w:rPr>
          <w:rFonts w:ascii="Times New Roman" w:hAnsi="Times New Roman" w:cs="Times New Roman"/>
          <w:sz w:val="24"/>
          <w:szCs w:val="24"/>
          <w:lang w:val="en-AU"/>
        </w:rPr>
        <w:t>,</w:t>
      </w:r>
      <w:r w:rsidRPr="00A27C58">
        <w:rPr>
          <w:rFonts w:ascii="Times New Roman" w:hAnsi="Times New Roman" w:cs="Times New Roman"/>
          <w:sz w:val="24"/>
          <w:szCs w:val="24"/>
        </w:rPr>
        <w:t xml:space="preserve"> of critical infrastructure</w:t>
      </w:r>
      <w:r>
        <w:rPr>
          <w:rFonts w:ascii="Times New Roman" w:hAnsi="Times New Roman" w:cs="Times New Roman"/>
          <w:sz w:val="24"/>
          <w:szCs w:val="24"/>
        </w:rPr>
        <w:t xml:space="preserve">, </w:t>
      </w:r>
      <w:r w:rsidRPr="00A27C58">
        <w:rPr>
          <w:rFonts w:ascii="Times New Roman" w:hAnsi="Times New Roman" w:cs="Times New Roman"/>
          <w:sz w:val="24"/>
          <w:szCs w:val="24"/>
        </w:rPr>
        <w:t>which supports and enables economic activity across the APEC region</w:t>
      </w:r>
      <w:r w:rsidR="0021690D">
        <w:rPr>
          <w:rFonts w:ascii="Times New Roman" w:hAnsi="Times New Roman" w:cs="Times New Roman"/>
          <w:sz w:val="24"/>
          <w:szCs w:val="24"/>
          <w:lang w:val="en-AU"/>
        </w:rPr>
        <w:t>;</w:t>
      </w:r>
    </w:p>
    <w:p w:rsidR="004F4B12" w:rsidRDefault="004F4B12" w:rsidP="00D00D33">
      <w:pPr>
        <w:autoSpaceDE w:val="0"/>
        <w:autoSpaceDN w:val="0"/>
        <w:adjustRightInd w:val="0"/>
        <w:spacing w:after="0" w:line="240" w:lineRule="auto"/>
        <w:ind w:left="1134"/>
        <w:jc w:val="both"/>
      </w:pPr>
    </w:p>
    <w:p w:rsidR="004F4B12" w:rsidRPr="004F4B12" w:rsidRDefault="004F4B12" w:rsidP="004F4B12">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AU"/>
        </w:rPr>
      </w:pPr>
      <w:r w:rsidRPr="004F4B12">
        <w:rPr>
          <w:rFonts w:ascii="Times New Roman" w:hAnsi="Times New Roman" w:cs="Times New Roman"/>
          <w:sz w:val="24"/>
          <w:szCs w:val="24"/>
          <w:lang w:val="en-AU"/>
        </w:rPr>
        <w:t>Strengthen counter-terrorism related cooperation with the private sector and with relevant multilateral organizations; and</w:t>
      </w:r>
    </w:p>
    <w:p w:rsidR="004F4B12" w:rsidRPr="004F4B12" w:rsidRDefault="004F4B12" w:rsidP="004F4B12">
      <w:pPr>
        <w:autoSpaceDE w:val="0"/>
        <w:autoSpaceDN w:val="0"/>
        <w:adjustRightInd w:val="0"/>
        <w:spacing w:after="0" w:line="240" w:lineRule="auto"/>
        <w:ind w:left="1134"/>
        <w:jc w:val="both"/>
        <w:rPr>
          <w:rFonts w:ascii="Times New Roman" w:hAnsi="Times New Roman" w:cs="Times New Roman"/>
          <w:sz w:val="24"/>
          <w:szCs w:val="24"/>
          <w:lang w:val="en-AU"/>
        </w:rPr>
      </w:pPr>
    </w:p>
    <w:p w:rsidR="004F4B12" w:rsidRPr="004F4B12" w:rsidRDefault="004F4B12" w:rsidP="00853952">
      <w:pPr>
        <w:numPr>
          <w:ilvl w:val="0"/>
          <w:numId w:val="20"/>
        </w:numPr>
        <w:autoSpaceDE w:val="0"/>
        <w:autoSpaceDN w:val="0"/>
        <w:adjustRightInd w:val="0"/>
        <w:spacing w:after="0" w:line="240" w:lineRule="auto"/>
        <w:ind w:left="1134" w:hanging="850"/>
        <w:jc w:val="both"/>
        <w:rPr>
          <w:rFonts w:ascii="Times New Roman" w:hAnsi="Times New Roman" w:cs="Times New Roman"/>
          <w:sz w:val="24"/>
          <w:szCs w:val="24"/>
          <w:lang w:val="en-AU"/>
        </w:rPr>
      </w:pPr>
      <w:r w:rsidRPr="004F4B12">
        <w:rPr>
          <w:rFonts w:ascii="Times New Roman" w:hAnsi="Times New Roman" w:cs="Times New Roman"/>
          <w:sz w:val="24"/>
          <w:szCs w:val="24"/>
          <w:lang w:val="en-AU"/>
        </w:rPr>
        <w:t>Foster whole-of-government approaches within APEC economies, as well as enhance cooperation and coordination among economies and relevant APEC sub-fora.</w:t>
      </w:r>
    </w:p>
    <w:p w:rsidR="004F4B12" w:rsidRDefault="004F4B12" w:rsidP="004F4B12">
      <w:pPr>
        <w:autoSpaceDE w:val="0"/>
        <w:autoSpaceDN w:val="0"/>
        <w:adjustRightInd w:val="0"/>
        <w:spacing w:after="0" w:line="240" w:lineRule="auto"/>
        <w:jc w:val="both"/>
        <w:rPr>
          <w:rFonts w:ascii="Times New Roman" w:hAnsi="Times New Roman" w:cs="Times New Roman"/>
          <w:sz w:val="24"/>
          <w:szCs w:val="24"/>
        </w:rPr>
      </w:pPr>
    </w:p>
    <w:p w:rsidR="004F4B12" w:rsidRPr="004F4B12" w:rsidRDefault="004F4B12" w:rsidP="004F4B12">
      <w:pPr>
        <w:autoSpaceDE w:val="0"/>
        <w:autoSpaceDN w:val="0"/>
        <w:adjustRightInd w:val="0"/>
        <w:spacing w:after="0" w:line="240" w:lineRule="auto"/>
        <w:jc w:val="both"/>
        <w:rPr>
          <w:rFonts w:ascii="Times New Roman" w:hAnsi="Times New Roman" w:cs="Times New Roman"/>
          <w:sz w:val="24"/>
          <w:szCs w:val="24"/>
        </w:rPr>
      </w:pPr>
      <w:r w:rsidRPr="004F4B12">
        <w:rPr>
          <w:rFonts w:ascii="Times New Roman" w:hAnsi="Times New Roman" w:cs="Times New Roman"/>
          <w:sz w:val="24"/>
          <w:szCs w:val="24"/>
        </w:rPr>
        <w:t xml:space="preserve"> </w:t>
      </w: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Cross-cutting issues and how they will be coordinated across sub-fora</w:t>
      </w:r>
    </w:p>
    <w:p w:rsidR="006F157A" w:rsidRPr="00577F62" w:rsidRDefault="006F157A" w:rsidP="006F157A">
      <w:pPr>
        <w:pStyle w:val="ListParagraph"/>
        <w:spacing w:after="0"/>
        <w:ind w:left="450"/>
        <w:jc w:val="both"/>
        <w:rPr>
          <w:rFonts w:ascii="Times New Roman" w:hAnsi="Times New Roman" w:cs="Times New Roman"/>
          <w:sz w:val="24"/>
          <w:szCs w:val="24"/>
        </w:rPr>
      </w:pPr>
    </w:p>
    <w:p w:rsidR="006F157A" w:rsidRPr="00635A7B"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r w:rsidRPr="00635A7B">
        <w:rPr>
          <w:rFonts w:ascii="Times New Roman" w:hAnsi="Times New Roman" w:cs="Times New Roman"/>
          <w:sz w:val="24"/>
          <w:szCs w:val="24"/>
        </w:rPr>
        <w:t>The CTWG recognizes that elements of APEC’s work on counter-terrorism and secure trade and travel are spread out across a number of APEC sub-fora.</w:t>
      </w:r>
      <w:r w:rsidRPr="00635A7B">
        <w:rPr>
          <w:rFonts w:ascii="Times New Roman" w:hAnsi="Times New Roman" w:cs="Times New Roman"/>
          <w:sz w:val="24"/>
          <w:szCs w:val="24"/>
          <w:lang w:val="en-AU"/>
        </w:rPr>
        <w:t xml:space="preserve"> </w:t>
      </w:r>
      <w:r w:rsidRPr="00635A7B">
        <w:rPr>
          <w:rFonts w:ascii="Times New Roman" w:hAnsi="Times New Roman" w:cs="Times New Roman"/>
          <w:sz w:val="24"/>
          <w:szCs w:val="24"/>
        </w:rPr>
        <w:t xml:space="preserve">As set forth in the APEC </w:t>
      </w:r>
      <w:r w:rsidRPr="00E4261E">
        <w:rPr>
          <w:rFonts w:ascii="Times New Roman" w:hAnsi="Times New Roman" w:cs="Times New Roman"/>
          <w:sz w:val="24"/>
          <w:szCs w:val="24"/>
        </w:rPr>
        <w:t xml:space="preserve">Consolidated </w:t>
      </w:r>
      <w:r w:rsidRPr="00635A7B">
        <w:rPr>
          <w:rFonts w:ascii="Times New Roman" w:hAnsi="Times New Roman" w:cs="Times New Roman"/>
          <w:sz w:val="24"/>
          <w:szCs w:val="24"/>
        </w:rPr>
        <w:t>Counter-Terrorism and Secure Trade Strategy, the CTWG will consult and cooperate among relevant APEC sub-fora on issues related to counter</w:t>
      </w:r>
      <w:r>
        <w:rPr>
          <w:rFonts w:ascii="Times New Roman" w:hAnsi="Times New Roman" w:cs="Times New Roman"/>
          <w:sz w:val="24"/>
          <w:szCs w:val="24"/>
          <w:lang w:val="en-AU"/>
        </w:rPr>
        <w:t>-</w:t>
      </w:r>
      <w:r w:rsidRPr="00635A7B">
        <w:rPr>
          <w:rFonts w:ascii="Times New Roman" w:hAnsi="Times New Roman" w:cs="Times New Roman"/>
          <w:sz w:val="24"/>
          <w:szCs w:val="24"/>
        </w:rPr>
        <w:t>terrorism and secure trade</w:t>
      </w:r>
      <w:r w:rsidRPr="00635A7B">
        <w:rPr>
          <w:rFonts w:ascii="Times New Roman" w:hAnsi="Times New Roman" w:cs="Times New Roman"/>
          <w:sz w:val="24"/>
          <w:szCs w:val="24"/>
          <w:lang w:val="en-AU"/>
        </w:rPr>
        <w:t xml:space="preserve"> and travel</w:t>
      </w:r>
      <w:r w:rsidRPr="00635A7B">
        <w:rPr>
          <w:rFonts w:ascii="Times New Roman" w:hAnsi="Times New Roman" w:cs="Times New Roman"/>
          <w:sz w:val="24"/>
          <w:szCs w:val="24"/>
        </w:rPr>
        <w:t>, and work to improve effectiveness in this regard. This could include holding regular briefings by the chairs of the CTWG and other relevant APEC sub-fora at each other’s meetings; convening joint meetings and/or scheduling of joint discussions during CTWG meetings; collaborative planni</w:t>
      </w:r>
      <w:r w:rsidRPr="00577F62">
        <w:rPr>
          <w:rFonts w:ascii="Times New Roman" w:hAnsi="Times New Roman" w:cs="Times New Roman"/>
          <w:sz w:val="24"/>
          <w:szCs w:val="24"/>
        </w:rPr>
        <w:t>ng and coordination of capacity-</w:t>
      </w:r>
      <w:r w:rsidRPr="00635A7B">
        <w:rPr>
          <w:rFonts w:ascii="Times New Roman" w:hAnsi="Times New Roman" w:cs="Times New Roman"/>
          <w:sz w:val="24"/>
          <w:szCs w:val="24"/>
        </w:rPr>
        <w:t>building initiatives; and regular exchanges of sub fora reports on meeting outcomes and key initiatives.</w:t>
      </w:r>
    </w:p>
    <w:p w:rsidR="006F157A" w:rsidRPr="00635A7B"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p>
    <w:p w:rsidR="006F157A" w:rsidRPr="00635A7B"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r w:rsidRPr="00635A7B">
        <w:rPr>
          <w:rFonts w:ascii="Times New Roman" w:hAnsi="Times New Roman" w:cs="Times New Roman"/>
          <w:sz w:val="24"/>
          <w:szCs w:val="24"/>
        </w:rPr>
        <w:t>Consultation, collaboration and coordination between the CTWG a</w:t>
      </w:r>
      <w:r w:rsidRPr="00577F62">
        <w:rPr>
          <w:rFonts w:ascii="Times New Roman" w:hAnsi="Times New Roman" w:cs="Times New Roman"/>
          <w:sz w:val="24"/>
          <w:szCs w:val="24"/>
        </w:rPr>
        <w:t>nd other relevant lead APEC sub-</w:t>
      </w:r>
      <w:r w:rsidRPr="00635A7B">
        <w:rPr>
          <w:rFonts w:ascii="Times New Roman" w:hAnsi="Times New Roman" w:cs="Times New Roman"/>
          <w:sz w:val="24"/>
          <w:szCs w:val="24"/>
        </w:rPr>
        <w:t xml:space="preserve">fora will be done in four cross-cutting activity areas of the </w:t>
      </w:r>
      <w:r w:rsidRPr="00635A7B">
        <w:rPr>
          <w:rFonts w:ascii="Times New Roman" w:hAnsi="Times New Roman" w:cs="Times New Roman"/>
          <w:bCs/>
          <w:sz w:val="24"/>
          <w:szCs w:val="24"/>
        </w:rPr>
        <w:t xml:space="preserve">APEC </w:t>
      </w:r>
      <w:r w:rsidRPr="00E4261E">
        <w:rPr>
          <w:rFonts w:ascii="Times New Roman" w:hAnsi="Times New Roman" w:cs="Times New Roman"/>
          <w:sz w:val="24"/>
          <w:szCs w:val="24"/>
        </w:rPr>
        <w:t xml:space="preserve">Consolidated </w:t>
      </w:r>
      <w:r w:rsidRPr="00635A7B">
        <w:rPr>
          <w:rFonts w:ascii="Times New Roman" w:hAnsi="Times New Roman" w:cs="Times New Roman"/>
          <w:bCs/>
          <w:sz w:val="24"/>
          <w:szCs w:val="24"/>
        </w:rPr>
        <w:t>Counter-Terrorism and Secure</w:t>
      </w:r>
      <w:r w:rsidRPr="00635A7B">
        <w:rPr>
          <w:rFonts w:ascii="Times New Roman" w:hAnsi="Times New Roman" w:cs="Times New Roman"/>
          <w:sz w:val="24"/>
          <w:szCs w:val="24"/>
        </w:rPr>
        <w:t xml:space="preserve"> </w:t>
      </w:r>
      <w:r w:rsidRPr="00635A7B">
        <w:rPr>
          <w:rFonts w:ascii="Times New Roman" w:hAnsi="Times New Roman" w:cs="Times New Roman"/>
          <w:bCs/>
          <w:sz w:val="24"/>
          <w:szCs w:val="24"/>
        </w:rPr>
        <w:t>Trade Strategy</w:t>
      </w:r>
      <w:r w:rsidRPr="00635A7B">
        <w:rPr>
          <w:rFonts w:ascii="Times New Roman" w:hAnsi="Times New Roman" w:cs="Times New Roman"/>
          <w:b/>
          <w:bCs/>
          <w:sz w:val="24"/>
          <w:szCs w:val="24"/>
        </w:rPr>
        <w:t>:</w:t>
      </w:r>
    </w:p>
    <w:p w:rsidR="006F157A" w:rsidRDefault="006F157A" w:rsidP="006F157A">
      <w:pPr>
        <w:autoSpaceDE w:val="0"/>
        <w:autoSpaceDN w:val="0"/>
        <w:adjustRightInd w:val="0"/>
        <w:spacing w:after="0" w:line="240" w:lineRule="auto"/>
        <w:jc w:val="both"/>
        <w:rPr>
          <w:rFonts w:ascii="Times New Roman" w:hAnsi="Times New Roman" w:cs="Times New Roman"/>
          <w:b/>
          <w:sz w:val="24"/>
          <w:szCs w:val="24"/>
        </w:rPr>
      </w:pPr>
    </w:p>
    <w:p w:rsidR="006F157A" w:rsidRPr="00635A7B" w:rsidRDefault="006F157A" w:rsidP="006F157A">
      <w:pPr>
        <w:autoSpaceDE w:val="0"/>
        <w:autoSpaceDN w:val="0"/>
        <w:adjustRightInd w:val="0"/>
        <w:spacing w:after="0" w:line="240" w:lineRule="auto"/>
        <w:jc w:val="both"/>
        <w:rPr>
          <w:rFonts w:ascii="Times New Roman" w:hAnsi="Times New Roman" w:cs="Times New Roman"/>
          <w:b/>
          <w:sz w:val="24"/>
          <w:szCs w:val="24"/>
        </w:rPr>
      </w:pPr>
    </w:p>
    <w:p w:rsidR="006F157A" w:rsidRPr="00635A7B" w:rsidRDefault="006F157A" w:rsidP="006F157A">
      <w:pPr>
        <w:autoSpaceDE w:val="0"/>
        <w:autoSpaceDN w:val="0"/>
        <w:adjustRightInd w:val="0"/>
        <w:spacing w:after="0" w:line="240" w:lineRule="auto"/>
        <w:jc w:val="both"/>
        <w:rPr>
          <w:rFonts w:ascii="Times New Roman" w:hAnsi="Times New Roman" w:cs="Times New Roman"/>
          <w:sz w:val="24"/>
          <w:szCs w:val="24"/>
          <w:u w:val="single"/>
        </w:rPr>
      </w:pPr>
      <w:r w:rsidRPr="00635A7B">
        <w:rPr>
          <w:rFonts w:ascii="Times New Roman" w:hAnsi="Times New Roman" w:cs="Times New Roman"/>
          <w:sz w:val="24"/>
          <w:szCs w:val="24"/>
          <w:u w:val="single"/>
        </w:rPr>
        <w:t>Secure Supply Chains</w:t>
      </w:r>
    </w:p>
    <w:p w:rsidR="006F157A" w:rsidRPr="00635A7B"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with the APEC Committee on Trade and Investment Subcommittee on Customs Procedures (CTI/SCCP), Transportation Working Group (TPTWG) and other relevant sub-fora to identify and close vulnerabilities in the regional supply chains and to enhance supply chain resilience; in particular to restore trade after</w:t>
      </w:r>
      <w:r w:rsidRPr="00577F62">
        <w:rPr>
          <w:rFonts w:ascii="Times New Roman" w:hAnsi="Times New Roman" w:cs="Times New Roman"/>
          <w:sz w:val="24"/>
          <w:szCs w:val="24"/>
        </w:rPr>
        <w:t xml:space="preserve"> major disaster and disruptions;</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consult with and support the CTI/SCCP in its efforts to strengthen supply chain security as well as continue to engage on initiatives such as the APEC  Authorized Economic Operator (AEO) Programs and also consult on other opportunities for cooperation to enhance supply chain security, including inviting the CTI/SCCP Chair to participate in a joint dialogue on supply chain security;</w:t>
      </w:r>
    </w:p>
    <w:p w:rsidR="006F157A" w:rsidRPr="00635A7B" w:rsidRDefault="006F157A" w:rsidP="00C949A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continue to work to increase regional awareness of food defense, taking particular aim at threats caused by terrorism, small scale sabotage and food fraud. Interest generated from past efforts will promote new networking and outreach, specifically in regard to vulnerability assessments, mitigation strategies, and food defense plans. The CTWG will continue to engage food sector stakeholders through electronic collaboration and the sharin</w:t>
      </w:r>
      <w:r w:rsidRPr="00577F62">
        <w:rPr>
          <w:rFonts w:ascii="Times New Roman" w:hAnsi="Times New Roman" w:cs="Times New Roman"/>
          <w:sz w:val="24"/>
          <w:szCs w:val="24"/>
        </w:rPr>
        <w:t>g of updated guidance materials;</w:t>
      </w:r>
      <w:r>
        <w:rPr>
          <w:rFonts w:ascii="Times New Roman" w:hAnsi="Times New Roman" w:cs="Times New Roman"/>
          <w:sz w:val="24"/>
          <w:szCs w:val="24"/>
          <w:lang w:val="en-AU"/>
        </w:rPr>
        <w:t xml:space="preserve"> and</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Efforts should complement existing work being done in other international fora  such as the Wor</w:t>
      </w:r>
      <w:r w:rsidRPr="00577F62">
        <w:rPr>
          <w:rFonts w:ascii="Times New Roman" w:hAnsi="Times New Roman" w:cs="Times New Roman"/>
          <w:sz w:val="24"/>
          <w:szCs w:val="24"/>
        </w:rPr>
        <w:t>ld Customs Organization (WCO);</w:t>
      </w:r>
    </w:p>
    <w:p w:rsidR="006F157A" w:rsidRPr="00635A7B" w:rsidRDefault="006F157A" w:rsidP="006F157A">
      <w:pPr>
        <w:autoSpaceDE w:val="0"/>
        <w:autoSpaceDN w:val="0"/>
        <w:adjustRightInd w:val="0"/>
        <w:spacing w:after="0" w:line="240" w:lineRule="auto"/>
        <w:ind w:left="270"/>
        <w:jc w:val="both"/>
        <w:rPr>
          <w:rFonts w:ascii="Times New Roman" w:hAnsi="Times New Roman" w:cs="Times New Roman"/>
          <w:sz w:val="24"/>
          <w:szCs w:val="24"/>
          <w:u w:val="single"/>
        </w:rPr>
      </w:pPr>
    </w:p>
    <w:p w:rsidR="006F157A" w:rsidRPr="00635A7B" w:rsidRDefault="006F157A" w:rsidP="006F157A">
      <w:pPr>
        <w:autoSpaceDE w:val="0"/>
        <w:autoSpaceDN w:val="0"/>
        <w:adjustRightInd w:val="0"/>
        <w:spacing w:after="0" w:line="240" w:lineRule="auto"/>
        <w:ind w:left="270"/>
        <w:jc w:val="both"/>
        <w:rPr>
          <w:rFonts w:ascii="Times New Roman" w:hAnsi="Times New Roman" w:cs="Times New Roman"/>
          <w:sz w:val="24"/>
          <w:szCs w:val="24"/>
          <w:u w:val="single"/>
        </w:rPr>
      </w:pPr>
      <w:r w:rsidRPr="00635A7B">
        <w:rPr>
          <w:rFonts w:ascii="Times New Roman" w:hAnsi="Times New Roman" w:cs="Times New Roman"/>
          <w:sz w:val="24"/>
          <w:szCs w:val="24"/>
          <w:u w:val="single"/>
        </w:rPr>
        <w:t>Secure Travel</w:t>
      </w:r>
    </w:p>
    <w:p w:rsidR="006F157A" w:rsidRPr="00635A7B"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with TPT-WG, the APEC Committee on Trade and Investment Business Mobility Group (CTI/BMG), and CTI/SCCP to implemen</w:t>
      </w:r>
      <w:r w:rsidRPr="00577F62">
        <w:rPr>
          <w:rFonts w:ascii="Times New Roman" w:hAnsi="Times New Roman" w:cs="Times New Roman"/>
          <w:sz w:val="24"/>
          <w:szCs w:val="24"/>
        </w:rPr>
        <w:t xml:space="preserve">t the APEC </w:t>
      </w:r>
      <w:r w:rsidRPr="00E4261E">
        <w:rPr>
          <w:rFonts w:ascii="Times New Roman" w:hAnsi="Times New Roman" w:cs="Times New Roman"/>
          <w:sz w:val="24"/>
          <w:szCs w:val="24"/>
        </w:rPr>
        <w:t xml:space="preserve">Consolidated </w:t>
      </w:r>
      <w:r w:rsidRPr="00577F62">
        <w:rPr>
          <w:rFonts w:ascii="Times New Roman" w:hAnsi="Times New Roman" w:cs="Times New Roman"/>
          <w:sz w:val="24"/>
          <w:szCs w:val="24"/>
        </w:rPr>
        <w:t>Consolidated Counter-</w:t>
      </w:r>
      <w:r w:rsidRPr="00635A7B">
        <w:rPr>
          <w:rFonts w:ascii="Times New Roman" w:hAnsi="Times New Roman" w:cs="Times New Roman"/>
          <w:sz w:val="24"/>
          <w:szCs w:val="24"/>
        </w:rPr>
        <w:t xml:space="preserve">Terrorism and Secure Trade Strategy and support </w:t>
      </w:r>
      <w:r w:rsidRPr="00577F62">
        <w:rPr>
          <w:rFonts w:ascii="Times New Roman" w:hAnsi="Times New Roman" w:cs="Times New Roman"/>
          <w:sz w:val="24"/>
          <w:szCs w:val="24"/>
        </w:rPr>
        <w:t>deeper cooperation and capacity-</w:t>
      </w:r>
      <w:r w:rsidRPr="00635A7B">
        <w:rPr>
          <w:rFonts w:ascii="Times New Roman" w:hAnsi="Times New Roman" w:cs="Times New Roman"/>
          <w:sz w:val="24"/>
          <w:szCs w:val="24"/>
        </w:rPr>
        <w:t>building across the Strategy's priority areas of secure trade and travel;</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continue to work with the SCE, CTI/BMG, CTI SCCP, TPT-WG, Tourism Working Group (TWG) on implementing the APEC Travel Facilitation Initiative to make travel in the region faster, easier and more secure;</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with the BMG, as the lead expert group on business mobility, to explore potential opportunities for cooperation to improve the secure flow of travellers throughout the region. Efforts should complement existing work being done in other international fora  such as the International Civil Aviation Organization (ICAO) and the International Organization for Standardization (ISO);</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with the TWG, as the lead sub-fora on tourism, to explore potential opportunities to improve protections for tourists as well as to share experiences and best practices in securing tourist destinations and tourist products;</w:t>
      </w:r>
    </w:p>
    <w:p w:rsidR="00DF7F0C" w:rsidRPr="00635A7B" w:rsidRDefault="00DF7F0C" w:rsidP="008F504D">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with the following TPT-WG sub-groups:</w:t>
      </w:r>
    </w:p>
    <w:p w:rsidR="006F157A" w:rsidRPr="00635A7B"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2"/>
          <w:numId w:val="22"/>
        </w:numPr>
        <w:autoSpaceDE w:val="0"/>
        <w:autoSpaceDN w:val="0"/>
        <w:adjustRightInd w:val="0"/>
        <w:spacing w:after="0" w:line="240" w:lineRule="auto"/>
        <w:ind w:left="1080"/>
        <w:jc w:val="both"/>
        <w:rPr>
          <w:rFonts w:ascii="Times New Roman" w:hAnsi="Times New Roman" w:cs="Times New Roman"/>
          <w:sz w:val="24"/>
          <w:szCs w:val="24"/>
        </w:rPr>
      </w:pPr>
      <w:r w:rsidRPr="00635A7B">
        <w:rPr>
          <w:rFonts w:ascii="Times New Roman" w:hAnsi="Times New Roman" w:cs="Times New Roman"/>
          <w:sz w:val="24"/>
          <w:szCs w:val="24"/>
        </w:rPr>
        <w:lastRenderedPageBreak/>
        <w:t xml:space="preserve">the Maritime Experts Group (MEG),  as the lead maritime security expert group </w:t>
      </w:r>
      <w:r w:rsidR="00B977F7">
        <w:rPr>
          <w:rFonts w:ascii="Times New Roman" w:hAnsi="Times New Roman" w:cs="Times New Roman"/>
          <w:sz w:val="24"/>
          <w:szCs w:val="24"/>
          <w:lang w:val="en-US"/>
        </w:rPr>
        <w:t xml:space="preserve">working on maritime security </w:t>
      </w:r>
      <w:r w:rsidR="00B977F7" w:rsidRPr="00635A7B">
        <w:rPr>
          <w:rFonts w:ascii="Times New Roman" w:hAnsi="Times New Roman" w:cs="Times New Roman"/>
          <w:sz w:val="24"/>
          <w:szCs w:val="24"/>
        </w:rPr>
        <w:t xml:space="preserve"> </w:t>
      </w:r>
      <w:r w:rsidRPr="00635A7B">
        <w:rPr>
          <w:rFonts w:ascii="Times New Roman" w:hAnsi="Times New Roman" w:cs="Times New Roman"/>
          <w:sz w:val="24"/>
          <w:szCs w:val="24"/>
        </w:rPr>
        <w:t xml:space="preserve">within APEC, </w:t>
      </w:r>
      <w:r>
        <w:rPr>
          <w:rFonts w:ascii="Times New Roman" w:hAnsi="Times New Roman" w:cs="Times New Roman"/>
          <w:sz w:val="24"/>
          <w:szCs w:val="24"/>
          <w:lang w:val="en-AU"/>
        </w:rPr>
        <w:t xml:space="preserve">to </w:t>
      </w:r>
      <w:r w:rsidRPr="00635A7B">
        <w:rPr>
          <w:rFonts w:ascii="Times New Roman" w:hAnsi="Times New Roman" w:cs="Times New Roman"/>
          <w:sz w:val="24"/>
          <w:szCs w:val="24"/>
        </w:rPr>
        <w:t>support the Group in its ongoing efforts to enhance port and maritime security;</w:t>
      </w:r>
    </w:p>
    <w:p w:rsidR="006F157A" w:rsidRPr="00635A7B" w:rsidRDefault="006F157A" w:rsidP="006F157A">
      <w:pPr>
        <w:autoSpaceDE w:val="0"/>
        <w:autoSpaceDN w:val="0"/>
        <w:adjustRightInd w:val="0"/>
        <w:spacing w:after="0" w:line="240" w:lineRule="auto"/>
        <w:ind w:left="1080"/>
        <w:jc w:val="both"/>
        <w:rPr>
          <w:rFonts w:ascii="Times New Roman" w:hAnsi="Times New Roman" w:cs="Times New Roman"/>
          <w:sz w:val="24"/>
          <w:szCs w:val="24"/>
        </w:rPr>
      </w:pPr>
    </w:p>
    <w:p w:rsidR="006F157A" w:rsidRPr="00635A7B" w:rsidRDefault="006F157A" w:rsidP="006F157A">
      <w:pPr>
        <w:numPr>
          <w:ilvl w:val="2"/>
          <w:numId w:val="22"/>
        </w:numPr>
        <w:autoSpaceDE w:val="0"/>
        <w:autoSpaceDN w:val="0"/>
        <w:adjustRightInd w:val="0"/>
        <w:spacing w:after="0" w:line="240" w:lineRule="auto"/>
        <w:ind w:left="1080"/>
        <w:jc w:val="both"/>
        <w:rPr>
          <w:rFonts w:ascii="Times New Roman" w:hAnsi="Times New Roman" w:cs="Times New Roman"/>
          <w:sz w:val="24"/>
          <w:szCs w:val="24"/>
        </w:rPr>
      </w:pPr>
      <w:r w:rsidRPr="00635A7B">
        <w:rPr>
          <w:rFonts w:ascii="Times New Roman" w:hAnsi="Times New Roman" w:cs="Times New Roman"/>
          <w:sz w:val="24"/>
          <w:szCs w:val="24"/>
        </w:rPr>
        <w:t xml:space="preserve">the Aviation Experts Group (AEG), as the lead aviation security expert group </w:t>
      </w:r>
      <w:r w:rsidR="00B977F7">
        <w:rPr>
          <w:rFonts w:ascii="Times New Roman" w:hAnsi="Times New Roman" w:cs="Times New Roman"/>
          <w:sz w:val="24"/>
          <w:szCs w:val="24"/>
          <w:lang w:val="en-US"/>
        </w:rPr>
        <w:t xml:space="preserve">working on aviation security </w:t>
      </w:r>
      <w:r w:rsidR="00B977F7" w:rsidRPr="00635A7B">
        <w:rPr>
          <w:rFonts w:ascii="Times New Roman" w:hAnsi="Times New Roman" w:cs="Times New Roman"/>
          <w:sz w:val="24"/>
          <w:szCs w:val="24"/>
        </w:rPr>
        <w:t xml:space="preserve"> </w:t>
      </w:r>
      <w:r w:rsidRPr="00635A7B">
        <w:rPr>
          <w:rFonts w:ascii="Times New Roman" w:hAnsi="Times New Roman" w:cs="Times New Roman"/>
          <w:sz w:val="24"/>
          <w:szCs w:val="24"/>
        </w:rPr>
        <w:t xml:space="preserve">within APEC, </w:t>
      </w:r>
      <w:r>
        <w:rPr>
          <w:rFonts w:ascii="Times New Roman" w:hAnsi="Times New Roman" w:cs="Times New Roman"/>
          <w:sz w:val="24"/>
          <w:szCs w:val="24"/>
          <w:lang w:val="en-AU"/>
        </w:rPr>
        <w:t>to</w:t>
      </w:r>
      <w:r w:rsidRPr="00635A7B">
        <w:rPr>
          <w:rFonts w:ascii="Times New Roman" w:hAnsi="Times New Roman" w:cs="Times New Roman"/>
          <w:sz w:val="24"/>
          <w:szCs w:val="24"/>
        </w:rPr>
        <w:t xml:space="preserve"> support the Expert Group in its efforts to enhance aviat</w:t>
      </w:r>
      <w:r>
        <w:rPr>
          <w:rFonts w:ascii="Times New Roman" w:hAnsi="Times New Roman" w:cs="Times New Roman"/>
          <w:sz w:val="24"/>
          <w:szCs w:val="24"/>
        </w:rPr>
        <w:t>ion and transportation security; and</w:t>
      </w:r>
    </w:p>
    <w:p w:rsidR="006F157A" w:rsidRPr="00635A7B" w:rsidRDefault="006F157A" w:rsidP="006F157A">
      <w:pPr>
        <w:autoSpaceDE w:val="0"/>
        <w:autoSpaceDN w:val="0"/>
        <w:adjustRightInd w:val="0"/>
        <w:spacing w:after="0" w:line="240" w:lineRule="auto"/>
        <w:ind w:left="1080"/>
        <w:jc w:val="both"/>
        <w:rPr>
          <w:rFonts w:ascii="Times New Roman" w:hAnsi="Times New Roman" w:cs="Times New Roman"/>
          <w:sz w:val="24"/>
          <w:szCs w:val="24"/>
        </w:rPr>
      </w:pPr>
    </w:p>
    <w:p w:rsidR="006F157A" w:rsidRPr="00037018"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037018">
        <w:rPr>
          <w:rFonts w:ascii="Times New Roman" w:hAnsi="Times New Roman" w:cs="Times New Roman"/>
          <w:sz w:val="24"/>
          <w:szCs w:val="24"/>
        </w:rPr>
        <w:t>The CTWG will endeavor to work with the relevant APEC sub fora particularly SCCP and other international organizations in the effort to implement the Advance Passenger Information and Passenger Name Record (API/PNR) programs to secure and facilitate legitimate travel within the region.</w:t>
      </w:r>
    </w:p>
    <w:p w:rsidR="001004C5" w:rsidRPr="00635A7B" w:rsidRDefault="001004C5" w:rsidP="006F157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autoSpaceDE w:val="0"/>
        <w:autoSpaceDN w:val="0"/>
        <w:adjustRightInd w:val="0"/>
        <w:spacing w:after="0" w:line="240" w:lineRule="auto"/>
        <w:ind w:left="270"/>
        <w:jc w:val="both"/>
        <w:rPr>
          <w:rFonts w:ascii="Times New Roman" w:hAnsi="Times New Roman" w:cs="Times New Roman"/>
          <w:sz w:val="24"/>
          <w:szCs w:val="24"/>
          <w:u w:val="single"/>
        </w:rPr>
      </w:pPr>
      <w:r w:rsidRPr="00635A7B">
        <w:rPr>
          <w:rFonts w:ascii="Times New Roman" w:hAnsi="Times New Roman" w:cs="Times New Roman"/>
          <w:sz w:val="24"/>
          <w:szCs w:val="24"/>
          <w:u w:val="single"/>
        </w:rPr>
        <w:t>Secure Finance</w:t>
      </w:r>
    </w:p>
    <w:p w:rsidR="006F157A" w:rsidRPr="00635A7B"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Pr="00134A21" w:rsidRDefault="006F157A" w:rsidP="00134A21">
      <w:pPr>
        <w:pStyle w:val="ListParagraph"/>
        <w:numPr>
          <w:ilvl w:val="0"/>
          <w:numId w:val="40"/>
        </w:numPr>
        <w:tabs>
          <w:tab w:val="left" w:pos="720"/>
        </w:tabs>
        <w:autoSpaceDE w:val="0"/>
        <w:autoSpaceDN w:val="0"/>
        <w:adjustRightInd w:val="0"/>
        <w:spacing w:after="0" w:line="240" w:lineRule="auto"/>
        <w:ind w:left="720"/>
        <w:jc w:val="both"/>
        <w:rPr>
          <w:rFonts w:ascii="Times New Roman" w:hAnsi="Times New Roman" w:cs="Times New Roman"/>
          <w:sz w:val="24"/>
          <w:szCs w:val="24"/>
          <w:lang w:val="en-US"/>
        </w:rPr>
      </w:pPr>
      <w:r w:rsidRPr="00134A21">
        <w:rPr>
          <w:rFonts w:ascii="Times New Roman" w:hAnsi="Times New Roman" w:cs="Times New Roman"/>
          <w:sz w:val="24"/>
          <w:szCs w:val="24"/>
          <w:lang w:val="en-US"/>
        </w:rPr>
        <w:t xml:space="preserve">The CTWG will lead APEC efforts to prevent and </w:t>
      </w:r>
      <w:r w:rsidR="00B977F7" w:rsidRPr="00134A21">
        <w:rPr>
          <w:rFonts w:ascii="Times New Roman" w:hAnsi="Times New Roman" w:cs="Times New Roman"/>
          <w:sz w:val="24"/>
          <w:szCs w:val="24"/>
          <w:lang w:val="en-US"/>
        </w:rPr>
        <w:t>counter</w:t>
      </w:r>
      <w:r w:rsidRPr="00134A21">
        <w:rPr>
          <w:rFonts w:ascii="Times New Roman" w:hAnsi="Times New Roman" w:cs="Times New Roman"/>
          <w:sz w:val="24"/>
          <w:szCs w:val="24"/>
          <w:lang w:val="en-US"/>
        </w:rPr>
        <w:t xml:space="preserve"> the financing of terrorism, including ISIL, </w:t>
      </w:r>
      <w:r w:rsidR="00B977F7" w:rsidRPr="00134A21">
        <w:rPr>
          <w:rFonts w:ascii="Times New Roman" w:hAnsi="Times New Roman" w:cs="Times New Roman"/>
          <w:sz w:val="24"/>
          <w:szCs w:val="24"/>
          <w:lang w:val="en-US"/>
        </w:rPr>
        <w:t xml:space="preserve">and </w:t>
      </w:r>
      <w:r w:rsidRPr="00134A21">
        <w:rPr>
          <w:rFonts w:ascii="Times New Roman" w:hAnsi="Times New Roman" w:cs="Times New Roman"/>
          <w:sz w:val="24"/>
          <w:szCs w:val="24"/>
          <w:lang w:val="en-US"/>
        </w:rPr>
        <w:t>foreign terrorist fighters.</w:t>
      </w:r>
    </w:p>
    <w:p w:rsidR="006F157A" w:rsidRPr="000F1266" w:rsidRDefault="006F157A" w:rsidP="006F157A">
      <w:pPr>
        <w:autoSpaceDE w:val="0"/>
        <w:autoSpaceDN w:val="0"/>
        <w:adjustRightInd w:val="0"/>
        <w:spacing w:after="0" w:line="240" w:lineRule="auto"/>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engage other APEC sub-</w:t>
      </w:r>
      <w:r>
        <w:rPr>
          <w:rFonts w:ascii="Times New Roman" w:hAnsi="Times New Roman" w:cs="Times New Roman"/>
          <w:sz w:val="24"/>
          <w:szCs w:val="24"/>
        </w:rPr>
        <w:t>fora</w:t>
      </w:r>
      <w:r>
        <w:rPr>
          <w:rFonts w:ascii="Times New Roman" w:hAnsi="Times New Roman" w:cs="Times New Roman"/>
          <w:sz w:val="24"/>
          <w:szCs w:val="24"/>
          <w:lang w:val="en-AU"/>
        </w:rPr>
        <w:t>,</w:t>
      </w:r>
      <w:r w:rsidRPr="00635A7B">
        <w:rPr>
          <w:rFonts w:ascii="Times New Roman" w:hAnsi="Times New Roman" w:cs="Times New Roman"/>
          <w:sz w:val="24"/>
          <w:szCs w:val="24"/>
        </w:rPr>
        <w:t xml:space="preserve"> as well as relevant non-APEC entities</w:t>
      </w:r>
      <w:r>
        <w:rPr>
          <w:rFonts w:ascii="Times New Roman" w:hAnsi="Times New Roman" w:cs="Times New Roman"/>
          <w:sz w:val="24"/>
          <w:szCs w:val="24"/>
          <w:lang w:val="en-AU"/>
        </w:rPr>
        <w:t>,</w:t>
      </w:r>
      <w:r w:rsidRPr="00635A7B">
        <w:rPr>
          <w:rFonts w:ascii="Times New Roman" w:hAnsi="Times New Roman" w:cs="Times New Roman"/>
          <w:sz w:val="24"/>
          <w:szCs w:val="24"/>
        </w:rPr>
        <w:t xml:space="preserve"> to ensure that secure finance efforts are fully and effectively coordinated</w:t>
      </w:r>
      <w:r w:rsidR="00A61A47">
        <w:rPr>
          <w:rFonts w:ascii="Times New Roman" w:hAnsi="Times New Roman" w:cs="Times New Roman"/>
          <w:sz w:val="24"/>
          <w:szCs w:val="24"/>
          <w:lang w:val="en-US"/>
        </w:rPr>
        <w:t xml:space="preserve"> and</w:t>
      </w:r>
      <w:r w:rsidRPr="00635A7B">
        <w:rPr>
          <w:rFonts w:ascii="Times New Roman" w:hAnsi="Times New Roman" w:cs="Times New Roman"/>
          <w:sz w:val="24"/>
          <w:szCs w:val="24"/>
        </w:rPr>
        <w:t xml:space="preserve"> implemented</w:t>
      </w:r>
      <w:r w:rsidR="00A61A47">
        <w:rPr>
          <w:rFonts w:ascii="Times New Roman" w:hAnsi="Times New Roman" w:cs="Times New Roman"/>
          <w:sz w:val="24"/>
          <w:szCs w:val="24"/>
          <w:lang w:val="en-US"/>
        </w:rPr>
        <w:t>.</w:t>
      </w:r>
      <w:r w:rsidRPr="00635A7B">
        <w:rPr>
          <w:rFonts w:ascii="Times New Roman" w:hAnsi="Times New Roman" w:cs="Times New Roman"/>
          <w:sz w:val="24"/>
          <w:szCs w:val="24"/>
        </w:rPr>
        <w:t xml:space="preserve"> </w:t>
      </w:r>
    </w:p>
    <w:p w:rsidR="006F157A"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p>
    <w:p w:rsidR="006F157A" w:rsidRPr="00A34CC8" w:rsidRDefault="006F157A" w:rsidP="006F157A">
      <w:pPr>
        <w:autoSpaceDE w:val="0"/>
        <w:autoSpaceDN w:val="0"/>
        <w:adjustRightInd w:val="0"/>
        <w:spacing w:after="0" w:line="240" w:lineRule="auto"/>
        <w:ind w:left="270"/>
        <w:jc w:val="both"/>
        <w:rPr>
          <w:rFonts w:ascii="Times New Roman" w:hAnsi="Times New Roman" w:cs="Times New Roman"/>
          <w:sz w:val="24"/>
          <w:szCs w:val="24"/>
          <w:u w:val="single"/>
        </w:rPr>
      </w:pPr>
      <w:r w:rsidRPr="00A34CC8">
        <w:rPr>
          <w:rFonts w:ascii="Times New Roman" w:hAnsi="Times New Roman" w:cs="Times New Roman"/>
          <w:sz w:val="24"/>
          <w:szCs w:val="24"/>
          <w:u w:val="single"/>
        </w:rPr>
        <w:t>Secure Infrastructure</w:t>
      </w:r>
    </w:p>
    <w:p w:rsidR="006F157A" w:rsidRPr="00B25B96" w:rsidRDefault="006F157A" w:rsidP="006F157A">
      <w:pPr>
        <w:autoSpaceDE w:val="0"/>
        <w:autoSpaceDN w:val="0"/>
        <w:adjustRightInd w:val="0"/>
        <w:spacing w:after="0" w:line="240" w:lineRule="auto"/>
        <w:ind w:left="360"/>
        <w:jc w:val="both"/>
        <w:rPr>
          <w:rFonts w:ascii="Times New Roman" w:hAnsi="Times New Roman" w:cs="Times New Roman"/>
          <w:sz w:val="24"/>
          <w:szCs w:val="24"/>
          <w:lang w:val="en-US"/>
        </w:rPr>
      </w:pPr>
    </w:p>
    <w:p w:rsidR="006F157A"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1A284F">
        <w:rPr>
          <w:rFonts w:ascii="Times New Roman" w:hAnsi="Times New Roman" w:cs="Times New Roman"/>
          <w:sz w:val="24"/>
          <w:szCs w:val="24"/>
        </w:rPr>
        <w:t xml:space="preserve">The CTWG will collaborate with relevant lead APEC sub-fora to explore prospects for further cooperation on enhancing the security and resilience of </w:t>
      </w:r>
      <w:r w:rsidR="00002FF3">
        <w:rPr>
          <w:rFonts w:ascii="Times New Roman" w:hAnsi="Times New Roman" w:cs="Times New Roman"/>
          <w:sz w:val="24"/>
          <w:szCs w:val="24"/>
          <w:lang w:val="en-US"/>
        </w:rPr>
        <w:t xml:space="preserve">critical </w:t>
      </w:r>
      <w:r w:rsidRPr="001A284F">
        <w:rPr>
          <w:rFonts w:ascii="Times New Roman" w:hAnsi="Times New Roman" w:cs="Times New Roman"/>
          <w:sz w:val="24"/>
          <w:szCs w:val="24"/>
        </w:rPr>
        <w:t xml:space="preserve">infrastructure </w:t>
      </w:r>
      <w:r w:rsidR="00002FF3">
        <w:rPr>
          <w:rFonts w:ascii="Times New Roman" w:hAnsi="Times New Roman" w:cs="Times New Roman"/>
          <w:sz w:val="24"/>
          <w:szCs w:val="24"/>
          <w:lang w:val="en-US"/>
        </w:rPr>
        <w:t xml:space="preserve">and soft targets, such as malls, hotels, and stadiums, </w:t>
      </w:r>
      <w:r w:rsidRPr="001A284F">
        <w:rPr>
          <w:rFonts w:ascii="Times New Roman" w:hAnsi="Times New Roman" w:cs="Times New Roman"/>
          <w:sz w:val="24"/>
          <w:szCs w:val="24"/>
        </w:rPr>
        <w:t xml:space="preserve">across the region. This is with the intention of </w:t>
      </w:r>
      <w:r w:rsidR="00002FF3">
        <w:rPr>
          <w:rFonts w:ascii="Times New Roman" w:hAnsi="Times New Roman" w:cs="Times New Roman"/>
          <w:sz w:val="24"/>
          <w:szCs w:val="24"/>
          <w:lang w:val="en-US"/>
        </w:rPr>
        <w:t xml:space="preserve">increasing their security and resilience </w:t>
      </w:r>
      <w:r w:rsidR="00002FF3" w:rsidRPr="001A284F">
        <w:rPr>
          <w:rFonts w:ascii="Times New Roman" w:hAnsi="Times New Roman" w:cs="Times New Roman"/>
          <w:sz w:val="24"/>
          <w:szCs w:val="24"/>
        </w:rPr>
        <w:t xml:space="preserve"> </w:t>
      </w:r>
      <w:r w:rsidR="00002FF3">
        <w:rPr>
          <w:rFonts w:ascii="Times New Roman" w:hAnsi="Times New Roman" w:cs="Times New Roman"/>
          <w:sz w:val="24"/>
          <w:szCs w:val="24"/>
          <w:lang w:val="en-US"/>
        </w:rPr>
        <w:t>in light of ongoing</w:t>
      </w:r>
      <w:r w:rsidRPr="001A284F">
        <w:rPr>
          <w:rFonts w:ascii="Times New Roman" w:hAnsi="Times New Roman" w:cs="Times New Roman"/>
          <w:sz w:val="24"/>
          <w:szCs w:val="24"/>
        </w:rPr>
        <w:t xml:space="preserve"> terrorist attacks. </w:t>
      </w:r>
    </w:p>
    <w:p w:rsidR="006F157A" w:rsidRPr="001A284F"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 xml:space="preserve">In line with building </w:t>
      </w:r>
      <w:r w:rsidR="00002FF3">
        <w:rPr>
          <w:rFonts w:ascii="Times New Roman" w:hAnsi="Times New Roman" w:cs="Times New Roman"/>
          <w:sz w:val="24"/>
          <w:szCs w:val="24"/>
          <w:lang w:val="en-US"/>
        </w:rPr>
        <w:t>secure</w:t>
      </w:r>
      <w:r w:rsidR="00002FF3" w:rsidRPr="00635A7B">
        <w:rPr>
          <w:rFonts w:ascii="Times New Roman" w:hAnsi="Times New Roman" w:cs="Times New Roman"/>
          <w:sz w:val="24"/>
          <w:szCs w:val="24"/>
        </w:rPr>
        <w:t xml:space="preserve"> </w:t>
      </w:r>
      <w:r w:rsidRPr="00635A7B">
        <w:rPr>
          <w:rFonts w:ascii="Times New Roman" w:hAnsi="Times New Roman" w:cs="Times New Roman"/>
          <w:sz w:val="24"/>
          <w:szCs w:val="24"/>
        </w:rPr>
        <w:t xml:space="preserve">and resilient communities, and securing critical infrastructure, the CTWG will collaborate with the Emergency Preparedness Working Group (EPWG) to explore possible initiatives </w:t>
      </w:r>
      <w:r w:rsidR="00002FF3">
        <w:rPr>
          <w:rFonts w:ascii="Times New Roman" w:hAnsi="Times New Roman" w:cs="Times New Roman"/>
          <w:sz w:val="24"/>
          <w:szCs w:val="24"/>
          <w:lang w:val="en-US"/>
        </w:rPr>
        <w:t xml:space="preserve">to enhance capacity and minimize gaps in emergency preparedness for </w:t>
      </w:r>
      <w:r w:rsidRPr="00635A7B">
        <w:rPr>
          <w:rFonts w:ascii="Times New Roman" w:hAnsi="Times New Roman" w:cs="Times New Roman"/>
          <w:sz w:val="24"/>
          <w:szCs w:val="24"/>
        </w:rPr>
        <w:t xml:space="preserve"> man-made events, including </w:t>
      </w:r>
      <w:r w:rsidR="00002FF3">
        <w:rPr>
          <w:rFonts w:ascii="Times New Roman" w:hAnsi="Times New Roman" w:cs="Times New Roman"/>
          <w:sz w:val="24"/>
          <w:szCs w:val="24"/>
          <w:lang w:val="en-US"/>
        </w:rPr>
        <w:t xml:space="preserve">the use of </w:t>
      </w:r>
      <w:r w:rsidRPr="00635A7B">
        <w:rPr>
          <w:rFonts w:ascii="Times New Roman" w:hAnsi="Times New Roman" w:cs="Times New Roman"/>
          <w:sz w:val="24"/>
          <w:szCs w:val="24"/>
        </w:rPr>
        <w:t>IED</w:t>
      </w:r>
      <w:r w:rsidR="00002FF3">
        <w:rPr>
          <w:rFonts w:ascii="Times New Roman" w:hAnsi="Times New Roman" w:cs="Times New Roman"/>
          <w:sz w:val="24"/>
          <w:szCs w:val="24"/>
          <w:lang w:val="en-US"/>
        </w:rPr>
        <w:t>s</w:t>
      </w:r>
      <w:r w:rsidRPr="00635A7B">
        <w:rPr>
          <w:rFonts w:ascii="Times New Roman" w:hAnsi="Times New Roman" w:cs="Times New Roman"/>
          <w:sz w:val="24"/>
          <w:szCs w:val="24"/>
        </w:rPr>
        <w:t>, terrorist attacks, murder, kidnapping, and other terrorist activities which can damage infrastructure and disrupt bus</w:t>
      </w:r>
      <w:r w:rsidRPr="00577F62">
        <w:rPr>
          <w:rFonts w:ascii="Times New Roman" w:hAnsi="Times New Roman" w:cs="Times New Roman"/>
          <w:sz w:val="24"/>
          <w:szCs w:val="24"/>
        </w:rPr>
        <w:t>iness and commercial activities;</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 xml:space="preserve">The CTWG will consider the Key Observations and Recommended Future Activities from the June 2013 APEC Policy Dialogue on Critical Infrastructure </w:t>
      </w:r>
      <w:r w:rsidRPr="00577F62">
        <w:rPr>
          <w:rFonts w:ascii="Times New Roman" w:hAnsi="Times New Roman" w:cs="Times New Roman"/>
          <w:sz w:val="24"/>
          <w:szCs w:val="24"/>
        </w:rPr>
        <w:t>Protection, to develop capacity-</w:t>
      </w:r>
      <w:r w:rsidRPr="00635A7B">
        <w:rPr>
          <w:rFonts w:ascii="Times New Roman" w:hAnsi="Times New Roman" w:cs="Times New Roman"/>
          <w:sz w:val="24"/>
          <w:szCs w:val="24"/>
        </w:rPr>
        <w:t>building proposals in the area of secu</w:t>
      </w:r>
      <w:r w:rsidRPr="00577F62">
        <w:rPr>
          <w:rFonts w:ascii="Times New Roman" w:hAnsi="Times New Roman" w:cs="Times New Roman"/>
          <w:sz w:val="24"/>
          <w:szCs w:val="24"/>
        </w:rPr>
        <w:t>re and resilient infrastructure;</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A34CC8"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work to support the APEC Telecommunications and Information Working Group (TEL) and the Security and Prosperity Steering Group (SPSG) in its efforts to increase awareness and to enhance cyber security as well as to review the APEC Cyber Security Strategy and the APEC TEL Strategy to ensure a Trusted, Secure and Sustainable Online Environment (TSSOE) as a basis for planning fu</w:t>
      </w:r>
      <w:r w:rsidRPr="00577F62">
        <w:rPr>
          <w:rFonts w:ascii="Times New Roman" w:hAnsi="Times New Roman" w:cs="Times New Roman"/>
          <w:sz w:val="24"/>
          <w:szCs w:val="24"/>
        </w:rPr>
        <w:t>ture APEC efforts in this area;</w:t>
      </w:r>
    </w:p>
    <w:p w:rsidR="006F157A" w:rsidRPr="00635A7B"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635A7B"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635A7B">
        <w:rPr>
          <w:rFonts w:ascii="Times New Roman" w:hAnsi="Times New Roman" w:cs="Times New Roman"/>
          <w:sz w:val="24"/>
          <w:szCs w:val="24"/>
        </w:rPr>
        <w:t>The CTWG will continue to work on major event security capacity</w:t>
      </w:r>
      <w:r>
        <w:rPr>
          <w:rFonts w:ascii="Times New Roman" w:hAnsi="Times New Roman" w:cs="Times New Roman"/>
          <w:sz w:val="24"/>
          <w:szCs w:val="24"/>
          <w:lang w:val="en-AU"/>
        </w:rPr>
        <w:t>-</w:t>
      </w:r>
      <w:r w:rsidRPr="00635A7B">
        <w:rPr>
          <w:rFonts w:ascii="Times New Roman" w:hAnsi="Times New Roman" w:cs="Times New Roman"/>
          <w:sz w:val="24"/>
          <w:szCs w:val="24"/>
        </w:rPr>
        <w:t>building activities.</w:t>
      </w:r>
    </w:p>
    <w:p w:rsidR="006F157A" w:rsidRDefault="006F157A" w:rsidP="006F157A">
      <w:pPr>
        <w:pStyle w:val="ListParagraph"/>
        <w:spacing w:after="0"/>
        <w:ind w:left="450"/>
        <w:jc w:val="both"/>
        <w:rPr>
          <w:rFonts w:ascii="Times New Roman" w:hAnsi="Times New Roman" w:cs="Times New Roman"/>
          <w:sz w:val="24"/>
          <w:szCs w:val="24"/>
        </w:rPr>
      </w:pPr>
    </w:p>
    <w:p w:rsidR="00F51668" w:rsidRPr="00577F62" w:rsidRDefault="00F51668" w:rsidP="006F157A">
      <w:pPr>
        <w:pStyle w:val="ListParagraph"/>
        <w:spacing w:after="0"/>
        <w:ind w:left="450"/>
        <w:jc w:val="both"/>
        <w:rPr>
          <w:rFonts w:ascii="Times New Roman" w:hAnsi="Times New Roman" w:cs="Times New Roman"/>
          <w:sz w:val="24"/>
          <w:szCs w:val="24"/>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lastRenderedPageBreak/>
        <w:t xml:space="preserve">Cross-cutting </w:t>
      </w:r>
      <w:r>
        <w:rPr>
          <w:rFonts w:ascii="Times New Roman" w:eastAsia="Calibri" w:hAnsi="Times New Roman" w:cs="Times New Roman"/>
          <w:b/>
          <w:bCs/>
          <w:sz w:val="24"/>
          <w:szCs w:val="24"/>
          <w:lang w:val="en-PH"/>
        </w:rPr>
        <w:t>I</w:t>
      </w:r>
      <w:r w:rsidRPr="00635A7B">
        <w:rPr>
          <w:rFonts w:ascii="Times New Roman" w:eastAsia="Calibri" w:hAnsi="Times New Roman" w:cs="Times New Roman"/>
          <w:b/>
          <w:bCs/>
          <w:sz w:val="24"/>
          <w:szCs w:val="24"/>
          <w:lang w:val="en-PH"/>
        </w:rPr>
        <w:t xml:space="preserve">ssues and </w:t>
      </w:r>
      <w:r>
        <w:rPr>
          <w:rFonts w:ascii="Times New Roman" w:eastAsia="Calibri" w:hAnsi="Times New Roman" w:cs="Times New Roman"/>
          <w:b/>
          <w:bCs/>
          <w:sz w:val="24"/>
          <w:szCs w:val="24"/>
          <w:lang w:val="en-PH"/>
        </w:rPr>
        <w:t>H</w:t>
      </w:r>
      <w:r w:rsidRPr="00635A7B">
        <w:rPr>
          <w:rFonts w:ascii="Times New Roman" w:eastAsia="Calibri" w:hAnsi="Times New Roman" w:cs="Times New Roman"/>
          <w:b/>
          <w:bCs/>
          <w:sz w:val="24"/>
          <w:szCs w:val="24"/>
          <w:lang w:val="en-PH"/>
        </w:rPr>
        <w:t xml:space="preserve">ow </w:t>
      </w:r>
      <w:r>
        <w:rPr>
          <w:rFonts w:ascii="Times New Roman" w:eastAsia="Calibri" w:hAnsi="Times New Roman" w:cs="Times New Roman"/>
          <w:b/>
          <w:bCs/>
          <w:sz w:val="24"/>
          <w:szCs w:val="24"/>
          <w:lang w:val="en-PH"/>
        </w:rPr>
        <w:t>T</w:t>
      </w:r>
      <w:r w:rsidRPr="00635A7B">
        <w:rPr>
          <w:rFonts w:ascii="Times New Roman" w:eastAsia="Calibri" w:hAnsi="Times New Roman" w:cs="Times New Roman"/>
          <w:b/>
          <w:bCs/>
          <w:sz w:val="24"/>
          <w:szCs w:val="24"/>
          <w:lang w:val="en-PH"/>
        </w:rPr>
        <w:t xml:space="preserve">hey </w:t>
      </w:r>
      <w:r>
        <w:rPr>
          <w:rFonts w:ascii="Times New Roman" w:eastAsia="Calibri" w:hAnsi="Times New Roman" w:cs="Times New Roman"/>
          <w:b/>
          <w:bCs/>
          <w:sz w:val="24"/>
          <w:szCs w:val="24"/>
          <w:lang w:val="en-PH"/>
        </w:rPr>
        <w:t>W</w:t>
      </w:r>
      <w:r w:rsidRPr="00635A7B">
        <w:rPr>
          <w:rFonts w:ascii="Times New Roman" w:eastAsia="Calibri" w:hAnsi="Times New Roman" w:cs="Times New Roman"/>
          <w:b/>
          <w:bCs/>
          <w:sz w:val="24"/>
          <w:szCs w:val="24"/>
          <w:lang w:val="en-PH"/>
        </w:rPr>
        <w:t xml:space="preserve">ill </w:t>
      </w:r>
      <w:r>
        <w:rPr>
          <w:rFonts w:ascii="Times New Roman" w:eastAsia="Calibri" w:hAnsi="Times New Roman" w:cs="Times New Roman"/>
          <w:b/>
          <w:bCs/>
          <w:sz w:val="24"/>
          <w:szCs w:val="24"/>
          <w:lang w:val="en-PH"/>
        </w:rPr>
        <w:t>B</w:t>
      </w:r>
      <w:r w:rsidRPr="00635A7B">
        <w:rPr>
          <w:rFonts w:ascii="Times New Roman" w:eastAsia="Calibri" w:hAnsi="Times New Roman" w:cs="Times New Roman"/>
          <w:b/>
          <w:bCs/>
          <w:sz w:val="24"/>
          <w:szCs w:val="24"/>
          <w:lang w:val="en-PH"/>
        </w:rPr>
        <w:t xml:space="preserve">e </w:t>
      </w:r>
      <w:r>
        <w:rPr>
          <w:rFonts w:ascii="Times New Roman" w:eastAsia="Calibri" w:hAnsi="Times New Roman" w:cs="Times New Roman"/>
          <w:b/>
          <w:bCs/>
          <w:sz w:val="24"/>
          <w:szCs w:val="24"/>
          <w:lang w:val="en-PH"/>
        </w:rPr>
        <w:t>Coordinated With External Stakeholders</w:t>
      </w:r>
    </w:p>
    <w:p w:rsidR="006F157A" w:rsidRPr="00577F62"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p>
    <w:p w:rsidR="006F157A" w:rsidRPr="00970D3F" w:rsidRDefault="006F157A" w:rsidP="006F157A">
      <w:pPr>
        <w:autoSpaceDE w:val="0"/>
        <w:autoSpaceDN w:val="0"/>
        <w:adjustRightInd w:val="0"/>
        <w:spacing w:after="0" w:line="240" w:lineRule="auto"/>
        <w:ind w:left="360"/>
        <w:jc w:val="both"/>
        <w:rPr>
          <w:rFonts w:ascii="Times New Roman" w:hAnsi="Times New Roman" w:cs="Times New Roman"/>
          <w:sz w:val="24"/>
          <w:szCs w:val="24"/>
          <w:lang w:val="en-AU"/>
        </w:rPr>
      </w:pPr>
      <w:r w:rsidRPr="00970D3F">
        <w:rPr>
          <w:rFonts w:ascii="Times New Roman" w:hAnsi="Times New Roman" w:cs="Times New Roman"/>
          <w:sz w:val="24"/>
          <w:szCs w:val="24"/>
        </w:rPr>
        <w:t xml:space="preserve">The CTWG will seek to enhance dialogue and engagement with relevant </w:t>
      </w:r>
      <w:r>
        <w:rPr>
          <w:rFonts w:ascii="Times New Roman" w:hAnsi="Times New Roman" w:cs="Times New Roman"/>
          <w:sz w:val="24"/>
          <w:szCs w:val="24"/>
          <w:lang w:val="en-AU"/>
        </w:rPr>
        <w:t xml:space="preserve">international, </w:t>
      </w:r>
      <w:r w:rsidRPr="00970D3F">
        <w:rPr>
          <w:rFonts w:ascii="Times New Roman" w:hAnsi="Times New Roman" w:cs="Times New Roman"/>
          <w:sz w:val="24"/>
          <w:szCs w:val="24"/>
        </w:rPr>
        <w:t>multilateral</w:t>
      </w:r>
      <w:r>
        <w:rPr>
          <w:rFonts w:ascii="Times New Roman" w:hAnsi="Times New Roman" w:cs="Times New Roman"/>
          <w:sz w:val="24"/>
          <w:szCs w:val="24"/>
          <w:lang w:val="en-AU"/>
        </w:rPr>
        <w:t>, non-profit, and business</w:t>
      </w:r>
      <w:r w:rsidRPr="00970D3F">
        <w:rPr>
          <w:rFonts w:ascii="Times New Roman" w:hAnsi="Times New Roman" w:cs="Times New Roman"/>
          <w:sz w:val="24"/>
          <w:szCs w:val="24"/>
        </w:rPr>
        <w:t xml:space="preserve"> organizations particularly on the four cross-cutting areas of the APEC </w:t>
      </w:r>
      <w:r w:rsidRPr="00E4261E">
        <w:rPr>
          <w:rFonts w:ascii="Times New Roman" w:hAnsi="Times New Roman" w:cs="Times New Roman"/>
          <w:sz w:val="24"/>
          <w:szCs w:val="24"/>
        </w:rPr>
        <w:t xml:space="preserve">Consolidated </w:t>
      </w:r>
      <w:r>
        <w:rPr>
          <w:rFonts w:ascii="Times New Roman" w:hAnsi="Times New Roman" w:cs="Times New Roman"/>
          <w:sz w:val="24"/>
          <w:szCs w:val="24"/>
        </w:rPr>
        <w:t>Counter-</w:t>
      </w:r>
      <w:r w:rsidRPr="00970D3F">
        <w:rPr>
          <w:rFonts w:ascii="Times New Roman" w:hAnsi="Times New Roman" w:cs="Times New Roman"/>
          <w:sz w:val="24"/>
          <w:szCs w:val="24"/>
        </w:rPr>
        <w:t>Terrorism and Secure Trade Strategy</w:t>
      </w:r>
      <w:r>
        <w:rPr>
          <w:rFonts w:ascii="Times New Roman" w:hAnsi="Times New Roman" w:cs="Times New Roman"/>
          <w:sz w:val="24"/>
          <w:szCs w:val="24"/>
          <w:lang w:val="en-AU"/>
        </w:rPr>
        <w:t xml:space="preserve"> by inviting external stakeholders to participate in CTWG meetings and activities. This will allow and exchange of ideas on:</w:t>
      </w:r>
    </w:p>
    <w:p w:rsidR="006F157A" w:rsidRDefault="006F157A" w:rsidP="006F157A">
      <w:pPr>
        <w:autoSpaceDE w:val="0"/>
        <w:autoSpaceDN w:val="0"/>
        <w:adjustRightInd w:val="0"/>
        <w:spacing w:after="0" w:line="240" w:lineRule="auto"/>
        <w:ind w:left="360"/>
        <w:jc w:val="both"/>
        <w:rPr>
          <w:rFonts w:ascii="Arial" w:hAnsi="Arial" w:cs="Arial"/>
          <w:sz w:val="24"/>
          <w:szCs w:val="24"/>
        </w:rPr>
      </w:pPr>
    </w:p>
    <w:p w:rsidR="006F157A" w:rsidRPr="00970D3F"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970D3F">
        <w:rPr>
          <w:rFonts w:ascii="Times New Roman" w:hAnsi="Times New Roman" w:cs="Times New Roman"/>
          <w:sz w:val="24"/>
          <w:szCs w:val="24"/>
        </w:rPr>
        <w:t xml:space="preserve">lessons learned by other international bodies and organizations;  </w:t>
      </w:r>
    </w:p>
    <w:p w:rsidR="006F157A" w:rsidRPr="00970D3F"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970D3F"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970D3F">
        <w:rPr>
          <w:rFonts w:ascii="Times New Roman" w:hAnsi="Times New Roman" w:cs="Times New Roman"/>
          <w:sz w:val="24"/>
          <w:szCs w:val="24"/>
        </w:rPr>
        <w:t>current and emerging challenges to avoid unnecessary duplication of efforts of, but to supplement the work done by, other international organizations;</w:t>
      </w:r>
      <w:r>
        <w:rPr>
          <w:rFonts w:ascii="Times New Roman" w:hAnsi="Times New Roman" w:cs="Times New Roman"/>
          <w:sz w:val="24"/>
          <w:szCs w:val="24"/>
          <w:lang w:val="en-AU"/>
        </w:rPr>
        <w:t xml:space="preserve"> and</w:t>
      </w:r>
    </w:p>
    <w:p w:rsidR="006F157A" w:rsidRPr="00970D3F"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Pr="00970D3F" w:rsidRDefault="006F157A" w:rsidP="006F157A">
      <w:pPr>
        <w:numPr>
          <w:ilvl w:val="1"/>
          <w:numId w:val="21"/>
        </w:numPr>
        <w:autoSpaceDE w:val="0"/>
        <w:autoSpaceDN w:val="0"/>
        <w:adjustRightInd w:val="0"/>
        <w:spacing w:after="0" w:line="240" w:lineRule="auto"/>
        <w:ind w:left="720"/>
        <w:jc w:val="both"/>
        <w:rPr>
          <w:rFonts w:ascii="Times New Roman" w:hAnsi="Times New Roman" w:cs="Times New Roman"/>
          <w:sz w:val="24"/>
          <w:szCs w:val="24"/>
        </w:rPr>
      </w:pPr>
      <w:r w:rsidRPr="00970D3F">
        <w:rPr>
          <w:rFonts w:ascii="Times New Roman" w:hAnsi="Times New Roman" w:cs="Times New Roman"/>
          <w:sz w:val="24"/>
          <w:szCs w:val="24"/>
        </w:rPr>
        <w:t>possible points of convergence, collaboration, and cooperation for future activities</w:t>
      </w:r>
      <w:r>
        <w:rPr>
          <w:rFonts w:ascii="Times New Roman" w:hAnsi="Times New Roman" w:cs="Times New Roman"/>
          <w:sz w:val="24"/>
          <w:szCs w:val="24"/>
          <w:lang w:val="en-AU"/>
        </w:rPr>
        <w:t>.</w:t>
      </w:r>
    </w:p>
    <w:p w:rsidR="006F157A" w:rsidRPr="00970D3F" w:rsidRDefault="006F157A" w:rsidP="006F157A">
      <w:pPr>
        <w:autoSpaceDE w:val="0"/>
        <w:autoSpaceDN w:val="0"/>
        <w:adjustRightInd w:val="0"/>
        <w:spacing w:after="0" w:line="240" w:lineRule="auto"/>
        <w:ind w:left="720"/>
        <w:jc w:val="both"/>
        <w:rPr>
          <w:rFonts w:ascii="Times New Roman" w:hAnsi="Times New Roman" w:cs="Times New Roman"/>
          <w:sz w:val="24"/>
          <w:szCs w:val="24"/>
        </w:rPr>
      </w:pPr>
    </w:p>
    <w:p w:rsidR="006F157A" w:rsidRDefault="006F157A" w:rsidP="006F157A">
      <w:pPr>
        <w:autoSpaceDE w:val="0"/>
        <w:autoSpaceDN w:val="0"/>
        <w:adjustRightInd w:val="0"/>
        <w:spacing w:after="0" w:line="240" w:lineRule="auto"/>
        <w:ind w:left="360"/>
        <w:jc w:val="both"/>
        <w:rPr>
          <w:rFonts w:ascii="Times New Roman" w:hAnsi="Times New Roman" w:cs="Times New Roman"/>
          <w:sz w:val="24"/>
          <w:szCs w:val="24"/>
        </w:rPr>
      </w:pPr>
      <w:r w:rsidRPr="00970D3F">
        <w:rPr>
          <w:rFonts w:ascii="Times New Roman" w:hAnsi="Times New Roman" w:cs="Times New Roman"/>
          <w:sz w:val="24"/>
          <w:szCs w:val="24"/>
        </w:rPr>
        <w:t>Cooperation with the private sector in particular helps to connect APEC’s security-related efforts to APEC’s core mission of promoting economic growth and prosperity in the Asia-Pacific region. The CTWG will work with the APEC Business Advisory Council (ABAC) and the broader regional business community to identify possible strategic partners from the business sector and to explore opportunities for collaborating on issues and activities of mutual interest, including the holding of the Secure Trade in the APEC Region (STAR) Conference.</w:t>
      </w:r>
    </w:p>
    <w:p w:rsidR="006F157A" w:rsidRPr="00635A7B" w:rsidRDefault="006F157A" w:rsidP="006F157A">
      <w:pPr>
        <w:pStyle w:val="ListParagraph"/>
        <w:spacing w:after="0"/>
        <w:ind w:left="0"/>
        <w:jc w:val="both"/>
        <w:rPr>
          <w:rFonts w:ascii="Times New Roman" w:hAnsi="Times New Roman" w:cs="Times New Roman"/>
          <w:sz w:val="24"/>
          <w:szCs w:val="24"/>
        </w:rPr>
      </w:pPr>
    </w:p>
    <w:p w:rsidR="006F157A" w:rsidRPr="00635A7B" w:rsidRDefault="006F157A" w:rsidP="006F157A">
      <w:pPr>
        <w:numPr>
          <w:ilvl w:val="0"/>
          <w:numId w:val="1"/>
        </w:numPr>
        <w:autoSpaceDE w:val="0"/>
        <w:autoSpaceDN w:val="0"/>
        <w:adjustRightInd w:val="0"/>
        <w:spacing w:after="0" w:line="240" w:lineRule="auto"/>
        <w:ind w:left="0" w:hanging="709"/>
        <w:jc w:val="both"/>
        <w:rPr>
          <w:rFonts w:ascii="Times New Roman" w:eastAsia="Calibri" w:hAnsi="Times New Roman" w:cs="Times New Roman"/>
          <w:b/>
          <w:bCs/>
          <w:sz w:val="24"/>
          <w:szCs w:val="24"/>
          <w:lang w:val="en-PH"/>
        </w:rPr>
      </w:pPr>
      <w:r w:rsidRPr="00635A7B">
        <w:rPr>
          <w:rFonts w:ascii="Times New Roman" w:eastAsia="Calibri" w:hAnsi="Times New Roman" w:cs="Times New Roman"/>
          <w:b/>
          <w:bCs/>
          <w:sz w:val="24"/>
          <w:szCs w:val="24"/>
          <w:lang w:val="en-PH"/>
        </w:rPr>
        <w:t>Objectives and Key Performance Indicators</w:t>
      </w:r>
    </w:p>
    <w:p w:rsidR="006F157A" w:rsidRPr="00635A7B" w:rsidRDefault="006F157A" w:rsidP="006F157A">
      <w:pPr>
        <w:spacing w:after="0"/>
        <w:rPr>
          <w:rFonts w:ascii="Times New Roman" w:hAnsi="Times New Roman" w:cs="Times New Roman"/>
          <w:sz w:val="24"/>
          <w:szCs w:val="24"/>
        </w:rPr>
      </w:pPr>
    </w:p>
    <w:p w:rsidR="006F157A" w:rsidRPr="00635A7B" w:rsidRDefault="006F157A" w:rsidP="006F157A">
      <w:pPr>
        <w:rPr>
          <w:rFonts w:ascii="Times New Roman" w:hAnsi="Times New Roman" w:cs="Times New Roman"/>
          <w:sz w:val="24"/>
          <w:szCs w:val="24"/>
        </w:rPr>
      </w:pPr>
      <w:r w:rsidRPr="00635A7B">
        <w:rPr>
          <w:rFonts w:ascii="Times New Roman" w:hAnsi="Times New Roman" w:cs="Times New Roman"/>
          <w:b/>
          <w:sz w:val="24"/>
          <w:szCs w:val="24"/>
          <w:u w:val="single"/>
        </w:rPr>
        <w:t>Objective 1</w:t>
      </w:r>
      <w:r w:rsidRPr="00635A7B">
        <w:rPr>
          <w:rFonts w:ascii="Times New Roman" w:hAnsi="Times New Roman" w:cs="Times New Roman"/>
          <w:b/>
          <w:sz w:val="24"/>
          <w:szCs w:val="24"/>
        </w:rPr>
        <w:t>:</w:t>
      </w:r>
      <w:r w:rsidRPr="00635A7B">
        <w:rPr>
          <w:rFonts w:ascii="Times New Roman" w:hAnsi="Times New Roman" w:cs="Times New Roman"/>
          <w:sz w:val="24"/>
          <w:szCs w:val="24"/>
        </w:rPr>
        <w:t xml:space="preserve"> </w:t>
      </w:r>
    </w:p>
    <w:p w:rsidR="006F157A" w:rsidRPr="00970D3F" w:rsidRDefault="006F157A" w:rsidP="006F157A">
      <w:pPr>
        <w:jc w:val="both"/>
        <w:rPr>
          <w:rFonts w:ascii="Times New Roman" w:hAnsi="Times New Roman" w:cs="Times New Roman"/>
          <w:b/>
          <w:i/>
          <w:sz w:val="24"/>
          <w:szCs w:val="24"/>
        </w:rPr>
      </w:pPr>
      <w:r w:rsidRPr="00970D3F">
        <w:rPr>
          <w:rFonts w:ascii="Times New Roman" w:hAnsi="Times New Roman" w:cs="Times New Roman"/>
          <w:b/>
          <w:i/>
          <w:sz w:val="24"/>
          <w:szCs w:val="24"/>
        </w:rPr>
        <w:t xml:space="preserve">Strengthen security, efficiency and resilience in the Asia Pacific region through activities in the four cross-cutting areas of </w:t>
      </w:r>
      <w:r>
        <w:rPr>
          <w:rFonts w:ascii="Times New Roman" w:hAnsi="Times New Roman" w:cs="Times New Roman"/>
          <w:b/>
          <w:i/>
          <w:sz w:val="24"/>
          <w:szCs w:val="24"/>
          <w:lang w:val="en-AU"/>
        </w:rPr>
        <w:t xml:space="preserve">the </w:t>
      </w:r>
      <w:r>
        <w:rPr>
          <w:rFonts w:ascii="Times New Roman" w:hAnsi="Times New Roman" w:cs="Times New Roman"/>
          <w:b/>
          <w:i/>
          <w:sz w:val="24"/>
          <w:szCs w:val="24"/>
        </w:rPr>
        <w:t xml:space="preserve">APEC </w:t>
      </w:r>
      <w:r w:rsidRPr="00E4261E">
        <w:rPr>
          <w:rFonts w:ascii="Times New Roman" w:hAnsi="Times New Roman" w:cs="Times New Roman"/>
          <w:b/>
          <w:i/>
          <w:sz w:val="24"/>
          <w:szCs w:val="24"/>
        </w:rPr>
        <w:t>Consolidated</w:t>
      </w:r>
      <w:r w:rsidRPr="00970D3F">
        <w:rPr>
          <w:rFonts w:ascii="Times New Roman" w:hAnsi="Times New Roman" w:cs="Times New Roman"/>
          <w:b/>
          <w:i/>
          <w:sz w:val="24"/>
          <w:szCs w:val="24"/>
        </w:rPr>
        <w:t xml:space="preserve"> Counter</w:t>
      </w:r>
      <w:r w:rsidRPr="00970D3F">
        <w:rPr>
          <w:rFonts w:ascii="Times New Roman" w:hAnsi="Times New Roman" w:cs="Times New Roman"/>
          <w:b/>
          <w:i/>
          <w:sz w:val="24"/>
          <w:szCs w:val="24"/>
          <w:lang w:val="en-AU"/>
        </w:rPr>
        <w:t>-</w:t>
      </w:r>
      <w:r w:rsidRPr="00970D3F">
        <w:rPr>
          <w:rFonts w:ascii="Times New Roman" w:hAnsi="Times New Roman" w:cs="Times New Roman"/>
          <w:b/>
          <w:i/>
          <w:sz w:val="24"/>
          <w:szCs w:val="24"/>
        </w:rPr>
        <w:t>Terrorism and Secure Trade Strategy: secure supply chains, secure travel, secure finance, and secure infrastructure.</w:t>
      </w:r>
    </w:p>
    <w:p w:rsidR="006F157A" w:rsidRPr="00635A7B" w:rsidRDefault="006F157A" w:rsidP="006F157A">
      <w:pPr>
        <w:ind w:firstLine="360"/>
        <w:rPr>
          <w:rFonts w:ascii="Times New Roman" w:hAnsi="Times New Roman" w:cs="Times New Roman"/>
          <w:b/>
          <w:sz w:val="24"/>
          <w:szCs w:val="24"/>
        </w:rPr>
      </w:pPr>
      <w:r w:rsidRPr="00635A7B">
        <w:rPr>
          <w:rFonts w:ascii="Times New Roman" w:hAnsi="Times New Roman" w:cs="Times New Roman"/>
          <w:b/>
          <w:sz w:val="24"/>
          <w:szCs w:val="24"/>
        </w:rPr>
        <w:t xml:space="preserve">KPIs </w:t>
      </w:r>
    </w:p>
    <w:p w:rsidR="006F157A" w:rsidRPr="00577F62" w:rsidRDefault="006F157A" w:rsidP="006F157A">
      <w:pPr>
        <w:pStyle w:val="ListParagraph"/>
        <w:numPr>
          <w:ilvl w:val="0"/>
          <w:numId w:val="3"/>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rPr>
        <w:t>Member e</w:t>
      </w:r>
      <w:r w:rsidRPr="00635A7B">
        <w:rPr>
          <w:rFonts w:ascii="Times New Roman" w:hAnsi="Times New Roman" w:cs="Times New Roman"/>
          <w:sz w:val="24"/>
          <w:szCs w:val="24"/>
        </w:rPr>
        <w:t>conom</w:t>
      </w:r>
      <w:r w:rsidR="00817ACA">
        <w:rPr>
          <w:rFonts w:ascii="Times New Roman" w:hAnsi="Times New Roman" w:cs="Times New Roman"/>
          <w:sz w:val="24"/>
          <w:szCs w:val="24"/>
        </w:rPr>
        <w:t xml:space="preserve">ies </w:t>
      </w:r>
      <w:r w:rsidRPr="00635A7B">
        <w:rPr>
          <w:rFonts w:ascii="Times New Roman" w:hAnsi="Times New Roman" w:cs="Times New Roman"/>
          <w:sz w:val="24"/>
          <w:szCs w:val="24"/>
        </w:rPr>
        <w:t xml:space="preserve"> implement the </w:t>
      </w:r>
      <w:r w:rsidRPr="004B2690">
        <w:rPr>
          <w:rFonts w:ascii="Times New Roman" w:hAnsi="Times New Roman" w:cs="Times New Roman"/>
          <w:sz w:val="24"/>
          <w:szCs w:val="24"/>
        </w:rPr>
        <w:t xml:space="preserve">APEC </w:t>
      </w:r>
      <w:r w:rsidRPr="00E4261E">
        <w:rPr>
          <w:rFonts w:ascii="Times New Roman" w:hAnsi="Times New Roman" w:cs="Times New Roman"/>
          <w:sz w:val="24"/>
          <w:szCs w:val="24"/>
        </w:rPr>
        <w:t xml:space="preserve">Consolidated </w:t>
      </w:r>
      <w:r w:rsidRPr="004B2690">
        <w:rPr>
          <w:rFonts w:ascii="Times New Roman" w:hAnsi="Times New Roman" w:cs="Times New Roman"/>
          <w:sz w:val="24"/>
          <w:szCs w:val="24"/>
        </w:rPr>
        <w:t>Counter-Terrorism and Secure Trade Strategy</w:t>
      </w:r>
      <w:r w:rsidRPr="00635A7B">
        <w:rPr>
          <w:rFonts w:ascii="Times New Roman" w:hAnsi="Times New Roman" w:cs="Times New Roman"/>
          <w:sz w:val="24"/>
          <w:szCs w:val="24"/>
        </w:rPr>
        <w:t xml:space="preserve">; </w:t>
      </w:r>
    </w:p>
    <w:p w:rsidR="00134A21" w:rsidRPr="00577F62" w:rsidRDefault="00134A21" w:rsidP="006F157A">
      <w:pPr>
        <w:pStyle w:val="ListParagraph"/>
        <w:spacing w:after="0" w:line="240" w:lineRule="auto"/>
        <w:ind w:left="0"/>
        <w:jc w:val="both"/>
        <w:rPr>
          <w:rFonts w:ascii="Times New Roman" w:hAnsi="Times New Roman" w:cs="Times New Roman"/>
          <w:sz w:val="24"/>
          <w:szCs w:val="24"/>
        </w:rPr>
      </w:pPr>
    </w:p>
    <w:p w:rsidR="006F157A" w:rsidRPr="00635A7B" w:rsidRDefault="006F157A" w:rsidP="006F157A">
      <w:pPr>
        <w:pStyle w:val="ListParagraph"/>
        <w:spacing w:after="0" w:line="240" w:lineRule="auto"/>
        <w:ind w:left="0"/>
        <w:jc w:val="both"/>
        <w:rPr>
          <w:rFonts w:ascii="Times New Roman" w:hAnsi="Times New Roman" w:cs="Times New Roman"/>
          <w:sz w:val="24"/>
          <w:szCs w:val="24"/>
        </w:rPr>
      </w:pPr>
    </w:p>
    <w:p w:rsidR="006F157A" w:rsidRPr="00635A7B" w:rsidRDefault="006F157A" w:rsidP="006F157A">
      <w:pPr>
        <w:rPr>
          <w:rFonts w:ascii="Times New Roman" w:hAnsi="Times New Roman" w:cs="Times New Roman"/>
          <w:sz w:val="24"/>
          <w:szCs w:val="24"/>
        </w:rPr>
      </w:pPr>
      <w:r w:rsidRPr="00635A7B">
        <w:rPr>
          <w:rFonts w:ascii="Times New Roman" w:hAnsi="Times New Roman" w:cs="Times New Roman"/>
          <w:b/>
          <w:sz w:val="24"/>
          <w:szCs w:val="24"/>
          <w:u w:val="single"/>
        </w:rPr>
        <w:t>Objective 2</w:t>
      </w:r>
      <w:r w:rsidRPr="00635A7B">
        <w:rPr>
          <w:rFonts w:ascii="Times New Roman" w:hAnsi="Times New Roman" w:cs="Times New Roman"/>
          <w:sz w:val="24"/>
          <w:szCs w:val="24"/>
        </w:rPr>
        <w:t xml:space="preserve">: </w:t>
      </w:r>
    </w:p>
    <w:p w:rsidR="006F157A" w:rsidRPr="00970D3F" w:rsidRDefault="006F157A" w:rsidP="006F157A">
      <w:pPr>
        <w:jc w:val="both"/>
        <w:rPr>
          <w:rFonts w:ascii="Times New Roman" w:hAnsi="Times New Roman" w:cs="Times New Roman"/>
          <w:b/>
          <w:i/>
          <w:sz w:val="24"/>
          <w:szCs w:val="24"/>
        </w:rPr>
      </w:pPr>
      <w:r w:rsidRPr="00970D3F">
        <w:rPr>
          <w:rFonts w:ascii="Times New Roman" w:hAnsi="Times New Roman" w:cs="Times New Roman"/>
          <w:b/>
          <w:i/>
          <w:sz w:val="24"/>
          <w:szCs w:val="24"/>
        </w:rPr>
        <w:t>Identify and assess key counter-terrorism and secure trade challenges facing APEC member economies, including through the CTWG’s Counter</w:t>
      </w:r>
      <w:r>
        <w:rPr>
          <w:rFonts w:ascii="Times New Roman" w:hAnsi="Times New Roman" w:cs="Times New Roman"/>
          <w:b/>
          <w:i/>
          <w:sz w:val="24"/>
          <w:szCs w:val="24"/>
          <w:lang w:val="en-AU"/>
        </w:rPr>
        <w:t>-T</w:t>
      </w:r>
      <w:r w:rsidRPr="00970D3F">
        <w:rPr>
          <w:rFonts w:ascii="Times New Roman" w:hAnsi="Times New Roman" w:cs="Times New Roman"/>
          <w:b/>
          <w:i/>
          <w:sz w:val="24"/>
          <w:szCs w:val="24"/>
        </w:rPr>
        <w:t>errorism Action Plans (CTAPs).</w:t>
      </w:r>
    </w:p>
    <w:p w:rsidR="006F157A" w:rsidRPr="00970D3F" w:rsidRDefault="006F157A" w:rsidP="006F157A">
      <w:pPr>
        <w:ind w:firstLine="360"/>
        <w:rPr>
          <w:rFonts w:ascii="Times New Roman" w:hAnsi="Times New Roman" w:cs="Times New Roman"/>
          <w:b/>
          <w:sz w:val="24"/>
          <w:szCs w:val="24"/>
          <w:lang w:val="en-AU"/>
        </w:rPr>
      </w:pPr>
      <w:r w:rsidRPr="003E44C5">
        <w:rPr>
          <w:rFonts w:ascii="Times New Roman" w:hAnsi="Times New Roman" w:cs="Times New Roman"/>
          <w:b/>
          <w:sz w:val="24"/>
          <w:szCs w:val="24"/>
        </w:rPr>
        <w:t>KPI</w:t>
      </w:r>
      <w:r>
        <w:rPr>
          <w:rFonts w:ascii="Times New Roman" w:hAnsi="Times New Roman" w:cs="Times New Roman"/>
          <w:b/>
          <w:sz w:val="24"/>
          <w:szCs w:val="24"/>
          <w:lang w:val="en-AU"/>
        </w:rPr>
        <w:t>s</w:t>
      </w:r>
    </w:p>
    <w:p w:rsidR="006F157A" w:rsidRDefault="006F157A" w:rsidP="006F157A">
      <w:pPr>
        <w:pStyle w:val="ListParagraph"/>
        <w:numPr>
          <w:ilvl w:val="0"/>
          <w:numId w:val="29"/>
        </w:numPr>
        <w:spacing w:after="0" w:line="240" w:lineRule="auto"/>
        <w:ind w:left="0" w:hanging="426"/>
        <w:jc w:val="both"/>
        <w:rPr>
          <w:rFonts w:ascii="Times New Roman" w:hAnsi="Times New Roman" w:cs="Times New Roman"/>
          <w:sz w:val="24"/>
          <w:szCs w:val="24"/>
        </w:rPr>
      </w:pPr>
      <w:r w:rsidRPr="00635A7B">
        <w:rPr>
          <w:rFonts w:ascii="Times New Roman" w:hAnsi="Times New Roman" w:cs="Times New Roman"/>
          <w:sz w:val="24"/>
          <w:szCs w:val="24"/>
        </w:rPr>
        <w:t xml:space="preserve">All CTAPs </w:t>
      </w:r>
      <w:r>
        <w:rPr>
          <w:rFonts w:ascii="Times New Roman" w:hAnsi="Times New Roman" w:cs="Times New Roman"/>
          <w:sz w:val="24"/>
          <w:szCs w:val="24"/>
          <w:lang w:val="en-AU"/>
        </w:rPr>
        <w:t>reviewed</w:t>
      </w:r>
      <w:r w:rsidRPr="00635A7B">
        <w:rPr>
          <w:rFonts w:ascii="Times New Roman" w:hAnsi="Times New Roman" w:cs="Times New Roman"/>
          <w:sz w:val="24"/>
          <w:szCs w:val="24"/>
        </w:rPr>
        <w:t xml:space="preserve"> by </w:t>
      </w:r>
      <w:r w:rsidRPr="00970D3F">
        <w:rPr>
          <w:rFonts w:ascii="Times New Roman" w:hAnsi="Times New Roman" w:cs="Times New Roman"/>
          <w:sz w:val="24"/>
          <w:szCs w:val="24"/>
        </w:rPr>
        <w:t xml:space="preserve">mid-term (end of 2020) and </w:t>
      </w:r>
      <w:r>
        <w:rPr>
          <w:rFonts w:ascii="Times New Roman" w:hAnsi="Times New Roman" w:cs="Times New Roman"/>
          <w:sz w:val="24"/>
          <w:szCs w:val="24"/>
          <w:lang w:val="en-AU"/>
        </w:rPr>
        <w:t>updated</w:t>
      </w:r>
      <w:r w:rsidRPr="00970D3F">
        <w:rPr>
          <w:rFonts w:ascii="Times New Roman" w:hAnsi="Times New Roman" w:cs="Times New Roman"/>
          <w:sz w:val="24"/>
          <w:szCs w:val="24"/>
        </w:rPr>
        <w:t xml:space="preserve"> at end of term (end of 2022) </w:t>
      </w:r>
    </w:p>
    <w:p w:rsidR="006F157A" w:rsidRPr="00970D3F" w:rsidRDefault="006F157A" w:rsidP="006F157A">
      <w:pPr>
        <w:pStyle w:val="ListParagraph"/>
        <w:numPr>
          <w:ilvl w:val="1"/>
          <w:numId w:val="28"/>
        </w:numPr>
        <w:spacing w:after="0" w:line="240" w:lineRule="auto"/>
        <w:ind w:left="993"/>
        <w:jc w:val="both"/>
        <w:rPr>
          <w:rFonts w:ascii="Times New Roman" w:hAnsi="Times New Roman" w:cs="Times New Roman"/>
          <w:sz w:val="24"/>
          <w:szCs w:val="24"/>
          <w:lang w:val="en-AU"/>
        </w:rPr>
      </w:pPr>
      <w:r w:rsidRPr="00970D3F">
        <w:rPr>
          <w:rFonts w:ascii="Times New Roman" w:hAnsi="Times New Roman" w:cs="Times New Roman"/>
          <w:sz w:val="24"/>
          <w:szCs w:val="24"/>
          <w:lang w:val="en-AU"/>
        </w:rPr>
        <w:t>report</w:t>
      </w:r>
      <w:r>
        <w:rPr>
          <w:rFonts w:ascii="Times New Roman" w:hAnsi="Times New Roman" w:cs="Times New Roman"/>
          <w:sz w:val="24"/>
          <w:szCs w:val="24"/>
          <w:lang w:val="en-AU"/>
        </w:rPr>
        <w:t>s</w:t>
      </w:r>
      <w:r w:rsidRPr="00970D3F">
        <w:rPr>
          <w:rFonts w:ascii="Times New Roman" w:hAnsi="Times New Roman" w:cs="Times New Roman"/>
          <w:sz w:val="24"/>
          <w:szCs w:val="24"/>
          <w:lang w:val="en-AU"/>
        </w:rPr>
        <w:t xml:space="preserve"> on actions taken to address issues identified, such as gaps or risks, and their effectiveness</w:t>
      </w:r>
      <w:r>
        <w:rPr>
          <w:rFonts w:ascii="Times New Roman" w:hAnsi="Times New Roman" w:cs="Times New Roman"/>
          <w:sz w:val="24"/>
          <w:szCs w:val="24"/>
          <w:lang w:val="en-AU"/>
        </w:rPr>
        <w:t xml:space="preserve"> submitted by member economies;</w:t>
      </w:r>
    </w:p>
    <w:p w:rsidR="00134A21" w:rsidRDefault="00134A21" w:rsidP="006F157A">
      <w:pPr>
        <w:pStyle w:val="ListParagraph"/>
        <w:spacing w:after="0" w:line="240" w:lineRule="auto"/>
        <w:ind w:left="0"/>
        <w:jc w:val="both"/>
        <w:rPr>
          <w:rFonts w:ascii="Times New Roman" w:hAnsi="Times New Roman" w:cs="Times New Roman"/>
          <w:sz w:val="24"/>
          <w:szCs w:val="24"/>
        </w:rPr>
      </w:pPr>
    </w:p>
    <w:p w:rsidR="00F51668" w:rsidRPr="00C91C0B" w:rsidRDefault="00F51668" w:rsidP="006F157A">
      <w:pPr>
        <w:pStyle w:val="ListParagraph"/>
        <w:spacing w:after="0" w:line="240" w:lineRule="auto"/>
        <w:ind w:left="0"/>
        <w:jc w:val="both"/>
        <w:rPr>
          <w:rFonts w:ascii="Times New Roman" w:hAnsi="Times New Roman" w:cs="Times New Roman"/>
          <w:sz w:val="24"/>
          <w:szCs w:val="24"/>
        </w:rPr>
      </w:pPr>
      <w:bookmarkStart w:id="0" w:name="_GoBack"/>
      <w:bookmarkEnd w:id="0"/>
    </w:p>
    <w:p w:rsidR="006F157A" w:rsidRPr="00C91C0B" w:rsidRDefault="006F157A" w:rsidP="006F157A">
      <w:pPr>
        <w:pStyle w:val="ListParagraph"/>
        <w:spacing w:after="0" w:line="240" w:lineRule="auto"/>
        <w:ind w:left="0"/>
        <w:jc w:val="both"/>
        <w:rPr>
          <w:rFonts w:ascii="Times New Roman" w:hAnsi="Times New Roman" w:cs="Times New Roman"/>
          <w:sz w:val="24"/>
          <w:szCs w:val="24"/>
        </w:rPr>
      </w:pPr>
    </w:p>
    <w:p w:rsidR="006F157A" w:rsidRPr="00635A7B" w:rsidRDefault="006F157A" w:rsidP="006F157A">
      <w:pPr>
        <w:rPr>
          <w:rFonts w:ascii="Times New Roman" w:hAnsi="Times New Roman" w:cs="Times New Roman"/>
          <w:sz w:val="24"/>
          <w:szCs w:val="24"/>
        </w:rPr>
      </w:pPr>
      <w:r w:rsidRPr="00635A7B">
        <w:rPr>
          <w:rFonts w:ascii="Times New Roman" w:hAnsi="Times New Roman" w:cs="Times New Roman"/>
          <w:b/>
          <w:sz w:val="24"/>
          <w:szCs w:val="24"/>
          <w:u w:val="single"/>
        </w:rPr>
        <w:lastRenderedPageBreak/>
        <w:t>Objective 3</w:t>
      </w:r>
      <w:r w:rsidRPr="00635A7B">
        <w:rPr>
          <w:rFonts w:ascii="Times New Roman" w:hAnsi="Times New Roman" w:cs="Times New Roman"/>
          <w:sz w:val="24"/>
          <w:szCs w:val="24"/>
        </w:rPr>
        <w:t xml:space="preserve">: </w:t>
      </w:r>
    </w:p>
    <w:p w:rsidR="006F157A" w:rsidRPr="00633652" w:rsidRDefault="006F157A" w:rsidP="006F157A">
      <w:pPr>
        <w:jc w:val="both"/>
        <w:rPr>
          <w:rFonts w:ascii="Times New Roman" w:hAnsi="Times New Roman" w:cs="Times New Roman"/>
          <w:b/>
          <w:i/>
          <w:sz w:val="24"/>
          <w:szCs w:val="24"/>
          <w:lang w:val="en-AU"/>
        </w:rPr>
      </w:pPr>
      <w:r w:rsidRPr="00970D3F">
        <w:rPr>
          <w:rFonts w:ascii="Times New Roman" w:hAnsi="Times New Roman" w:cs="Times New Roman"/>
          <w:b/>
          <w:i/>
          <w:sz w:val="24"/>
          <w:szCs w:val="24"/>
        </w:rPr>
        <w:t xml:space="preserve">Enhance </w:t>
      </w:r>
      <w:r>
        <w:rPr>
          <w:rFonts w:ascii="Times New Roman" w:hAnsi="Times New Roman" w:cs="Times New Roman"/>
          <w:b/>
          <w:i/>
          <w:sz w:val="24"/>
          <w:szCs w:val="24"/>
        </w:rPr>
        <w:t>m</w:t>
      </w:r>
      <w:r w:rsidRPr="00970D3F">
        <w:rPr>
          <w:rFonts w:ascii="Times New Roman" w:hAnsi="Times New Roman" w:cs="Times New Roman"/>
          <w:b/>
          <w:i/>
          <w:sz w:val="24"/>
          <w:szCs w:val="24"/>
        </w:rPr>
        <w:t xml:space="preserve">ember </w:t>
      </w:r>
      <w:r>
        <w:rPr>
          <w:rFonts w:ascii="Times New Roman" w:hAnsi="Times New Roman" w:cs="Times New Roman"/>
          <w:b/>
          <w:i/>
          <w:sz w:val="24"/>
          <w:szCs w:val="24"/>
          <w:lang w:val="en-AU"/>
        </w:rPr>
        <w:t>e</w:t>
      </w:r>
      <w:r w:rsidRPr="00970D3F">
        <w:rPr>
          <w:rFonts w:ascii="Times New Roman" w:hAnsi="Times New Roman" w:cs="Times New Roman"/>
          <w:b/>
          <w:i/>
          <w:sz w:val="24"/>
          <w:szCs w:val="24"/>
        </w:rPr>
        <w:t xml:space="preserve">conomy capacity to provide secure regional </w:t>
      </w:r>
      <w:r w:rsidR="00633652">
        <w:rPr>
          <w:rFonts w:ascii="Times New Roman" w:hAnsi="Times New Roman" w:cs="Times New Roman"/>
          <w:b/>
          <w:i/>
          <w:sz w:val="24"/>
          <w:szCs w:val="24"/>
          <w:lang w:val="en-AU"/>
        </w:rPr>
        <w:t>commerce.</w:t>
      </w:r>
    </w:p>
    <w:p w:rsidR="006F157A" w:rsidRPr="00635A7B" w:rsidRDefault="006F157A" w:rsidP="006F157A">
      <w:pPr>
        <w:ind w:firstLine="360"/>
        <w:rPr>
          <w:rFonts w:ascii="Times New Roman" w:hAnsi="Times New Roman" w:cs="Times New Roman"/>
          <w:b/>
          <w:sz w:val="24"/>
          <w:szCs w:val="24"/>
        </w:rPr>
      </w:pPr>
      <w:r w:rsidRPr="00635A7B">
        <w:rPr>
          <w:rFonts w:ascii="Times New Roman" w:hAnsi="Times New Roman" w:cs="Times New Roman"/>
          <w:b/>
          <w:sz w:val="24"/>
          <w:szCs w:val="24"/>
        </w:rPr>
        <w:t>KPIs</w:t>
      </w:r>
    </w:p>
    <w:p w:rsidR="006F157A" w:rsidRPr="00970D3F" w:rsidRDefault="006F157A" w:rsidP="006F157A">
      <w:pPr>
        <w:pStyle w:val="ListParagraph"/>
        <w:numPr>
          <w:ilvl w:val="0"/>
          <w:numId w:val="28"/>
        </w:numPr>
        <w:spacing w:after="0" w:line="240" w:lineRule="auto"/>
        <w:ind w:left="0" w:hanging="426"/>
        <w:jc w:val="both"/>
        <w:rPr>
          <w:rFonts w:ascii="Times New Roman" w:hAnsi="Times New Roman" w:cs="Times New Roman"/>
          <w:sz w:val="24"/>
          <w:szCs w:val="24"/>
        </w:rPr>
      </w:pPr>
      <w:r w:rsidRPr="00970D3F">
        <w:rPr>
          <w:rFonts w:ascii="Times New Roman" w:hAnsi="Times New Roman" w:cs="Times New Roman"/>
          <w:sz w:val="24"/>
          <w:szCs w:val="24"/>
        </w:rPr>
        <w:t>Hold  workshops, training, and capacity</w:t>
      </w:r>
      <w:r w:rsidRPr="00970D3F">
        <w:rPr>
          <w:rFonts w:ascii="Times New Roman" w:hAnsi="Times New Roman" w:cs="Times New Roman"/>
          <w:sz w:val="24"/>
          <w:szCs w:val="24"/>
          <w:lang w:val="en-AU"/>
        </w:rPr>
        <w:t>-</w:t>
      </w:r>
      <w:r w:rsidRPr="00970D3F">
        <w:rPr>
          <w:rFonts w:ascii="Times New Roman" w:hAnsi="Times New Roman" w:cs="Times New Roman"/>
          <w:sz w:val="24"/>
          <w:szCs w:val="24"/>
        </w:rPr>
        <w:t>building activities</w:t>
      </w:r>
      <w:r w:rsidRPr="004D529A">
        <w:rPr>
          <w:rFonts w:ascii="Times New Roman" w:hAnsi="Times New Roman" w:cs="Times New Roman"/>
          <w:sz w:val="24"/>
          <w:szCs w:val="24"/>
          <w:lang w:val="en-US"/>
        </w:rPr>
        <w:t>;</w:t>
      </w:r>
    </w:p>
    <w:p w:rsidR="006F157A" w:rsidRPr="003E44C5" w:rsidRDefault="006F157A" w:rsidP="006F157A">
      <w:pPr>
        <w:pStyle w:val="ListParagraph"/>
        <w:numPr>
          <w:ilvl w:val="1"/>
          <w:numId w:val="28"/>
        </w:numPr>
        <w:spacing w:after="0" w:line="240" w:lineRule="auto"/>
        <w:ind w:left="993"/>
        <w:jc w:val="both"/>
        <w:rPr>
          <w:rFonts w:ascii="Times New Roman" w:hAnsi="Times New Roman" w:cs="Times New Roman"/>
          <w:sz w:val="24"/>
          <w:szCs w:val="24"/>
        </w:rPr>
      </w:pPr>
      <w:r w:rsidRPr="00970D3F">
        <w:rPr>
          <w:rFonts w:ascii="Times New Roman" w:hAnsi="Times New Roman" w:cs="Times New Roman"/>
          <w:sz w:val="24"/>
          <w:szCs w:val="24"/>
          <w:lang w:val="en-AU"/>
        </w:rPr>
        <w:t>Identify and implement recommendations from these CTWG-led activities</w:t>
      </w:r>
      <w:r w:rsidRPr="003E44C5">
        <w:rPr>
          <w:rFonts w:ascii="Times New Roman" w:hAnsi="Times New Roman" w:cs="Times New Roman"/>
          <w:sz w:val="24"/>
          <w:szCs w:val="24"/>
        </w:rPr>
        <w:t>.</w:t>
      </w:r>
    </w:p>
    <w:p w:rsidR="00134A21" w:rsidRDefault="00134A21" w:rsidP="006F157A">
      <w:pPr>
        <w:pStyle w:val="ListParagraph"/>
        <w:ind w:left="0"/>
        <w:rPr>
          <w:rFonts w:ascii="Times New Roman" w:hAnsi="Times New Roman" w:cs="Times New Roman"/>
          <w:strike/>
          <w:sz w:val="24"/>
          <w:szCs w:val="24"/>
        </w:rPr>
      </w:pPr>
    </w:p>
    <w:p w:rsidR="006F157A" w:rsidRPr="00635A7B" w:rsidRDefault="006F157A" w:rsidP="006F157A">
      <w:pPr>
        <w:pStyle w:val="ListParagraph"/>
        <w:ind w:left="0"/>
        <w:rPr>
          <w:rFonts w:ascii="Times New Roman" w:hAnsi="Times New Roman" w:cs="Times New Roman"/>
          <w:b/>
          <w:sz w:val="24"/>
          <w:szCs w:val="24"/>
        </w:rPr>
      </w:pPr>
    </w:p>
    <w:p w:rsidR="006F157A" w:rsidRPr="00635A7B" w:rsidRDefault="006F157A" w:rsidP="006F157A">
      <w:pPr>
        <w:pStyle w:val="ListParagraph"/>
        <w:ind w:left="0"/>
        <w:rPr>
          <w:rFonts w:ascii="Times New Roman" w:hAnsi="Times New Roman" w:cs="Times New Roman"/>
          <w:b/>
          <w:sz w:val="24"/>
          <w:szCs w:val="24"/>
        </w:rPr>
      </w:pPr>
      <w:r w:rsidRPr="00635A7B">
        <w:rPr>
          <w:rFonts w:ascii="Times New Roman" w:hAnsi="Times New Roman" w:cs="Times New Roman"/>
          <w:b/>
          <w:sz w:val="24"/>
          <w:szCs w:val="24"/>
          <w:u w:val="single"/>
        </w:rPr>
        <w:t>Objective 4</w:t>
      </w:r>
      <w:r w:rsidRPr="00635A7B">
        <w:rPr>
          <w:rFonts w:ascii="Times New Roman" w:hAnsi="Times New Roman" w:cs="Times New Roman"/>
          <w:b/>
          <w:sz w:val="24"/>
          <w:szCs w:val="24"/>
        </w:rPr>
        <w:t xml:space="preserve">: </w:t>
      </w:r>
    </w:p>
    <w:p w:rsidR="006F157A" w:rsidRDefault="006F157A" w:rsidP="00DF7F0C">
      <w:pPr>
        <w:pStyle w:val="ListParagraph"/>
        <w:ind w:left="0"/>
        <w:rPr>
          <w:rFonts w:ascii="Times New Roman" w:hAnsi="Times New Roman" w:cs="Times New Roman"/>
          <w:b/>
          <w:i/>
          <w:sz w:val="24"/>
          <w:szCs w:val="24"/>
        </w:rPr>
      </w:pPr>
      <w:r w:rsidRPr="00970D3F">
        <w:rPr>
          <w:rFonts w:ascii="Times New Roman" w:hAnsi="Times New Roman" w:cs="Times New Roman"/>
          <w:b/>
          <w:i/>
          <w:sz w:val="24"/>
          <w:szCs w:val="24"/>
        </w:rPr>
        <w:t>Enhance cooperation and coordination among APEC sub-fora on cross-cutting, counter-terrorism related issue.</w:t>
      </w:r>
    </w:p>
    <w:p w:rsidR="00DF7F0C" w:rsidRPr="008F1BFE" w:rsidRDefault="00DF7F0C" w:rsidP="008F1BFE">
      <w:pPr>
        <w:pStyle w:val="ListParagraph"/>
        <w:ind w:left="0" w:firstLine="360"/>
        <w:rPr>
          <w:rFonts w:ascii="Times New Roman" w:hAnsi="Times New Roman" w:cs="Times New Roman"/>
          <w:b/>
          <w:sz w:val="24"/>
          <w:szCs w:val="24"/>
        </w:rPr>
      </w:pPr>
    </w:p>
    <w:p w:rsidR="006F157A" w:rsidRPr="00635A7B" w:rsidRDefault="006F157A" w:rsidP="006F157A">
      <w:pPr>
        <w:pStyle w:val="ListParagraph"/>
        <w:ind w:left="0" w:firstLine="360"/>
        <w:rPr>
          <w:rFonts w:ascii="Times New Roman" w:hAnsi="Times New Roman" w:cs="Times New Roman"/>
          <w:b/>
          <w:sz w:val="24"/>
          <w:szCs w:val="24"/>
          <w:lang w:val="en-AU"/>
        </w:rPr>
      </w:pPr>
      <w:r w:rsidRPr="00635A7B">
        <w:rPr>
          <w:rFonts w:ascii="Times New Roman" w:hAnsi="Times New Roman" w:cs="Times New Roman"/>
          <w:b/>
          <w:sz w:val="24"/>
          <w:szCs w:val="24"/>
        </w:rPr>
        <w:t>KPIs</w:t>
      </w:r>
    </w:p>
    <w:p w:rsidR="006F157A" w:rsidRPr="003E44C5" w:rsidRDefault="00817ACA" w:rsidP="006F157A">
      <w:pPr>
        <w:pStyle w:val="ListParagraph"/>
        <w:numPr>
          <w:ilvl w:val="0"/>
          <w:numId w:val="4"/>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lang w:val="en-AU"/>
        </w:rPr>
        <w:t xml:space="preserve">Actively engage on counter-terrorism issues </w:t>
      </w:r>
      <w:r w:rsidR="006F157A" w:rsidRPr="00970D3F">
        <w:rPr>
          <w:rFonts w:ascii="Times New Roman" w:hAnsi="Times New Roman" w:cs="Times New Roman"/>
          <w:sz w:val="24"/>
          <w:szCs w:val="24"/>
        </w:rPr>
        <w:t>(</w:t>
      </w:r>
      <w:r>
        <w:rPr>
          <w:rFonts w:ascii="Times New Roman" w:hAnsi="Times New Roman" w:cs="Times New Roman"/>
          <w:sz w:val="24"/>
          <w:szCs w:val="24"/>
          <w:lang w:val="en-AU"/>
        </w:rPr>
        <w:t xml:space="preserve">including on </w:t>
      </w:r>
      <w:r w:rsidR="006F157A" w:rsidRPr="00970D3F">
        <w:rPr>
          <w:rFonts w:ascii="Times New Roman" w:hAnsi="Times New Roman" w:cs="Times New Roman"/>
          <w:sz w:val="24"/>
          <w:szCs w:val="24"/>
        </w:rPr>
        <w:t xml:space="preserve">joint activities and joint planning) with other APEC fora  through </w:t>
      </w:r>
      <w:r w:rsidR="006F157A" w:rsidRPr="00970D3F">
        <w:rPr>
          <w:rFonts w:ascii="Times New Roman" w:hAnsi="Times New Roman" w:cs="Times New Roman"/>
          <w:sz w:val="24"/>
          <w:szCs w:val="24"/>
          <w:lang w:val="en-AU"/>
        </w:rPr>
        <w:t xml:space="preserve">to </w:t>
      </w:r>
      <w:r w:rsidR="006F157A" w:rsidRPr="00970D3F">
        <w:rPr>
          <w:rFonts w:ascii="Times New Roman" w:hAnsi="Times New Roman" w:cs="Times New Roman"/>
          <w:sz w:val="24"/>
          <w:szCs w:val="24"/>
        </w:rPr>
        <w:t>20</w:t>
      </w:r>
      <w:r w:rsidR="006F157A" w:rsidRPr="00970D3F">
        <w:rPr>
          <w:rFonts w:ascii="Times New Roman" w:hAnsi="Times New Roman" w:cs="Times New Roman"/>
          <w:sz w:val="24"/>
          <w:szCs w:val="24"/>
          <w:lang w:val="en-AU"/>
        </w:rPr>
        <w:t>22;</w:t>
      </w:r>
    </w:p>
    <w:p w:rsidR="006F157A" w:rsidRDefault="00817ACA" w:rsidP="006F157A">
      <w:pPr>
        <w:pStyle w:val="ListParagraph"/>
        <w:numPr>
          <w:ilvl w:val="0"/>
          <w:numId w:val="4"/>
        </w:numPr>
        <w:spacing w:after="0" w:line="240" w:lineRule="auto"/>
        <w:ind w:left="0" w:hanging="425"/>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Present CTWG </w:t>
      </w:r>
      <w:proofErr w:type="spellStart"/>
      <w:r w:rsidR="006F157A">
        <w:rPr>
          <w:rFonts w:ascii="Times New Roman" w:hAnsi="Times New Roman" w:cs="Times New Roman"/>
          <w:sz w:val="24"/>
          <w:szCs w:val="24"/>
          <w:lang w:val="en-AU"/>
        </w:rPr>
        <w:t>W</w:t>
      </w:r>
      <w:r w:rsidR="006F157A" w:rsidRPr="00635A7B">
        <w:rPr>
          <w:rFonts w:ascii="Times New Roman" w:hAnsi="Times New Roman" w:cs="Times New Roman"/>
          <w:sz w:val="24"/>
          <w:szCs w:val="24"/>
          <w:lang w:val="en-AU"/>
        </w:rPr>
        <w:t>orkplan</w:t>
      </w:r>
      <w:proofErr w:type="spellEnd"/>
      <w:r w:rsidR="006F157A" w:rsidRPr="00635A7B">
        <w:rPr>
          <w:rFonts w:ascii="Times New Roman" w:hAnsi="Times New Roman" w:cs="Times New Roman"/>
          <w:sz w:val="24"/>
          <w:szCs w:val="24"/>
          <w:lang w:val="en-AU"/>
        </w:rPr>
        <w:t xml:space="preserve">, and activity </w:t>
      </w:r>
      <w:r>
        <w:rPr>
          <w:rFonts w:ascii="Times New Roman" w:hAnsi="Times New Roman" w:cs="Times New Roman"/>
          <w:sz w:val="24"/>
          <w:szCs w:val="24"/>
          <w:lang w:val="en-AU"/>
        </w:rPr>
        <w:t xml:space="preserve">reports </w:t>
      </w:r>
      <w:r w:rsidR="006F157A" w:rsidRPr="00635A7B">
        <w:rPr>
          <w:rFonts w:ascii="Times New Roman" w:hAnsi="Times New Roman" w:cs="Times New Roman"/>
          <w:sz w:val="24"/>
          <w:szCs w:val="24"/>
          <w:lang w:val="en-AU"/>
        </w:rPr>
        <w:t>to other APEC sub-</w:t>
      </w:r>
      <w:r w:rsidR="006F157A">
        <w:rPr>
          <w:rFonts w:ascii="Times New Roman" w:hAnsi="Times New Roman" w:cs="Times New Roman"/>
          <w:sz w:val="24"/>
          <w:szCs w:val="24"/>
          <w:lang w:val="en-AU"/>
        </w:rPr>
        <w:t>fora;</w:t>
      </w:r>
    </w:p>
    <w:p w:rsidR="006F157A" w:rsidRPr="00635A7B" w:rsidRDefault="00817ACA" w:rsidP="006F157A">
      <w:pPr>
        <w:pStyle w:val="ListParagraph"/>
        <w:numPr>
          <w:ilvl w:val="0"/>
          <w:numId w:val="4"/>
        </w:numPr>
        <w:spacing w:after="0" w:line="240" w:lineRule="auto"/>
        <w:ind w:left="0" w:hanging="425"/>
        <w:jc w:val="both"/>
        <w:rPr>
          <w:rFonts w:ascii="Times New Roman" w:hAnsi="Times New Roman" w:cs="Times New Roman"/>
          <w:sz w:val="24"/>
          <w:szCs w:val="24"/>
          <w:lang w:val="en-AU"/>
        </w:rPr>
      </w:pPr>
      <w:r>
        <w:rPr>
          <w:rFonts w:ascii="Times New Roman" w:hAnsi="Times New Roman" w:cs="Times New Roman"/>
          <w:sz w:val="24"/>
          <w:szCs w:val="24"/>
          <w:lang w:val="en-AU"/>
        </w:rPr>
        <w:t>Invite o</w:t>
      </w:r>
      <w:r w:rsidR="006F157A" w:rsidRPr="00635A7B">
        <w:rPr>
          <w:rFonts w:ascii="Times New Roman" w:hAnsi="Times New Roman" w:cs="Times New Roman"/>
          <w:sz w:val="24"/>
          <w:szCs w:val="24"/>
          <w:lang w:val="en-AU"/>
        </w:rPr>
        <w:t xml:space="preserve">ther APEC fora </w:t>
      </w:r>
      <w:r>
        <w:rPr>
          <w:rFonts w:ascii="Times New Roman" w:hAnsi="Times New Roman" w:cs="Times New Roman"/>
          <w:sz w:val="24"/>
          <w:szCs w:val="24"/>
          <w:lang w:val="en-AU"/>
        </w:rPr>
        <w:t xml:space="preserve">to </w:t>
      </w:r>
      <w:r w:rsidR="006F157A" w:rsidRPr="00635A7B">
        <w:rPr>
          <w:rFonts w:ascii="Times New Roman" w:hAnsi="Times New Roman" w:cs="Times New Roman"/>
          <w:sz w:val="24"/>
          <w:szCs w:val="24"/>
          <w:lang w:val="en-AU"/>
        </w:rPr>
        <w:t xml:space="preserve">present to the CTWG on their activities </w:t>
      </w:r>
      <w:r>
        <w:rPr>
          <w:rFonts w:ascii="Times New Roman" w:hAnsi="Times New Roman" w:cs="Times New Roman"/>
          <w:sz w:val="24"/>
          <w:szCs w:val="24"/>
          <w:lang w:val="en-AU"/>
        </w:rPr>
        <w:t xml:space="preserve">that are relevant </w:t>
      </w:r>
      <w:r w:rsidR="006F157A" w:rsidRPr="00635A7B">
        <w:rPr>
          <w:rFonts w:ascii="Times New Roman" w:hAnsi="Times New Roman" w:cs="Times New Roman"/>
          <w:sz w:val="24"/>
          <w:szCs w:val="24"/>
          <w:lang w:val="en-AU"/>
        </w:rPr>
        <w:t xml:space="preserve">to </w:t>
      </w:r>
      <w:r>
        <w:rPr>
          <w:rFonts w:ascii="Times New Roman" w:hAnsi="Times New Roman" w:cs="Times New Roman"/>
          <w:sz w:val="24"/>
          <w:szCs w:val="24"/>
          <w:lang w:val="en-AU"/>
        </w:rPr>
        <w:t xml:space="preserve">the work of the </w:t>
      </w:r>
      <w:r w:rsidR="006F157A" w:rsidRPr="00635A7B">
        <w:rPr>
          <w:rFonts w:ascii="Times New Roman" w:hAnsi="Times New Roman" w:cs="Times New Roman"/>
          <w:sz w:val="24"/>
          <w:szCs w:val="24"/>
          <w:lang w:val="en-AU"/>
        </w:rPr>
        <w:t>CTWG</w:t>
      </w:r>
      <w:r w:rsidR="006F157A">
        <w:rPr>
          <w:rFonts w:ascii="Times New Roman" w:hAnsi="Times New Roman" w:cs="Times New Roman"/>
          <w:sz w:val="24"/>
          <w:szCs w:val="24"/>
          <w:lang w:val="en-AU"/>
        </w:rPr>
        <w:t>;</w:t>
      </w:r>
    </w:p>
    <w:p w:rsidR="006F157A" w:rsidRPr="00635A7B" w:rsidRDefault="00817ACA" w:rsidP="006F157A">
      <w:pPr>
        <w:pStyle w:val="ListParagraph"/>
        <w:numPr>
          <w:ilvl w:val="0"/>
          <w:numId w:val="4"/>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lang w:val="en-AU"/>
        </w:rPr>
        <w:t xml:space="preserve">Coordinate/cooperate with </w:t>
      </w:r>
      <w:r w:rsidR="006F157A" w:rsidRPr="00577F62">
        <w:rPr>
          <w:rFonts w:ascii="Times New Roman" w:hAnsi="Times New Roman" w:cs="Times New Roman"/>
          <w:sz w:val="24"/>
          <w:szCs w:val="24"/>
          <w:lang w:val="en-AU"/>
        </w:rPr>
        <w:t>other relevant APEC sub-</w:t>
      </w:r>
      <w:r>
        <w:rPr>
          <w:rFonts w:ascii="Times New Roman" w:hAnsi="Times New Roman" w:cs="Times New Roman"/>
          <w:sz w:val="24"/>
          <w:szCs w:val="24"/>
          <w:lang w:val="en-AU"/>
        </w:rPr>
        <w:t xml:space="preserve">for </w:t>
      </w:r>
      <w:proofErr w:type="gramStart"/>
      <w:r>
        <w:rPr>
          <w:rFonts w:ascii="Times New Roman" w:hAnsi="Times New Roman" w:cs="Times New Roman"/>
          <w:sz w:val="24"/>
          <w:szCs w:val="24"/>
          <w:lang w:val="en-AU"/>
        </w:rPr>
        <w:t>a to</w:t>
      </w:r>
      <w:proofErr w:type="gramEnd"/>
      <w:r>
        <w:rPr>
          <w:rFonts w:ascii="Times New Roman" w:hAnsi="Times New Roman" w:cs="Times New Roman"/>
          <w:sz w:val="24"/>
          <w:szCs w:val="24"/>
          <w:lang w:val="en-AU"/>
        </w:rPr>
        <w:t xml:space="preserve"> deliver capacity building projects.</w:t>
      </w:r>
    </w:p>
    <w:p w:rsidR="006F157A" w:rsidRDefault="006F157A" w:rsidP="006F157A">
      <w:pPr>
        <w:pStyle w:val="ListParagraph"/>
        <w:ind w:left="0"/>
        <w:rPr>
          <w:rFonts w:ascii="Times New Roman" w:hAnsi="Times New Roman" w:cs="Times New Roman"/>
          <w:sz w:val="24"/>
          <w:szCs w:val="24"/>
          <w:lang w:val="en-US"/>
        </w:rPr>
      </w:pPr>
    </w:p>
    <w:p w:rsidR="00134A21" w:rsidRDefault="00134A21" w:rsidP="006F157A">
      <w:pPr>
        <w:pStyle w:val="ListParagraph"/>
        <w:ind w:left="0"/>
        <w:rPr>
          <w:rFonts w:ascii="Times New Roman" w:hAnsi="Times New Roman" w:cs="Times New Roman"/>
          <w:sz w:val="24"/>
          <w:szCs w:val="24"/>
          <w:lang w:val="en-US"/>
        </w:rPr>
      </w:pPr>
    </w:p>
    <w:p w:rsidR="006F157A" w:rsidRPr="004B2690" w:rsidRDefault="006F157A" w:rsidP="006F157A">
      <w:pPr>
        <w:pStyle w:val="ListParagraph"/>
        <w:ind w:left="0"/>
        <w:rPr>
          <w:rFonts w:ascii="Times New Roman" w:hAnsi="Times New Roman" w:cs="Times New Roman"/>
          <w:b/>
          <w:sz w:val="24"/>
          <w:szCs w:val="24"/>
        </w:rPr>
      </w:pPr>
      <w:r w:rsidRPr="004B2690">
        <w:rPr>
          <w:rFonts w:ascii="Times New Roman" w:hAnsi="Times New Roman" w:cs="Times New Roman"/>
          <w:b/>
          <w:sz w:val="24"/>
          <w:szCs w:val="24"/>
          <w:u w:val="single"/>
        </w:rPr>
        <w:t>O</w:t>
      </w:r>
      <w:r>
        <w:rPr>
          <w:rFonts w:ascii="Times New Roman" w:hAnsi="Times New Roman" w:cs="Times New Roman"/>
          <w:b/>
          <w:sz w:val="24"/>
          <w:szCs w:val="24"/>
          <w:u w:val="single"/>
        </w:rPr>
        <w:t>bjective 5</w:t>
      </w:r>
      <w:r w:rsidRPr="004B2690">
        <w:rPr>
          <w:rFonts w:ascii="Times New Roman" w:hAnsi="Times New Roman" w:cs="Times New Roman"/>
          <w:b/>
          <w:sz w:val="24"/>
          <w:szCs w:val="24"/>
        </w:rPr>
        <w:t xml:space="preserve">: </w:t>
      </w:r>
    </w:p>
    <w:p w:rsidR="006F157A" w:rsidRPr="00EB4076" w:rsidRDefault="006F157A" w:rsidP="00EB4076">
      <w:pPr>
        <w:jc w:val="both"/>
        <w:rPr>
          <w:rFonts w:ascii="Times New Roman" w:hAnsi="Times New Roman" w:cs="Times New Roman"/>
          <w:b/>
          <w:sz w:val="24"/>
          <w:szCs w:val="24"/>
        </w:rPr>
      </w:pPr>
      <w:r w:rsidRPr="00970D3F">
        <w:rPr>
          <w:rFonts w:ascii="Times New Roman" w:hAnsi="Times New Roman" w:cs="Times New Roman"/>
          <w:b/>
          <w:i/>
          <w:sz w:val="24"/>
          <w:szCs w:val="24"/>
        </w:rPr>
        <w:t>Enhance whole-of-government cooperation and coordination across relevant agencies within</w:t>
      </w:r>
      <w:r>
        <w:rPr>
          <w:rFonts w:ascii="Times New Roman" w:hAnsi="Times New Roman" w:cs="Times New Roman"/>
          <w:b/>
          <w:i/>
          <w:sz w:val="24"/>
          <w:szCs w:val="24"/>
        </w:rPr>
        <w:t xml:space="preserve"> APEC m</w:t>
      </w:r>
      <w:r w:rsidRPr="00970D3F">
        <w:rPr>
          <w:rFonts w:ascii="Times New Roman" w:hAnsi="Times New Roman" w:cs="Times New Roman"/>
          <w:b/>
          <w:i/>
          <w:sz w:val="24"/>
          <w:szCs w:val="24"/>
        </w:rPr>
        <w:t xml:space="preserve">ember </w:t>
      </w:r>
      <w:r>
        <w:rPr>
          <w:rFonts w:ascii="Times New Roman" w:hAnsi="Times New Roman" w:cs="Times New Roman"/>
          <w:b/>
          <w:i/>
          <w:sz w:val="24"/>
          <w:szCs w:val="24"/>
          <w:lang w:val="en-AU"/>
        </w:rPr>
        <w:t>e</w:t>
      </w:r>
      <w:r w:rsidRPr="00970D3F">
        <w:rPr>
          <w:rFonts w:ascii="Times New Roman" w:hAnsi="Times New Roman" w:cs="Times New Roman"/>
          <w:b/>
          <w:i/>
          <w:sz w:val="24"/>
          <w:szCs w:val="24"/>
        </w:rPr>
        <w:t>conomies.</w:t>
      </w:r>
    </w:p>
    <w:p w:rsidR="006F157A" w:rsidRPr="004B2690" w:rsidRDefault="006F157A" w:rsidP="006F157A">
      <w:pPr>
        <w:pStyle w:val="ListParagraph"/>
        <w:ind w:left="0" w:firstLine="360"/>
        <w:rPr>
          <w:rFonts w:ascii="Times New Roman" w:hAnsi="Times New Roman" w:cs="Times New Roman"/>
          <w:b/>
          <w:sz w:val="24"/>
          <w:szCs w:val="24"/>
          <w:lang w:val="en-AU"/>
        </w:rPr>
      </w:pPr>
      <w:r w:rsidRPr="004B2690">
        <w:rPr>
          <w:rFonts w:ascii="Times New Roman" w:hAnsi="Times New Roman" w:cs="Times New Roman"/>
          <w:b/>
          <w:sz w:val="24"/>
          <w:szCs w:val="24"/>
        </w:rPr>
        <w:t>KPIs</w:t>
      </w:r>
    </w:p>
    <w:p w:rsidR="006F157A" w:rsidRPr="00635A7B" w:rsidRDefault="008636C5" w:rsidP="006F157A">
      <w:pPr>
        <w:pStyle w:val="ListParagraph"/>
        <w:numPr>
          <w:ilvl w:val="0"/>
          <w:numId w:val="26"/>
        </w:numPr>
        <w:spacing w:after="0" w:line="240" w:lineRule="auto"/>
        <w:ind w:left="0" w:hanging="426"/>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Encourage economies to involve relevant </w:t>
      </w:r>
      <w:r w:rsidR="006F157A">
        <w:rPr>
          <w:rFonts w:ascii="Times New Roman" w:hAnsi="Times New Roman" w:cs="Times New Roman"/>
          <w:sz w:val="24"/>
          <w:szCs w:val="24"/>
          <w:lang w:val="en-AU"/>
        </w:rPr>
        <w:t>counter-terrorism agencies</w:t>
      </w:r>
      <w:r w:rsidR="006F157A" w:rsidRPr="00970D3F">
        <w:rPr>
          <w:rFonts w:ascii="Times New Roman" w:hAnsi="Times New Roman" w:cs="Times New Roman"/>
          <w:sz w:val="24"/>
          <w:szCs w:val="24"/>
          <w:lang w:val="en-AU"/>
        </w:rPr>
        <w:t xml:space="preserve"> </w:t>
      </w:r>
      <w:r w:rsidR="006F157A">
        <w:rPr>
          <w:rFonts w:ascii="Times New Roman" w:hAnsi="Times New Roman" w:cs="Times New Roman"/>
          <w:sz w:val="24"/>
          <w:szCs w:val="24"/>
          <w:lang w:val="en-AU"/>
        </w:rPr>
        <w:t xml:space="preserve">in </w:t>
      </w:r>
      <w:r>
        <w:rPr>
          <w:rFonts w:ascii="Times New Roman" w:hAnsi="Times New Roman" w:cs="Times New Roman"/>
          <w:sz w:val="24"/>
          <w:szCs w:val="24"/>
          <w:lang w:val="en-AU"/>
        </w:rPr>
        <w:t xml:space="preserve">the work of the </w:t>
      </w:r>
      <w:r w:rsidR="006F157A">
        <w:rPr>
          <w:rFonts w:ascii="Times New Roman" w:hAnsi="Times New Roman" w:cs="Times New Roman"/>
          <w:sz w:val="24"/>
          <w:szCs w:val="24"/>
          <w:lang w:val="en-AU"/>
        </w:rPr>
        <w:t>CTWG and other r</w:t>
      </w:r>
      <w:r>
        <w:rPr>
          <w:rFonts w:ascii="Times New Roman" w:hAnsi="Times New Roman" w:cs="Times New Roman"/>
          <w:sz w:val="24"/>
          <w:szCs w:val="24"/>
          <w:lang w:val="en-AU"/>
        </w:rPr>
        <w:t>elevant APEC sub-fora</w:t>
      </w:r>
      <w:r w:rsidR="006F157A">
        <w:rPr>
          <w:rFonts w:ascii="Times New Roman" w:hAnsi="Times New Roman" w:cs="Times New Roman"/>
          <w:sz w:val="24"/>
          <w:szCs w:val="24"/>
          <w:lang w:val="en-AU"/>
        </w:rPr>
        <w:t>;</w:t>
      </w:r>
    </w:p>
    <w:p w:rsidR="00134A21" w:rsidRPr="00C91C0B" w:rsidRDefault="00134A21" w:rsidP="006F157A">
      <w:pPr>
        <w:pStyle w:val="ListParagraph"/>
        <w:ind w:left="0"/>
        <w:rPr>
          <w:rFonts w:ascii="Times New Roman" w:hAnsi="Times New Roman" w:cs="Times New Roman"/>
          <w:sz w:val="24"/>
          <w:szCs w:val="24"/>
          <w:lang w:val="en-US"/>
        </w:rPr>
      </w:pPr>
    </w:p>
    <w:p w:rsidR="006F157A" w:rsidRPr="00635A7B" w:rsidRDefault="006F157A" w:rsidP="006F157A">
      <w:pPr>
        <w:rPr>
          <w:rFonts w:ascii="Times New Roman" w:hAnsi="Times New Roman" w:cs="Times New Roman"/>
          <w:sz w:val="24"/>
          <w:szCs w:val="24"/>
        </w:rPr>
      </w:pPr>
      <w:r w:rsidRPr="00635A7B">
        <w:rPr>
          <w:rFonts w:ascii="Times New Roman" w:hAnsi="Times New Roman" w:cs="Times New Roman"/>
          <w:b/>
          <w:sz w:val="24"/>
          <w:szCs w:val="24"/>
          <w:u w:val="single"/>
        </w:rPr>
        <w:t xml:space="preserve">Objective </w:t>
      </w:r>
      <w:r>
        <w:rPr>
          <w:rFonts w:ascii="Times New Roman" w:hAnsi="Times New Roman" w:cs="Times New Roman"/>
          <w:b/>
          <w:sz w:val="24"/>
          <w:szCs w:val="24"/>
          <w:u w:val="single"/>
          <w:lang w:val="en-AU"/>
        </w:rPr>
        <w:t>6</w:t>
      </w:r>
      <w:r w:rsidRPr="00635A7B">
        <w:rPr>
          <w:rFonts w:ascii="Times New Roman" w:hAnsi="Times New Roman" w:cs="Times New Roman"/>
          <w:sz w:val="24"/>
          <w:szCs w:val="24"/>
        </w:rPr>
        <w:t xml:space="preserve">: </w:t>
      </w:r>
    </w:p>
    <w:p w:rsidR="006F157A" w:rsidRPr="00970D3F" w:rsidRDefault="006F157A" w:rsidP="006F157A">
      <w:pPr>
        <w:jc w:val="both"/>
        <w:rPr>
          <w:rFonts w:ascii="Times New Roman" w:hAnsi="Times New Roman" w:cs="Times New Roman"/>
          <w:b/>
          <w:i/>
          <w:sz w:val="24"/>
          <w:szCs w:val="24"/>
        </w:rPr>
      </w:pPr>
      <w:r w:rsidRPr="00970D3F">
        <w:rPr>
          <w:rFonts w:ascii="Times New Roman" w:hAnsi="Times New Roman" w:cs="Times New Roman"/>
          <w:b/>
          <w:i/>
          <w:sz w:val="24"/>
          <w:szCs w:val="24"/>
        </w:rPr>
        <w:t>Strengthen cooperation</w:t>
      </w:r>
      <w:r w:rsidR="00633652">
        <w:rPr>
          <w:rFonts w:ascii="Times New Roman" w:hAnsi="Times New Roman" w:cs="Times New Roman"/>
          <w:b/>
          <w:i/>
          <w:sz w:val="24"/>
          <w:szCs w:val="24"/>
          <w:lang w:val="en-AU"/>
        </w:rPr>
        <w:t xml:space="preserve"> and information-sharing</w:t>
      </w:r>
      <w:r w:rsidRPr="00970D3F">
        <w:rPr>
          <w:rFonts w:ascii="Times New Roman" w:hAnsi="Times New Roman" w:cs="Times New Roman"/>
          <w:b/>
          <w:i/>
          <w:sz w:val="24"/>
          <w:szCs w:val="24"/>
        </w:rPr>
        <w:t xml:space="preserve"> with the private sector and relevant multilateral organizations.</w:t>
      </w:r>
    </w:p>
    <w:p w:rsidR="006F157A" w:rsidRPr="00635A7B" w:rsidRDefault="006F157A" w:rsidP="006F157A">
      <w:pPr>
        <w:ind w:firstLine="360"/>
        <w:rPr>
          <w:rFonts w:ascii="Times New Roman" w:hAnsi="Times New Roman" w:cs="Times New Roman"/>
          <w:b/>
          <w:sz w:val="24"/>
          <w:szCs w:val="24"/>
        </w:rPr>
      </w:pPr>
      <w:r w:rsidRPr="00635A7B">
        <w:rPr>
          <w:rFonts w:ascii="Times New Roman" w:hAnsi="Times New Roman" w:cs="Times New Roman"/>
          <w:b/>
          <w:sz w:val="24"/>
          <w:szCs w:val="24"/>
        </w:rPr>
        <w:t>KPIs</w:t>
      </w:r>
    </w:p>
    <w:p w:rsidR="006F157A" w:rsidRPr="003E44C5" w:rsidRDefault="006F157A" w:rsidP="006F157A">
      <w:pPr>
        <w:pStyle w:val="ListParagraph"/>
        <w:numPr>
          <w:ilvl w:val="0"/>
          <w:numId w:val="5"/>
        </w:numPr>
        <w:spacing w:after="0" w:line="240" w:lineRule="auto"/>
        <w:ind w:left="0" w:hanging="425"/>
        <w:jc w:val="both"/>
        <w:rPr>
          <w:rFonts w:ascii="Times New Roman" w:hAnsi="Times New Roman" w:cs="Times New Roman"/>
          <w:sz w:val="24"/>
          <w:szCs w:val="24"/>
        </w:rPr>
      </w:pPr>
      <w:r w:rsidRPr="00970D3F">
        <w:rPr>
          <w:rFonts w:ascii="Times New Roman" w:hAnsi="Times New Roman" w:cs="Times New Roman"/>
          <w:sz w:val="24"/>
          <w:szCs w:val="24"/>
          <w:lang w:val="en-US"/>
        </w:rPr>
        <w:t xml:space="preserve">Hold two STAR Conferences </w:t>
      </w:r>
      <w:r w:rsidRPr="00970D3F">
        <w:rPr>
          <w:rFonts w:ascii="Times New Roman" w:hAnsi="Times New Roman" w:cs="Times New Roman"/>
          <w:sz w:val="24"/>
          <w:szCs w:val="24"/>
        </w:rPr>
        <w:t xml:space="preserve">by end </w:t>
      </w:r>
      <w:r w:rsidRPr="00970D3F">
        <w:rPr>
          <w:rFonts w:ascii="Times New Roman" w:hAnsi="Times New Roman" w:cs="Times New Roman"/>
          <w:sz w:val="24"/>
          <w:szCs w:val="24"/>
          <w:lang w:val="en-AU"/>
        </w:rPr>
        <w:t xml:space="preserve">of </w:t>
      </w:r>
      <w:r w:rsidRPr="00970D3F">
        <w:rPr>
          <w:rFonts w:ascii="Times New Roman" w:hAnsi="Times New Roman" w:cs="Times New Roman"/>
          <w:sz w:val="24"/>
          <w:szCs w:val="24"/>
        </w:rPr>
        <w:t>20</w:t>
      </w:r>
      <w:r w:rsidRPr="00970D3F">
        <w:rPr>
          <w:rFonts w:ascii="Times New Roman" w:hAnsi="Times New Roman" w:cs="Times New Roman"/>
          <w:sz w:val="24"/>
          <w:szCs w:val="24"/>
          <w:lang w:val="en-AU"/>
        </w:rPr>
        <w:t>22</w:t>
      </w:r>
      <w:r w:rsidRPr="003E44C5">
        <w:rPr>
          <w:rFonts w:ascii="Times New Roman" w:hAnsi="Times New Roman" w:cs="Times New Roman"/>
          <w:sz w:val="24"/>
          <w:szCs w:val="24"/>
        </w:rPr>
        <w:t>;</w:t>
      </w:r>
    </w:p>
    <w:p w:rsidR="006F157A" w:rsidRPr="00635A7B" w:rsidRDefault="006F157A" w:rsidP="006F157A">
      <w:pPr>
        <w:pStyle w:val="ListParagraph"/>
        <w:numPr>
          <w:ilvl w:val="0"/>
          <w:numId w:val="5"/>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lang w:val="en-AU"/>
        </w:rPr>
        <w:t>Increase involvement of private-sector entities in CTWG activities;</w:t>
      </w:r>
    </w:p>
    <w:p w:rsidR="006F157A" w:rsidRPr="00635A7B" w:rsidRDefault="006F157A" w:rsidP="006F157A">
      <w:pPr>
        <w:pStyle w:val="ListParagraph"/>
        <w:numPr>
          <w:ilvl w:val="0"/>
          <w:numId w:val="5"/>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lang w:val="en-US"/>
        </w:rPr>
        <w:t xml:space="preserve">Implement </w:t>
      </w:r>
      <w:r w:rsidRPr="00635A7B">
        <w:rPr>
          <w:rFonts w:ascii="Times New Roman" w:hAnsi="Times New Roman" w:cs="Times New Roman"/>
          <w:sz w:val="24"/>
          <w:szCs w:val="24"/>
        </w:rPr>
        <w:t xml:space="preserve">recommendations </w:t>
      </w:r>
      <w:r>
        <w:rPr>
          <w:rFonts w:ascii="Times New Roman" w:hAnsi="Times New Roman" w:cs="Times New Roman"/>
          <w:sz w:val="24"/>
          <w:szCs w:val="24"/>
          <w:lang w:val="en-AU"/>
        </w:rPr>
        <w:t>of STAR Conferences held under previous Strategic Plan period;</w:t>
      </w:r>
    </w:p>
    <w:p w:rsidR="006F157A" w:rsidRPr="00635A7B" w:rsidRDefault="006F157A" w:rsidP="006F157A">
      <w:pPr>
        <w:pStyle w:val="ListParagraph"/>
        <w:numPr>
          <w:ilvl w:val="0"/>
          <w:numId w:val="5"/>
        </w:numPr>
        <w:spacing w:after="0" w:line="240" w:lineRule="auto"/>
        <w:ind w:left="0" w:hanging="425"/>
        <w:jc w:val="both"/>
        <w:rPr>
          <w:rFonts w:ascii="Times New Roman" w:hAnsi="Times New Roman" w:cs="Times New Roman"/>
          <w:sz w:val="24"/>
          <w:szCs w:val="24"/>
        </w:rPr>
      </w:pPr>
      <w:r>
        <w:rPr>
          <w:rFonts w:ascii="Times New Roman" w:hAnsi="Times New Roman" w:cs="Times New Roman"/>
          <w:sz w:val="24"/>
          <w:szCs w:val="24"/>
          <w:lang w:val="en-AU"/>
        </w:rPr>
        <w:t>Identify and implement private-sector related, counter-terrorism recommendations from APEC activities;</w:t>
      </w:r>
    </w:p>
    <w:p w:rsidR="00134A21" w:rsidRDefault="00134A21" w:rsidP="006F157A">
      <w:pPr>
        <w:rPr>
          <w:rFonts w:ascii="Times New Roman" w:hAnsi="Times New Roman" w:cs="Times New Roman"/>
          <w:sz w:val="24"/>
          <w:szCs w:val="24"/>
        </w:rPr>
      </w:pPr>
    </w:p>
    <w:p w:rsidR="00DF7F0C" w:rsidRDefault="00DF7F0C" w:rsidP="006F157A">
      <w:pPr>
        <w:rPr>
          <w:rFonts w:ascii="Times New Roman" w:hAnsi="Times New Roman" w:cs="Times New Roman"/>
          <w:sz w:val="24"/>
          <w:szCs w:val="24"/>
        </w:rPr>
      </w:pPr>
    </w:p>
    <w:p w:rsidR="00DF7F0C" w:rsidRDefault="00DF7F0C" w:rsidP="006F157A">
      <w:pPr>
        <w:rPr>
          <w:rFonts w:ascii="Times New Roman" w:hAnsi="Times New Roman" w:cs="Times New Roman"/>
          <w:b/>
          <w:sz w:val="24"/>
          <w:szCs w:val="24"/>
          <w:u w:val="single"/>
        </w:rPr>
      </w:pPr>
    </w:p>
    <w:p w:rsidR="006F157A" w:rsidRPr="00635A7B" w:rsidRDefault="006F157A" w:rsidP="006F157A">
      <w:pPr>
        <w:rPr>
          <w:rFonts w:ascii="Times New Roman" w:hAnsi="Times New Roman" w:cs="Times New Roman"/>
          <w:sz w:val="24"/>
          <w:szCs w:val="24"/>
        </w:rPr>
      </w:pPr>
      <w:r w:rsidRPr="00635A7B">
        <w:rPr>
          <w:rFonts w:ascii="Times New Roman" w:hAnsi="Times New Roman" w:cs="Times New Roman"/>
          <w:b/>
          <w:sz w:val="24"/>
          <w:szCs w:val="24"/>
          <w:u w:val="single"/>
        </w:rPr>
        <w:lastRenderedPageBreak/>
        <w:t xml:space="preserve">Objective </w:t>
      </w:r>
      <w:r>
        <w:rPr>
          <w:rFonts w:ascii="Times New Roman" w:hAnsi="Times New Roman" w:cs="Times New Roman"/>
          <w:b/>
          <w:sz w:val="24"/>
          <w:szCs w:val="24"/>
          <w:u w:val="single"/>
          <w:lang w:val="en-AU"/>
        </w:rPr>
        <w:t>7</w:t>
      </w:r>
      <w:r w:rsidRPr="00635A7B">
        <w:rPr>
          <w:rFonts w:ascii="Times New Roman" w:hAnsi="Times New Roman" w:cs="Times New Roman"/>
          <w:sz w:val="24"/>
          <w:szCs w:val="24"/>
        </w:rPr>
        <w:t xml:space="preserve">: </w:t>
      </w:r>
    </w:p>
    <w:p w:rsidR="006F157A" w:rsidRPr="00970D3F" w:rsidRDefault="006F157A" w:rsidP="006F157A">
      <w:pPr>
        <w:jc w:val="both"/>
        <w:rPr>
          <w:rFonts w:ascii="Times New Roman" w:hAnsi="Times New Roman" w:cs="Times New Roman"/>
          <w:b/>
          <w:i/>
          <w:sz w:val="24"/>
          <w:szCs w:val="24"/>
        </w:rPr>
      </w:pPr>
      <w:r w:rsidRPr="00970D3F">
        <w:rPr>
          <w:rFonts w:ascii="Times New Roman" w:hAnsi="Times New Roman" w:cs="Times New Roman"/>
          <w:b/>
          <w:i/>
          <w:sz w:val="24"/>
          <w:szCs w:val="24"/>
        </w:rPr>
        <w:t xml:space="preserve">Increase counter-terrorism cooperation and information-sharing </w:t>
      </w:r>
      <w:r>
        <w:rPr>
          <w:rFonts w:ascii="Times New Roman" w:hAnsi="Times New Roman" w:cs="Times New Roman"/>
          <w:b/>
          <w:i/>
          <w:sz w:val="24"/>
          <w:szCs w:val="24"/>
        </w:rPr>
        <w:t>among APEC m</w:t>
      </w:r>
      <w:r w:rsidRPr="00970D3F">
        <w:rPr>
          <w:rFonts w:ascii="Times New Roman" w:hAnsi="Times New Roman" w:cs="Times New Roman"/>
          <w:b/>
          <w:i/>
          <w:sz w:val="24"/>
          <w:szCs w:val="24"/>
        </w:rPr>
        <w:t>ember</w:t>
      </w:r>
      <w:r w:rsidRPr="00635A7B">
        <w:rPr>
          <w:rFonts w:ascii="Times New Roman" w:hAnsi="Times New Roman" w:cs="Times New Roman"/>
          <w:sz w:val="24"/>
          <w:szCs w:val="24"/>
        </w:rPr>
        <w:t xml:space="preserve"> </w:t>
      </w:r>
      <w:r>
        <w:rPr>
          <w:rFonts w:ascii="Times New Roman" w:hAnsi="Times New Roman" w:cs="Times New Roman"/>
          <w:sz w:val="24"/>
          <w:szCs w:val="24"/>
          <w:lang w:val="en-AU"/>
        </w:rPr>
        <w:t>e</w:t>
      </w:r>
      <w:r w:rsidRPr="00970D3F">
        <w:rPr>
          <w:rFonts w:ascii="Times New Roman" w:hAnsi="Times New Roman" w:cs="Times New Roman"/>
          <w:b/>
          <w:i/>
          <w:sz w:val="24"/>
          <w:szCs w:val="24"/>
        </w:rPr>
        <w:t>conomies.</w:t>
      </w:r>
    </w:p>
    <w:p w:rsidR="006F157A" w:rsidRPr="00635A7B" w:rsidRDefault="006F157A" w:rsidP="006F157A">
      <w:pPr>
        <w:ind w:firstLine="360"/>
        <w:rPr>
          <w:rFonts w:ascii="Times New Roman" w:hAnsi="Times New Roman" w:cs="Times New Roman"/>
          <w:b/>
          <w:sz w:val="24"/>
          <w:szCs w:val="24"/>
        </w:rPr>
      </w:pPr>
      <w:r w:rsidRPr="00635A7B">
        <w:rPr>
          <w:rFonts w:ascii="Times New Roman" w:hAnsi="Times New Roman" w:cs="Times New Roman"/>
          <w:b/>
          <w:sz w:val="24"/>
          <w:szCs w:val="24"/>
        </w:rPr>
        <w:t>KPIs</w:t>
      </w:r>
    </w:p>
    <w:p w:rsidR="006F157A" w:rsidRPr="00635A7B" w:rsidRDefault="008636C5" w:rsidP="006F157A">
      <w:pPr>
        <w:pStyle w:val="ListParagraph"/>
        <w:numPr>
          <w:ilvl w:val="0"/>
          <w:numId w:val="25"/>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lang w:val="en-US"/>
        </w:rPr>
        <w:t xml:space="preserve">Encourage </w:t>
      </w:r>
      <w:r w:rsidR="006F157A" w:rsidRPr="00635A7B">
        <w:rPr>
          <w:rFonts w:ascii="Times New Roman" w:hAnsi="Times New Roman" w:cs="Times New Roman"/>
          <w:sz w:val="24"/>
          <w:szCs w:val="24"/>
          <w:lang w:val="en-US"/>
        </w:rPr>
        <w:t xml:space="preserve">APEC </w:t>
      </w:r>
      <w:r w:rsidR="006F157A">
        <w:rPr>
          <w:rFonts w:ascii="Times New Roman" w:hAnsi="Times New Roman" w:cs="Times New Roman"/>
          <w:sz w:val="24"/>
          <w:szCs w:val="24"/>
          <w:lang w:val="en-US"/>
        </w:rPr>
        <w:t>m</w:t>
      </w:r>
      <w:r w:rsidR="006F157A" w:rsidRPr="00635A7B">
        <w:rPr>
          <w:rFonts w:ascii="Times New Roman" w:hAnsi="Times New Roman" w:cs="Times New Roman"/>
          <w:sz w:val="24"/>
          <w:szCs w:val="24"/>
          <w:lang w:val="en-US"/>
        </w:rPr>
        <w:t xml:space="preserve">ember </w:t>
      </w:r>
      <w:r>
        <w:rPr>
          <w:rFonts w:ascii="Times New Roman" w:hAnsi="Times New Roman" w:cs="Times New Roman"/>
          <w:sz w:val="24"/>
          <w:szCs w:val="24"/>
          <w:lang w:val="en-US"/>
        </w:rPr>
        <w:t>economies to cooperate and share information on countering terrorism.</w:t>
      </w:r>
    </w:p>
    <w:p w:rsidR="006F157A" w:rsidRDefault="006F157A" w:rsidP="006F157A">
      <w:pPr>
        <w:spacing w:after="0" w:line="240" w:lineRule="auto"/>
        <w:jc w:val="both"/>
        <w:rPr>
          <w:rFonts w:ascii="Times New Roman" w:hAnsi="Times New Roman" w:cs="Times New Roman"/>
          <w:sz w:val="24"/>
          <w:szCs w:val="24"/>
          <w:lang w:val="en-US"/>
        </w:rPr>
      </w:pPr>
    </w:p>
    <w:p w:rsidR="00134A21" w:rsidRDefault="00134A21" w:rsidP="006F157A">
      <w:pPr>
        <w:rPr>
          <w:rFonts w:ascii="Times New Roman" w:hAnsi="Times New Roman" w:cs="Times New Roman"/>
          <w:b/>
          <w:sz w:val="24"/>
          <w:szCs w:val="24"/>
          <w:u w:val="single"/>
        </w:rPr>
      </w:pPr>
    </w:p>
    <w:p w:rsidR="006F157A" w:rsidRPr="00577F62" w:rsidRDefault="006F157A" w:rsidP="006F157A">
      <w:pPr>
        <w:rPr>
          <w:rFonts w:ascii="Times New Roman" w:hAnsi="Times New Roman" w:cs="Times New Roman"/>
          <w:sz w:val="24"/>
          <w:szCs w:val="24"/>
        </w:rPr>
      </w:pPr>
      <w:r w:rsidRPr="00577F62">
        <w:rPr>
          <w:rFonts w:ascii="Times New Roman" w:hAnsi="Times New Roman" w:cs="Times New Roman"/>
          <w:b/>
          <w:sz w:val="24"/>
          <w:szCs w:val="24"/>
          <w:u w:val="single"/>
        </w:rPr>
        <w:t xml:space="preserve">Objective </w:t>
      </w:r>
      <w:r w:rsidR="00633652">
        <w:rPr>
          <w:rFonts w:ascii="Times New Roman" w:hAnsi="Times New Roman" w:cs="Times New Roman"/>
          <w:b/>
          <w:sz w:val="24"/>
          <w:szCs w:val="24"/>
          <w:u w:val="single"/>
          <w:lang w:val="en-AU"/>
        </w:rPr>
        <w:t>8</w:t>
      </w:r>
      <w:r w:rsidRPr="00577F62">
        <w:rPr>
          <w:rFonts w:ascii="Times New Roman" w:hAnsi="Times New Roman" w:cs="Times New Roman"/>
          <w:sz w:val="24"/>
          <w:szCs w:val="24"/>
        </w:rPr>
        <w:t xml:space="preserve">: </w:t>
      </w:r>
    </w:p>
    <w:p w:rsidR="006F157A" w:rsidRPr="00970D3F" w:rsidRDefault="006F157A" w:rsidP="006F157A">
      <w:pPr>
        <w:spacing w:after="0" w:line="240" w:lineRule="auto"/>
        <w:jc w:val="both"/>
        <w:rPr>
          <w:rFonts w:ascii="Times New Roman" w:hAnsi="Times New Roman" w:cs="Times New Roman"/>
          <w:b/>
          <w:i/>
          <w:sz w:val="24"/>
          <w:szCs w:val="24"/>
        </w:rPr>
      </w:pPr>
      <w:r w:rsidRPr="00970D3F">
        <w:rPr>
          <w:rFonts w:ascii="Times New Roman" w:hAnsi="Times New Roman" w:cs="Times New Roman"/>
          <w:b/>
          <w:i/>
          <w:sz w:val="24"/>
          <w:szCs w:val="24"/>
        </w:rPr>
        <w:t xml:space="preserve">Improve </w:t>
      </w:r>
      <w:r>
        <w:rPr>
          <w:rFonts w:ascii="Times New Roman" w:hAnsi="Times New Roman" w:cs="Times New Roman"/>
          <w:b/>
          <w:i/>
          <w:sz w:val="24"/>
          <w:szCs w:val="24"/>
          <w:lang w:val="en-AU"/>
        </w:rPr>
        <w:t>m</w:t>
      </w:r>
      <w:r w:rsidRPr="00970D3F">
        <w:rPr>
          <w:rFonts w:ascii="Times New Roman" w:hAnsi="Times New Roman" w:cs="Times New Roman"/>
          <w:b/>
          <w:i/>
          <w:sz w:val="24"/>
          <w:szCs w:val="24"/>
        </w:rPr>
        <w:t xml:space="preserve">ember </w:t>
      </w:r>
      <w:r>
        <w:rPr>
          <w:rFonts w:ascii="Times New Roman" w:hAnsi="Times New Roman" w:cs="Times New Roman"/>
          <w:b/>
          <w:i/>
          <w:sz w:val="24"/>
          <w:szCs w:val="24"/>
          <w:lang w:val="en-AU"/>
        </w:rPr>
        <w:t>e</w:t>
      </w:r>
      <w:r w:rsidRPr="00970D3F">
        <w:rPr>
          <w:rFonts w:ascii="Times New Roman" w:hAnsi="Times New Roman" w:cs="Times New Roman"/>
          <w:b/>
          <w:i/>
          <w:sz w:val="24"/>
          <w:szCs w:val="24"/>
        </w:rPr>
        <w:t>conomy capacity to disrupt counter terrorist financing.</w:t>
      </w:r>
    </w:p>
    <w:p w:rsidR="006F157A" w:rsidRPr="00577F62" w:rsidRDefault="006F157A" w:rsidP="006F157A">
      <w:pPr>
        <w:spacing w:after="0" w:line="240" w:lineRule="auto"/>
        <w:jc w:val="both"/>
        <w:rPr>
          <w:rFonts w:ascii="Times New Roman" w:hAnsi="Times New Roman" w:cs="Times New Roman"/>
          <w:sz w:val="24"/>
          <w:szCs w:val="24"/>
        </w:rPr>
      </w:pPr>
    </w:p>
    <w:p w:rsidR="006F157A" w:rsidRPr="00577F62" w:rsidRDefault="006F157A" w:rsidP="006F157A">
      <w:pPr>
        <w:ind w:firstLine="360"/>
        <w:rPr>
          <w:rFonts w:ascii="Times New Roman" w:hAnsi="Times New Roman" w:cs="Times New Roman"/>
          <w:b/>
          <w:sz w:val="24"/>
          <w:szCs w:val="24"/>
        </w:rPr>
      </w:pPr>
      <w:r w:rsidRPr="00577F62">
        <w:rPr>
          <w:rFonts w:ascii="Times New Roman" w:hAnsi="Times New Roman" w:cs="Times New Roman"/>
          <w:b/>
          <w:sz w:val="24"/>
          <w:szCs w:val="24"/>
        </w:rPr>
        <w:t>KPIs</w:t>
      </w:r>
    </w:p>
    <w:p w:rsidR="006F157A" w:rsidRPr="00F4106C" w:rsidRDefault="006F157A" w:rsidP="006F157A">
      <w:pPr>
        <w:pStyle w:val="ListParagraph"/>
        <w:numPr>
          <w:ilvl w:val="0"/>
          <w:numId w:val="30"/>
        </w:numPr>
        <w:spacing w:after="0" w:line="240" w:lineRule="auto"/>
        <w:ind w:left="0" w:hanging="426"/>
        <w:jc w:val="both"/>
        <w:rPr>
          <w:rFonts w:ascii="Times New Roman" w:hAnsi="Times New Roman" w:cs="Times New Roman"/>
          <w:sz w:val="24"/>
          <w:szCs w:val="24"/>
          <w:lang w:val="en-US"/>
        </w:rPr>
      </w:pPr>
      <w:r w:rsidRPr="003E44C5">
        <w:rPr>
          <w:rFonts w:ascii="Times New Roman" w:hAnsi="Times New Roman" w:cs="Times New Roman"/>
          <w:sz w:val="24"/>
          <w:szCs w:val="24"/>
          <w:lang w:val="en-US"/>
        </w:rPr>
        <w:t xml:space="preserve">Increase </w:t>
      </w:r>
      <w:r w:rsidR="00A61A47">
        <w:rPr>
          <w:rFonts w:ascii="Times New Roman" w:hAnsi="Times New Roman" w:cs="Times New Roman"/>
          <w:sz w:val="24"/>
          <w:szCs w:val="24"/>
          <w:lang w:val="en-US"/>
        </w:rPr>
        <w:t xml:space="preserve">efforts and cooperation on </w:t>
      </w:r>
      <w:r>
        <w:rPr>
          <w:rFonts w:ascii="Times New Roman" w:hAnsi="Times New Roman" w:cs="Times New Roman"/>
          <w:sz w:val="24"/>
          <w:szCs w:val="24"/>
          <w:lang w:val="en-US"/>
        </w:rPr>
        <w:t>counter-terrorism financing</w:t>
      </w:r>
      <w:r w:rsidRPr="003E44C5">
        <w:rPr>
          <w:rFonts w:ascii="Times New Roman" w:hAnsi="Times New Roman" w:cs="Times New Roman"/>
          <w:sz w:val="24"/>
          <w:szCs w:val="24"/>
          <w:lang w:val="en-US"/>
        </w:rPr>
        <w:t>.</w:t>
      </w:r>
    </w:p>
    <w:p w:rsidR="002369ED" w:rsidRPr="006F157A" w:rsidRDefault="002369ED" w:rsidP="006F157A">
      <w:pPr>
        <w:rPr>
          <w:lang w:val="en-US"/>
        </w:rPr>
      </w:pPr>
    </w:p>
    <w:sectPr w:rsidR="002369ED" w:rsidRPr="006F157A" w:rsidSect="00B25B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5E" w:rsidRDefault="00CC215E" w:rsidP="00D01F2C">
      <w:pPr>
        <w:spacing w:after="0" w:line="240" w:lineRule="auto"/>
      </w:pPr>
      <w:r>
        <w:separator/>
      </w:r>
    </w:p>
  </w:endnote>
  <w:endnote w:type="continuationSeparator" w:id="0">
    <w:p w:rsidR="00CC215E" w:rsidRDefault="00CC215E" w:rsidP="00D0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99012"/>
      <w:docPartObj>
        <w:docPartGallery w:val="Page Numbers (Bottom of Page)"/>
        <w:docPartUnique/>
      </w:docPartObj>
    </w:sdtPr>
    <w:sdtEndPr>
      <w:rPr>
        <w:noProof/>
      </w:rPr>
    </w:sdtEndPr>
    <w:sdtContent>
      <w:p w:rsidR="002C2C23" w:rsidRDefault="002C2C23">
        <w:pPr>
          <w:pStyle w:val="Footer"/>
          <w:jc w:val="center"/>
        </w:pPr>
        <w:r>
          <w:fldChar w:fldCharType="begin"/>
        </w:r>
        <w:r>
          <w:instrText xml:space="preserve"> PAGE   \* MERGEFORMAT </w:instrText>
        </w:r>
        <w:r>
          <w:fldChar w:fldCharType="separate"/>
        </w:r>
        <w:r w:rsidR="00F51668">
          <w:rPr>
            <w:noProof/>
          </w:rPr>
          <w:t>9</w:t>
        </w:r>
        <w:r>
          <w:rPr>
            <w:noProof/>
          </w:rPr>
          <w:fldChar w:fldCharType="end"/>
        </w:r>
      </w:p>
    </w:sdtContent>
  </w:sdt>
  <w:p w:rsidR="002C2C23" w:rsidRDefault="002C2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5E" w:rsidRDefault="00CC215E" w:rsidP="00D01F2C">
      <w:pPr>
        <w:spacing w:after="0" w:line="240" w:lineRule="auto"/>
      </w:pPr>
      <w:r>
        <w:separator/>
      </w:r>
    </w:p>
  </w:footnote>
  <w:footnote w:type="continuationSeparator" w:id="0">
    <w:p w:rsidR="00CC215E" w:rsidRDefault="00CC215E" w:rsidP="00D0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23" w:rsidRPr="00BA3B4E" w:rsidRDefault="0020217F" w:rsidP="002C2C23">
    <w:pPr>
      <w:pStyle w:val="Header"/>
      <w:jc w:val="right"/>
      <w:rPr>
        <w:b/>
        <w:lang w:val="en-US"/>
      </w:rPr>
    </w:pPr>
    <w:r>
      <w:rPr>
        <w:b/>
        <w:noProof/>
        <w:lang w:val="en-US"/>
      </w:rPr>
      <w:t>Endorsed CTWG_</w:t>
    </w:r>
    <w:r w:rsidR="00CA50FE" w:rsidRPr="00BA3B4E">
      <w:rPr>
        <w:b/>
        <w:noProof/>
        <w:lang w:val="en-US"/>
      </w:rPr>
      <w:t xml:space="preserve">As at </w:t>
    </w:r>
    <w:r w:rsidR="00BA3B4E" w:rsidRPr="00BA3B4E">
      <w:rPr>
        <w:b/>
        <w:noProof/>
        <w:lang w:val="en-US"/>
      </w:rPr>
      <w:t xml:space="preserve">9 October </w:t>
    </w:r>
    <w:r w:rsidR="006F157A" w:rsidRPr="00BA3B4E">
      <w:rPr>
        <w:b/>
        <w:noProof/>
        <w:lang w:val="en-US"/>
      </w:rPr>
      <w:t xml:space="preserve"> </w:t>
    </w:r>
    <w:r w:rsidR="002C2C23" w:rsidRPr="00BA3B4E">
      <w:rPr>
        <w:b/>
        <w:noProof/>
        <w:lang w:val="en-U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4"/>
    <w:lvl w:ilvl="0">
      <w:start w:val="4"/>
      <w:numFmt w:val="bullet"/>
      <w:lvlText w:val="•"/>
      <w:lvlJc w:val="left"/>
      <w:pPr>
        <w:tabs>
          <w:tab w:val="num" w:pos="0"/>
        </w:tabs>
        <w:ind w:left="720" w:hanging="360"/>
      </w:pPr>
      <w:rPr>
        <w:rFonts w:ascii="Arial" w:hAnsi="Arial" w:cs="Arial"/>
      </w:rPr>
    </w:lvl>
  </w:abstractNum>
  <w:abstractNum w:abstractNumId="1" w15:restartNumberingAfterBreak="0">
    <w:nsid w:val="00000007"/>
    <w:multiLevelType w:val="multilevel"/>
    <w:tmpl w:val="00000007"/>
    <w:name w:val="WW8Num2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D669F2"/>
    <w:multiLevelType w:val="hybridMultilevel"/>
    <w:tmpl w:val="B9E6394A"/>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932D7"/>
    <w:multiLevelType w:val="hybridMultilevel"/>
    <w:tmpl w:val="5B0A0DE4"/>
    <w:lvl w:ilvl="0" w:tplc="5802BEFA">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A1166"/>
    <w:multiLevelType w:val="hybridMultilevel"/>
    <w:tmpl w:val="B9E6394A"/>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3091A"/>
    <w:multiLevelType w:val="hybridMultilevel"/>
    <w:tmpl w:val="B9E6394A"/>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F35A4"/>
    <w:multiLevelType w:val="hybridMultilevel"/>
    <w:tmpl w:val="1220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826CD"/>
    <w:multiLevelType w:val="hybridMultilevel"/>
    <w:tmpl w:val="C5CA83BA"/>
    <w:lvl w:ilvl="0" w:tplc="E9308DF0">
      <w:start w:val="1"/>
      <w:numFmt w:val="decimal"/>
      <w:lvlText w:val="CS%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482B56"/>
    <w:multiLevelType w:val="hybridMultilevel"/>
    <w:tmpl w:val="CF22085E"/>
    <w:lvl w:ilvl="0" w:tplc="DD80FC5E">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F9601BB"/>
    <w:multiLevelType w:val="hybridMultilevel"/>
    <w:tmpl w:val="31C8491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F9B2B4A"/>
    <w:multiLevelType w:val="hybridMultilevel"/>
    <w:tmpl w:val="B25CF66A"/>
    <w:lvl w:ilvl="0" w:tplc="3508F098">
      <w:start w:val="1"/>
      <w:numFmt w:val="decimal"/>
      <w:lvlText w:val="F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A40D80"/>
    <w:multiLevelType w:val="hybridMultilevel"/>
    <w:tmpl w:val="FD8A1B1C"/>
    <w:lvl w:ilvl="0" w:tplc="A2A05B2C">
      <w:start w:val="1"/>
      <w:numFmt w:val="decimal"/>
      <w:lvlText w:val="%1."/>
      <w:lvlJc w:val="left"/>
      <w:pPr>
        <w:ind w:left="720" w:hanging="360"/>
      </w:pPr>
      <w:rPr>
        <w:rFonts w:hint="default"/>
        <w:b/>
      </w:rPr>
    </w:lvl>
    <w:lvl w:ilvl="1" w:tplc="5802BEFA">
      <w:start w:val="4"/>
      <w:numFmt w:val="bullet"/>
      <w:lvlText w:val="•"/>
      <w:lvlJc w:val="left"/>
      <w:pPr>
        <w:ind w:left="1440" w:hanging="360"/>
      </w:pPr>
      <w:rPr>
        <w:rFonts w:ascii="Arial" w:eastAsia="Calibri" w:hAnsi="Arial" w:cs="Arial" w:hint="default"/>
      </w:rPr>
    </w:lvl>
    <w:lvl w:ilvl="2" w:tplc="CC2AECAC">
      <w:start w:val="4"/>
      <w:numFmt w:val="bullet"/>
      <w:lvlText w:val="-"/>
      <w:lvlJc w:val="left"/>
      <w:pPr>
        <w:ind w:left="2340" w:hanging="360"/>
      </w:pPr>
      <w:rPr>
        <w:rFonts w:ascii="Arial" w:eastAsia="Calibri" w:hAnsi="Arial" w:cs="Arial"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3BD4866"/>
    <w:multiLevelType w:val="hybridMultilevel"/>
    <w:tmpl w:val="B25CF66A"/>
    <w:lvl w:ilvl="0" w:tplc="3508F098">
      <w:start w:val="1"/>
      <w:numFmt w:val="decimal"/>
      <w:lvlText w:val="F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4E77AD"/>
    <w:multiLevelType w:val="hybridMultilevel"/>
    <w:tmpl w:val="DDE40274"/>
    <w:lvl w:ilvl="0" w:tplc="0F16436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9BF476A"/>
    <w:multiLevelType w:val="hybridMultilevel"/>
    <w:tmpl w:val="EE30251E"/>
    <w:lvl w:ilvl="0" w:tplc="731C7A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51066"/>
    <w:multiLevelType w:val="hybridMultilevel"/>
    <w:tmpl w:val="B3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43C0"/>
    <w:multiLevelType w:val="hybridMultilevel"/>
    <w:tmpl w:val="C38A2D34"/>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74EBA"/>
    <w:multiLevelType w:val="hybridMultilevel"/>
    <w:tmpl w:val="B9E6394A"/>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AD7814"/>
    <w:multiLevelType w:val="hybridMultilevel"/>
    <w:tmpl w:val="B25CF66A"/>
    <w:lvl w:ilvl="0" w:tplc="3508F098">
      <w:start w:val="1"/>
      <w:numFmt w:val="decimal"/>
      <w:lvlText w:val="F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AF06F8"/>
    <w:multiLevelType w:val="multilevel"/>
    <w:tmpl w:val="027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2B6EAD"/>
    <w:multiLevelType w:val="hybridMultilevel"/>
    <w:tmpl w:val="D3D070B8"/>
    <w:lvl w:ilvl="0" w:tplc="E16A46C8">
      <w:start w:val="1"/>
      <w:numFmt w:val="decimal"/>
      <w:lvlText w:val="%1."/>
      <w:lvlJc w:val="left"/>
      <w:pPr>
        <w:ind w:left="331" w:hanging="360"/>
      </w:pPr>
      <w:rPr>
        <w:rFonts w:hint="default"/>
      </w:rPr>
    </w:lvl>
    <w:lvl w:ilvl="1" w:tplc="48090019" w:tentative="1">
      <w:start w:val="1"/>
      <w:numFmt w:val="lowerLetter"/>
      <w:lvlText w:val="%2."/>
      <w:lvlJc w:val="left"/>
      <w:pPr>
        <w:ind w:left="1051" w:hanging="360"/>
      </w:pPr>
    </w:lvl>
    <w:lvl w:ilvl="2" w:tplc="4809001B" w:tentative="1">
      <w:start w:val="1"/>
      <w:numFmt w:val="lowerRoman"/>
      <w:lvlText w:val="%3."/>
      <w:lvlJc w:val="right"/>
      <w:pPr>
        <w:ind w:left="1771" w:hanging="180"/>
      </w:pPr>
    </w:lvl>
    <w:lvl w:ilvl="3" w:tplc="4809000F" w:tentative="1">
      <w:start w:val="1"/>
      <w:numFmt w:val="decimal"/>
      <w:lvlText w:val="%4."/>
      <w:lvlJc w:val="left"/>
      <w:pPr>
        <w:ind w:left="2491" w:hanging="360"/>
      </w:pPr>
    </w:lvl>
    <w:lvl w:ilvl="4" w:tplc="48090019" w:tentative="1">
      <w:start w:val="1"/>
      <w:numFmt w:val="lowerLetter"/>
      <w:lvlText w:val="%5."/>
      <w:lvlJc w:val="left"/>
      <w:pPr>
        <w:ind w:left="3211" w:hanging="360"/>
      </w:pPr>
    </w:lvl>
    <w:lvl w:ilvl="5" w:tplc="4809001B" w:tentative="1">
      <w:start w:val="1"/>
      <w:numFmt w:val="lowerRoman"/>
      <w:lvlText w:val="%6."/>
      <w:lvlJc w:val="right"/>
      <w:pPr>
        <w:ind w:left="3931" w:hanging="180"/>
      </w:pPr>
    </w:lvl>
    <w:lvl w:ilvl="6" w:tplc="4809000F" w:tentative="1">
      <w:start w:val="1"/>
      <w:numFmt w:val="decimal"/>
      <w:lvlText w:val="%7."/>
      <w:lvlJc w:val="left"/>
      <w:pPr>
        <w:ind w:left="4651" w:hanging="360"/>
      </w:pPr>
    </w:lvl>
    <w:lvl w:ilvl="7" w:tplc="48090019" w:tentative="1">
      <w:start w:val="1"/>
      <w:numFmt w:val="lowerLetter"/>
      <w:lvlText w:val="%8."/>
      <w:lvlJc w:val="left"/>
      <w:pPr>
        <w:ind w:left="5371" w:hanging="360"/>
      </w:pPr>
    </w:lvl>
    <w:lvl w:ilvl="8" w:tplc="4809001B" w:tentative="1">
      <w:start w:val="1"/>
      <w:numFmt w:val="lowerRoman"/>
      <w:lvlText w:val="%9."/>
      <w:lvlJc w:val="right"/>
      <w:pPr>
        <w:ind w:left="6091" w:hanging="180"/>
      </w:pPr>
    </w:lvl>
  </w:abstractNum>
  <w:abstractNum w:abstractNumId="21" w15:restartNumberingAfterBreak="0">
    <w:nsid w:val="378D4EED"/>
    <w:multiLevelType w:val="hybridMultilevel"/>
    <w:tmpl w:val="5B26128C"/>
    <w:lvl w:ilvl="0" w:tplc="731C7A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5F7FD7"/>
    <w:multiLevelType w:val="hybridMultilevel"/>
    <w:tmpl w:val="4EA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B14CD"/>
    <w:multiLevelType w:val="hybridMultilevel"/>
    <w:tmpl w:val="4690614A"/>
    <w:lvl w:ilvl="0" w:tplc="34090001">
      <w:start w:val="1"/>
      <w:numFmt w:val="bullet"/>
      <w:lvlText w:val=""/>
      <w:lvlJc w:val="left"/>
      <w:pPr>
        <w:ind w:left="720" w:hanging="360"/>
      </w:pPr>
      <w:rPr>
        <w:rFonts w:ascii="Symbol" w:hAnsi="Symbol"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FF9500C"/>
    <w:multiLevelType w:val="hybridMultilevel"/>
    <w:tmpl w:val="5B26128C"/>
    <w:lvl w:ilvl="0" w:tplc="731C7A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40423"/>
    <w:multiLevelType w:val="hybridMultilevel"/>
    <w:tmpl w:val="2DE61C8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15:restartNumberingAfterBreak="0">
    <w:nsid w:val="57D66BA5"/>
    <w:multiLevelType w:val="hybridMultilevel"/>
    <w:tmpl w:val="CFA0E746"/>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ED60936"/>
    <w:multiLevelType w:val="hybridMultilevel"/>
    <w:tmpl w:val="5B26128C"/>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71D0E"/>
    <w:multiLevelType w:val="hybridMultilevel"/>
    <w:tmpl w:val="C38A2D34"/>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C2303"/>
    <w:multiLevelType w:val="hybridMultilevel"/>
    <w:tmpl w:val="C38A2D34"/>
    <w:lvl w:ilvl="0" w:tplc="731C7A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A62B85"/>
    <w:multiLevelType w:val="hybridMultilevel"/>
    <w:tmpl w:val="5B26128C"/>
    <w:lvl w:ilvl="0" w:tplc="731C7A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B15C0D"/>
    <w:multiLevelType w:val="multilevel"/>
    <w:tmpl w:val="44A6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9E48AC"/>
    <w:multiLevelType w:val="multilevel"/>
    <w:tmpl w:val="87F6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5038BD"/>
    <w:multiLevelType w:val="multilevel"/>
    <w:tmpl w:val="EDDA5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3F069E"/>
    <w:multiLevelType w:val="hybridMultilevel"/>
    <w:tmpl w:val="B9E6394A"/>
    <w:lvl w:ilvl="0" w:tplc="731C7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D10A1"/>
    <w:multiLevelType w:val="hybridMultilevel"/>
    <w:tmpl w:val="6C989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70274"/>
    <w:multiLevelType w:val="hybridMultilevel"/>
    <w:tmpl w:val="0E28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B504C"/>
    <w:multiLevelType w:val="hybridMultilevel"/>
    <w:tmpl w:val="90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E1FAC"/>
    <w:multiLevelType w:val="hybridMultilevel"/>
    <w:tmpl w:val="4D10D6FC"/>
    <w:lvl w:ilvl="0" w:tplc="731C7ADC">
      <w:start w:val="1"/>
      <w:numFmt w:val="lowerRoman"/>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865DF1"/>
    <w:multiLevelType w:val="hybridMultilevel"/>
    <w:tmpl w:val="4D10D6FC"/>
    <w:lvl w:ilvl="0" w:tplc="731C7AD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5"/>
  </w:num>
  <w:num w:numId="3">
    <w:abstractNumId w:val="21"/>
  </w:num>
  <w:num w:numId="4">
    <w:abstractNumId w:val="29"/>
  </w:num>
  <w:num w:numId="5">
    <w:abstractNumId w:val="2"/>
  </w:num>
  <w:num w:numId="6">
    <w:abstractNumId w:val="39"/>
  </w:num>
  <w:num w:numId="7">
    <w:abstractNumId w:val="14"/>
  </w:num>
  <w:num w:numId="8">
    <w:abstractNumId w:val="27"/>
  </w:num>
  <w:num w:numId="9">
    <w:abstractNumId w:val="28"/>
  </w:num>
  <w:num w:numId="10">
    <w:abstractNumId w:val="38"/>
  </w:num>
  <w:num w:numId="11">
    <w:abstractNumId w:val="6"/>
  </w:num>
  <w:num w:numId="12">
    <w:abstractNumId w:val="20"/>
  </w:num>
  <w:num w:numId="13">
    <w:abstractNumId w:val="22"/>
  </w:num>
  <w:num w:numId="14">
    <w:abstractNumId w:val="33"/>
  </w:num>
  <w:num w:numId="15">
    <w:abstractNumId w:val="31"/>
  </w:num>
  <w:num w:numId="16">
    <w:abstractNumId w:val="32"/>
  </w:num>
  <w:num w:numId="17">
    <w:abstractNumId w:val="19"/>
  </w:num>
  <w:num w:numId="18">
    <w:abstractNumId w:val="36"/>
  </w:num>
  <w:num w:numId="19">
    <w:abstractNumId w:val="7"/>
  </w:num>
  <w:num w:numId="20">
    <w:abstractNumId w:val="12"/>
  </w:num>
  <w:num w:numId="21">
    <w:abstractNumId w:val="11"/>
  </w:num>
  <w:num w:numId="22">
    <w:abstractNumId w:val="26"/>
  </w:num>
  <w:num w:numId="23">
    <w:abstractNumId w:val="15"/>
  </w:num>
  <w:num w:numId="24">
    <w:abstractNumId w:val="18"/>
  </w:num>
  <w:num w:numId="25">
    <w:abstractNumId w:val="4"/>
  </w:num>
  <w:num w:numId="26">
    <w:abstractNumId w:val="16"/>
  </w:num>
  <w:num w:numId="27">
    <w:abstractNumId w:val="17"/>
  </w:num>
  <w:num w:numId="28">
    <w:abstractNumId w:val="30"/>
  </w:num>
  <w:num w:numId="29">
    <w:abstractNumId w:val="24"/>
  </w:num>
  <w:num w:numId="30">
    <w:abstractNumId w:val="34"/>
  </w:num>
  <w:num w:numId="31">
    <w:abstractNumId w:val="23"/>
  </w:num>
  <w:num w:numId="32">
    <w:abstractNumId w:val="10"/>
  </w:num>
  <w:num w:numId="33">
    <w:abstractNumId w:val="5"/>
  </w:num>
  <w:num w:numId="34">
    <w:abstractNumId w:val="8"/>
  </w:num>
  <w:num w:numId="35">
    <w:abstractNumId w:val="9"/>
  </w:num>
  <w:num w:numId="36">
    <w:abstractNumId w:val="1"/>
  </w:num>
  <w:num w:numId="37">
    <w:abstractNumId w:val="0"/>
  </w:num>
  <w:num w:numId="38">
    <w:abstractNumId w:val="37"/>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2C"/>
    <w:rsid w:val="00002FF3"/>
    <w:rsid w:val="0000651B"/>
    <w:rsid w:val="00010208"/>
    <w:rsid w:val="000114C1"/>
    <w:rsid w:val="00011531"/>
    <w:rsid w:val="00013A4F"/>
    <w:rsid w:val="00016088"/>
    <w:rsid w:val="00017120"/>
    <w:rsid w:val="00030F28"/>
    <w:rsid w:val="00036C5D"/>
    <w:rsid w:val="00037018"/>
    <w:rsid w:val="00075D01"/>
    <w:rsid w:val="00081899"/>
    <w:rsid w:val="000A7B13"/>
    <w:rsid w:val="000B2D7C"/>
    <w:rsid w:val="000C703A"/>
    <w:rsid w:val="000E28AE"/>
    <w:rsid w:val="000F1266"/>
    <w:rsid w:val="000F2839"/>
    <w:rsid w:val="000F7BC5"/>
    <w:rsid w:val="001004C5"/>
    <w:rsid w:val="001026F4"/>
    <w:rsid w:val="00103480"/>
    <w:rsid w:val="00134A21"/>
    <w:rsid w:val="00142DBD"/>
    <w:rsid w:val="00170B12"/>
    <w:rsid w:val="001802D2"/>
    <w:rsid w:val="00183D41"/>
    <w:rsid w:val="00184725"/>
    <w:rsid w:val="00186CCA"/>
    <w:rsid w:val="001A284F"/>
    <w:rsid w:val="001D5A9A"/>
    <w:rsid w:val="0020217F"/>
    <w:rsid w:val="0021141D"/>
    <w:rsid w:val="00215940"/>
    <w:rsid w:val="0021690D"/>
    <w:rsid w:val="00221D82"/>
    <w:rsid w:val="00224F9C"/>
    <w:rsid w:val="0022771D"/>
    <w:rsid w:val="00231015"/>
    <w:rsid w:val="002369ED"/>
    <w:rsid w:val="00267975"/>
    <w:rsid w:val="00274761"/>
    <w:rsid w:val="002844D8"/>
    <w:rsid w:val="002C2C23"/>
    <w:rsid w:val="002E39DB"/>
    <w:rsid w:val="00300997"/>
    <w:rsid w:val="003061EF"/>
    <w:rsid w:val="00313840"/>
    <w:rsid w:val="003155E5"/>
    <w:rsid w:val="00323D23"/>
    <w:rsid w:val="00342BE5"/>
    <w:rsid w:val="00365AC3"/>
    <w:rsid w:val="003841B3"/>
    <w:rsid w:val="003868B7"/>
    <w:rsid w:val="00387BCE"/>
    <w:rsid w:val="003A06B2"/>
    <w:rsid w:val="003A214C"/>
    <w:rsid w:val="003C5D05"/>
    <w:rsid w:val="003D72D5"/>
    <w:rsid w:val="003E44C5"/>
    <w:rsid w:val="003E5A08"/>
    <w:rsid w:val="003E6D4E"/>
    <w:rsid w:val="003F5739"/>
    <w:rsid w:val="004025DE"/>
    <w:rsid w:val="00407790"/>
    <w:rsid w:val="00417E1A"/>
    <w:rsid w:val="00432427"/>
    <w:rsid w:val="004459AC"/>
    <w:rsid w:val="004505CA"/>
    <w:rsid w:val="00461A1E"/>
    <w:rsid w:val="00481A26"/>
    <w:rsid w:val="00490E6F"/>
    <w:rsid w:val="00497866"/>
    <w:rsid w:val="004B08DC"/>
    <w:rsid w:val="004C60C0"/>
    <w:rsid w:val="004D529A"/>
    <w:rsid w:val="004E0BAB"/>
    <w:rsid w:val="004F4B12"/>
    <w:rsid w:val="004F7899"/>
    <w:rsid w:val="0050376F"/>
    <w:rsid w:val="00510687"/>
    <w:rsid w:val="0052477D"/>
    <w:rsid w:val="005320AF"/>
    <w:rsid w:val="00577F62"/>
    <w:rsid w:val="00580AA3"/>
    <w:rsid w:val="005B47A4"/>
    <w:rsid w:val="005B49D1"/>
    <w:rsid w:val="005B670A"/>
    <w:rsid w:val="005C2BF7"/>
    <w:rsid w:val="005D67E4"/>
    <w:rsid w:val="006065F5"/>
    <w:rsid w:val="006102F5"/>
    <w:rsid w:val="00633652"/>
    <w:rsid w:val="00635A7B"/>
    <w:rsid w:val="00670BE5"/>
    <w:rsid w:val="00680A7F"/>
    <w:rsid w:val="00682410"/>
    <w:rsid w:val="00695076"/>
    <w:rsid w:val="00695222"/>
    <w:rsid w:val="006B601F"/>
    <w:rsid w:val="006C4CD4"/>
    <w:rsid w:val="006D59B7"/>
    <w:rsid w:val="006F157A"/>
    <w:rsid w:val="007019EB"/>
    <w:rsid w:val="00721F4F"/>
    <w:rsid w:val="00736696"/>
    <w:rsid w:val="00741ACF"/>
    <w:rsid w:val="00767860"/>
    <w:rsid w:val="00770447"/>
    <w:rsid w:val="00780C9C"/>
    <w:rsid w:val="00781B6E"/>
    <w:rsid w:val="00785C81"/>
    <w:rsid w:val="00796965"/>
    <w:rsid w:val="007A241B"/>
    <w:rsid w:val="007A5C71"/>
    <w:rsid w:val="007A612D"/>
    <w:rsid w:val="007B00C2"/>
    <w:rsid w:val="007C49A3"/>
    <w:rsid w:val="007F7805"/>
    <w:rsid w:val="00802944"/>
    <w:rsid w:val="0080353F"/>
    <w:rsid w:val="00817ACA"/>
    <w:rsid w:val="00833D0F"/>
    <w:rsid w:val="008444AF"/>
    <w:rsid w:val="008521AF"/>
    <w:rsid w:val="008636C5"/>
    <w:rsid w:val="00867AFC"/>
    <w:rsid w:val="008A1154"/>
    <w:rsid w:val="008B3022"/>
    <w:rsid w:val="008B773D"/>
    <w:rsid w:val="008C256E"/>
    <w:rsid w:val="008F1BFE"/>
    <w:rsid w:val="008F504D"/>
    <w:rsid w:val="00917A19"/>
    <w:rsid w:val="009232C8"/>
    <w:rsid w:val="009306DD"/>
    <w:rsid w:val="009327AE"/>
    <w:rsid w:val="00941A1A"/>
    <w:rsid w:val="00956F0B"/>
    <w:rsid w:val="00970D3F"/>
    <w:rsid w:val="00975B1B"/>
    <w:rsid w:val="00980CD8"/>
    <w:rsid w:val="00982D66"/>
    <w:rsid w:val="0098615F"/>
    <w:rsid w:val="009E0CAA"/>
    <w:rsid w:val="009E3E11"/>
    <w:rsid w:val="009F4716"/>
    <w:rsid w:val="00A02DE2"/>
    <w:rsid w:val="00A072C4"/>
    <w:rsid w:val="00A27C58"/>
    <w:rsid w:val="00A34CC8"/>
    <w:rsid w:val="00A37076"/>
    <w:rsid w:val="00A3714B"/>
    <w:rsid w:val="00A612E1"/>
    <w:rsid w:val="00A61A47"/>
    <w:rsid w:val="00A721DF"/>
    <w:rsid w:val="00A75782"/>
    <w:rsid w:val="00A84CDF"/>
    <w:rsid w:val="00AA3487"/>
    <w:rsid w:val="00AB323D"/>
    <w:rsid w:val="00AC2C0F"/>
    <w:rsid w:val="00AE00E2"/>
    <w:rsid w:val="00AE0F03"/>
    <w:rsid w:val="00AF18F8"/>
    <w:rsid w:val="00AF3EFD"/>
    <w:rsid w:val="00B25B96"/>
    <w:rsid w:val="00B3134C"/>
    <w:rsid w:val="00B33C32"/>
    <w:rsid w:val="00B46100"/>
    <w:rsid w:val="00B64050"/>
    <w:rsid w:val="00B64743"/>
    <w:rsid w:val="00B977F7"/>
    <w:rsid w:val="00BA3B4E"/>
    <w:rsid w:val="00BA777B"/>
    <w:rsid w:val="00BC527F"/>
    <w:rsid w:val="00BD36AA"/>
    <w:rsid w:val="00BE06FB"/>
    <w:rsid w:val="00BE4F98"/>
    <w:rsid w:val="00C11759"/>
    <w:rsid w:val="00C30449"/>
    <w:rsid w:val="00C363D5"/>
    <w:rsid w:val="00C42245"/>
    <w:rsid w:val="00C45648"/>
    <w:rsid w:val="00C52E4B"/>
    <w:rsid w:val="00C53513"/>
    <w:rsid w:val="00C545F9"/>
    <w:rsid w:val="00C641C7"/>
    <w:rsid w:val="00C66F16"/>
    <w:rsid w:val="00C91C0B"/>
    <w:rsid w:val="00C949AA"/>
    <w:rsid w:val="00CA405E"/>
    <w:rsid w:val="00CA50FE"/>
    <w:rsid w:val="00CC215E"/>
    <w:rsid w:val="00CD0483"/>
    <w:rsid w:val="00CD1F5F"/>
    <w:rsid w:val="00CE21CA"/>
    <w:rsid w:val="00CE6A56"/>
    <w:rsid w:val="00CF46E8"/>
    <w:rsid w:val="00D00D33"/>
    <w:rsid w:val="00D01F2C"/>
    <w:rsid w:val="00D978F3"/>
    <w:rsid w:val="00DA454B"/>
    <w:rsid w:val="00DC4445"/>
    <w:rsid w:val="00DF2933"/>
    <w:rsid w:val="00DF447A"/>
    <w:rsid w:val="00DF7F0C"/>
    <w:rsid w:val="00E1626D"/>
    <w:rsid w:val="00E26FE2"/>
    <w:rsid w:val="00E4261E"/>
    <w:rsid w:val="00E60240"/>
    <w:rsid w:val="00E71BCA"/>
    <w:rsid w:val="00E95BEB"/>
    <w:rsid w:val="00EB4076"/>
    <w:rsid w:val="00EC3ED4"/>
    <w:rsid w:val="00ED58E8"/>
    <w:rsid w:val="00F13026"/>
    <w:rsid w:val="00F3131C"/>
    <w:rsid w:val="00F51668"/>
    <w:rsid w:val="00F5334A"/>
    <w:rsid w:val="00F55EB3"/>
    <w:rsid w:val="00F71F2C"/>
    <w:rsid w:val="00FA6E75"/>
    <w:rsid w:val="00FC7676"/>
    <w:rsid w:val="00FD5349"/>
    <w:rsid w:val="00FF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A3FD4-D4A6-46B5-B430-CA54963C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2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2C"/>
    <w:pPr>
      <w:ind w:left="720"/>
      <w:contextualSpacing/>
    </w:pPr>
  </w:style>
  <w:style w:type="paragraph" w:styleId="Header">
    <w:name w:val="header"/>
    <w:basedOn w:val="Normal"/>
    <w:link w:val="HeaderChar"/>
    <w:uiPriority w:val="99"/>
    <w:unhideWhenUsed/>
    <w:rsid w:val="00D01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2C"/>
    <w:rPr>
      <w:lang w:val="id-ID"/>
    </w:rPr>
  </w:style>
  <w:style w:type="paragraph" w:styleId="Footer">
    <w:name w:val="footer"/>
    <w:basedOn w:val="Normal"/>
    <w:link w:val="FooterChar"/>
    <w:uiPriority w:val="99"/>
    <w:unhideWhenUsed/>
    <w:rsid w:val="00D0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2C"/>
    <w:rPr>
      <w:lang w:val="id-ID"/>
    </w:rPr>
  </w:style>
  <w:style w:type="table" w:styleId="TableGrid">
    <w:name w:val="Table Grid"/>
    <w:basedOn w:val="TableNormal"/>
    <w:uiPriority w:val="59"/>
    <w:rsid w:val="00D01F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56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5648"/>
    <w:rPr>
      <w:b/>
      <w:bCs/>
    </w:rPr>
  </w:style>
  <w:style w:type="paragraph" w:styleId="BalloonText">
    <w:name w:val="Balloon Text"/>
    <w:basedOn w:val="Normal"/>
    <w:link w:val="BalloonTextChar"/>
    <w:uiPriority w:val="99"/>
    <w:semiHidden/>
    <w:unhideWhenUsed/>
    <w:rsid w:val="009E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AA"/>
    <w:rPr>
      <w:rFonts w:ascii="Segoe UI" w:hAnsi="Segoe UI" w:cs="Segoe UI"/>
      <w:sz w:val="18"/>
      <w:szCs w:val="18"/>
      <w:lang w:val="id-ID"/>
    </w:rPr>
  </w:style>
  <w:style w:type="paragraph" w:customStyle="1" w:styleId="ab14">
    <w:name w:val="a_b_14"/>
    <w:basedOn w:val="Normal"/>
    <w:rsid w:val="00721F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eatureleft">
    <w:name w:val="feature_left"/>
    <w:basedOn w:val="Normal"/>
    <w:rsid w:val="00721F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B08DC"/>
    <w:rPr>
      <w:i/>
      <w:iCs/>
    </w:rPr>
  </w:style>
  <w:style w:type="character" w:customStyle="1" w:styleId="apple-converted-space">
    <w:name w:val="apple-converted-space"/>
    <w:basedOn w:val="DefaultParagraphFont"/>
    <w:rsid w:val="004B08DC"/>
  </w:style>
  <w:style w:type="character" w:styleId="CommentReference">
    <w:name w:val="annotation reference"/>
    <w:basedOn w:val="DefaultParagraphFont"/>
    <w:uiPriority w:val="99"/>
    <w:semiHidden/>
    <w:unhideWhenUsed/>
    <w:rsid w:val="002844D8"/>
    <w:rPr>
      <w:sz w:val="16"/>
      <w:szCs w:val="16"/>
    </w:rPr>
  </w:style>
  <w:style w:type="paragraph" w:styleId="CommentText">
    <w:name w:val="annotation text"/>
    <w:basedOn w:val="Normal"/>
    <w:link w:val="CommentTextChar"/>
    <w:uiPriority w:val="99"/>
    <w:semiHidden/>
    <w:unhideWhenUsed/>
    <w:rsid w:val="002844D8"/>
    <w:pPr>
      <w:spacing w:line="240" w:lineRule="auto"/>
    </w:pPr>
    <w:rPr>
      <w:sz w:val="20"/>
      <w:szCs w:val="20"/>
    </w:rPr>
  </w:style>
  <w:style w:type="character" w:customStyle="1" w:styleId="CommentTextChar">
    <w:name w:val="Comment Text Char"/>
    <w:basedOn w:val="DefaultParagraphFont"/>
    <w:link w:val="CommentText"/>
    <w:uiPriority w:val="99"/>
    <w:semiHidden/>
    <w:rsid w:val="002844D8"/>
    <w:rPr>
      <w:sz w:val="20"/>
      <w:szCs w:val="20"/>
      <w:lang w:val="id-ID"/>
    </w:rPr>
  </w:style>
  <w:style w:type="paragraph" w:styleId="CommentSubject">
    <w:name w:val="annotation subject"/>
    <w:basedOn w:val="CommentText"/>
    <w:next w:val="CommentText"/>
    <w:link w:val="CommentSubjectChar"/>
    <w:uiPriority w:val="99"/>
    <w:semiHidden/>
    <w:unhideWhenUsed/>
    <w:rsid w:val="002844D8"/>
    <w:rPr>
      <w:b/>
      <w:bCs/>
    </w:rPr>
  </w:style>
  <w:style w:type="character" w:customStyle="1" w:styleId="CommentSubjectChar">
    <w:name w:val="Comment Subject Char"/>
    <w:basedOn w:val="CommentTextChar"/>
    <w:link w:val="CommentSubject"/>
    <w:uiPriority w:val="99"/>
    <w:semiHidden/>
    <w:rsid w:val="002844D8"/>
    <w:rPr>
      <w:b/>
      <w:bCs/>
      <w:sz w:val="20"/>
      <w:szCs w:val="20"/>
      <w:lang w:val="id-ID"/>
    </w:rPr>
  </w:style>
  <w:style w:type="paragraph" w:styleId="Revision">
    <w:name w:val="Revision"/>
    <w:hidden/>
    <w:uiPriority w:val="99"/>
    <w:semiHidden/>
    <w:rsid w:val="002844D8"/>
    <w:pPr>
      <w:spacing w:after="0" w:line="240" w:lineRule="auto"/>
    </w:pPr>
    <w:rPr>
      <w:lang w:val="id-ID"/>
    </w:rPr>
  </w:style>
  <w:style w:type="paragraph" w:styleId="NoSpacing">
    <w:name w:val="No Spacing"/>
    <w:uiPriority w:val="1"/>
    <w:qFormat/>
    <w:rsid w:val="00785C81"/>
    <w:pPr>
      <w:spacing w:after="0" w:line="240" w:lineRule="auto"/>
    </w:pPr>
    <w:rPr>
      <w:rFonts w:ascii="Calibri" w:eastAsia="Calibri" w:hAnsi="Calibri" w:cs="Times New Roman"/>
      <w:lang w:val="en-PH"/>
    </w:rPr>
  </w:style>
  <w:style w:type="paragraph" w:customStyle="1" w:styleId="Default">
    <w:name w:val="Default"/>
    <w:rsid w:val="00E26FE2"/>
    <w:pPr>
      <w:autoSpaceDE w:val="0"/>
      <w:autoSpaceDN w:val="0"/>
      <w:adjustRightInd w:val="0"/>
      <w:spacing w:after="0" w:line="240" w:lineRule="auto"/>
    </w:pPr>
    <w:rPr>
      <w:rFonts w:ascii="Arial" w:hAnsi="Arial" w:cs="Arial"/>
      <w:color w:val="000000"/>
      <w:sz w:val="24"/>
      <w:szCs w:val="24"/>
      <w:lang w:val="en-AU"/>
    </w:rPr>
  </w:style>
  <w:style w:type="paragraph" w:customStyle="1" w:styleId="ColorfulList-Accent11">
    <w:name w:val="Colorful List - Accent 11"/>
    <w:basedOn w:val="Normal"/>
    <w:uiPriority w:val="34"/>
    <w:qFormat/>
    <w:rsid w:val="00B3134C"/>
    <w:pPr>
      <w:ind w:left="720"/>
      <w:contextualSpacing/>
    </w:pPr>
    <w:rPr>
      <w:rFonts w:ascii="Calibri" w:eastAsia="Calibri" w:hAnsi="Calibri" w:cs="Times New Roman"/>
      <w:lang w:val="en-US"/>
    </w:rPr>
  </w:style>
  <w:style w:type="character" w:customStyle="1" w:styleId="bodytext1">
    <w:name w:val="bodytext1"/>
    <w:basedOn w:val="DefaultParagraphFont"/>
    <w:uiPriority w:val="99"/>
    <w:rsid w:val="00B3134C"/>
    <w:rPr>
      <w:rFonts w:ascii="Arial" w:hAnsi="Arial" w:cs="Arial" w:hint="default"/>
      <w:color w:val="000000"/>
      <w:sz w:val="18"/>
      <w:szCs w:val="18"/>
    </w:rPr>
  </w:style>
  <w:style w:type="paragraph" w:styleId="FootnoteText">
    <w:name w:val="footnote text"/>
    <w:basedOn w:val="Normal"/>
    <w:link w:val="FootnoteTextChar"/>
    <w:uiPriority w:val="99"/>
    <w:semiHidden/>
    <w:unhideWhenUsed/>
    <w:rsid w:val="00002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FF3"/>
    <w:rPr>
      <w:sz w:val="20"/>
      <w:szCs w:val="20"/>
      <w:lang w:val="id-ID"/>
    </w:rPr>
  </w:style>
  <w:style w:type="character" w:styleId="FootnoteReference">
    <w:name w:val="footnote reference"/>
    <w:basedOn w:val="DefaultParagraphFont"/>
    <w:uiPriority w:val="99"/>
    <w:semiHidden/>
    <w:unhideWhenUsed/>
    <w:rsid w:val="00002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9035">
      <w:bodyDiv w:val="1"/>
      <w:marLeft w:val="0"/>
      <w:marRight w:val="0"/>
      <w:marTop w:val="0"/>
      <w:marBottom w:val="0"/>
      <w:divBdr>
        <w:top w:val="none" w:sz="0" w:space="0" w:color="auto"/>
        <w:left w:val="none" w:sz="0" w:space="0" w:color="auto"/>
        <w:bottom w:val="none" w:sz="0" w:space="0" w:color="auto"/>
        <w:right w:val="none" w:sz="0" w:space="0" w:color="auto"/>
      </w:divBdr>
    </w:div>
    <w:div w:id="451291837">
      <w:bodyDiv w:val="1"/>
      <w:marLeft w:val="0"/>
      <w:marRight w:val="0"/>
      <w:marTop w:val="0"/>
      <w:marBottom w:val="0"/>
      <w:divBdr>
        <w:top w:val="none" w:sz="0" w:space="0" w:color="auto"/>
        <w:left w:val="none" w:sz="0" w:space="0" w:color="auto"/>
        <w:bottom w:val="none" w:sz="0" w:space="0" w:color="auto"/>
        <w:right w:val="none" w:sz="0" w:space="0" w:color="auto"/>
      </w:divBdr>
    </w:div>
    <w:div w:id="701592702">
      <w:bodyDiv w:val="1"/>
      <w:marLeft w:val="0"/>
      <w:marRight w:val="0"/>
      <w:marTop w:val="0"/>
      <w:marBottom w:val="0"/>
      <w:divBdr>
        <w:top w:val="none" w:sz="0" w:space="0" w:color="auto"/>
        <w:left w:val="none" w:sz="0" w:space="0" w:color="auto"/>
        <w:bottom w:val="none" w:sz="0" w:space="0" w:color="auto"/>
        <w:right w:val="none" w:sz="0" w:space="0" w:color="auto"/>
      </w:divBdr>
    </w:div>
    <w:div w:id="978653476">
      <w:bodyDiv w:val="1"/>
      <w:marLeft w:val="0"/>
      <w:marRight w:val="0"/>
      <w:marTop w:val="0"/>
      <w:marBottom w:val="0"/>
      <w:divBdr>
        <w:top w:val="none" w:sz="0" w:space="0" w:color="auto"/>
        <w:left w:val="none" w:sz="0" w:space="0" w:color="auto"/>
        <w:bottom w:val="none" w:sz="0" w:space="0" w:color="auto"/>
        <w:right w:val="none" w:sz="0" w:space="0" w:color="auto"/>
      </w:divBdr>
    </w:div>
    <w:div w:id="1158493608">
      <w:bodyDiv w:val="1"/>
      <w:marLeft w:val="0"/>
      <w:marRight w:val="0"/>
      <w:marTop w:val="0"/>
      <w:marBottom w:val="0"/>
      <w:divBdr>
        <w:top w:val="none" w:sz="0" w:space="0" w:color="auto"/>
        <w:left w:val="none" w:sz="0" w:space="0" w:color="auto"/>
        <w:bottom w:val="none" w:sz="0" w:space="0" w:color="auto"/>
        <w:right w:val="none" w:sz="0" w:space="0" w:color="auto"/>
      </w:divBdr>
    </w:div>
    <w:div w:id="15081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3B37-AE3C-49B0-8A1C-8BF6BDF2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Handaruningrum</dc:creator>
  <cp:lastModifiedBy>Kartika Handaruningrum</cp:lastModifiedBy>
  <cp:revision>7</cp:revision>
  <cp:lastPrinted>2017-08-11T01:44:00Z</cp:lastPrinted>
  <dcterms:created xsi:type="dcterms:W3CDTF">2017-10-11T03:45:00Z</dcterms:created>
  <dcterms:modified xsi:type="dcterms:W3CDTF">2017-10-11T05:52:00Z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cc185af9-a0b5-4be8-941c-9eb82a41be6c</vt:lpwstr>
  </property>
  <property fmtid="{D5CDD505-2E9C-101B-9397-08002B2CF9AE}" pid="3" name="hptrimdataset">
    <vt:lpwstr>CH</vt:lpwstr>
  </property>
  <property fmtid="{D5CDD505-2E9C-101B-9397-08002B2CF9AE}" pid="4" name="hptrimfileref">
    <vt:lpwstr>17/13701#3</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