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64F4C" w14:textId="4A5F8DA7" w:rsidR="006D23DC" w:rsidRPr="006D23DC" w:rsidRDefault="00BB15D2" w:rsidP="006D23DC">
      <w:sdt>
        <w:sdtPr>
          <w:id w:val="-2147263464"/>
          <w:docPartObj>
            <w:docPartGallery w:val="Cover Pages"/>
            <w:docPartUnique/>
          </w:docPartObj>
        </w:sdtPr>
        <w:sdtEndPr/>
        <w:sdtContent>
          <w:r w:rsidR="000D5D2E">
            <w:rPr>
              <w:noProof/>
              <w:lang w:eastAsia="zh-TW"/>
            </w:rPr>
            <mc:AlternateContent>
              <mc:Choice Requires="wps">
                <w:drawing>
                  <wp:anchor distT="0" distB="0" distL="114300" distR="114300" simplePos="0" relativeHeight="251662336" behindDoc="0" locked="0" layoutInCell="1" allowOverlap="1" wp14:anchorId="3A7C6F17" wp14:editId="0DECE17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439B3" w14:textId="69801B92" w:rsidR="000D5D2E" w:rsidRDefault="000D5D2E">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7C6F17" id="_x0000_t202" coordsize="21600,21600" o:spt="202" path="m,l,21600r21600,l21600,xe">
                    <v:stroke joinstyle="miter"/>
                    <v:path gradientshapeok="t" o:connecttype="rect"/>
                  </v:shapetype>
                  <v:shape id="Text Box 128" o:spid="_x0000_s1026"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XVgQIAAGE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" filled="f" stroked="f" strokeweight=".5pt">
                    <v:textbox style="mso-fit-shape-to-text:t" inset="1in,0,86.4pt,0">
                      <w:txbxContent>
                        <w:p w14:paraId="566439B3" w14:textId="69801B92" w:rsidR="000D5D2E" w:rsidRDefault="000D5D2E">
                          <w:pPr>
                            <w:pStyle w:val="NoSpacing"/>
                            <w:rPr>
                              <w:color w:val="7F7F7F" w:themeColor="text1" w:themeTint="80"/>
                              <w:sz w:val="18"/>
                              <w:szCs w:val="18"/>
                            </w:rPr>
                          </w:pPr>
                        </w:p>
                      </w:txbxContent>
                    </v:textbox>
                    <w10:wrap type="square" anchorx="page" anchory="margin"/>
                  </v:shape>
                </w:pict>
              </mc:Fallback>
            </mc:AlternateContent>
          </w:r>
        </w:sdtContent>
      </w:sdt>
      <w:r w:rsidR="006D23DC" w:rsidRPr="006D23DC">
        <w:rPr>
          <w:rFonts w:ascii="Arial" w:hAnsi="Arial" w:cs="Arial"/>
          <w:sz w:val="32"/>
          <w:szCs w:val="32"/>
        </w:rPr>
        <w:t>APEC CD GHS Implementation Convergence Questionnaire 2019</w:t>
      </w:r>
    </w:p>
    <w:p w14:paraId="439BEB05" w14:textId="75328E29" w:rsidR="006D23DC" w:rsidRDefault="006D23DC" w:rsidP="006D23DC">
      <w:pPr>
        <w:jc w:val="center"/>
        <w:rPr>
          <w:rFonts w:ascii="Arial" w:hAnsi="Arial" w:cs="Arial"/>
          <w:sz w:val="32"/>
          <w:szCs w:val="32"/>
        </w:rPr>
      </w:pPr>
      <w:r w:rsidRPr="006D23DC">
        <w:rPr>
          <w:rFonts w:ascii="Arial" w:hAnsi="Arial" w:cs="Arial"/>
          <w:sz w:val="32"/>
          <w:szCs w:val="32"/>
        </w:rPr>
        <w:t>Progress Report</w:t>
      </w:r>
      <w:r>
        <w:rPr>
          <w:rFonts w:ascii="Arial" w:hAnsi="Arial" w:cs="Arial"/>
          <w:sz w:val="32"/>
          <w:szCs w:val="32"/>
        </w:rPr>
        <w:br/>
      </w:r>
    </w:p>
    <w:p w14:paraId="2F849FD3" w14:textId="0DF42EE8" w:rsidR="006D23DC" w:rsidRDefault="006D23DC" w:rsidP="006D23DC">
      <w:pPr>
        <w:jc w:val="center"/>
        <w:rPr>
          <w:rFonts w:ascii="Arial" w:hAnsi="Arial" w:cs="Arial"/>
          <w:sz w:val="32"/>
          <w:szCs w:val="32"/>
        </w:rPr>
      </w:pPr>
    </w:p>
    <w:p w14:paraId="6BB8382B" w14:textId="77777777" w:rsidR="006D23DC" w:rsidRPr="006D23DC" w:rsidRDefault="006D23DC" w:rsidP="006D23DC">
      <w:pPr>
        <w:jc w:val="center"/>
        <w:rPr>
          <w:rFonts w:ascii="Arial" w:eastAsiaTheme="majorEastAsia" w:hAnsi="Arial" w:cs="Arial"/>
          <w:spacing w:val="-10"/>
          <w:kern w:val="28"/>
          <w:sz w:val="32"/>
          <w:szCs w:val="32"/>
        </w:rPr>
      </w:pPr>
    </w:p>
    <w:sdt>
      <w:sdtPr>
        <w:rPr>
          <w:rFonts w:asciiTheme="minorHAnsi" w:eastAsiaTheme="minorHAnsi" w:hAnsiTheme="minorHAnsi" w:cstheme="minorBidi"/>
          <w:color w:val="auto"/>
          <w:sz w:val="22"/>
          <w:szCs w:val="22"/>
        </w:rPr>
        <w:id w:val="92365202"/>
        <w:docPartObj>
          <w:docPartGallery w:val="Table of Contents"/>
          <w:docPartUnique/>
        </w:docPartObj>
      </w:sdtPr>
      <w:sdtEndPr>
        <w:rPr>
          <w:b/>
          <w:bCs/>
          <w:noProof/>
        </w:rPr>
      </w:sdtEndPr>
      <w:sdtContent>
        <w:p w14:paraId="3F253585" w14:textId="737CDBD4" w:rsidR="001A5EA3" w:rsidRPr="006D23DC" w:rsidRDefault="001A5EA3">
          <w:pPr>
            <w:pStyle w:val="TOCHeading"/>
            <w:rPr>
              <w:rFonts w:asciiTheme="minorHAnsi" w:eastAsiaTheme="minorHAnsi" w:hAnsiTheme="minorHAnsi" w:cstheme="minorBidi"/>
              <w:color w:val="auto"/>
              <w:sz w:val="22"/>
              <w:szCs w:val="22"/>
            </w:rPr>
          </w:pPr>
          <w:r>
            <w:t>Table of Contents</w:t>
          </w:r>
        </w:p>
        <w:p w14:paraId="054ACEF1" w14:textId="62AC199B" w:rsidR="00B42F38" w:rsidRDefault="001A5EA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393962" w:history="1">
            <w:r w:rsidR="00B42F38" w:rsidRPr="008B0295">
              <w:rPr>
                <w:rStyle w:val="Hyperlink"/>
                <w:noProof/>
              </w:rPr>
              <w:t>Background</w:t>
            </w:r>
            <w:r w:rsidR="00B42F38">
              <w:rPr>
                <w:noProof/>
                <w:webHidden/>
              </w:rPr>
              <w:tab/>
            </w:r>
            <w:r w:rsidR="00B42F38">
              <w:rPr>
                <w:noProof/>
                <w:webHidden/>
              </w:rPr>
              <w:fldChar w:fldCharType="begin"/>
            </w:r>
            <w:r w:rsidR="00B42F38">
              <w:rPr>
                <w:noProof/>
                <w:webHidden/>
              </w:rPr>
              <w:instrText xml:space="preserve"> PAGEREF _Toc6393962 \h </w:instrText>
            </w:r>
            <w:r w:rsidR="00B42F38">
              <w:rPr>
                <w:noProof/>
                <w:webHidden/>
              </w:rPr>
            </w:r>
            <w:r w:rsidR="00B42F38">
              <w:rPr>
                <w:noProof/>
                <w:webHidden/>
              </w:rPr>
              <w:fldChar w:fldCharType="separate"/>
            </w:r>
            <w:r w:rsidR="00B42F38">
              <w:rPr>
                <w:noProof/>
                <w:webHidden/>
              </w:rPr>
              <w:t>1</w:t>
            </w:r>
            <w:r w:rsidR="00B42F38">
              <w:rPr>
                <w:noProof/>
                <w:webHidden/>
              </w:rPr>
              <w:fldChar w:fldCharType="end"/>
            </w:r>
          </w:hyperlink>
        </w:p>
        <w:p w14:paraId="21F1A1DC" w14:textId="7E8AF593" w:rsidR="00B42F38" w:rsidRDefault="00BB15D2">
          <w:pPr>
            <w:pStyle w:val="TOC1"/>
            <w:tabs>
              <w:tab w:val="right" w:leader="dot" w:pos="9350"/>
            </w:tabs>
            <w:rPr>
              <w:rFonts w:eastAsiaTheme="minorEastAsia"/>
              <w:noProof/>
            </w:rPr>
          </w:pPr>
          <w:hyperlink w:anchor="_Toc6393963" w:history="1">
            <w:r w:rsidR="00B42F38" w:rsidRPr="008B0295">
              <w:rPr>
                <w:rStyle w:val="Hyperlink"/>
                <w:noProof/>
              </w:rPr>
              <w:t>Introduction</w:t>
            </w:r>
            <w:r w:rsidR="00B42F38">
              <w:rPr>
                <w:noProof/>
                <w:webHidden/>
              </w:rPr>
              <w:tab/>
            </w:r>
            <w:r w:rsidR="00B42F38">
              <w:rPr>
                <w:noProof/>
                <w:webHidden/>
              </w:rPr>
              <w:fldChar w:fldCharType="begin"/>
            </w:r>
            <w:r w:rsidR="00B42F38">
              <w:rPr>
                <w:noProof/>
                <w:webHidden/>
              </w:rPr>
              <w:instrText xml:space="preserve"> PAGEREF _Toc6393963 \h </w:instrText>
            </w:r>
            <w:r w:rsidR="00B42F38">
              <w:rPr>
                <w:noProof/>
                <w:webHidden/>
              </w:rPr>
            </w:r>
            <w:r w:rsidR="00B42F38">
              <w:rPr>
                <w:noProof/>
                <w:webHidden/>
              </w:rPr>
              <w:fldChar w:fldCharType="separate"/>
            </w:r>
            <w:r w:rsidR="00B42F38">
              <w:rPr>
                <w:noProof/>
                <w:webHidden/>
              </w:rPr>
              <w:t>2</w:t>
            </w:r>
            <w:r w:rsidR="00B42F38">
              <w:rPr>
                <w:noProof/>
                <w:webHidden/>
              </w:rPr>
              <w:fldChar w:fldCharType="end"/>
            </w:r>
          </w:hyperlink>
        </w:p>
        <w:p w14:paraId="4DDB3223" w14:textId="6D80F3CA" w:rsidR="00B42F38" w:rsidRDefault="00BB15D2">
          <w:pPr>
            <w:pStyle w:val="TOC1"/>
            <w:tabs>
              <w:tab w:val="right" w:leader="dot" w:pos="9350"/>
            </w:tabs>
            <w:rPr>
              <w:rFonts w:eastAsiaTheme="minorEastAsia"/>
              <w:noProof/>
            </w:rPr>
          </w:pPr>
          <w:hyperlink w:anchor="_Toc6393964" w:history="1">
            <w:r w:rsidR="00B42F38" w:rsidRPr="008B0295">
              <w:rPr>
                <w:rStyle w:val="Hyperlink"/>
                <w:noProof/>
              </w:rPr>
              <w:t>Response summary</w:t>
            </w:r>
            <w:r w:rsidR="00B42F38">
              <w:rPr>
                <w:noProof/>
                <w:webHidden/>
              </w:rPr>
              <w:tab/>
            </w:r>
            <w:r w:rsidR="00B42F38">
              <w:rPr>
                <w:noProof/>
                <w:webHidden/>
              </w:rPr>
              <w:fldChar w:fldCharType="begin"/>
            </w:r>
            <w:r w:rsidR="00B42F38">
              <w:rPr>
                <w:noProof/>
                <w:webHidden/>
              </w:rPr>
              <w:instrText xml:space="preserve"> PAGEREF _Toc6393964 \h </w:instrText>
            </w:r>
            <w:r w:rsidR="00B42F38">
              <w:rPr>
                <w:noProof/>
                <w:webHidden/>
              </w:rPr>
            </w:r>
            <w:r w:rsidR="00B42F38">
              <w:rPr>
                <w:noProof/>
                <w:webHidden/>
              </w:rPr>
              <w:fldChar w:fldCharType="separate"/>
            </w:r>
            <w:r w:rsidR="00B42F38">
              <w:rPr>
                <w:noProof/>
                <w:webHidden/>
              </w:rPr>
              <w:t>3</w:t>
            </w:r>
            <w:r w:rsidR="00B42F38">
              <w:rPr>
                <w:noProof/>
                <w:webHidden/>
              </w:rPr>
              <w:fldChar w:fldCharType="end"/>
            </w:r>
          </w:hyperlink>
        </w:p>
        <w:p w14:paraId="6D1F51E9" w14:textId="3F204DB2" w:rsidR="00B42F38" w:rsidRDefault="00BB15D2">
          <w:pPr>
            <w:pStyle w:val="TOC2"/>
            <w:tabs>
              <w:tab w:val="right" w:leader="dot" w:pos="9350"/>
            </w:tabs>
            <w:rPr>
              <w:rFonts w:eastAsiaTheme="minorEastAsia"/>
              <w:noProof/>
            </w:rPr>
          </w:pPr>
          <w:hyperlink w:anchor="_Toc6393965" w:history="1">
            <w:r w:rsidR="00B42F38" w:rsidRPr="008B0295">
              <w:rPr>
                <w:rStyle w:val="Hyperlink"/>
                <w:noProof/>
              </w:rPr>
              <w:t>Respondent details</w:t>
            </w:r>
            <w:r w:rsidR="00B42F38">
              <w:rPr>
                <w:noProof/>
                <w:webHidden/>
              </w:rPr>
              <w:tab/>
            </w:r>
            <w:r w:rsidR="00B42F38">
              <w:rPr>
                <w:noProof/>
                <w:webHidden/>
              </w:rPr>
              <w:fldChar w:fldCharType="begin"/>
            </w:r>
            <w:r w:rsidR="00B42F38">
              <w:rPr>
                <w:noProof/>
                <w:webHidden/>
              </w:rPr>
              <w:instrText xml:space="preserve"> PAGEREF _Toc6393965 \h </w:instrText>
            </w:r>
            <w:r w:rsidR="00B42F38">
              <w:rPr>
                <w:noProof/>
                <w:webHidden/>
              </w:rPr>
            </w:r>
            <w:r w:rsidR="00B42F38">
              <w:rPr>
                <w:noProof/>
                <w:webHidden/>
              </w:rPr>
              <w:fldChar w:fldCharType="separate"/>
            </w:r>
            <w:r w:rsidR="00B42F38">
              <w:rPr>
                <w:noProof/>
                <w:webHidden/>
              </w:rPr>
              <w:t>3</w:t>
            </w:r>
            <w:r w:rsidR="00B42F38">
              <w:rPr>
                <w:noProof/>
                <w:webHidden/>
              </w:rPr>
              <w:fldChar w:fldCharType="end"/>
            </w:r>
          </w:hyperlink>
        </w:p>
        <w:p w14:paraId="659658BE" w14:textId="48FA7B47" w:rsidR="00B42F38" w:rsidRDefault="00BB15D2">
          <w:pPr>
            <w:pStyle w:val="TOC2"/>
            <w:tabs>
              <w:tab w:val="right" w:leader="dot" w:pos="9350"/>
            </w:tabs>
            <w:rPr>
              <w:rFonts w:eastAsiaTheme="minorEastAsia"/>
              <w:noProof/>
            </w:rPr>
          </w:pPr>
          <w:hyperlink w:anchor="_Toc6393966" w:history="1">
            <w:r w:rsidR="00B42F38" w:rsidRPr="008B0295">
              <w:rPr>
                <w:rStyle w:val="Hyperlink"/>
                <w:noProof/>
              </w:rPr>
              <w:t>General Information</w:t>
            </w:r>
            <w:r w:rsidR="00B42F38">
              <w:rPr>
                <w:noProof/>
                <w:webHidden/>
              </w:rPr>
              <w:tab/>
            </w:r>
            <w:r w:rsidR="00B42F38">
              <w:rPr>
                <w:noProof/>
                <w:webHidden/>
              </w:rPr>
              <w:fldChar w:fldCharType="begin"/>
            </w:r>
            <w:r w:rsidR="00B42F38">
              <w:rPr>
                <w:noProof/>
                <w:webHidden/>
              </w:rPr>
              <w:instrText xml:space="preserve"> PAGEREF _Toc6393966 \h </w:instrText>
            </w:r>
            <w:r w:rsidR="00B42F38">
              <w:rPr>
                <w:noProof/>
                <w:webHidden/>
              </w:rPr>
            </w:r>
            <w:r w:rsidR="00B42F38">
              <w:rPr>
                <w:noProof/>
                <w:webHidden/>
              </w:rPr>
              <w:fldChar w:fldCharType="separate"/>
            </w:r>
            <w:r w:rsidR="00B42F38">
              <w:rPr>
                <w:noProof/>
                <w:webHidden/>
              </w:rPr>
              <w:t>3</w:t>
            </w:r>
            <w:r w:rsidR="00B42F38">
              <w:rPr>
                <w:noProof/>
                <w:webHidden/>
              </w:rPr>
              <w:fldChar w:fldCharType="end"/>
            </w:r>
          </w:hyperlink>
        </w:p>
        <w:p w14:paraId="53D77007" w14:textId="79F65AA9" w:rsidR="00B42F38" w:rsidRDefault="00BB15D2">
          <w:pPr>
            <w:pStyle w:val="TOC2"/>
            <w:tabs>
              <w:tab w:val="right" w:leader="dot" w:pos="9350"/>
            </w:tabs>
            <w:rPr>
              <w:rFonts w:eastAsiaTheme="minorEastAsia"/>
              <w:noProof/>
            </w:rPr>
          </w:pPr>
          <w:hyperlink w:anchor="_Toc6393967" w:history="1">
            <w:r w:rsidR="00B42F38" w:rsidRPr="008B0295">
              <w:rPr>
                <w:rStyle w:val="Hyperlink"/>
                <w:noProof/>
              </w:rPr>
              <w:t>Economies adopt later editions of GHS</w:t>
            </w:r>
            <w:r w:rsidR="00B42F38">
              <w:rPr>
                <w:noProof/>
                <w:webHidden/>
              </w:rPr>
              <w:tab/>
            </w:r>
            <w:r w:rsidR="00B42F38">
              <w:rPr>
                <w:noProof/>
                <w:webHidden/>
              </w:rPr>
              <w:fldChar w:fldCharType="begin"/>
            </w:r>
            <w:r w:rsidR="00B42F38">
              <w:rPr>
                <w:noProof/>
                <w:webHidden/>
              </w:rPr>
              <w:instrText xml:space="preserve"> PAGEREF _Toc6393967 \h </w:instrText>
            </w:r>
            <w:r w:rsidR="00B42F38">
              <w:rPr>
                <w:noProof/>
                <w:webHidden/>
              </w:rPr>
            </w:r>
            <w:r w:rsidR="00B42F38">
              <w:rPr>
                <w:noProof/>
                <w:webHidden/>
              </w:rPr>
              <w:fldChar w:fldCharType="separate"/>
            </w:r>
            <w:r w:rsidR="00B42F38">
              <w:rPr>
                <w:noProof/>
                <w:webHidden/>
              </w:rPr>
              <w:t>4</w:t>
            </w:r>
            <w:r w:rsidR="00B42F38">
              <w:rPr>
                <w:noProof/>
                <w:webHidden/>
              </w:rPr>
              <w:fldChar w:fldCharType="end"/>
            </w:r>
          </w:hyperlink>
        </w:p>
        <w:p w14:paraId="0AF191D1" w14:textId="78A8634D" w:rsidR="00B42F38" w:rsidRDefault="00BB15D2">
          <w:pPr>
            <w:pStyle w:val="TOC2"/>
            <w:tabs>
              <w:tab w:val="right" w:leader="dot" w:pos="9350"/>
            </w:tabs>
            <w:rPr>
              <w:rFonts w:eastAsiaTheme="minorEastAsia"/>
              <w:noProof/>
            </w:rPr>
          </w:pPr>
          <w:hyperlink w:anchor="_Toc6393968" w:history="1">
            <w:r w:rsidR="00B42F38" w:rsidRPr="008B0295">
              <w:rPr>
                <w:rStyle w:val="Hyperlink"/>
                <w:noProof/>
              </w:rPr>
              <w:t>Economies adopt common building blocks to facilitate trade</w:t>
            </w:r>
            <w:r w:rsidR="00B42F38">
              <w:rPr>
                <w:noProof/>
                <w:webHidden/>
              </w:rPr>
              <w:tab/>
            </w:r>
            <w:r w:rsidR="00B42F38">
              <w:rPr>
                <w:noProof/>
                <w:webHidden/>
              </w:rPr>
              <w:fldChar w:fldCharType="begin"/>
            </w:r>
            <w:r w:rsidR="00B42F38">
              <w:rPr>
                <w:noProof/>
                <w:webHidden/>
              </w:rPr>
              <w:instrText xml:space="preserve"> PAGEREF _Toc6393968 \h </w:instrText>
            </w:r>
            <w:r w:rsidR="00B42F38">
              <w:rPr>
                <w:noProof/>
                <w:webHidden/>
              </w:rPr>
            </w:r>
            <w:r w:rsidR="00B42F38">
              <w:rPr>
                <w:noProof/>
                <w:webHidden/>
              </w:rPr>
              <w:fldChar w:fldCharType="separate"/>
            </w:r>
            <w:r w:rsidR="00B42F38">
              <w:rPr>
                <w:noProof/>
                <w:webHidden/>
              </w:rPr>
              <w:t>5</w:t>
            </w:r>
            <w:r w:rsidR="00B42F38">
              <w:rPr>
                <w:noProof/>
                <w:webHidden/>
              </w:rPr>
              <w:fldChar w:fldCharType="end"/>
            </w:r>
          </w:hyperlink>
        </w:p>
        <w:p w14:paraId="7073A729" w14:textId="362EBD3E" w:rsidR="00B42F38" w:rsidRDefault="00BB15D2">
          <w:pPr>
            <w:pStyle w:val="TOC3"/>
            <w:tabs>
              <w:tab w:val="right" w:leader="dot" w:pos="9350"/>
            </w:tabs>
            <w:rPr>
              <w:rFonts w:eastAsiaTheme="minorEastAsia"/>
              <w:noProof/>
            </w:rPr>
          </w:pPr>
          <w:hyperlink w:anchor="_Toc6393969" w:history="1">
            <w:r w:rsidR="00B42F38" w:rsidRPr="008B0295">
              <w:rPr>
                <w:rStyle w:val="Hyperlink"/>
                <w:noProof/>
                <w:shd w:val="clear" w:color="auto" w:fill="FFFFFF"/>
              </w:rPr>
              <w:t>Category 1 or Categories 1A and 1B?</w:t>
            </w:r>
            <w:r w:rsidR="00B42F38">
              <w:rPr>
                <w:noProof/>
                <w:webHidden/>
              </w:rPr>
              <w:tab/>
            </w:r>
            <w:r w:rsidR="00B42F38">
              <w:rPr>
                <w:noProof/>
                <w:webHidden/>
              </w:rPr>
              <w:fldChar w:fldCharType="begin"/>
            </w:r>
            <w:r w:rsidR="00B42F38">
              <w:rPr>
                <w:noProof/>
                <w:webHidden/>
              </w:rPr>
              <w:instrText xml:space="preserve"> PAGEREF _Toc6393969 \h </w:instrText>
            </w:r>
            <w:r w:rsidR="00B42F38">
              <w:rPr>
                <w:noProof/>
                <w:webHidden/>
              </w:rPr>
            </w:r>
            <w:r w:rsidR="00B42F38">
              <w:rPr>
                <w:noProof/>
                <w:webHidden/>
              </w:rPr>
              <w:fldChar w:fldCharType="separate"/>
            </w:r>
            <w:r w:rsidR="00B42F38">
              <w:rPr>
                <w:noProof/>
                <w:webHidden/>
              </w:rPr>
              <w:t>5</w:t>
            </w:r>
            <w:r w:rsidR="00B42F38">
              <w:rPr>
                <w:noProof/>
                <w:webHidden/>
              </w:rPr>
              <w:fldChar w:fldCharType="end"/>
            </w:r>
          </w:hyperlink>
        </w:p>
        <w:p w14:paraId="1FE0BE7E" w14:textId="60415D66" w:rsidR="00B42F38" w:rsidRDefault="00BB15D2">
          <w:pPr>
            <w:pStyle w:val="TOC3"/>
            <w:tabs>
              <w:tab w:val="right" w:leader="dot" w:pos="9350"/>
            </w:tabs>
            <w:rPr>
              <w:rFonts w:eastAsiaTheme="minorEastAsia"/>
              <w:noProof/>
            </w:rPr>
          </w:pPr>
          <w:hyperlink w:anchor="_Toc6393970" w:history="1">
            <w:r w:rsidR="00B42F38" w:rsidRPr="008B0295">
              <w:rPr>
                <w:rStyle w:val="Hyperlink"/>
                <w:noProof/>
                <w:shd w:val="clear" w:color="auto" w:fill="FFFFFF"/>
              </w:rPr>
              <w:t>Mixture cut-off of ≥0.1% or ≥1.0% (or ≥0.1% or ≥0.2%)?</w:t>
            </w:r>
            <w:r w:rsidR="00B42F38">
              <w:rPr>
                <w:noProof/>
                <w:webHidden/>
              </w:rPr>
              <w:tab/>
            </w:r>
            <w:r w:rsidR="00B42F38">
              <w:rPr>
                <w:noProof/>
                <w:webHidden/>
              </w:rPr>
              <w:fldChar w:fldCharType="begin"/>
            </w:r>
            <w:r w:rsidR="00B42F38">
              <w:rPr>
                <w:noProof/>
                <w:webHidden/>
              </w:rPr>
              <w:instrText xml:space="preserve"> PAGEREF _Toc6393970 \h </w:instrText>
            </w:r>
            <w:r w:rsidR="00B42F38">
              <w:rPr>
                <w:noProof/>
                <w:webHidden/>
              </w:rPr>
            </w:r>
            <w:r w:rsidR="00B42F38">
              <w:rPr>
                <w:noProof/>
                <w:webHidden/>
              </w:rPr>
              <w:fldChar w:fldCharType="separate"/>
            </w:r>
            <w:r w:rsidR="00B42F38">
              <w:rPr>
                <w:noProof/>
                <w:webHidden/>
              </w:rPr>
              <w:t>6</w:t>
            </w:r>
            <w:r w:rsidR="00B42F38">
              <w:rPr>
                <w:noProof/>
                <w:webHidden/>
              </w:rPr>
              <w:fldChar w:fldCharType="end"/>
            </w:r>
          </w:hyperlink>
        </w:p>
        <w:p w14:paraId="0BF89F26" w14:textId="70B2665D" w:rsidR="00B42F38" w:rsidRDefault="00BB15D2">
          <w:pPr>
            <w:pStyle w:val="TOC2"/>
            <w:tabs>
              <w:tab w:val="right" w:leader="dot" w:pos="9350"/>
            </w:tabs>
            <w:rPr>
              <w:rFonts w:eastAsiaTheme="minorEastAsia"/>
              <w:noProof/>
            </w:rPr>
          </w:pPr>
          <w:hyperlink w:anchor="_Toc6393971" w:history="1">
            <w:r w:rsidR="00B42F38" w:rsidRPr="008B0295">
              <w:rPr>
                <w:rStyle w:val="Hyperlink"/>
                <w:noProof/>
              </w:rPr>
              <w:t>Regulators work with each other to find possible ways to deliver a convergent implementation of GHS</w:t>
            </w:r>
            <w:r w:rsidR="00B42F38">
              <w:rPr>
                <w:noProof/>
                <w:webHidden/>
              </w:rPr>
              <w:tab/>
            </w:r>
            <w:r w:rsidR="00B42F38">
              <w:rPr>
                <w:noProof/>
                <w:webHidden/>
              </w:rPr>
              <w:fldChar w:fldCharType="begin"/>
            </w:r>
            <w:r w:rsidR="00B42F38">
              <w:rPr>
                <w:noProof/>
                <w:webHidden/>
              </w:rPr>
              <w:instrText xml:space="preserve"> PAGEREF _Toc6393971 \h </w:instrText>
            </w:r>
            <w:r w:rsidR="00B42F38">
              <w:rPr>
                <w:noProof/>
                <w:webHidden/>
              </w:rPr>
            </w:r>
            <w:r w:rsidR="00B42F38">
              <w:rPr>
                <w:noProof/>
                <w:webHidden/>
              </w:rPr>
              <w:fldChar w:fldCharType="separate"/>
            </w:r>
            <w:r w:rsidR="00B42F38">
              <w:rPr>
                <w:noProof/>
                <w:webHidden/>
              </w:rPr>
              <w:t>6</w:t>
            </w:r>
            <w:r w:rsidR="00B42F38">
              <w:rPr>
                <w:noProof/>
                <w:webHidden/>
              </w:rPr>
              <w:fldChar w:fldCharType="end"/>
            </w:r>
          </w:hyperlink>
        </w:p>
        <w:p w14:paraId="5BFE3132" w14:textId="45B24617" w:rsidR="00B42F38" w:rsidRDefault="00BB15D2">
          <w:pPr>
            <w:pStyle w:val="TOC1"/>
            <w:tabs>
              <w:tab w:val="right" w:leader="dot" w:pos="9350"/>
            </w:tabs>
            <w:rPr>
              <w:rFonts w:eastAsiaTheme="minorEastAsia"/>
              <w:noProof/>
            </w:rPr>
          </w:pPr>
          <w:hyperlink w:anchor="_Toc6393972" w:history="1">
            <w:r w:rsidR="00B42F38" w:rsidRPr="008B0295">
              <w:rPr>
                <w:rStyle w:val="Hyperlink"/>
                <w:noProof/>
              </w:rPr>
              <w:t>Conclusion</w:t>
            </w:r>
            <w:r w:rsidR="00B42F38">
              <w:rPr>
                <w:noProof/>
                <w:webHidden/>
              </w:rPr>
              <w:tab/>
            </w:r>
            <w:r w:rsidR="00B42F38">
              <w:rPr>
                <w:noProof/>
                <w:webHidden/>
              </w:rPr>
              <w:fldChar w:fldCharType="begin"/>
            </w:r>
            <w:r w:rsidR="00B42F38">
              <w:rPr>
                <w:noProof/>
                <w:webHidden/>
              </w:rPr>
              <w:instrText xml:space="preserve"> PAGEREF _Toc6393972 \h </w:instrText>
            </w:r>
            <w:r w:rsidR="00B42F38">
              <w:rPr>
                <w:noProof/>
                <w:webHidden/>
              </w:rPr>
            </w:r>
            <w:r w:rsidR="00B42F38">
              <w:rPr>
                <w:noProof/>
                <w:webHidden/>
              </w:rPr>
              <w:fldChar w:fldCharType="separate"/>
            </w:r>
            <w:r w:rsidR="00B42F38">
              <w:rPr>
                <w:noProof/>
                <w:webHidden/>
              </w:rPr>
              <w:t>8</w:t>
            </w:r>
            <w:r w:rsidR="00B42F38">
              <w:rPr>
                <w:noProof/>
                <w:webHidden/>
              </w:rPr>
              <w:fldChar w:fldCharType="end"/>
            </w:r>
          </w:hyperlink>
        </w:p>
        <w:p w14:paraId="41B23470" w14:textId="66151DC3" w:rsidR="00B42F38" w:rsidRDefault="00BB15D2">
          <w:pPr>
            <w:pStyle w:val="TOC2"/>
            <w:tabs>
              <w:tab w:val="right" w:leader="dot" w:pos="9350"/>
            </w:tabs>
            <w:rPr>
              <w:rFonts w:eastAsiaTheme="minorEastAsia"/>
              <w:noProof/>
            </w:rPr>
          </w:pPr>
          <w:hyperlink w:anchor="_Toc6393973" w:history="1">
            <w:r w:rsidR="00B42F38" w:rsidRPr="008B0295">
              <w:rPr>
                <w:rStyle w:val="Hyperlink"/>
                <w:noProof/>
              </w:rPr>
              <w:t>Economies adopt later revisions of GHS</w:t>
            </w:r>
            <w:r w:rsidR="00B42F38">
              <w:rPr>
                <w:noProof/>
                <w:webHidden/>
              </w:rPr>
              <w:tab/>
            </w:r>
            <w:r w:rsidR="00B42F38">
              <w:rPr>
                <w:noProof/>
                <w:webHidden/>
              </w:rPr>
              <w:fldChar w:fldCharType="begin"/>
            </w:r>
            <w:r w:rsidR="00B42F38">
              <w:rPr>
                <w:noProof/>
                <w:webHidden/>
              </w:rPr>
              <w:instrText xml:space="preserve"> PAGEREF _Toc6393973 \h </w:instrText>
            </w:r>
            <w:r w:rsidR="00B42F38">
              <w:rPr>
                <w:noProof/>
                <w:webHidden/>
              </w:rPr>
            </w:r>
            <w:r w:rsidR="00B42F38">
              <w:rPr>
                <w:noProof/>
                <w:webHidden/>
              </w:rPr>
              <w:fldChar w:fldCharType="separate"/>
            </w:r>
            <w:r w:rsidR="00B42F38">
              <w:rPr>
                <w:noProof/>
                <w:webHidden/>
              </w:rPr>
              <w:t>8</w:t>
            </w:r>
            <w:r w:rsidR="00B42F38">
              <w:rPr>
                <w:noProof/>
                <w:webHidden/>
              </w:rPr>
              <w:fldChar w:fldCharType="end"/>
            </w:r>
          </w:hyperlink>
        </w:p>
        <w:p w14:paraId="6C928E64" w14:textId="2010E437" w:rsidR="00B42F38" w:rsidRDefault="00BB15D2">
          <w:pPr>
            <w:pStyle w:val="TOC2"/>
            <w:tabs>
              <w:tab w:val="right" w:leader="dot" w:pos="9350"/>
            </w:tabs>
            <w:rPr>
              <w:rFonts w:eastAsiaTheme="minorEastAsia"/>
              <w:noProof/>
            </w:rPr>
          </w:pPr>
          <w:hyperlink w:anchor="_Toc6393974" w:history="1">
            <w:r w:rsidR="00B42F38" w:rsidRPr="008B0295">
              <w:rPr>
                <w:rStyle w:val="Hyperlink"/>
                <w:noProof/>
              </w:rPr>
              <w:t>Economies adopt common building blocks to facilitate trade</w:t>
            </w:r>
            <w:r w:rsidR="00B42F38">
              <w:rPr>
                <w:noProof/>
                <w:webHidden/>
              </w:rPr>
              <w:tab/>
            </w:r>
            <w:r w:rsidR="00B42F38">
              <w:rPr>
                <w:noProof/>
                <w:webHidden/>
              </w:rPr>
              <w:fldChar w:fldCharType="begin"/>
            </w:r>
            <w:r w:rsidR="00B42F38">
              <w:rPr>
                <w:noProof/>
                <w:webHidden/>
              </w:rPr>
              <w:instrText xml:space="preserve"> PAGEREF _Toc6393974 \h </w:instrText>
            </w:r>
            <w:r w:rsidR="00B42F38">
              <w:rPr>
                <w:noProof/>
                <w:webHidden/>
              </w:rPr>
            </w:r>
            <w:r w:rsidR="00B42F38">
              <w:rPr>
                <w:noProof/>
                <w:webHidden/>
              </w:rPr>
              <w:fldChar w:fldCharType="separate"/>
            </w:r>
            <w:r w:rsidR="00B42F38">
              <w:rPr>
                <w:noProof/>
                <w:webHidden/>
              </w:rPr>
              <w:t>8</w:t>
            </w:r>
            <w:r w:rsidR="00B42F38">
              <w:rPr>
                <w:noProof/>
                <w:webHidden/>
              </w:rPr>
              <w:fldChar w:fldCharType="end"/>
            </w:r>
          </w:hyperlink>
        </w:p>
        <w:p w14:paraId="4D6D8D23" w14:textId="1EEC2A19" w:rsidR="00B42F38" w:rsidRDefault="00BB15D2">
          <w:pPr>
            <w:pStyle w:val="TOC2"/>
            <w:tabs>
              <w:tab w:val="right" w:leader="dot" w:pos="9350"/>
            </w:tabs>
            <w:rPr>
              <w:rFonts w:eastAsiaTheme="minorEastAsia"/>
              <w:noProof/>
            </w:rPr>
          </w:pPr>
          <w:hyperlink w:anchor="_Toc6393975" w:history="1">
            <w:r w:rsidR="00B42F38" w:rsidRPr="008B0295">
              <w:rPr>
                <w:rStyle w:val="Hyperlink"/>
                <w:noProof/>
              </w:rPr>
              <w:t>Regulators work with each other to find possible ways to deliver a convergent implementation of GHS</w:t>
            </w:r>
            <w:r w:rsidR="00B42F38">
              <w:rPr>
                <w:noProof/>
                <w:webHidden/>
              </w:rPr>
              <w:tab/>
            </w:r>
            <w:r w:rsidR="00B42F38">
              <w:rPr>
                <w:noProof/>
                <w:webHidden/>
              </w:rPr>
              <w:fldChar w:fldCharType="begin"/>
            </w:r>
            <w:r w:rsidR="00B42F38">
              <w:rPr>
                <w:noProof/>
                <w:webHidden/>
              </w:rPr>
              <w:instrText xml:space="preserve"> PAGEREF _Toc6393975 \h </w:instrText>
            </w:r>
            <w:r w:rsidR="00B42F38">
              <w:rPr>
                <w:noProof/>
                <w:webHidden/>
              </w:rPr>
            </w:r>
            <w:r w:rsidR="00B42F38">
              <w:rPr>
                <w:noProof/>
                <w:webHidden/>
              </w:rPr>
              <w:fldChar w:fldCharType="separate"/>
            </w:r>
            <w:r w:rsidR="00B42F38">
              <w:rPr>
                <w:noProof/>
                <w:webHidden/>
              </w:rPr>
              <w:t>9</w:t>
            </w:r>
            <w:r w:rsidR="00B42F38">
              <w:rPr>
                <w:noProof/>
                <w:webHidden/>
              </w:rPr>
              <w:fldChar w:fldCharType="end"/>
            </w:r>
          </w:hyperlink>
        </w:p>
        <w:p w14:paraId="7ECC4676" w14:textId="688295B1" w:rsidR="00B42F38" w:rsidRDefault="00BB15D2">
          <w:pPr>
            <w:pStyle w:val="TOC1"/>
            <w:tabs>
              <w:tab w:val="right" w:leader="dot" w:pos="9350"/>
            </w:tabs>
            <w:rPr>
              <w:rFonts w:eastAsiaTheme="minorEastAsia"/>
              <w:noProof/>
            </w:rPr>
          </w:pPr>
          <w:hyperlink w:anchor="_Toc6393976" w:history="1">
            <w:r w:rsidR="00B42F38" w:rsidRPr="008B0295">
              <w:rPr>
                <w:rStyle w:val="Hyperlink"/>
                <w:noProof/>
              </w:rPr>
              <w:t>Recommendations</w:t>
            </w:r>
            <w:r w:rsidR="00B42F38">
              <w:rPr>
                <w:noProof/>
                <w:webHidden/>
              </w:rPr>
              <w:tab/>
            </w:r>
            <w:r w:rsidR="00B42F38">
              <w:rPr>
                <w:noProof/>
                <w:webHidden/>
              </w:rPr>
              <w:fldChar w:fldCharType="begin"/>
            </w:r>
            <w:r w:rsidR="00B42F38">
              <w:rPr>
                <w:noProof/>
                <w:webHidden/>
              </w:rPr>
              <w:instrText xml:space="preserve"> PAGEREF _Toc6393976 \h </w:instrText>
            </w:r>
            <w:r w:rsidR="00B42F38">
              <w:rPr>
                <w:noProof/>
                <w:webHidden/>
              </w:rPr>
            </w:r>
            <w:r w:rsidR="00B42F38">
              <w:rPr>
                <w:noProof/>
                <w:webHidden/>
              </w:rPr>
              <w:fldChar w:fldCharType="separate"/>
            </w:r>
            <w:r w:rsidR="00B42F38">
              <w:rPr>
                <w:noProof/>
                <w:webHidden/>
              </w:rPr>
              <w:t>10</w:t>
            </w:r>
            <w:r w:rsidR="00B42F38">
              <w:rPr>
                <w:noProof/>
                <w:webHidden/>
              </w:rPr>
              <w:fldChar w:fldCharType="end"/>
            </w:r>
          </w:hyperlink>
        </w:p>
        <w:p w14:paraId="11831213" w14:textId="2E68CB45" w:rsidR="001A5EA3" w:rsidRDefault="001A5EA3">
          <w:r>
            <w:rPr>
              <w:b/>
              <w:bCs/>
              <w:noProof/>
            </w:rPr>
            <w:fldChar w:fldCharType="end"/>
          </w:r>
        </w:p>
      </w:sdtContent>
    </w:sdt>
    <w:p w14:paraId="3A221C94" w14:textId="77777777" w:rsidR="001A5EA3" w:rsidRDefault="001A5EA3">
      <w:pPr>
        <w:rPr>
          <w:rFonts w:asciiTheme="majorHAnsi" w:eastAsiaTheme="majorEastAsia" w:hAnsiTheme="majorHAnsi" w:cstheme="majorBidi"/>
          <w:color w:val="2F5496" w:themeColor="accent1" w:themeShade="BF"/>
          <w:sz w:val="32"/>
          <w:szCs w:val="32"/>
        </w:rPr>
      </w:pPr>
      <w:r>
        <w:br w:type="page"/>
      </w:r>
    </w:p>
    <w:p w14:paraId="07C3E7FD" w14:textId="3332ACF6" w:rsidR="00841A5D" w:rsidRDefault="00A56CF7" w:rsidP="00007742">
      <w:pPr>
        <w:pStyle w:val="Heading1"/>
      </w:pPr>
      <w:bookmarkStart w:id="0" w:name="_Toc6393962"/>
      <w:r>
        <w:lastRenderedPageBreak/>
        <w:t>Background</w:t>
      </w:r>
      <w:bookmarkEnd w:id="0"/>
    </w:p>
    <w:p w14:paraId="216F5E88" w14:textId="6B64A6D7" w:rsidR="00C52B21" w:rsidRDefault="00B17165" w:rsidP="00556E80">
      <w:pPr>
        <w:spacing w:after="0"/>
        <w:jc w:val="both"/>
        <w:rPr>
          <w:rFonts w:ascii="Arial" w:hAnsi="Arial" w:cs="Arial"/>
        </w:rPr>
      </w:pPr>
      <w:r>
        <w:rPr>
          <w:rFonts w:ascii="Arial" w:hAnsi="Arial" w:cs="Arial"/>
        </w:rPr>
        <w:t>S</w:t>
      </w:r>
      <w:r w:rsidR="00556E80" w:rsidRPr="00F75448">
        <w:rPr>
          <w:rFonts w:ascii="Arial" w:hAnsi="Arial" w:cs="Arial"/>
        </w:rPr>
        <w:t>ince the 7</w:t>
      </w:r>
      <w:r w:rsidR="00556E80" w:rsidRPr="00F75448">
        <w:rPr>
          <w:rFonts w:ascii="Arial" w:hAnsi="Arial" w:cs="Arial"/>
          <w:vertAlign w:val="superscript"/>
        </w:rPr>
        <w:t>th</w:t>
      </w:r>
      <w:r w:rsidR="00556E80" w:rsidRPr="00F75448">
        <w:rPr>
          <w:rFonts w:ascii="Arial" w:hAnsi="Arial" w:cs="Arial"/>
        </w:rPr>
        <w:t xml:space="preserve"> CD meeting in Peru in 2008 where the report of the Virtual Working Group on GHS</w:t>
      </w:r>
      <w:r w:rsidR="00556E80">
        <w:rPr>
          <w:rFonts w:ascii="Arial" w:hAnsi="Arial" w:cs="Arial"/>
        </w:rPr>
        <w:t xml:space="preserve"> (VWGGHS),</w:t>
      </w:r>
      <w:r w:rsidR="00556E80" w:rsidRPr="00F75448">
        <w:rPr>
          <w:rFonts w:ascii="Arial" w:hAnsi="Arial" w:cs="Arial"/>
        </w:rPr>
        <w:t xml:space="preserve"> </w:t>
      </w:r>
      <w:r w:rsidR="00556E80" w:rsidRPr="007C22D2">
        <w:rPr>
          <w:rFonts w:ascii="Arial" w:hAnsi="Arial" w:cs="Arial"/>
          <w:i/>
        </w:rPr>
        <w:t xml:space="preserve">“Developing Clarity and Consistency in the Implementation of the Globally Harmonised System for the Classification and Labelling of Chemicals (GHS)” </w:t>
      </w:r>
      <w:r w:rsidR="00556E80" w:rsidRPr="00F75448">
        <w:rPr>
          <w:rFonts w:ascii="Arial" w:hAnsi="Arial" w:cs="Arial"/>
        </w:rPr>
        <w:t xml:space="preserve">was endorsed, the </w:t>
      </w:r>
      <w:r w:rsidR="00C52B21">
        <w:rPr>
          <w:rFonts w:ascii="Arial" w:hAnsi="Arial" w:cs="Arial"/>
        </w:rPr>
        <w:t xml:space="preserve">participating </w:t>
      </w:r>
      <w:r w:rsidR="00556E80" w:rsidRPr="00F75448">
        <w:rPr>
          <w:rFonts w:ascii="Arial" w:hAnsi="Arial" w:cs="Arial"/>
        </w:rPr>
        <w:t>APEC Economies provided GHS implementation Reports detailing the progress of GHS implementation in their respective Economies</w:t>
      </w:r>
      <w:r w:rsidR="007C22D2">
        <w:rPr>
          <w:rFonts w:ascii="Arial" w:hAnsi="Arial" w:cs="Arial"/>
        </w:rPr>
        <w:t xml:space="preserve"> on </w:t>
      </w:r>
      <w:r w:rsidR="00C913CF">
        <w:rPr>
          <w:rFonts w:ascii="Arial" w:hAnsi="Arial" w:cs="Arial"/>
        </w:rPr>
        <w:t xml:space="preserve">an </w:t>
      </w:r>
      <w:r w:rsidR="007C22D2">
        <w:rPr>
          <w:rFonts w:ascii="Arial" w:hAnsi="Arial" w:cs="Arial"/>
        </w:rPr>
        <w:t>annual or biennial basis</w:t>
      </w:r>
      <w:r w:rsidR="00556E80" w:rsidRPr="00F75448">
        <w:rPr>
          <w:rFonts w:ascii="Arial" w:hAnsi="Arial" w:cs="Arial"/>
        </w:rPr>
        <w:t xml:space="preserve">. </w:t>
      </w:r>
    </w:p>
    <w:p w14:paraId="7A29FFF6" w14:textId="77777777" w:rsidR="00C52B21" w:rsidRDefault="00C52B21" w:rsidP="00556E80">
      <w:pPr>
        <w:spacing w:after="0"/>
        <w:jc w:val="both"/>
        <w:rPr>
          <w:rFonts w:ascii="Arial" w:hAnsi="Arial" w:cs="Arial"/>
        </w:rPr>
      </w:pPr>
    </w:p>
    <w:p w14:paraId="4084377A" w14:textId="0598F4E6" w:rsidR="00556E80" w:rsidRDefault="007C22D2" w:rsidP="00556E80">
      <w:pPr>
        <w:spacing w:after="0"/>
        <w:jc w:val="both"/>
        <w:rPr>
          <w:rFonts w:ascii="Arial" w:hAnsi="Arial" w:cs="Arial"/>
        </w:rPr>
      </w:pPr>
      <w:r>
        <w:rPr>
          <w:rFonts w:ascii="Arial" w:hAnsi="Arial" w:cs="Arial"/>
        </w:rPr>
        <w:t>Over the past decade, t</w:t>
      </w:r>
      <w:r w:rsidR="00556E80" w:rsidRPr="00F75448">
        <w:rPr>
          <w:rFonts w:ascii="Arial" w:hAnsi="Arial" w:cs="Arial"/>
        </w:rPr>
        <w:t xml:space="preserve">hese reports identified that foreshadowed trade benefits from GHS implementation were not fully realized due to </w:t>
      </w:r>
      <w:r w:rsidR="00556E80">
        <w:rPr>
          <w:rFonts w:ascii="Arial" w:hAnsi="Arial" w:cs="Arial"/>
        </w:rPr>
        <w:t>divergent implementation of GHS across the regions</w:t>
      </w:r>
      <w:r>
        <w:rPr>
          <w:rFonts w:ascii="Arial" w:hAnsi="Arial" w:cs="Arial"/>
        </w:rPr>
        <w:t>. The divergences</w:t>
      </w:r>
      <w:r w:rsidR="00556E80">
        <w:rPr>
          <w:rFonts w:ascii="Arial" w:hAnsi="Arial" w:cs="Arial"/>
        </w:rPr>
        <w:t xml:space="preserve"> </w:t>
      </w:r>
      <w:r w:rsidR="00C52B21">
        <w:rPr>
          <w:rFonts w:ascii="Arial" w:hAnsi="Arial" w:cs="Arial"/>
        </w:rPr>
        <w:t xml:space="preserve">in GHS implementation </w:t>
      </w:r>
      <w:r w:rsidR="00556E80">
        <w:rPr>
          <w:rFonts w:ascii="Arial" w:hAnsi="Arial" w:cs="Arial"/>
        </w:rPr>
        <w:t>includ</w:t>
      </w:r>
      <w:r>
        <w:rPr>
          <w:rFonts w:ascii="Arial" w:hAnsi="Arial" w:cs="Arial"/>
        </w:rPr>
        <w:t>e</w:t>
      </w:r>
      <w:r w:rsidR="00556E80">
        <w:rPr>
          <w:rFonts w:ascii="Arial" w:hAnsi="Arial" w:cs="Arial"/>
        </w:rPr>
        <w:t>:</w:t>
      </w:r>
    </w:p>
    <w:p w14:paraId="2B5111C6" w14:textId="1253C5C0" w:rsidR="00556E80" w:rsidRDefault="00556E80" w:rsidP="00556E80">
      <w:pPr>
        <w:pStyle w:val="ListParagraph"/>
        <w:numPr>
          <w:ilvl w:val="0"/>
          <w:numId w:val="1"/>
        </w:numPr>
        <w:spacing w:after="0"/>
        <w:jc w:val="both"/>
        <w:rPr>
          <w:rFonts w:ascii="Arial" w:hAnsi="Arial" w:cs="Arial"/>
        </w:rPr>
      </w:pPr>
      <w:r>
        <w:rPr>
          <w:rFonts w:ascii="Arial" w:hAnsi="Arial" w:cs="Arial"/>
        </w:rPr>
        <w:t xml:space="preserve">Adoption of different </w:t>
      </w:r>
      <w:r w:rsidR="00C52B21">
        <w:rPr>
          <w:rFonts w:ascii="Arial" w:hAnsi="Arial" w:cs="Arial"/>
        </w:rPr>
        <w:t>revisions</w:t>
      </w:r>
      <w:r>
        <w:rPr>
          <w:rFonts w:ascii="Arial" w:hAnsi="Arial" w:cs="Arial"/>
        </w:rPr>
        <w:t xml:space="preserve"> of GHS,</w:t>
      </w:r>
    </w:p>
    <w:p w14:paraId="60239339" w14:textId="77777777" w:rsidR="00556E80" w:rsidRDefault="00556E80" w:rsidP="00556E80">
      <w:pPr>
        <w:pStyle w:val="ListParagraph"/>
        <w:numPr>
          <w:ilvl w:val="0"/>
          <w:numId w:val="1"/>
        </w:numPr>
        <w:spacing w:after="0"/>
        <w:jc w:val="both"/>
        <w:rPr>
          <w:rFonts w:ascii="Arial" w:hAnsi="Arial" w:cs="Arial"/>
        </w:rPr>
      </w:pPr>
      <w:r>
        <w:rPr>
          <w:rFonts w:ascii="Arial" w:hAnsi="Arial" w:cs="Arial"/>
        </w:rPr>
        <w:t>Adoption of different building blocks,</w:t>
      </w:r>
    </w:p>
    <w:p w14:paraId="4FD3D7AF" w14:textId="77777777" w:rsidR="00556E80" w:rsidRDefault="00556E80" w:rsidP="00556E80">
      <w:pPr>
        <w:pStyle w:val="ListParagraph"/>
        <w:numPr>
          <w:ilvl w:val="0"/>
          <w:numId w:val="1"/>
        </w:numPr>
        <w:spacing w:after="0"/>
        <w:jc w:val="both"/>
        <w:rPr>
          <w:rFonts w:ascii="Arial" w:hAnsi="Arial" w:cs="Arial"/>
        </w:rPr>
      </w:pPr>
      <w:r>
        <w:rPr>
          <w:rFonts w:ascii="Arial" w:hAnsi="Arial" w:cs="Arial"/>
        </w:rPr>
        <w:t>Adoption of different classification cut-offs for building blocks, and</w:t>
      </w:r>
    </w:p>
    <w:p w14:paraId="0D063695" w14:textId="62B8574E" w:rsidR="00556E80" w:rsidRDefault="00556E80" w:rsidP="00556E80">
      <w:pPr>
        <w:pStyle w:val="ListParagraph"/>
        <w:numPr>
          <w:ilvl w:val="0"/>
          <w:numId w:val="1"/>
        </w:numPr>
        <w:spacing w:after="0"/>
        <w:jc w:val="both"/>
        <w:rPr>
          <w:rFonts w:ascii="Arial" w:hAnsi="Arial" w:cs="Arial"/>
        </w:rPr>
      </w:pPr>
      <w:r>
        <w:rPr>
          <w:rFonts w:ascii="Arial" w:hAnsi="Arial" w:cs="Arial"/>
        </w:rPr>
        <w:t xml:space="preserve">Imposition of </w:t>
      </w:r>
      <w:r w:rsidR="00C52B21">
        <w:rPr>
          <w:rFonts w:ascii="Arial" w:hAnsi="Arial" w:cs="Arial"/>
        </w:rPr>
        <w:t xml:space="preserve">specific </w:t>
      </w:r>
      <w:r>
        <w:rPr>
          <w:rFonts w:ascii="Arial" w:hAnsi="Arial" w:cs="Arial"/>
        </w:rPr>
        <w:t>local requirements.</w:t>
      </w:r>
    </w:p>
    <w:p w14:paraId="4704562F" w14:textId="77777777" w:rsidR="00556E80" w:rsidRDefault="00556E80" w:rsidP="00841A5D">
      <w:pPr>
        <w:spacing w:after="0"/>
        <w:jc w:val="both"/>
        <w:rPr>
          <w:rFonts w:ascii="Arial" w:hAnsi="Arial" w:cs="Arial"/>
        </w:rPr>
      </w:pPr>
    </w:p>
    <w:p w14:paraId="4CA02A50" w14:textId="7487D113" w:rsidR="00C0740A" w:rsidRPr="00924877" w:rsidRDefault="00841A5D" w:rsidP="00924877">
      <w:pPr>
        <w:spacing w:after="0"/>
        <w:jc w:val="both"/>
        <w:rPr>
          <w:rFonts w:ascii="Arial" w:hAnsi="Arial" w:cs="Arial"/>
        </w:rPr>
      </w:pPr>
      <w:r w:rsidRPr="00F75448">
        <w:rPr>
          <w:rFonts w:ascii="Arial" w:hAnsi="Arial" w:cs="Arial"/>
        </w:rPr>
        <w:t>At the 21</w:t>
      </w:r>
      <w:r w:rsidRPr="00F75448">
        <w:rPr>
          <w:rFonts w:ascii="Arial" w:hAnsi="Arial" w:cs="Arial"/>
          <w:vertAlign w:val="superscript"/>
        </w:rPr>
        <w:t>st</w:t>
      </w:r>
      <w:r w:rsidRPr="00F75448">
        <w:rPr>
          <w:rFonts w:ascii="Arial" w:hAnsi="Arial" w:cs="Arial"/>
        </w:rPr>
        <w:t xml:space="preserve"> </w:t>
      </w:r>
      <w:r w:rsidRPr="00924877">
        <w:rPr>
          <w:rFonts w:ascii="Arial" w:hAnsi="Arial" w:cs="Arial"/>
        </w:rPr>
        <w:t>Chemical Dialogue (CD) meeting in Papua New Guinea in 2018, the CD agreed to a new reporting mechanism</w:t>
      </w:r>
      <w:r w:rsidR="00924877" w:rsidRPr="00924877">
        <w:rPr>
          <w:rFonts w:ascii="Arial" w:hAnsi="Arial" w:cs="Arial"/>
        </w:rPr>
        <w:t xml:space="preserve"> </w:t>
      </w:r>
      <w:r w:rsidRPr="00924877">
        <w:rPr>
          <w:rFonts w:ascii="Arial" w:hAnsi="Arial" w:cs="Arial"/>
        </w:rPr>
        <w:t>on GHS implementation</w:t>
      </w:r>
      <w:r w:rsidR="00924877" w:rsidRPr="00924877">
        <w:rPr>
          <w:rFonts w:ascii="Arial" w:hAnsi="Arial" w:cs="Arial"/>
        </w:rPr>
        <w:t>,</w:t>
      </w:r>
      <w:r w:rsidRPr="00924877">
        <w:rPr>
          <w:rFonts w:ascii="Arial" w:hAnsi="Arial" w:cs="Arial"/>
        </w:rPr>
        <w:t xml:space="preserve"> focused on identifying strategies to improve GHS convergence by Member Economies</w:t>
      </w:r>
      <w:r w:rsidR="00C0740A" w:rsidRPr="00924877">
        <w:rPr>
          <w:rFonts w:ascii="Arial" w:hAnsi="Arial" w:cs="Arial"/>
        </w:rPr>
        <w:t xml:space="preserve">, noting that the GHS Implementation Report template developed in 2008 was not </w:t>
      </w:r>
      <w:r w:rsidR="00924877" w:rsidRPr="00924877">
        <w:rPr>
          <w:rFonts w:ascii="Arial" w:hAnsi="Arial" w:cs="Arial"/>
        </w:rPr>
        <w:t xml:space="preserve">intended to </w:t>
      </w:r>
      <w:r w:rsidR="00C0740A" w:rsidRPr="00924877">
        <w:rPr>
          <w:rFonts w:ascii="Arial" w:hAnsi="Arial" w:cs="Arial"/>
        </w:rPr>
        <w:t>teas</w:t>
      </w:r>
      <w:r w:rsidR="00924877" w:rsidRPr="00924877">
        <w:rPr>
          <w:rFonts w:ascii="Arial" w:hAnsi="Arial" w:cs="Arial"/>
        </w:rPr>
        <w:t>e</w:t>
      </w:r>
      <w:r w:rsidR="00C0740A" w:rsidRPr="00924877">
        <w:rPr>
          <w:rFonts w:ascii="Arial" w:hAnsi="Arial" w:cs="Arial"/>
        </w:rPr>
        <w:t xml:space="preserve"> out the reasons behind the divergence</w:t>
      </w:r>
      <w:r w:rsidR="00924877" w:rsidRPr="00924877">
        <w:rPr>
          <w:rFonts w:ascii="Arial" w:hAnsi="Arial" w:cs="Arial"/>
        </w:rPr>
        <w:t>, and therefore not an ideal tool for the task</w:t>
      </w:r>
      <w:r w:rsidR="00C0740A" w:rsidRPr="00924877">
        <w:rPr>
          <w:rFonts w:ascii="Arial" w:hAnsi="Arial" w:cs="Arial"/>
        </w:rPr>
        <w:t xml:space="preserve">.  The CD also supported trialing </w:t>
      </w:r>
      <w:r w:rsidR="00924877" w:rsidRPr="00924877">
        <w:rPr>
          <w:rFonts w:ascii="Arial" w:hAnsi="Arial" w:cs="Arial"/>
        </w:rPr>
        <w:t xml:space="preserve">the </w:t>
      </w:r>
      <w:r w:rsidR="00C0740A" w:rsidRPr="00924877">
        <w:rPr>
          <w:rFonts w:ascii="Arial" w:hAnsi="Arial" w:cs="Arial"/>
        </w:rPr>
        <w:t xml:space="preserve">new </w:t>
      </w:r>
      <w:r w:rsidR="00924877" w:rsidRPr="00924877">
        <w:rPr>
          <w:rFonts w:ascii="Arial" w:hAnsi="Arial" w:cs="Arial"/>
        </w:rPr>
        <w:t>reporting form, the GHS Implementation Questionnaire</w:t>
      </w:r>
      <w:r w:rsidR="006A3E62">
        <w:rPr>
          <w:rFonts w:ascii="Arial" w:hAnsi="Arial" w:cs="Arial"/>
        </w:rPr>
        <w:t xml:space="preserve"> (the Questionnaire)</w:t>
      </w:r>
      <w:r w:rsidR="00924877" w:rsidRPr="00924877">
        <w:rPr>
          <w:rFonts w:ascii="Arial" w:hAnsi="Arial" w:cs="Arial"/>
        </w:rPr>
        <w:t>, out</w:t>
      </w:r>
      <w:r w:rsidR="00C0740A" w:rsidRPr="00924877">
        <w:rPr>
          <w:rFonts w:ascii="Arial" w:hAnsi="Arial" w:cs="Arial"/>
        </w:rPr>
        <w:t xml:space="preserve"> of session, with a view to providing a new report to </w:t>
      </w:r>
      <w:r w:rsidR="00924877" w:rsidRPr="00924877">
        <w:rPr>
          <w:rFonts w:ascii="Arial" w:hAnsi="Arial" w:cs="Arial"/>
        </w:rPr>
        <w:t>the Ministers Responsible for Trade (</w:t>
      </w:r>
      <w:r w:rsidR="00C0740A" w:rsidRPr="00924877">
        <w:rPr>
          <w:rFonts w:ascii="Arial" w:hAnsi="Arial" w:cs="Arial"/>
        </w:rPr>
        <w:t>MRT</w:t>
      </w:r>
      <w:r w:rsidR="00924877" w:rsidRPr="00924877">
        <w:rPr>
          <w:rFonts w:ascii="Arial" w:hAnsi="Arial" w:cs="Arial"/>
        </w:rPr>
        <w:t>)</w:t>
      </w:r>
      <w:r w:rsidR="00C0740A" w:rsidRPr="00924877">
        <w:rPr>
          <w:rFonts w:ascii="Arial" w:hAnsi="Arial" w:cs="Arial"/>
        </w:rPr>
        <w:t xml:space="preserve"> in 2019 (APEC CD 21 Agenda Item 3.c.ii).</w:t>
      </w:r>
    </w:p>
    <w:p w14:paraId="63EF8E3D" w14:textId="77777777" w:rsidR="00C0740A" w:rsidRPr="00924877" w:rsidRDefault="00C0740A" w:rsidP="00924877">
      <w:pPr>
        <w:spacing w:after="0"/>
        <w:jc w:val="both"/>
        <w:rPr>
          <w:rFonts w:ascii="Arial" w:hAnsi="Arial" w:cs="Arial"/>
        </w:rPr>
      </w:pPr>
    </w:p>
    <w:p w14:paraId="0F2E0939" w14:textId="54733A3E" w:rsidR="00924877" w:rsidRPr="00924877" w:rsidRDefault="00A56CF7" w:rsidP="00924877">
      <w:pPr>
        <w:pStyle w:val="BodyText"/>
        <w:widowControl/>
        <w:rPr>
          <w:rFonts w:ascii="Arial" w:hAnsi="Arial" w:cs="Arial"/>
        </w:rPr>
      </w:pPr>
      <w:r>
        <w:rPr>
          <w:rFonts w:ascii="Arial" w:hAnsi="Arial" w:cs="Arial"/>
        </w:rPr>
        <w:t>The Questionnaire, in the form of a SurveyMonkey survey</w:t>
      </w:r>
      <w:r w:rsidR="00904F2C">
        <w:rPr>
          <w:rFonts w:ascii="Arial" w:hAnsi="Arial" w:cs="Arial"/>
        </w:rPr>
        <w:t xml:space="preserve"> (</w:t>
      </w:r>
      <w:hyperlink r:id="rId12" w:history="1">
        <w:r w:rsidR="00904F2C" w:rsidRPr="00D377CE">
          <w:rPr>
            <w:rStyle w:val="Hyperlink"/>
            <w:rFonts w:ascii="Arial" w:hAnsi="Arial" w:cs="Arial"/>
          </w:rPr>
          <w:t>https://www.surveymonkey.com/r/APEC_CD_GHS_Convergence</w:t>
        </w:r>
      </w:hyperlink>
      <w:r w:rsidR="00904F2C">
        <w:rPr>
          <w:rFonts w:ascii="Arial" w:hAnsi="Arial" w:cs="Arial"/>
        </w:rPr>
        <w:t>)</w:t>
      </w:r>
      <w:r>
        <w:rPr>
          <w:rFonts w:ascii="Arial" w:hAnsi="Arial" w:cs="Arial"/>
        </w:rPr>
        <w:t xml:space="preserve"> was circulated a</w:t>
      </w:r>
      <w:r w:rsidR="00C0740A" w:rsidRPr="00924877">
        <w:rPr>
          <w:rFonts w:ascii="Arial" w:hAnsi="Arial" w:cs="Arial"/>
        </w:rPr>
        <w:t>t the 22</w:t>
      </w:r>
      <w:r w:rsidR="00C0740A" w:rsidRPr="00924877">
        <w:rPr>
          <w:rFonts w:ascii="Arial" w:hAnsi="Arial" w:cs="Arial"/>
          <w:vertAlign w:val="superscript"/>
        </w:rPr>
        <w:t>nd</w:t>
      </w:r>
      <w:r w:rsidR="00C0740A" w:rsidRPr="00924877">
        <w:rPr>
          <w:rFonts w:ascii="Arial" w:hAnsi="Arial" w:cs="Arial"/>
        </w:rPr>
        <w:t xml:space="preserve"> CD meeting in Santiago</w:t>
      </w:r>
      <w:r>
        <w:rPr>
          <w:rFonts w:ascii="Arial" w:hAnsi="Arial" w:cs="Arial"/>
        </w:rPr>
        <w:t>. The pdf file of the survey</w:t>
      </w:r>
      <w:r w:rsidR="00AE76FD">
        <w:rPr>
          <w:rFonts w:ascii="Arial" w:hAnsi="Arial" w:cs="Arial"/>
        </w:rPr>
        <w:t xml:space="preserve"> was also circulated at the same time and</w:t>
      </w:r>
      <w:r>
        <w:rPr>
          <w:rFonts w:ascii="Arial" w:hAnsi="Arial" w:cs="Arial"/>
        </w:rPr>
        <w:t xml:space="preserve"> is provided </w:t>
      </w:r>
      <w:r w:rsidR="00AE76FD">
        <w:rPr>
          <w:rFonts w:ascii="Arial" w:hAnsi="Arial" w:cs="Arial"/>
        </w:rPr>
        <w:t xml:space="preserve">with this report </w:t>
      </w:r>
      <w:r w:rsidRPr="00484D32">
        <w:rPr>
          <w:rFonts w:ascii="Arial" w:hAnsi="Arial" w:cs="Arial"/>
        </w:rPr>
        <w:t>as Attachment 1</w:t>
      </w:r>
      <w:r>
        <w:rPr>
          <w:rFonts w:ascii="Arial" w:hAnsi="Arial" w:cs="Arial"/>
        </w:rPr>
        <w:t>. The</w:t>
      </w:r>
      <w:r w:rsidR="00C0740A" w:rsidRPr="00924877">
        <w:rPr>
          <w:rFonts w:ascii="Arial" w:hAnsi="Arial" w:cs="Arial"/>
        </w:rPr>
        <w:t xml:space="preserve"> CD </w:t>
      </w:r>
      <w:r w:rsidR="00924877" w:rsidRPr="00924877">
        <w:rPr>
          <w:rFonts w:ascii="Arial" w:hAnsi="Arial" w:cs="Arial"/>
        </w:rPr>
        <w:t>encouraged delegates to respond to the Questionnaire by March 15, 2019 to facilitate development of the annual report by April 11, 2019.</w:t>
      </w:r>
    </w:p>
    <w:p w14:paraId="78ED61B2" w14:textId="256E2FD7" w:rsidR="00924877" w:rsidRPr="00924877" w:rsidRDefault="00924877" w:rsidP="00924877">
      <w:pPr>
        <w:spacing w:after="0"/>
        <w:jc w:val="both"/>
        <w:rPr>
          <w:rFonts w:ascii="Arial" w:hAnsi="Arial" w:cs="Arial"/>
        </w:rPr>
      </w:pPr>
    </w:p>
    <w:p w14:paraId="065121BF" w14:textId="222BA9DC" w:rsidR="00C0740A" w:rsidRDefault="00037971" w:rsidP="00841A5D">
      <w:pPr>
        <w:spacing w:after="0"/>
        <w:jc w:val="both"/>
        <w:rPr>
          <w:rFonts w:ascii="Arial" w:hAnsi="Arial" w:cs="Arial"/>
        </w:rPr>
      </w:pPr>
      <w:r>
        <w:rPr>
          <w:rFonts w:ascii="Arial" w:hAnsi="Arial" w:cs="Arial"/>
        </w:rPr>
        <w:t>This Report summarises the CD delegates’ input into the Questionnaire</w:t>
      </w:r>
      <w:r w:rsidR="00A56CF7">
        <w:rPr>
          <w:rFonts w:ascii="Arial" w:hAnsi="Arial" w:cs="Arial"/>
        </w:rPr>
        <w:t>.</w:t>
      </w:r>
    </w:p>
    <w:p w14:paraId="68DCE499" w14:textId="16285A71" w:rsidR="00841A5D" w:rsidRDefault="00841A5D" w:rsidP="00841A5D">
      <w:pPr>
        <w:spacing w:after="0"/>
        <w:jc w:val="both"/>
        <w:rPr>
          <w:rFonts w:ascii="Arial" w:hAnsi="Arial" w:cs="Arial"/>
        </w:rPr>
      </w:pPr>
    </w:p>
    <w:p w14:paraId="2E410182" w14:textId="77777777" w:rsidR="003034EE" w:rsidRDefault="003034EE">
      <w:pPr>
        <w:rPr>
          <w:rFonts w:ascii="Arial" w:hAnsi="Arial" w:cs="Arial"/>
          <w:b/>
        </w:rPr>
      </w:pPr>
      <w:r>
        <w:rPr>
          <w:rFonts w:ascii="Arial" w:hAnsi="Arial" w:cs="Arial"/>
          <w:b/>
        </w:rPr>
        <w:br w:type="page"/>
      </w:r>
    </w:p>
    <w:p w14:paraId="25225547" w14:textId="44D1589B" w:rsidR="00A56CF7" w:rsidRPr="00A56CF7" w:rsidRDefault="00A56CF7" w:rsidP="00007742">
      <w:pPr>
        <w:pStyle w:val="Heading1"/>
      </w:pPr>
      <w:bookmarkStart w:id="1" w:name="_Toc6393963"/>
      <w:r w:rsidRPr="00A56CF7">
        <w:lastRenderedPageBreak/>
        <w:t>Introduction</w:t>
      </w:r>
      <w:bookmarkEnd w:id="1"/>
    </w:p>
    <w:p w14:paraId="64FCBB4B" w14:textId="1F65BBE4" w:rsidR="00757266" w:rsidRDefault="00757266" w:rsidP="00B21BE4">
      <w:pPr>
        <w:spacing w:after="0"/>
        <w:jc w:val="both"/>
        <w:rPr>
          <w:rFonts w:ascii="Arial" w:hAnsi="Arial" w:cs="Arial"/>
        </w:rPr>
      </w:pPr>
      <w:r>
        <w:rPr>
          <w:rFonts w:ascii="Arial" w:hAnsi="Arial" w:cs="Arial"/>
        </w:rPr>
        <w:t>The Q</w:t>
      </w:r>
      <w:r w:rsidR="00B21BE4">
        <w:rPr>
          <w:rFonts w:ascii="Arial" w:hAnsi="Arial" w:cs="Arial"/>
        </w:rPr>
        <w:t>uestionnaire is focused on identifying any information that may assist in convergent implementation of GHS across the region</w:t>
      </w:r>
      <w:r>
        <w:rPr>
          <w:rFonts w:ascii="Arial" w:hAnsi="Arial" w:cs="Arial"/>
        </w:rPr>
        <w:t>.</w:t>
      </w:r>
      <w:r w:rsidR="00B21BE4">
        <w:rPr>
          <w:rFonts w:ascii="Arial" w:hAnsi="Arial" w:cs="Arial"/>
        </w:rPr>
        <w:t xml:space="preserve"> </w:t>
      </w:r>
    </w:p>
    <w:p w14:paraId="70BA51FB" w14:textId="77777777" w:rsidR="00757266" w:rsidRDefault="00757266" w:rsidP="00B21BE4">
      <w:pPr>
        <w:spacing w:after="0"/>
        <w:jc w:val="both"/>
        <w:rPr>
          <w:rFonts w:ascii="Arial" w:hAnsi="Arial" w:cs="Arial"/>
        </w:rPr>
      </w:pPr>
    </w:p>
    <w:p w14:paraId="678A82A6" w14:textId="784028EA" w:rsidR="00F65AD6" w:rsidRDefault="00757266" w:rsidP="00B21BE4">
      <w:pPr>
        <w:spacing w:after="0"/>
        <w:jc w:val="both"/>
        <w:rPr>
          <w:rFonts w:ascii="Arial" w:hAnsi="Arial" w:cs="Arial"/>
        </w:rPr>
      </w:pPr>
      <w:r>
        <w:rPr>
          <w:rFonts w:ascii="Arial" w:hAnsi="Arial" w:cs="Arial"/>
        </w:rPr>
        <w:t xml:space="preserve">The Questionnaire is structured </w:t>
      </w:r>
      <w:r w:rsidR="007B4B6E">
        <w:rPr>
          <w:rFonts w:ascii="Arial" w:hAnsi="Arial" w:cs="Arial"/>
        </w:rPr>
        <w:t>in</w:t>
      </w:r>
      <w:r w:rsidR="00856982">
        <w:rPr>
          <w:rFonts w:ascii="Arial" w:hAnsi="Arial" w:cs="Arial"/>
        </w:rPr>
        <w:t xml:space="preserve"> f</w:t>
      </w:r>
      <w:r w:rsidR="00421CD2">
        <w:rPr>
          <w:rFonts w:ascii="Arial" w:hAnsi="Arial" w:cs="Arial"/>
        </w:rPr>
        <w:t>ive</w:t>
      </w:r>
      <w:r>
        <w:rPr>
          <w:rFonts w:ascii="Arial" w:hAnsi="Arial" w:cs="Arial"/>
        </w:rPr>
        <w:t xml:space="preserve"> </w:t>
      </w:r>
      <w:r w:rsidR="007B4B6E">
        <w:rPr>
          <w:rFonts w:ascii="Arial" w:hAnsi="Arial" w:cs="Arial"/>
        </w:rPr>
        <w:t xml:space="preserve">sections </w:t>
      </w:r>
      <w:r w:rsidR="00697C59">
        <w:rPr>
          <w:rFonts w:ascii="Arial" w:hAnsi="Arial" w:cs="Arial"/>
        </w:rPr>
        <w:t xml:space="preserve">and aims </w:t>
      </w:r>
      <w:r w:rsidR="007B4B6E">
        <w:rPr>
          <w:rFonts w:ascii="Arial" w:hAnsi="Arial" w:cs="Arial"/>
        </w:rPr>
        <w:t xml:space="preserve">to reflect </w:t>
      </w:r>
      <w:r w:rsidR="007B4B6E" w:rsidRPr="00F80BFC">
        <w:rPr>
          <w:rFonts w:ascii="Arial" w:hAnsi="Arial" w:cs="Arial"/>
        </w:rPr>
        <w:t xml:space="preserve">the recommendations </w:t>
      </w:r>
      <w:r w:rsidR="007B4B6E">
        <w:rPr>
          <w:rFonts w:ascii="Arial" w:hAnsi="Arial" w:cs="Arial"/>
        </w:rPr>
        <w:t>in the 20</w:t>
      </w:r>
      <w:r w:rsidR="007B4B6E" w:rsidRPr="00F80BFC">
        <w:rPr>
          <w:rFonts w:ascii="Arial" w:hAnsi="Arial" w:cs="Arial"/>
          <w:vertAlign w:val="superscript"/>
        </w:rPr>
        <w:t>th</w:t>
      </w:r>
      <w:r w:rsidR="007B4B6E">
        <w:rPr>
          <w:rFonts w:ascii="Arial" w:hAnsi="Arial" w:cs="Arial"/>
        </w:rPr>
        <w:t xml:space="preserve"> APEC CD report endorsed by Ministers regarding addressing GHS implementation divergence</w:t>
      </w:r>
      <w:r w:rsidR="00E42D41">
        <w:rPr>
          <w:rStyle w:val="FootnoteReference"/>
          <w:rFonts w:ascii="Arial" w:hAnsi="Arial" w:cs="Arial"/>
        </w:rPr>
        <w:footnoteReference w:id="1"/>
      </w:r>
      <w:r w:rsidR="00F65AD6">
        <w:rPr>
          <w:rFonts w:ascii="Arial" w:hAnsi="Arial" w:cs="Arial"/>
        </w:rPr>
        <w:t>. The five sections are:</w:t>
      </w:r>
    </w:p>
    <w:p w14:paraId="08EDC076" w14:textId="77777777" w:rsidR="00F65AD6" w:rsidRPr="00F65AD6" w:rsidRDefault="00F65AD6" w:rsidP="00F65AD6">
      <w:pPr>
        <w:pStyle w:val="ListParagraph"/>
        <w:numPr>
          <w:ilvl w:val="0"/>
          <w:numId w:val="4"/>
        </w:numPr>
        <w:spacing w:after="0"/>
        <w:jc w:val="both"/>
        <w:rPr>
          <w:rFonts w:ascii="Arial" w:hAnsi="Arial" w:cs="Arial"/>
        </w:rPr>
      </w:pPr>
      <w:r w:rsidRPr="00F65AD6">
        <w:rPr>
          <w:rFonts w:ascii="Arial" w:hAnsi="Arial" w:cs="Arial"/>
        </w:rPr>
        <w:t>Respondent details</w:t>
      </w:r>
    </w:p>
    <w:p w14:paraId="43A4FE6A" w14:textId="77777777" w:rsidR="00F65AD6" w:rsidRPr="00F65AD6" w:rsidRDefault="00F65AD6" w:rsidP="00F65AD6">
      <w:pPr>
        <w:pStyle w:val="ListParagraph"/>
        <w:numPr>
          <w:ilvl w:val="0"/>
          <w:numId w:val="4"/>
        </w:numPr>
        <w:spacing w:after="0"/>
        <w:jc w:val="both"/>
        <w:rPr>
          <w:rFonts w:ascii="Arial" w:hAnsi="Arial" w:cs="Arial"/>
        </w:rPr>
      </w:pPr>
      <w:r w:rsidRPr="00F65AD6">
        <w:rPr>
          <w:rFonts w:ascii="Arial" w:hAnsi="Arial" w:cs="Arial"/>
        </w:rPr>
        <w:t>General Information</w:t>
      </w:r>
    </w:p>
    <w:p w14:paraId="24DA7525" w14:textId="77777777" w:rsidR="00F65AD6" w:rsidRPr="00F65AD6" w:rsidRDefault="00F65AD6" w:rsidP="00F65AD6">
      <w:pPr>
        <w:pStyle w:val="ListParagraph"/>
        <w:numPr>
          <w:ilvl w:val="0"/>
          <w:numId w:val="4"/>
        </w:numPr>
        <w:spacing w:after="0"/>
        <w:jc w:val="both"/>
        <w:rPr>
          <w:rFonts w:ascii="Arial" w:hAnsi="Arial" w:cs="Arial"/>
        </w:rPr>
      </w:pPr>
      <w:r w:rsidRPr="00F65AD6">
        <w:rPr>
          <w:rFonts w:ascii="Arial" w:hAnsi="Arial" w:cs="Arial"/>
        </w:rPr>
        <w:t>Economies adopt later editions of GHS</w:t>
      </w:r>
    </w:p>
    <w:p w14:paraId="2E047155" w14:textId="77777777" w:rsidR="00F65AD6" w:rsidRPr="00F65AD6" w:rsidRDefault="00F65AD6" w:rsidP="00F65AD6">
      <w:pPr>
        <w:pStyle w:val="ListParagraph"/>
        <w:numPr>
          <w:ilvl w:val="0"/>
          <w:numId w:val="4"/>
        </w:numPr>
        <w:spacing w:after="0"/>
        <w:jc w:val="both"/>
        <w:rPr>
          <w:rFonts w:ascii="Arial" w:hAnsi="Arial" w:cs="Arial"/>
        </w:rPr>
      </w:pPr>
      <w:r w:rsidRPr="00F65AD6">
        <w:rPr>
          <w:rFonts w:ascii="Arial" w:hAnsi="Arial" w:cs="Arial"/>
        </w:rPr>
        <w:t>Economies adopt common building blocks to facilitate trade</w:t>
      </w:r>
    </w:p>
    <w:p w14:paraId="7323CF3E" w14:textId="77777777" w:rsidR="00F65AD6" w:rsidRPr="00F65AD6" w:rsidRDefault="00F65AD6" w:rsidP="00F65AD6">
      <w:pPr>
        <w:pStyle w:val="ListParagraph"/>
        <w:numPr>
          <w:ilvl w:val="0"/>
          <w:numId w:val="4"/>
        </w:numPr>
        <w:spacing w:after="0"/>
        <w:jc w:val="both"/>
        <w:rPr>
          <w:rFonts w:ascii="Arial" w:hAnsi="Arial" w:cs="Arial"/>
        </w:rPr>
      </w:pPr>
      <w:r w:rsidRPr="00F65AD6">
        <w:rPr>
          <w:rFonts w:ascii="Arial" w:hAnsi="Arial" w:cs="Arial"/>
        </w:rPr>
        <w:t>Regulators work with each other to find possible ways to deliver a convergent implementation of GHS</w:t>
      </w:r>
    </w:p>
    <w:p w14:paraId="0960F616" w14:textId="07FC4BA9" w:rsidR="00F65AD6" w:rsidRDefault="00F65AD6" w:rsidP="00B21BE4">
      <w:pPr>
        <w:spacing w:after="0"/>
        <w:jc w:val="both"/>
        <w:rPr>
          <w:rFonts w:ascii="Arial" w:hAnsi="Arial" w:cs="Arial"/>
        </w:rPr>
      </w:pPr>
    </w:p>
    <w:p w14:paraId="14F360A0" w14:textId="0EDE150B" w:rsidR="006C039A" w:rsidRDefault="006C039A" w:rsidP="006C039A">
      <w:pPr>
        <w:spacing w:after="0"/>
        <w:jc w:val="both"/>
        <w:rPr>
          <w:rFonts w:ascii="Arial" w:hAnsi="Arial" w:cs="Arial"/>
        </w:rPr>
      </w:pPr>
      <w:r>
        <w:rPr>
          <w:rFonts w:ascii="Arial" w:hAnsi="Arial" w:cs="Arial"/>
        </w:rPr>
        <w:t xml:space="preserve">It is noted that no questions in relation to the second dot point of the </w:t>
      </w:r>
      <w:r w:rsidR="00FF58A9">
        <w:rPr>
          <w:rFonts w:ascii="Arial" w:hAnsi="Arial" w:cs="Arial"/>
        </w:rPr>
        <w:t>20</w:t>
      </w:r>
      <w:r w:rsidR="00FF58A9" w:rsidRPr="00FF58A9">
        <w:rPr>
          <w:rFonts w:ascii="Arial" w:hAnsi="Arial" w:cs="Arial"/>
          <w:vertAlign w:val="superscript"/>
        </w:rPr>
        <w:t>th</w:t>
      </w:r>
      <w:r w:rsidR="00FF58A9">
        <w:rPr>
          <w:rFonts w:ascii="Arial" w:hAnsi="Arial" w:cs="Arial"/>
        </w:rPr>
        <w:t xml:space="preserve"> APEC CD report </w:t>
      </w:r>
      <w:r>
        <w:rPr>
          <w:rFonts w:ascii="Arial" w:hAnsi="Arial" w:cs="Arial"/>
        </w:rPr>
        <w:t xml:space="preserve">recommendations </w:t>
      </w:r>
      <w:r w:rsidR="00FF58A9">
        <w:rPr>
          <w:rFonts w:ascii="Arial" w:hAnsi="Arial" w:cs="Arial"/>
        </w:rPr>
        <w:t xml:space="preserve">(see footnote 1) </w:t>
      </w:r>
      <w:r>
        <w:rPr>
          <w:rFonts w:ascii="Arial" w:hAnsi="Arial" w:cs="Arial"/>
        </w:rPr>
        <w:t>were included in the Questionnaire as the issue is already clearly identified and actionable by individual Economies.</w:t>
      </w:r>
    </w:p>
    <w:p w14:paraId="5A62A226" w14:textId="77777777" w:rsidR="006C039A" w:rsidRDefault="006C039A" w:rsidP="00B21BE4">
      <w:pPr>
        <w:spacing w:after="0"/>
        <w:jc w:val="both"/>
        <w:rPr>
          <w:rFonts w:ascii="Arial" w:hAnsi="Arial" w:cs="Arial"/>
        </w:rPr>
      </w:pPr>
    </w:p>
    <w:p w14:paraId="35E7497F" w14:textId="16606D66" w:rsidR="009A35EB" w:rsidRDefault="00A04A9D" w:rsidP="00B21BE4">
      <w:pPr>
        <w:spacing w:after="0"/>
        <w:jc w:val="both"/>
        <w:rPr>
          <w:rFonts w:ascii="Arial" w:hAnsi="Arial" w:cs="Arial"/>
        </w:rPr>
      </w:pPr>
      <w:r>
        <w:rPr>
          <w:rFonts w:ascii="Arial" w:hAnsi="Arial" w:cs="Arial"/>
        </w:rPr>
        <w:t>All</w:t>
      </w:r>
      <w:r w:rsidR="00310CEB">
        <w:rPr>
          <w:rFonts w:ascii="Arial" w:hAnsi="Arial" w:cs="Arial"/>
        </w:rPr>
        <w:t xml:space="preserve"> responses to the Questionnaire are attached to this report as </w:t>
      </w:r>
      <w:r w:rsidR="00310CEB" w:rsidRPr="00484D32">
        <w:rPr>
          <w:rFonts w:ascii="Arial" w:hAnsi="Arial" w:cs="Arial"/>
        </w:rPr>
        <w:t>Attachment 2.</w:t>
      </w:r>
      <w:r w:rsidR="00310CEB">
        <w:rPr>
          <w:rFonts w:ascii="Arial" w:hAnsi="Arial" w:cs="Arial"/>
        </w:rPr>
        <w:t xml:space="preserve">  </w:t>
      </w:r>
      <w:r w:rsidR="00B432C3">
        <w:rPr>
          <w:rFonts w:ascii="Arial" w:hAnsi="Arial" w:cs="Arial"/>
        </w:rPr>
        <w:t>T</w:t>
      </w:r>
      <w:r w:rsidR="00310CEB">
        <w:rPr>
          <w:rFonts w:ascii="Arial" w:hAnsi="Arial" w:cs="Arial"/>
        </w:rPr>
        <w:t xml:space="preserve">he contact details of the respondents (in section 1) </w:t>
      </w:r>
      <w:r w:rsidR="009A35EB">
        <w:rPr>
          <w:rFonts w:ascii="Arial" w:hAnsi="Arial" w:cs="Arial"/>
        </w:rPr>
        <w:t>have been redacted</w:t>
      </w:r>
      <w:r w:rsidR="00B432C3">
        <w:rPr>
          <w:rFonts w:ascii="Arial" w:hAnsi="Arial" w:cs="Arial"/>
        </w:rPr>
        <w:t xml:space="preserve"> as they were only requested for follow up </w:t>
      </w:r>
      <w:r w:rsidR="00E630E6">
        <w:rPr>
          <w:rFonts w:ascii="Arial" w:hAnsi="Arial" w:cs="Arial"/>
        </w:rPr>
        <w:t>if and as required. Following information have not been redacted to ensure transparency of responses:</w:t>
      </w:r>
    </w:p>
    <w:p w14:paraId="2500FFA9" w14:textId="6E5AF2AA" w:rsidR="00421CD2" w:rsidRDefault="00C264A9" w:rsidP="009A35EB">
      <w:pPr>
        <w:pStyle w:val="ListParagraph"/>
        <w:numPr>
          <w:ilvl w:val="0"/>
          <w:numId w:val="5"/>
        </w:numPr>
        <w:spacing w:after="0"/>
        <w:jc w:val="both"/>
        <w:rPr>
          <w:rFonts w:ascii="Arial" w:hAnsi="Arial" w:cs="Arial"/>
        </w:rPr>
      </w:pPr>
      <w:r>
        <w:rPr>
          <w:rFonts w:ascii="Arial" w:hAnsi="Arial" w:cs="Arial"/>
        </w:rPr>
        <w:t>E</w:t>
      </w:r>
      <w:r w:rsidR="009A35EB">
        <w:rPr>
          <w:rFonts w:ascii="Arial" w:hAnsi="Arial" w:cs="Arial"/>
        </w:rPr>
        <w:t>conomy</w:t>
      </w:r>
      <w:r w:rsidR="00E630E6">
        <w:rPr>
          <w:rFonts w:ascii="Arial" w:hAnsi="Arial" w:cs="Arial"/>
        </w:rPr>
        <w:t>,</w:t>
      </w:r>
    </w:p>
    <w:p w14:paraId="3734DCCD" w14:textId="39765F9F" w:rsidR="00C264A9" w:rsidRDefault="00C264A9" w:rsidP="009A35EB">
      <w:pPr>
        <w:pStyle w:val="ListParagraph"/>
        <w:numPr>
          <w:ilvl w:val="0"/>
          <w:numId w:val="5"/>
        </w:numPr>
        <w:spacing w:after="0"/>
        <w:jc w:val="both"/>
        <w:rPr>
          <w:rFonts w:ascii="Arial" w:hAnsi="Arial" w:cs="Arial"/>
        </w:rPr>
      </w:pPr>
      <w:r>
        <w:rPr>
          <w:rFonts w:ascii="Arial" w:hAnsi="Arial" w:cs="Arial"/>
        </w:rPr>
        <w:t>Whether responding as Regulator, industry or “other”</w:t>
      </w:r>
      <w:r w:rsidR="003003F3">
        <w:rPr>
          <w:rFonts w:ascii="Arial" w:hAnsi="Arial" w:cs="Arial"/>
        </w:rPr>
        <w:t>, and</w:t>
      </w:r>
    </w:p>
    <w:p w14:paraId="0DEEED46" w14:textId="0D3F2EBB" w:rsidR="0053589E" w:rsidRDefault="0053589E" w:rsidP="009A35EB">
      <w:pPr>
        <w:pStyle w:val="ListParagraph"/>
        <w:numPr>
          <w:ilvl w:val="0"/>
          <w:numId w:val="5"/>
        </w:numPr>
        <w:spacing w:after="0"/>
        <w:jc w:val="both"/>
        <w:rPr>
          <w:rFonts w:ascii="Arial" w:hAnsi="Arial" w:cs="Arial"/>
        </w:rPr>
      </w:pPr>
      <w:r>
        <w:rPr>
          <w:rFonts w:ascii="Arial" w:hAnsi="Arial" w:cs="Arial"/>
        </w:rPr>
        <w:t>Name of Organisation/Agency</w:t>
      </w:r>
      <w:r w:rsidR="003003F3">
        <w:rPr>
          <w:rFonts w:ascii="Arial" w:hAnsi="Arial" w:cs="Arial"/>
        </w:rPr>
        <w:t>.</w:t>
      </w:r>
    </w:p>
    <w:p w14:paraId="3E5A39F8" w14:textId="7E7AA65E" w:rsidR="00421CD2" w:rsidRDefault="00421CD2" w:rsidP="00B21BE4">
      <w:pPr>
        <w:spacing w:after="0"/>
        <w:jc w:val="both"/>
        <w:rPr>
          <w:rFonts w:ascii="Arial" w:hAnsi="Arial" w:cs="Arial"/>
        </w:rPr>
      </w:pPr>
    </w:p>
    <w:p w14:paraId="424D628D" w14:textId="20834374" w:rsidR="00DA7A1A" w:rsidRDefault="00DA7A1A" w:rsidP="00B21BE4">
      <w:pPr>
        <w:spacing w:after="0"/>
        <w:jc w:val="both"/>
        <w:rPr>
          <w:rFonts w:ascii="Arial" w:hAnsi="Arial" w:cs="Arial"/>
        </w:rPr>
      </w:pPr>
      <w:r>
        <w:rPr>
          <w:rFonts w:ascii="Arial" w:hAnsi="Arial" w:cs="Arial"/>
        </w:rPr>
        <w:t>In addition to the</w:t>
      </w:r>
      <w:r w:rsidR="00175A04">
        <w:rPr>
          <w:rFonts w:ascii="Arial" w:hAnsi="Arial" w:cs="Arial"/>
        </w:rPr>
        <w:t xml:space="preserve"> Economies’ input into </w:t>
      </w:r>
      <w:r w:rsidR="006A3E62">
        <w:rPr>
          <w:rFonts w:ascii="Arial" w:hAnsi="Arial" w:cs="Arial"/>
        </w:rPr>
        <w:t>the Questionnaire</w:t>
      </w:r>
      <w:r w:rsidR="00513D34">
        <w:rPr>
          <w:rFonts w:ascii="Arial" w:hAnsi="Arial" w:cs="Arial"/>
        </w:rPr>
        <w:t xml:space="preserve">, this report draws on the </w:t>
      </w:r>
      <w:r w:rsidR="00271ADF">
        <w:rPr>
          <w:rFonts w:ascii="Arial" w:hAnsi="Arial" w:cs="Arial"/>
        </w:rPr>
        <w:t xml:space="preserve">Economies input into the </w:t>
      </w:r>
      <w:r w:rsidR="00271ADF" w:rsidRPr="00372A11">
        <w:rPr>
          <w:rFonts w:ascii="Arial" w:hAnsi="Arial" w:cs="Arial"/>
        </w:rPr>
        <w:t>GHSVWG</w:t>
      </w:r>
      <w:r w:rsidR="00EA2909" w:rsidRPr="00372A11">
        <w:rPr>
          <w:rFonts w:ascii="Arial" w:hAnsi="Arial" w:cs="Arial"/>
        </w:rPr>
        <w:t xml:space="preserve"> GHS Implementation Rationale Questions.</w:t>
      </w:r>
      <w:r w:rsidR="00271ADF" w:rsidRPr="00372A11">
        <w:rPr>
          <w:rFonts w:ascii="Arial" w:hAnsi="Arial" w:cs="Arial"/>
        </w:rPr>
        <w:t xml:space="preserve"> The</w:t>
      </w:r>
      <w:r w:rsidR="00EA2909" w:rsidRPr="00372A11">
        <w:rPr>
          <w:rFonts w:ascii="Arial" w:hAnsi="Arial" w:cs="Arial"/>
        </w:rPr>
        <w:t xml:space="preserve"> summary of responses to the</w:t>
      </w:r>
      <w:r w:rsidR="00271ADF" w:rsidRPr="00372A11">
        <w:rPr>
          <w:rFonts w:ascii="Arial" w:hAnsi="Arial" w:cs="Arial"/>
        </w:rPr>
        <w:t xml:space="preserve"> GHSVWG </w:t>
      </w:r>
      <w:r w:rsidR="00EA2909" w:rsidRPr="00372A11">
        <w:rPr>
          <w:rFonts w:ascii="Arial" w:hAnsi="Arial" w:cs="Arial"/>
        </w:rPr>
        <w:t>GHS Implementation Rationale Questions</w:t>
      </w:r>
      <w:r w:rsidR="00271ADF" w:rsidRPr="00372A11">
        <w:rPr>
          <w:rFonts w:ascii="Arial" w:hAnsi="Arial" w:cs="Arial"/>
        </w:rPr>
        <w:t xml:space="preserve"> is </w:t>
      </w:r>
      <w:r w:rsidR="00D400F6" w:rsidRPr="00372A11">
        <w:rPr>
          <w:rFonts w:ascii="Arial" w:hAnsi="Arial" w:cs="Arial"/>
        </w:rPr>
        <w:t xml:space="preserve">provided with this report as </w:t>
      </w:r>
      <w:r w:rsidR="00D400F6" w:rsidRPr="00484D32">
        <w:rPr>
          <w:rFonts w:ascii="Arial" w:hAnsi="Arial" w:cs="Arial"/>
        </w:rPr>
        <w:t>Attachment 3.</w:t>
      </w:r>
    </w:p>
    <w:p w14:paraId="523DBC08" w14:textId="77777777" w:rsidR="00DA7A1A" w:rsidRDefault="00DA7A1A" w:rsidP="00B21BE4">
      <w:pPr>
        <w:spacing w:after="0"/>
        <w:jc w:val="both"/>
        <w:rPr>
          <w:rFonts w:ascii="Arial" w:hAnsi="Arial" w:cs="Arial"/>
        </w:rPr>
      </w:pPr>
    </w:p>
    <w:p w14:paraId="502A683C" w14:textId="77777777" w:rsidR="003034EE" w:rsidRDefault="003034EE">
      <w:pPr>
        <w:rPr>
          <w:rFonts w:ascii="Arial" w:hAnsi="Arial" w:cs="Arial"/>
          <w:b/>
        </w:rPr>
      </w:pPr>
      <w:r>
        <w:rPr>
          <w:rFonts w:ascii="Arial" w:hAnsi="Arial" w:cs="Arial"/>
          <w:b/>
        </w:rPr>
        <w:br w:type="page"/>
      </w:r>
    </w:p>
    <w:p w14:paraId="51E5D64C" w14:textId="0EE3B1D8" w:rsidR="004433FD" w:rsidRPr="005E2627" w:rsidRDefault="005E2627" w:rsidP="00007742">
      <w:pPr>
        <w:pStyle w:val="Heading1"/>
      </w:pPr>
      <w:bookmarkStart w:id="2" w:name="_Toc6393964"/>
      <w:r w:rsidRPr="005E2627">
        <w:lastRenderedPageBreak/>
        <w:t>Response summary</w:t>
      </w:r>
      <w:bookmarkEnd w:id="2"/>
    </w:p>
    <w:p w14:paraId="292A2A6F" w14:textId="4BB3377F" w:rsidR="005E2627" w:rsidRPr="00D27F1B" w:rsidRDefault="005E2627" w:rsidP="00007742">
      <w:pPr>
        <w:pStyle w:val="Heading2"/>
      </w:pPr>
      <w:bookmarkStart w:id="3" w:name="_Toc6393965"/>
      <w:r w:rsidRPr="00D27F1B">
        <w:t>Respondent details</w:t>
      </w:r>
      <w:bookmarkEnd w:id="3"/>
    </w:p>
    <w:p w14:paraId="0F63612D" w14:textId="081C5D2A" w:rsidR="00B253FD" w:rsidRDefault="00B253FD" w:rsidP="005E2627">
      <w:pPr>
        <w:spacing w:after="0"/>
        <w:jc w:val="both"/>
        <w:rPr>
          <w:rFonts w:ascii="Arial" w:hAnsi="Arial" w:cs="Arial"/>
        </w:rPr>
      </w:pPr>
      <w:r>
        <w:rPr>
          <w:rFonts w:ascii="Arial" w:hAnsi="Arial" w:cs="Arial"/>
        </w:rPr>
        <w:t>Total responses received: 15</w:t>
      </w:r>
    </w:p>
    <w:p w14:paraId="432EDC1D" w14:textId="756D6346" w:rsidR="00B253FD" w:rsidRDefault="00B253FD" w:rsidP="005E2627">
      <w:pPr>
        <w:spacing w:after="0"/>
        <w:jc w:val="both"/>
        <w:rPr>
          <w:rFonts w:ascii="Arial" w:hAnsi="Arial" w:cs="Arial"/>
        </w:rPr>
      </w:pPr>
      <w:r>
        <w:rPr>
          <w:rFonts w:ascii="Arial" w:hAnsi="Arial" w:cs="Arial"/>
        </w:rPr>
        <w:t>Total number of responding APEC Economies: 11</w:t>
      </w:r>
    </w:p>
    <w:p w14:paraId="26112D0D" w14:textId="77777777" w:rsidR="00B253FD" w:rsidRDefault="00B253FD" w:rsidP="005E2627">
      <w:pPr>
        <w:spacing w:after="0"/>
        <w:jc w:val="both"/>
        <w:rPr>
          <w:rFonts w:ascii="Arial" w:hAnsi="Arial" w:cs="Arial"/>
        </w:rPr>
      </w:pPr>
    </w:p>
    <w:p w14:paraId="56DB2779" w14:textId="77777777" w:rsidR="00F368C8" w:rsidRDefault="0072552D" w:rsidP="005E2627">
      <w:pPr>
        <w:spacing w:after="0"/>
        <w:jc w:val="both"/>
        <w:rPr>
          <w:rFonts w:ascii="Arial" w:hAnsi="Arial" w:cs="Arial"/>
        </w:rPr>
      </w:pPr>
      <w:r>
        <w:rPr>
          <w:rFonts w:ascii="Arial" w:hAnsi="Arial" w:cs="Arial"/>
        </w:rPr>
        <w:t>Respondent economies</w:t>
      </w:r>
      <w:r w:rsidR="000E2ED3">
        <w:rPr>
          <w:rFonts w:ascii="Arial" w:hAnsi="Arial" w:cs="Arial"/>
        </w:rPr>
        <w:t xml:space="preserve">: </w:t>
      </w:r>
    </w:p>
    <w:p w14:paraId="27D59767" w14:textId="77777777" w:rsidR="00F368C8" w:rsidRPr="00F368C8" w:rsidRDefault="000E2ED3" w:rsidP="00F368C8">
      <w:pPr>
        <w:pStyle w:val="ListParagraph"/>
        <w:numPr>
          <w:ilvl w:val="0"/>
          <w:numId w:val="9"/>
        </w:numPr>
        <w:spacing w:after="0"/>
        <w:jc w:val="both"/>
        <w:rPr>
          <w:rFonts w:ascii="Arial" w:hAnsi="Arial" w:cs="Arial"/>
        </w:rPr>
      </w:pPr>
      <w:r w:rsidRPr="00F368C8">
        <w:rPr>
          <w:rFonts w:ascii="Arial" w:hAnsi="Arial" w:cs="Arial"/>
        </w:rPr>
        <w:t xml:space="preserve">Australia, </w:t>
      </w:r>
    </w:p>
    <w:p w14:paraId="420F46F3" w14:textId="77777777" w:rsidR="00F368C8" w:rsidRPr="00F368C8" w:rsidRDefault="005F441F" w:rsidP="00F368C8">
      <w:pPr>
        <w:pStyle w:val="ListParagraph"/>
        <w:numPr>
          <w:ilvl w:val="0"/>
          <w:numId w:val="9"/>
        </w:numPr>
        <w:spacing w:after="0"/>
        <w:jc w:val="both"/>
        <w:rPr>
          <w:rFonts w:ascii="Arial" w:hAnsi="Arial" w:cs="Arial"/>
        </w:rPr>
      </w:pPr>
      <w:r w:rsidRPr="00F368C8">
        <w:rPr>
          <w:rFonts w:ascii="Arial" w:hAnsi="Arial" w:cs="Arial"/>
        </w:rPr>
        <w:t xml:space="preserve">Canada, </w:t>
      </w:r>
    </w:p>
    <w:p w14:paraId="1D681C75" w14:textId="77777777" w:rsidR="00F368C8" w:rsidRPr="00F368C8" w:rsidRDefault="005F441F" w:rsidP="00F368C8">
      <w:pPr>
        <w:pStyle w:val="ListParagraph"/>
        <w:numPr>
          <w:ilvl w:val="0"/>
          <w:numId w:val="9"/>
        </w:numPr>
        <w:spacing w:after="0"/>
        <w:jc w:val="both"/>
        <w:rPr>
          <w:rFonts w:ascii="Arial" w:hAnsi="Arial" w:cs="Arial"/>
        </w:rPr>
      </w:pPr>
      <w:r w:rsidRPr="00F368C8">
        <w:rPr>
          <w:rFonts w:ascii="Arial" w:hAnsi="Arial" w:cs="Arial"/>
        </w:rPr>
        <w:t xml:space="preserve">Malaysia, </w:t>
      </w:r>
    </w:p>
    <w:p w14:paraId="49935745" w14:textId="77777777" w:rsidR="00F368C8" w:rsidRPr="00F368C8" w:rsidRDefault="005F441F" w:rsidP="00F368C8">
      <w:pPr>
        <w:pStyle w:val="ListParagraph"/>
        <w:numPr>
          <w:ilvl w:val="0"/>
          <w:numId w:val="9"/>
        </w:numPr>
        <w:spacing w:after="0"/>
        <w:jc w:val="both"/>
        <w:rPr>
          <w:rFonts w:ascii="Arial" w:hAnsi="Arial" w:cs="Arial"/>
        </w:rPr>
      </w:pPr>
      <w:r w:rsidRPr="00F368C8">
        <w:rPr>
          <w:rFonts w:ascii="Arial" w:hAnsi="Arial" w:cs="Arial"/>
        </w:rPr>
        <w:t>Mexico</w:t>
      </w:r>
      <w:r w:rsidR="007908EE" w:rsidRPr="00F368C8">
        <w:rPr>
          <w:rFonts w:ascii="Arial" w:hAnsi="Arial" w:cs="Arial"/>
        </w:rPr>
        <w:t xml:space="preserve">, </w:t>
      </w:r>
    </w:p>
    <w:p w14:paraId="57BA9F8F" w14:textId="77777777" w:rsidR="00F368C8" w:rsidRPr="00F368C8" w:rsidRDefault="007908EE" w:rsidP="00F368C8">
      <w:pPr>
        <w:pStyle w:val="ListParagraph"/>
        <w:numPr>
          <w:ilvl w:val="0"/>
          <w:numId w:val="9"/>
        </w:numPr>
        <w:spacing w:after="0"/>
        <w:jc w:val="both"/>
        <w:rPr>
          <w:rFonts w:ascii="Arial" w:hAnsi="Arial" w:cs="Arial"/>
        </w:rPr>
      </w:pPr>
      <w:r w:rsidRPr="00F368C8">
        <w:rPr>
          <w:rFonts w:ascii="Arial" w:hAnsi="Arial" w:cs="Arial"/>
        </w:rPr>
        <w:t>The Republic of the Philippines</w:t>
      </w:r>
      <w:r w:rsidR="000A3DB7" w:rsidRPr="00F368C8">
        <w:rPr>
          <w:rFonts w:ascii="Arial" w:hAnsi="Arial" w:cs="Arial"/>
        </w:rPr>
        <w:t xml:space="preserve">, </w:t>
      </w:r>
    </w:p>
    <w:p w14:paraId="55E7C681" w14:textId="77777777" w:rsidR="00F368C8" w:rsidRPr="00F368C8" w:rsidRDefault="000A3DB7" w:rsidP="00F368C8">
      <w:pPr>
        <w:pStyle w:val="ListParagraph"/>
        <w:numPr>
          <w:ilvl w:val="0"/>
          <w:numId w:val="9"/>
        </w:numPr>
        <w:spacing w:after="0"/>
        <w:jc w:val="both"/>
        <w:rPr>
          <w:rFonts w:ascii="Arial" w:hAnsi="Arial" w:cs="Arial"/>
        </w:rPr>
      </w:pPr>
      <w:r w:rsidRPr="00F368C8">
        <w:rPr>
          <w:rFonts w:ascii="Arial" w:hAnsi="Arial" w:cs="Arial"/>
        </w:rPr>
        <w:t xml:space="preserve">The Russian Federation, </w:t>
      </w:r>
    </w:p>
    <w:p w14:paraId="07C0AC76" w14:textId="77777777" w:rsidR="00F368C8" w:rsidRPr="00F368C8" w:rsidRDefault="000A3DB7" w:rsidP="00F368C8">
      <w:pPr>
        <w:pStyle w:val="ListParagraph"/>
        <w:numPr>
          <w:ilvl w:val="0"/>
          <w:numId w:val="9"/>
        </w:numPr>
        <w:spacing w:after="0"/>
        <w:jc w:val="both"/>
        <w:rPr>
          <w:rFonts w:ascii="Arial" w:hAnsi="Arial" w:cs="Arial"/>
        </w:rPr>
      </w:pPr>
      <w:r w:rsidRPr="00F368C8">
        <w:rPr>
          <w:rFonts w:ascii="Arial" w:hAnsi="Arial" w:cs="Arial"/>
        </w:rPr>
        <w:t xml:space="preserve">Singapore, </w:t>
      </w:r>
    </w:p>
    <w:p w14:paraId="5352BEA3" w14:textId="77777777" w:rsidR="002106F3" w:rsidRPr="00F368C8" w:rsidRDefault="002106F3" w:rsidP="002106F3">
      <w:pPr>
        <w:pStyle w:val="ListParagraph"/>
        <w:numPr>
          <w:ilvl w:val="0"/>
          <w:numId w:val="9"/>
        </w:numPr>
        <w:spacing w:after="0"/>
        <w:jc w:val="both"/>
        <w:rPr>
          <w:rFonts w:ascii="Arial" w:hAnsi="Arial" w:cs="Arial"/>
        </w:rPr>
      </w:pPr>
      <w:r w:rsidRPr="00F368C8">
        <w:rPr>
          <w:rFonts w:ascii="Arial" w:hAnsi="Arial" w:cs="Arial"/>
        </w:rPr>
        <w:t xml:space="preserve">Chinese Taipei, </w:t>
      </w:r>
    </w:p>
    <w:p w14:paraId="21FB1BBF" w14:textId="77777777" w:rsidR="00F368C8" w:rsidRPr="00F368C8" w:rsidRDefault="000A3DB7" w:rsidP="00F368C8">
      <w:pPr>
        <w:pStyle w:val="ListParagraph"/>
        <w:numPr>
          <w:ilvl w:val="0"/>
          <w:numId w:val="9"/>
        </w:numPr>
        <w:spacing w:after="0"/>
        <w:jc w:val="both"/>
        <w:rPr>
          <w:rFonts w:ascii="Arial" w:hAnsi="Arial" w:cs="Arial"/>
        </w:rPr>
      </w:pPr>
      <w:r w:rsidRPr="00F368C8">
        <w:rPr>
          <w:rFonts w:ascii="Arial" w:hAnsi="Arial" w:cs="Arial"/>
        </w:rPr>
        <w:t>Thailand</w:t>
      </w:r>
      <w:r w:rsidR="007456D2" w:rsidRPr="00F368C8">
        <w:rPr>
          <w:rFonts w:ascii="Arial" w:hAnsi="Arial" w:cs="Arial"/>
        </w:rPr>
        <w:t>,</w:t>
      </w:r>
      <w:r w:rsidRPr="00F368C8">
        <w:rPr>
          <w:rFonts w:ascii="Arial" w:hAnsi="Arial" w:cs="Arial"/>
        </w:rPr>
        <w:t xml:space="preserve"> </w:t>
      </w:r>
    </w:p>
    <w:p w14:paraId="2A30A27E" w14:textId="77777777" w:rsidR="00F368C8" w:rsidRPr="00F368C8" w:rsidRDefault="000A3DB7" w:rsidP="00F368C8">
      <w:pPr>
        <w:pStyle w:val="ListParagraph"/>
        <w:numPr>
          <w:ilvl w:val="0"/>
          <w:numId w:val="9"/>
        </w:numPr>
        <w:spacing w:after="0"/>
        <w:jc w:val="both"/>
        <w:rPr>
          <w:rFonts w:ascii="Arial" w:hAnsi="Arial" w:cs="Arial"/>
        </w:rPr>
      </w:pPr>
      <w:r w:rsidRPr="00F368C8">
        <w:rPr>
          <w:rFonts w:ascii="Arial" w:hAnsi="Arial" w:cs="Arial"/>
        </w:rPr>
        <w:t>United States of America</w:t>
      </w:r>
      <w:r w:rsidR="00F368C8" w:rsidRPr="00F368C8">
        <w:rPr>
          <w:rFonts w:ascii="Arial" w:hAnsi="Arial" w:cs="Arial"/>
        </w:rPr>
        <w:t>,</w:t>
      </w:r>
      <w:r w:rsidR="007456D2" w:rsidRPr="00F368C8">
        <w:rPr>
          <w:rFonts w:ascii="Arial" w:hAnsi="Arial" w:cs="Arial"/>
        </w:rPr>
        <w:t xml:space="preserve"> and </w:t>
      </w:r>
    </w:p>
    <w:p w14:paraId="7E15F087" w14:textId="55B70CB7" w:rsidR="00A510B0" w:rsidRPr="00F368C8" w:rsidRDefault="00DF4828" w:rsidP="00F368C8">
      <w:pPr>
        <w:pStyle w:val="ListParagraph"/>
        <w:numPr>
          <w:ilvl w:val="0"/>
          <w:numId w:val="9"/>
        </w:numPr>
        <w:spacing w:after="0"/>
        <w:jc w:val="both"/>
        <w:rPr>
          <w:rFonts w:ascii="Arial" w:hAnsi="Arial" w:cs="Arial"/>
        </w:rPr>
      </w:pPr>
      <w:r w:rsidRPr="00F368C8">
        <w:rPr>
          <w:rFonts w:ascii="Arial" w:hAnsi="Arial" w:cs="Arial"/>
        </w:rPr>
        <w:t>Viet</w:t>
      </w:r>
      <w:r w:rsidR="002106F3">
        <w:rPr>
          <w:rFonts w:ascii="Arial" w:hAnsi="Arial" w:cs="Arial"/>
        </w:rPr>
        <w:t xml:space="preserve"> N</w:t>
      </w:r>
      <w:r w:rsidRPr="00F368C8">
        <w:rPr>
          <w:rFonts w:ascii="Arial" w:hAnsi="Arial" w:cs="Arial"/>
        </w:rPr>
        <w:t>am</w:t>
      </w:r>
      <w:r w:rsidR="000A3DB7" w:rsidRPr="00F368C8">
        <w:rPr>
          <w:rFonts w:ascii="Arial" w:hAnsi="Arial" w:cs="Arial"/>
        </w:rPr>
        <w:t>.</w:t>
      </w:r>
    </w:p>
    <w:p w14:paraId="1479257F" w14:textId="405099E0" w:rsidR="000E2ED3" w:rsidRDefault="000E2ED3" w:rsidP="005E2627">
      <w:pPr>
        <w:spacing w:after="0"/>
        <w:jc w:val="both"/>
        <w:rPr>
          <w:rFonts w:ascii="Arial" w:hAnsi="Arial" w:cs="Arial"/>
        </w:rPr>
      </w:pPr>
    </w:p>
    <w:p w14:paraId="6F2BED54" w14:textId="7A34B0AF" w:rsidR="008C141E" w:rsidRDefault="008C141E" w:rsidP="005E2627">
      <w:pPr>
        <w:spacing w:after="0"/>
        <w:jc w:val="both"/>
        <w:rPr>
          <w:rFonts w:ascii="Arial" w:hAnsi="Arial" w:cs="Arial"/>
        </w:rPr>
      </w:pPr>
      <w:r>
        <w:rPr>
          <w:rFonts w:ascii="Arial" w:hAnsi="Arial" w:cs="Arial"/>
        </w:rPr>
        <w:t xml:space="preserve">Responses from regulators: </w:t>
      </w:r>
      <w:r w:rsidR="0045599A">
        <w:rPr>
          <w:rFonts w:ascii="Arial" w:hAnsi="Arial" w:cs="Arial"/>
        </w:rPr>
        <w:t>9</w:t>
      </w:r>
      <w:r>
        <w:rPr>
          <w:rFonts w:ascii="Arial" w:hAnsi="Arial" w:cs="Arial"/>
        </w:rPr>
        <w:t xml:space="preserve"> (from seven Economies)</w:t>
      </w:r>
      <w:r>
        <w:rPr>
          <w:rStyle w:val="FootnoteReference"/>
          <w:rFonts w:ascii="Arial" w:hAnsi="Arial" w:cs="Arial"/>
        </w:rPr>
        <w:footnoteReference w:id="2"/>
      </w:r>
    </w:p>
    <w:p w14:paraId="1A32182D" w14:textId="4F6B8D1F" w:rsidR="008C141E" w:rsidRDefault="008C141E" w:rsidP="005E2627">
      <w:pPr>
        <w:spacing w:after="0"/>
        <w:jc w:val="both"/>
        <w:rPr>
          <w:rFonts w:ascii="Arial" w:hAnsi="Arial" w:cs="Arial"/>
        </w:rPr>
      </w:pPr>
      <w:r>
        <w:rPr>
          <w:rFonts w:ascii="Arial" w:hAnsi="Arial" w:cs="Arial"/>
        </w:rPr>
        <w:t>Responses received from industry: 7</w:t>
      </w:r>
    </w:p>
    <w:p w14:paraId="5252FF44" w14:textId="77777777" w:rsidR="0075794B" w:rsidRDefault="0075794B" w:rsidP="005E2627">
      <w:pPr>
        <w:spacing w:after="0"/>
        <w:jc w:val="both"/>
        <w:rPr>
          <w:rFonts w:ascii="Arial" w:hAnsi="Arial" w:cs="Arial"/>
        </w:rPr>
      </w:pPr>
    </w:p>
    <w:p w14:paraId="2141C87F" w14:textId="77777777" w:rsidR="00F6512B" w:rsidRDefault="0075794B" w:rsidP="005E2627">
      <w:pPr>
        <w:spacing w:after="0"/>
        <w:jc w:val="both"/>
        <w:rPr>
          <w:rFonts w:ascii="Arial" w:hAnsi="Arial" w:cs="Arial"/>
        </w:rPr>
      </w:pPr>
      <w:r>
        <w:rPr>
          <w:rFonts w:ascii="Arial" w:hAnsi="Arial" w:cs="Arial"/>
        </w:rPr>
        <w:t>Additionally, six Economies provided responded for</w:t>
      </w:r>
      <w:r w:rsidR="00A9066F">
        <w:rPr>
          <w:rFonts w:ascii="Arial" w:hAnsi="Arial" w:cs="Arial"/>
        </w:rPr>
        <w:t xml:space="preserve"> the </w:t>
      </w:r>
      <w:r>
        <w:rPr>
          <w:rFonts w:ascii="Arial" w:hAnsi="Arial" w:cs="Arial"/>
        </w:rPr>
        <w:t>GHS Implementation Rationale Questions</w:t>
      </w:r>
      <w:r w:rsidR="00F6512B">
        <w:rPr>
          <w:rFonts w:ascii="Arial" w:hAnsi="Arial" w:cs="Arial"/>
        </w:rPr>
        <w:t>.  They are:</w:t>
      </w:r>
    </w:p>
    <w:p w14:paraId="518336CC" w14:textId="1D6EB6ED" w:rsidR="00372A11" w:rsidRDefault="00F6512B" w:rsidP="00F6512B">
      <w:pPr>
        <w:pStyle w:val="ListParagraph"/>
        <w:numPr>
          <w:ilvl w:val="0"/>
          <w:numId w:val="11"/>
        </w:numPr>
        <w:spacing w:after="0"/>
        <w:jc w:val="both"/>
        <w:rPr>
          <w:rFonts w:ascii="Arial" w:hAnsi="Arial" w:cs="Arial"/>
        </w:rPr>
      </w:pPr>
      <w:r>
        <w:rPr>
          <w:rFonts w:ascii="Arial" w:hAnsi="Arial" w:cs="Arial"/>
        </w:rPr>
        <w:t>Australia</w:t>
      </w:r>
    </w:p>
    <w:p w14:paraId="3B6C6250" w14:textId="00574FEF" w:rsidR="00A72566" w:rsidRDefault="00A72566" w:rsidP="00F6512B">
      <w:pPr>
        <w:pStyle w:val="ListParagraph"/>
        <w:numPr>
          <w:ilvl w:val="0"/>
          <w:numId w:val="11"/>
        </w:numPr>
        <w:spacing w:after="0"/>
        <w:jc w:val="both"/>
        <w:rPr>
          <w:rFonts w:ascii="Arial" w:hAnsi="Arial" w:cs="Arial"/>
        </w:rPr>
      </w:pPr>
      <w:r>
        <w:rPr>
          <w:rFonts w:ascii="Arial" w:hAnsi="Arial" w:cs="Arial"/>
        </w:rPr>
        <w:t>China</w:t>
      </w:r>
    </w:p>
    <w:p w14:paraId="3C41C723" w14:textId="34AE4A8C" w:rsidR="00A72566" w:rsidRDefault="00A72566" w:rsidP="00F6512B">
      <w:pPr>
        <w:pStyle w:val="ListParagraph"/>
        <w:numPr>
          <w:ilvl w:val="0"/>
          <w:numId w:val="11"/>
        </w:numPr>
        <w:spacing w:after="0"/>
        <w:jc w:val="both"/>
        <w:rPr>
          <w:rFonts w:ascii="Arial" w:hAnsi="Arial" w:cs="Arial"/>
        </w:rPr>
      </w:pPr>
      <w:r>
        <w:rPr>
          <w:rFonts w:ascii="Arial" w:hAnsi="Arial" w:cs="Arial"/>
        </w:rPr>
        <w:t>Japan</w:t>
      </w:r>
    </w:p>
    <w:p w14:paraId="134B0270" w14:textId="77777777" w:rsidR="002106F3" w:rsidRDefault="002106F3" w:rsidP="002106F3">
      <w:pPr>
        <w:pStyle w:val="ListParagraph"/>
        <w:numPr>
          <w:ilvl w:val="0"/>
          <w:numId w:val="11"/>
        </w:numPr>
        <w:spacing w:after="0"/>
        <w:jc w:val="both"/>
        <w:rPr>
          <w:rFonts w:ascii="Arial" w:hAnsi="Arial" w:cs="Arial"/>
        </w:rPr>
      </w:pPr>
      <w:r>
        <w:rPr>
          <w:rFonts w:ascii="Arial" w:hAnsi="Arial" w:cs="Arial"/>
        </w:rPr>
        <w:t>Chinese Taipei</w:t>
      </w:r>
    </w:p>
    <w:p w14:paraId="26E62505" w14:textId="09C24CAD" w:rsidR="00A72566" w:rsidRDefault="00A72566" w:rsidP="00F6512B">
      <w:pPr>
        <w:pStyle w:val="ListParagraph"/>
        <w:numPr>
          <w:ilvl w:val="0"/>
          <w:numId w:val="11"/>
        </w:numPr>
        <w:spacing w:after="0"/>
        <w:jc w:val="both"/>
        <w:rPr>
          <w:rFonts w:ascii="Arial" w:hAnsi="Arial" w:cs="Arial"/>
        </w:rPr>
      </w:pPr>
      <w:r>
        <w:rPr>
          <w:rFonts w:ascii="Arial" w:hAnsi="Arial" w:cs="Arial"/>
        </w:rPr>
        <w:t>The Russian Federation</w:t>
      </w:r>
    </w:p>
    <w:p w14:paraId="68E09DF9" w14:textId="0A5A1DAC" w:rsidR="00A14267" w:rsidRPr="00A14267" w:rsidRDefault="00A72566" w:rsidP="00A14267">
      <w:pPr>
        <w:pStyle w:val="ListParagraph"/>
        <w:numPr>
          <w:ilvl w:val="0"/>
          <w:numId w:val="11"/>
        </w:numPr>
        <w:spacing w:after="0"/>
        <w:jc w:val="both"/>
        <w:rPr>
          <w:rFonts w:ascii="Arial" w:hAnsi="Arial" w:cs="Arial"/>
        </w:rPr>
      </w:pPr>
      <w:r>
        <w:rPr>
          <w:rFonts w:ascii="Arial" w:hAnsi="Arial" w:cs="Arial"/>
        </w:rPr>
        <w:t>United States of America</w:t>
      </w:r>
    </w:p>
    <w:p w14:paraId="2088DC90" w14:textId="77777777" w:rsidR="00A14267" w:rsidRPr="00A14267" w:rsidRDefault="00A14267" w:rsidP="00A14267">
      <w:pPr>
        <w:spacing w:after="0"/>
        <w:jc w:val="both"/>
        <w:rPr>
          <w:rFonts w:ascii="Arial" w:hAnsi="Arial" w:cs="Arial"/>
          <w:u w:val="single"/>
        </w:rPr>
      </w:pPr>
    </w:p>
    <w:p w14:paraId="118EE30D" w14:textId="52125735" w:rsidR="00732FF4" w:rsidRPr="0072552D" w:rsidRDefault="00732FF4" w:rsidP="00007742">
      <w:pPr>
        <w:pStyle w:val="Heading2"/>
      </w:pPr>
      <w:bookmarkStart w:id="4" w:name="_Toc6393966"/>
      <w:r w:rsidRPr="0072552D">
        <w:t>General Information</w:t>
      </w:r>
      <w:bookmarkEnd w:id="4"/>
    </w:p>
    <w:p w14:paraId="48622F07" w14:textId="6156F5FE" w:rsidR="005C065C" w:rsidRDefault="00737E5A" w:rsidP="005C065C">
      <w:pPr>
        <w:spacing w:after="0"/>
        <w:jc w:val="both"/>
        <w:rPr>
          <w:rFonts w:ascii="Arial" w:hAnsi="Arial" w:cs="Arial"/>
        </w:rPr>
      </w:pPr>
      <w:r>
        <w:rPr>
          <w:rFonts w:ascii="Arial" w:hAnsi="Arial" w:cs="Arial"/>
        </w:rPr>
        <w:t xml:space="preserve">All </w:t>
      </w:r>
      <w:r w:rsidR="00CD2991">
        <w:rPr>
          <w:rFonts w:ascii="Arial" w:hAnsi="Arial" w:cs="Arial"/>
        </w:rPr>
        <w:t>respondents (1</w:t>
      </w:r>
      <w:r w:rsidR="005C6479">
        <w:rPr>
          <w:rFonts w:ascii="Arial" w:hAnsi="Arial" w:cs="Arial"/>
        </w:rPr>
        <w:t>3</w:t>
      </w:r>
      <w:r w:rsidR="00CD2991">
        <w:rPr>
          <w:rFonts w:ascii="Arial" w:hAnsi="Arial" w:cs="Arial"/>
        </w:rPr>
        <w:t xml:space="preserve"> Economies</w:t>
      </w:r>
      <w:r w:rsidR="00ED1E6B">
        <w:rPr>
          <w:rFonts w:ascii="Arial" w:hAnsi="Arial" w:cs="Arial"/>
        </w:rPr>
        <w:t>, including China and Japan through the GHS Implementation Rationale Questions</w:t>
      </w:r>
      <w:r w:rsidR="00CD2991">
        <w:rPr>
          <w:rFonts w:ascii="Arial" w:hAnsi="Arial" w:cs="Arial"/>
        </w:rPr>
        <w:t>)</w:t>
      </w:r>
      <w:r w:rsidR="004E6D64">
        <w:rPr>
          <w:rFonts w:ascii="Arial" w:hAnsi="Arial" w:cs="Arial"/>
        </w:rPr>
        <w:t xml:space="preserve"> </w:t>
      </w:r>
      <w:r w:rsidR="00F72CDC">
        <w:rPr>
          <w:rFonts w:ascii="Arial" w:hAnsi="Arial" w:cs="Arial"/>
        </w:rPr>
        <w:t xml:space="preserve">confirmed </w:t>
      </w:r>
      <w:r w:rsidR="004E6D64">
        <w:rPr>
          <w:rFonts w:ascii="Arial" w:hAnsi="Arial" w:cs="Arial"/>
        </w:rPr>
        <w:t xml:space="preserve">that GHS was implemented in their </w:t>
      </w:r>
      <w:r w:rsidR="00801BC9">
        <w:rPr>
          <w:rFonts w:ascii="Arial" w:hAnsi="Arial" w:cs="Arial"/>
        </w:rPr>
        <w:t>E</w:t>
      </w:r>
      <w:r w:rsidR="004E6D64">
        <w:rPr>
          <w:rFonts w:ascii="Arial" w:hAnsi="Arial" w:cs="Arial"/>
        </w:rPr>
        <w:t>co</w:t>
      </w:r>
      <w:r w:rsidR="00F72CDC">
        <w:rPr>
          <w:rFonts w:ascii="Arial" w:hAnsi="Arial" w:cs="Arial"/>
        </w:rPr>
        <w:t>nomy.</w:t>
      </w:r>
    </w:p>
    <w:p w14:paraId="67500D0A" w14:textId="70BBB865" w:rsidR="00B371F2" w:rsidRDefault="00B371F2" w:rsidP="005C065C">
      <w:pPr>
        <w:spacing w:after="0"/>
        <w:jc w:val="both"/>
        <w:rPr>
          <w:rFonts w:ascii="Arial" w:hAnsi="Arial" w:cs="Arial"/>
        </w:rPr>
      </w:pPr>
    </w:p>
    <w:p w14:paraId="6C9DFDBD" w14:textId="4A86CBFE" w:rsidR="00B371F2" w:rsidRDefault="0027519D" w:rsidP="005C065C">
      <w:pPr>
        <w:spacing w:after="0"/>
        <w:jc w:val="both"/>
        <w:rPr>
          <w:rFonts w:ascii="Arial" w:hAnsi="Arial" w:cs="Arial"/>
        </w:rPr>
      </w:pPr>
      <w:r>
        <w:rPr>
          <w:rFonts w:ascii="Arial" w:hAnsi="Arial" w:cs="Arial"/>
        </w:rPr>
        <w:t xml:space="preserve">The </w:t>
      </w:r>
      <w:r w:rsidR="00801BC9">
        <w:rPr>
          <w:rFonts w:ascii="Arial" w:hAnsi="Arial" w:cs="Arial"/>
        </w:rPr>
        <w:t>3</w:t>
      </w:r>
      <w:r w:rsidR="00801BC9" w:rsidRPr="00801BC9">
        <w:rPr>
          <w:rFonts w:ascii="Arial" w:hAnsi="Arial" w:cs="Arial"/>
          <w:vertAlign w:val="superscript"/>
        </w:rPr>
        <w:t>rd</w:t>
      </w:r>
      <w:r w:rsidR="00801BC9">
        <w:rPr>
          <w:rFonts w:ascii="Arial" w:hAnsi="Arial" w:cs="Arial"/>
        </w:rPr>
        <w:t xml:space="preserve"> and 4</w:t>
      </w:r>
      <w:r w:rsidR="00801BC9" w:rsidRPr="00801BC9">
        <w:rPr>
          <w:rFonts w:ascii="Arial" w:hAnsi="Arial" w:cs="Arial"/>
          <w:vertAlign w:val="superscript"/>
        </w:rPr>
        <w:t>th</w:t>
      </w:r>
      <w:r w:rsidR="00801BC9">
        <w:rPr>
          <w:rFonts w:ascii="Arial" w:hAnsi="Arial" w:cs="Arial"/>
        </w:rPr>
        <w:t xml:space="preserve"> revisions of GHS were the most common GHS revisions adopted by the reporting Economies.</w:t>
      </w:r>
      <w:r w:rsidR="007456D2">
        <w:rPr>
          <w:rFonts w:ascii="Arial" w:hAnsi="Arial" w:cs="Arial"/>
        </w:rPr>
        <w:t xml:space="preserve"> One eco</w:t>
      </w:r>
      <w:r w:rsidR="00D77A36">
        <w:rPr>
          <w:rFonts w:ascii="Arial" w:hAnsi="Arial" w:cs="Arial"/>
        </w:rPr>
        <w:t>n</w:t>
      </w:r>
      <w:r w:rsidR="007456D2">
        <w:rPr>
          <w:rFonts w:ascii="Arial" w:hAnsi="Arial" w:cs="Arial"/>
        </w:rPr>
        <w:t>omy (Viet</w:t>
      </w:r>
      <w:r w:rsidR="002106F3">
        <w:rPr>
          <w:rFonts w:ascii="Arial" w:hAnsi="Arial" w:cs="Arial"/>
        </w:rPr>
        <w:t xml:space="preserve"> N</w:t>
      </w:r>
      <w:r w:rsidR="007456D2">
        <w:rPr>
          <w:rFonts w:ascii="Arial" w:hAnsi="Arial" w:cs="Arial"/>
        </w:rPr>
        <w:t>am</w:t>
      </w:r>
      <w:r w:rsidR="00DF4828">
        <w:rPr>
          <w:rFonts w:ascii="Arial" w:hAnsi="Arial" w:cs="Arial"/>
        </w:rPr>
        <w:t>)</w:t>
      </w:r>
      <w:r w:rsidR="004315B0">
        <w:rPr>
          <w:rFonts w:ascii="Arial" w:hAnsi="Arial" w:cs="Arial"/>
        </w:rPr>
        <w:t xml:space="preserve"> reported that</w:t>
      </w:r>
      <w:r w:rsidR="001466FB">
        <w:rPr>
          <w:rFonts w:ascii="Arial" w:hAnsi="Arial" w:cs="Arial"/>
        </w:rPr>
        <w:t xml:space="preserve"> </w:t>
      </w:r>
      <w:r w:rsidR="00D2283F">
        <w:rPr>
          <w:rFonts w:ascii="Arial" w:hAnsi="Arial" w:cs="Arial"/>
        </w:rPr>
        <w:t xml:space="preserve">the </w:t>
      </w:r>
      <w:r w:rsidR="001466FB">
        <w:rPr>
          <w:rFonts w:ascii="Arial" w:hAnsi="Arial" w:cs="Arial"/>
        </w:rPr>
        <w:t>2</w:t>
      </w:r>
      <w:r w:rsidR="001466FB" w:rsidRPr="001466FB">
        <w:rPr>
          <w:rFonts w:ascii="Arial" w:hAnsi="Arial" w:cs="Arial"/>
          <w:vertAlign w:val="superscript"/>
        </w:rPr>
        <w:t>nd</w:t>
      </w:r>
      <w:r w:rsidR="001466FB">
        <w:rPr>
          <w:rFonts w:ascii="Arial" w:hAnsi="Arial" w:cs="Arial"/>
        </w:rPr>
        <w:t xml:space="preserve"> through to </w:t>
      </w:r>
      <w:r w:rsidR="00D2283F">
        <w:rPr>
          <w:rFonts w:ascii="Arial" w:hAnsi="Arial" w:cs="Arial"/>
        </w:rPr>
        <w:t xml:space="preserve">the </w:t>
      </w:r>
      <w:r w:rsidR="001466FB">
        <w:rPr>
          <w:rFonts w:ascii="Arial" w:hAnsi="Arial" w:cs="Arial"/>
        </w:rPr>
        <w:t>7</w:t>
      </w:r>
      <w:r w:rsidR="001466FB" w:rsidRPr="001466FB">
        <w:rPr>
          <w:rFonts w:ascii="Arial" w:hAnsi="Arial" w:cs="Arial"/>
          <w:vertAlign w:val="superscript"/>
        </w:rPr>
        <w:t>th</w:t>
      </w:r>
      <w:r w:rsidR="001466FB">
        <w:rPr>
          <w:rFonts w:ascii="Arial" w:hAnsi="Arial" w:cs="Arial"/>
        </w:rPr>
        <w:t xml:space="preserve"> revisions of GHS were implemented</w:t>
      </w:r>
      <w:r w:rsidR="00AC004D">
        <w:rPr>
          <w:rFonts w:ascii="Arial" w:hAnsi="Arial" w:cs="Arial"/>
        </w:rPr>
        <w:t xml:space="preserve">.  This information was included in </w:t>
      </w:r>
      <w:r w:rsidR="00C01ACC">
        <w:rPr>
          <w:rFonts w:ascii="Arial" w:hAnsi="Arial" w:cs="Arial"/>
        </w:rPr>
        <w:t xml:space="preserve">Graph </w:t>
      </w:r>
      <w:r w:rsidR="00F17731">
        <w:rPr>
          <w:rFonts w:ascii="Arial" w:hAnsi="Arial" w:cs="Arial"/>
        </w:rPr>
        <w:t>1 and explains the seemingly larger total number of Economies</w:t>
      </w:r>
      <w:r w:rsidR="00837E40">
        <w:rPr>
          <w:rFonts w:ascii="Arial" w:hAnsi="Arial" w:cs="Arial"/>
        </w:rPr>
        <w:t xml:space="preserve"> shown in the graph</w:t>
      </w:r>
      <w:r w:rsidR="00F17731">
        <w:rPr>
          <w:rFonts w:ascii="Arial" w:hAnsi="Arial" w:cs="Arial"/>
        </w:rPr>
        <w:t xml:space="preserve"> than </w:t>
      </w:r>
      <w:r w:rsidR="00544E34">
        <w:rPr>
          <w:rFonts w:ascii="Arial" w:hAnsi="Arial" w:cs="Arial"/>
        </w:rPr>
        <w:t>stated</w:t>
      </w:r>
      <w:r w:rsidR="00F17731">
        <w:rPr>
          <w:rFonts w:ascii="Arial" w:hAnsi="Arial" w:cs="Arial"/>
        </w:rPr>
        <w:t xml:space="preserve"> 11</w:t>
      </w:r>
      <w:r w:rsidR="00837E40">
        <w:rPr>
          <w:rFonts w:ascii="Arial" w:hAnsi="Arial" w:cs="Arial"/>
        </w:rPr>
        <w:t xml:space="preserve"> reporting Economies</w:t>
      </w:r>
      <w:r w:rsidR="00F17731">
        <w:rPr>
          <w:rFonts w:ascii="Arial" w:hAnsi="Arial" w:cs="Arial"/>
        </w:rPr>
        <w:t>.</w:t>
      </w:r>
    </w:p>
    <w:p w14:paraId="724DD090" w14:textId="2E47141B" w:rsidR="00D77A36" w:rsidRDefault="00D77A36" w:rsidP="005C065C">
      <w:pPr>
        <w:spacing w:after="0"/>
        <w:jc w:val="both"/>
        <w:rPr>
          <w:rFonts w:ascii="Arial" w:hAnsi="Arial" w:cs="Arial"/>
        </w:rPr>
      </w:pPr>
    </w:p>
    <w:p w14:paraId="77DB29F2" w14:textId="1CA08BA5" w:rsidR="00D77A36" w:rsidRPr="002500F9" w:rsidRDefault="00C01ACC" w:rsidP="005C065C">
      <w:pPr>
        <w:spacing w:after="0"/>
        <w:jc w:val="both"/>
        <w:rPr>
          <w:rFonts w:ascii="Arial" w:hAnsi="Arial" w:cs="Arial"/>
          <w:i/>
        </w:rPr>
      </w:pPr>
      <w:r w:rsidRPr="002500F9">
        <w:rPr>
          <w:rFonts w:ascii="Arial" w:hAnsi="Arial" w:cs="Arial"/>
          <w:i/>
        </w:rPr>
        <w:t>Graph 1</w:t>
      </w:r>
    </w:p>
    <w:p w14:paraId="7E99341D" w14:textId="02ED3DC2" w:rsidR="00B371F2" w:rsidRPr="005C065C" w:rsidRDefault="00B371F2" w:rsidP="005C065C">
      <w:pPr>
        <w:spacing w:after="0"/>
        <w:jc w:val="both"/>
        <w:rPr>
          <w:rFonts w:ascii="Arial" w:hAnsi="Arial" w:cs="Arial"/>
        </w:rPr>
      </w:pPr>
      <w:r>
        <w:rPr>
          <w:noProof/>
          <w:lang w:eastAsia="zh-TW"/>
        </w:rPr>
        <w:lastRenderedPageBreak/>
        <w:drawing>
          <wp:inline distT="0" distB="0" distL="0" distR="0" wp14:anchorId="6266E669" wp14:editId="7E639FE0">
            <wp:extent cx="5943600" cy="3910965"/>
            <wp:effectExtent l="0" t="0" r="0" b="13335"/>
            <wp:docPr id="1" name="Chart 1">
              <a:extLst xmlns:a="http://schemas.openxmlformats.org/drawingml/2006/main">
                <a:ext uri="{FF2B5EF4-FFF2-40B4-BE49-F238E27FC236}">
                  <a16:creationId xmlns:a16="http://schemas.microsoft.com/office/drawing/2014/main" id="{59E0D1FE-ED4A-4346-8931-60621F79E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E1708D" w14:textId="77777777" w:rsidR="00DA1F78" w:rsidRDefault="00DA1F78" w:rsidP="00576E01">
      <w:pPr>
        <w:spacing w:after="0"/>
        <w:jc w:val="both"/>
        <w:rPr>
          <w:rFonts w:ascii="Arial" w:hAnsi="Arial" w:cs="Arial"/>
        </w:rPr>
      </w:pPr>
    </w:p>
    <w:p w14:paraId="35E0B79D" w14:textId="1B919C19" w:rsidR="00EF60D7" w:rsidRDefault="008E67FC" w:rsidP="00576E01">
      <w:pPr>
        <w:spacing w:after="0"/>
        <w:jc w:val="both"/>
        <w:rPr>
          <w:rFonts w:ascii="Arial" w:hAnsi="Arial" w:cs="Arial"/>
        </w:rPr>
      </w:pPr>
      <w:r>
        <w:rPr>
          <w:rFonts w:ascii="Arial" w:hAnsi="Arial" w:cs="Arial"/>
        </w:rPr>
        <w:t>Five Economies (Mexico</w:t>
      </w:r>
      <w:r w:rsidR="00B113C5">
        <w:rPr>
          <w:rFonts w:ascii="Arial" w:hAnsi="Arial" w:cs="Arial"/>
        </w:rPr>
        <w:t>,</w:t>
      </w:r>
      <w:r w:rsidRPr="008E67FC">
        <w:rPr>
          <w:rFonts w:ascii="Arial" w:hAnsi="Arial" w:cs="Arial"/>
        </w:rPr>
        <w:t xml:space="preserve"> </w:t>
      </w:r>
      <w:r>
        <w:rPr>
          <w:rFonts w:ascii="Arial" w:hAnsi="Arial" w:cs="Arial"/>
        </w:rPr>
        <w:t xml:space="preserve">Singapore, </w:t>
      </w:r>
      <w:r w:rsidR="00926675">
        <w:rPr>
          <w:rFonts w:ascii="Arial" w:hAnsi="Arial" w:cs="Arial"/>
        </w:rPr>
        <w:t>Chinese Taipei,</w:t>
      </w:r>
      <w:r w:rsidR="00926675" w:rsidRPr="008E67FC">
        <w:rPr>
          <w:rFonts w:ascii="Arial" w:hAnsi="Arial" w:cs="Arial"/>
        </w:rPr>
        <w:t xml:space="preserve"> </w:t>
      </w:r>
      <w:r>
        <w:rPr>
          <w:rFonts w:ascii="Arial" w:hAnsi="Arial" w:cs="Arial"/>
        </w:rPr>
        <w:t xml:space="preserve">Thailand, and The Republic of Philippines) </w:t>
      </w:r>
    </w:p>
    <w:p w14:paraId="1B91ADA7" w14:textId="0CC69747" w:rsidR="00EF60D7" w:rsidRDefault="008E67FC" w:rsidP="00576E01">
      <w:pPr>
        <w:spacing w:after="0"/>
        <w:jc w:val="both"/>
        <w:rPr>
          <w:rFonts w:ascii="Arial" w:hAnsi="Arial" w:cs="Arial"/>
        </w:rPr>
      </w:pPr>
      <w:r>
        <w:rPr>
          <w:rFonts w:ascii="Arial" w:hAnsi="Arial" w:cs="Arial"/>
        </w:rPr>
        <w:t xml:space="preserve">responded that they accept later revisions of GHS than the implemented revision.  Canada noted that they accept anything that meets or exceeds, and does not contravene their legislation. </w:t>
      </w:r>
      <w:r w:rsidR="00EF60D7">
        <w:rPr>
          <w:rFonts w:ascii="Arial" w:hAnsi="Arial" w:cs="Arial"/>
        </w:rPr>
        <w:t>United States of America stated that they accept precautionary statements from later revisions of GHS.</w:t>
      </w:r>
    </w:p>
    <w:p w14:paraId="369A8CDA" w14:textId="77777777" w:rsidR="002567FF" w:rsidRPr="002567FF" w:rsidRDefault="002567FF" w:rsidP="00576E01">
      <w:pPr>
        <w:spacing w:after="0"/>
        <w:jc w:val="both"/>
        <w:rPr>
          <w:rFonts w:ascii="Arial" w:hAnsi="Arial" w:cs="Arial"/>
        </w:rPr>
      </w:pPr>
    </w:p>
    <w:p w14:paraId="3761D625" w14:textId="4840F8BF" w:rsidR="00732FF4" w:rsidRPr="00C54977" w:rsidRDefault="00732FF4" w:rsidP="00007742">
      <w:pPr>
        <w:pStyle w:val="Heading2"/>
      </w:pPr>
      <w:bookmarkStart w:id="5" w:name="_Toc6393967"/>
      <w:r w:rsidRPr="00C54977">
        <w:t>Economies adopt later editions of GHS</w:t>
      </w:r>
      <w:bookmarkEnd w:id="5"/>
    </w:p>
    <w:p w14:paraId="7DB00326" w14:textId="5939B370" w:rsidR="00C54977" w:rsidRDefault="00C54977" w:rsidP="00C54977">
      <w:pPr>
        <w:spacing w:after="0"/>
        <w:jc w:val="both"/>
        <w:rPr>
          <w:rFonts w:ascii="Arial" w:hAnsi="Arial" w:cs="Arial"/>
        </w:rPr>
      </w:pPr>
      <w:r w:rsidRPr="00C54977">
        <w:rPr>
          <w:rFonts w:ascii="Arial" w:hAnsi="Arial" w:cs="Arial"/>
        </w:rPr>
        <w:t>Six Economies responded that they have plans to move to the 7</w:t>
      </w:r>
      <w:r w:rsidRPr="00C54977">
        <w:rPr>
          <w:rFonts w:ascii="Arial" w:hAnsi="Arial" w:cs="Arial"/>
          <w:vertAlign w:val="superscript"/>
        </w:rPr>
        <w:t>th</w:t>
      </w:r>
      <w:r w:rsidRPr="00C54977">
        <w:rPr>
          <w:rFonts w:ascii="Arial" w:hAnsi="Arial" w:cs="Arial"/>
        </w:rPr>
        <w:t xml:space="preserve"> revision of GHS, with three Economies identifying 2020 as the likely adoption year</w:t>
      </w:r>
      <w:r w:rsidR="00183817">
        <w:rPr>
          <w:rFonts w:ascii="Arial" w:hAnsi="Arial" w:cs="Arial"/>
        </w:rPr>
        <w:t xml:space="preserve">, two </w:t>
      </w:r>
      <w:r w:rsidRPr="00C54977">
        <w:rPr>
          <w:rFonts w:ascii="Arial" w:hAnsi="Arial" w:cs="Arial"/>
        </w:rPr>
        <w:t>Economies identifying 2021</w:t>
      </w:r>
      <w:r w:rsidR="00183817">
        <w:rPr>
          <w:rFonts w:ascii="Arial" w:hAnsi="Arial" w:cs="Arial"/>
        </w:rPr>
        <w:t xml:space="preserve"> and one Economy did not identify a year.</w:t>
      </w:r>
      <w:r w:rsidRPr="00C54977">
        <w:rPr>
          <w:rFonts w:ascii="Arial" w:hAnsi="Arial" w:cs="Arial"/>
        </w:rPr>
        <w:t xml:space="preserve"> No other revisions were identified for potential future adoption.</w:t>
      </w:r>
    </w:p>
    <w:p w14:paraId="4B14CA26" w14:textId="779BEBFE" w:rsidR="00975A49" w:rsidRDefault="00975A49" w:rsidP="00C54977">
      <w:pPr>
        <w:spacing w:after="0"/>
        <w:jc w:val="both"/>
        <w:rPr>
          <w:rFonts w:ascii="Arial" w:hAnsi="Arial" w:cs="Arial"/>
        </w:rPr>
      </w:pPr>
    </w:p>
    <w:p w14:paraId="3FCE6391" w14:textId="20DF8D67" w:rsidR="00C54977" w:rsidRDefault="00975A49" w:rsidP="00C54977">
      <w:pPr>
        <w:spacing w:after="0"/>
        <w:jc w:val="both"/>
        <w:rPr>
          <w:rFonts w:ascii="Arial" w:hAnsi="Arial" w:cs="Arial"/>
        </w:rPr>
      </w:pPr>
      <w:r>
        <w:rPr>
          <w:rFonts w:ascii="Arial" w:hAnsi="Arial" w:cs="Arial"/>
        </w:rPr>
        <w:t xml:space="preserve">Of the remaining five Economies, two Economies did not provide a response and </w:t>
      </w:r>
      <w:r w:rsidR="00D01CBB">
        <w:rPr>
          <w:rFonts w:ascii="Arial" w:hAnsi="Arial" w:cs="Arial"/>
        </w:rPr>
        <w:t>three were unsure whether the adoption of a later revision was likely within the next five years.</w:t>
      </w:r>
    </w:p>
    <w:p w14:paraId="3B405C0B" w14:textId="6FE891EA" w:rsidR="00576485" w:rsidRDefault="00576485" w:rsidP="00C54977">
      <w:pPr>
        <w:spacing w:after="0"/>
        <w:jc w:val="both"/>
        <w:rPr>
          <w:rFonts w:ascii="Arial" w:hAnsi="Arial" w:cs="Arial"/>
        </w:rPr>
      </w:pPr>
    </w:p>
    <w:p w14:paraId="4832BC09" w14:textId="6D46E277" w:rsidR="00576485" w:rsidRDefault="005A77E5" w:rsidP="00C54977">
      <w:pPr>
        <w:spacing w:after="0"/>
        <w:jc w:val="both"/>
        <w:rPr>
          <w:rFonts w:ascii="Arial" w:hAnsi="Arial" w:cs="Arial"/>
        </w:rPr>
      </w:pPr>
      <w:r>
        <w:rPr>
          <w:rFonts w:ascii="Arial" w:hAnsi="Arial" w:cs="Arial"/>
        </w:rPr>
        <w:t>While some Economies identified formal mechanisms to trigger the adoption of later revisions of GHS such as legislated 5 yearly review</w:t>
      </w:r>
      <w:r w:rsidR="00E74550">
        <w:rPr>
          <w:rFonts w:ascii="Arial" w:hAnsi="Arial" w:cs="Arial"/>
        </w:rPr>
        <w:t>s</w:t>
      </w:r>
      <w:r>
        <w:rPr>
          <w:rFonts w:ascii="Arial" w:hAnsi="Arial" w:cs="Arial"/>
        </w:rPr>
        <w:t xml:space="preserve">, </w:t>
      </w:r>
      <w:r w:rsidR="002F411F">
        <w:rPr>
          <w:rFonts w:ascii="Arial" w:hAnsi="Arial" w:cs="Arial"/>
        </w:rPr>
        <w:t>some Economies appeared to have less</w:t>
      </w:r>
      <w:r w:rsidR="00300297">
        <w:rPr>
          <w:rFonts w:ascii="Arial" w:hAnsi="Arial" w:cs="Arial"/>
        </w:rPr>
        <w:t xml:space="preserve"> formal</w:t>
      </w:r>
      <w:r w:rsidR="002F411F">
        <w:rPr>
          <w:rFonts w:ascii="Arial" w:hAnsi="Arial" w:cs="Arial"/>
        </w:rPr>
        <w:t xml:space="preserve"> mechanisms, such as established GHS focal point</w:t>
      </w:r>
      <w:r w:rsidR="00E74550">
        <w:rPr>
          <w:rFonts w:ascii="Arial" w:hAnsi="Arial" w:cs="Arial"/>
        </w:rPr>
        <w:t>s</w:t>
      </w:r>
      <w:r w:rsidR="002F411F">
        <w:rPr>
          <w:rFonts w:ascii="Arial" w:hAnsi="Arial" w:cs="Arial"/>
        </w:rPr>
        <w:t xml:space="preserve"> that can review the need for update</w:t>
      </w:r>
      <w:r w:rsidR="00DA19DE">
        <w:rPr>
          <w:rFonts w:ascii="Arial" w:hAnsi="Arial" w:cs="Arial"/>
        </w:rPr>
        <w:t>, while other Economies noted that the review would have to be “manually” triggered, usually by the regulator.</w:t>
      </w:r>
    </w:p>
    <w:p w14:paraId="22248A1A" w14:textId="6ED2D106" w:rsidR="00E26EB3" w:rsidRDefault="00E26EB3" w:rsidP="00C54977">
      <w:pPr>
        <w:spacing w:after="0"/>
        <w:jc w:val="both"/>
        <w:rPr>
          <w:rFonts w:ascii="Arial" w:hAnsi="Arial" w:cs="Arial"/>
        </w:rPr>
      </w:pPr>
    </w:p>
    <w:p w14:paraId="28A9BB42" w14:textId="2D39F927" w:rsidR="00E26EB3" w:rsidRDefault="00E26EB3" w:rsidP="00C54977">
      <w:pPr>
        <w:spacing w:after="0"/>
        <w:jc w:val="both"/>
        <w:rPr>
          <w:rFonts w:ascii="Arial" w:hAnsi="Arial" w:cs="Arial"/>
        </w:rPr>
      </w:pPr>
      <w:r>
        <w:rPr>
          <w:rFonts w:ascii="Arial" w:hAnsi="Arial" w:cs="Arial"/>
        </w:rPr>
        <w:t>The review trigger mechanisms that were identified by the Economies are listed below:</w:t>
      </w:r>
    </w:p>
    <w:p w14:paraId="24181613" w14:textId="5A6335B6" w:rsidR="00E26EB3" w:rsidRDefault="00E26EB3" w:rsidP="00E26EB3">
      <w:pPr>
        <w:pStyle w:val="ListParagraph"/>
        <w:numPr>
          <w:ilvl w:val="0"/>
          <w:numId w:val="7"/>
        </w:numPr>
        <w:spacing w:after="0"/>
        <w:jc w:val="both"/>
        <w:rPr>
          <w:rFonts w:ascii="Arial" w:hAnsi="Arial" w:cs="Arial"/>
        </w:rPr>
      </w:pPr>
      <w:r>
        <w:rPr>
          <w:rFonts w:ascii="Arial" w:hAnsi="Arial" w:cs="Arial"/>
        </w:rPr>
        <w:t>Legislated 5 yearly review</w:t>
      </w:r>
      <w:r w:rsidR="005C5DFF">
        <w:rPr>
          <w:rFonts w:ascii="Arial" w:hAnsi="Arial" w:cs="Arial"/>
        </w:rPr>
        <w:t>s</w:t>
      </w:r>
      <w:r>
        <w:rPr>
          <w:rFonts w:ascii="Arial" w:hAnsi="Arial" w:cs="Arial"/>
        </w:rPr>
        <w:t>,</w:t>
      </w:r>
    </w:p>
    <w:p w14:paraId="40563C3E" w14:textId="1DF55AB4" w:rsidR="00E26EB3" w:rsidRDefault="00E26EB3" w:rsidP="00E26EB3">
      <w:pPr>
        <w:pStyle w:val="ListParagraph"/>
        <w:numPr>
          <w:ilvl w:val="0"/>
          <w:numId w:val="7"/>
        </w:numPr>
        <w:spacing w:after="0"/>
        <w:jc w:val="both"/>
        <w:rPr>
          <w:rFonts w:ascii="Arial" w:hAnsi="Arial" w:cs="Arial"/>
        </w:rPr>
      </w:pPr>
      <w:r>
        <w:rPr>
          <w:rFonts w:ascii="Arial" w:hAnsi="Arial" w:cs="Arial"/>
        </w:rPr>
        <w:t xml:space="preserve">Established GHS </w:t>
      </w:r>
      <w:r w:rsidR="00BF7A8B">
        <w:rPr>
          <w:rFonts w:ascii="Arial" w:hAnsi="Arial" w:cs="Arial"/>
        </w:rPr>
        <w:t>task force of regulator</w:t>
      </w:r>
      <w:r w:rsidR="00370146">
        <w:rPr>
          <w:rFonts w:ascii="Arial" w:hAnsi="Arial" w:cs="Arial"/>
        </w:rPr>
        <w:t>,</w:t>
      </w:r>
      <w:r w:rsidR="00BF7A8B">
        <w:rPr>
          <w:rFonts w:ascii="Arial" w:hAnsi="Arial" w:cs="Arial"/>
        </w:rPr>
        <w:t xml:space="preserve"> industry</w:t>
      </w:r>
      <w:r w:rsidR="00370146">
        <w:rPr>
          <w:rFonts w:ascii="Arial" w:hAnsi="Arial" w:cs="Arial"/>
        </w:rPr>
        <w:t xml:space="preserve"> and training organisations</w:t>
      </w:r>
      <w:r>
        <w:rPr>
          <w:rFonts w:ascii="Arial" w:hAnsi="Arial" w:cs="Arial"/>
        </w:rPr>
        <w:t xml:space="preserve"> </w:t>
      </w:r>
      <w:r w:rsidR="00040D9F">
        <w:rPr>
          <w:rFonts w:ascii="Arial" w:hAnsi="Arial" w:cs="Arial"/>
        </w:rPr>
        <w:t>to assess the need for the adoption of a new revision on a</w:t>
      </w:r>
      <w:r w:rsidR="00581238">
        <w:rPr>
          <w:rFonts w:ascii="Arial" w:hAnsi="Arial" w:cs="Arial"/>
        </w:rPr>
        <w:t>n</w:t>
      </w:r>
      <w:r w:rsidR="00040D9F">
        <w:rPr>
          <w:rFonts w:ascii="Arial" w:hAnsi="Arial" w:cs="Arial"/>
        </w:rPr>
        <w:t xml:space="preserve"> on-going basis,</w:t>
      </w:r>
    </w:p>
    <w:p w14:paraId="3BB305B0" w14:textId="09629C30" w:rsidR="00040D9F" w:rsidRDefault="00D23BF9" w:rsidP="00E26EB3">
      <w:pPr>
        <w:pStyle w:val="ListParagraph"/>
        <w:numPr>
          <w:ilvl w:val="0"/>
          <w:numId w:val="7"/>
        </w:numPr>
        <w:spacing w:after="0"/>
        <w:jc w:val="both"/>
        <w:rPr>
          <w:rFonts w:ascii="Arial" w:hAnsi="Arial" w:cs="Arial"/>
        </w:rPr>
      </w:pPr>
      <w:r>
        <w:rPr>
          <w:rFonts w:ascii="Arial" w:hAnsi="Arial" w:cs="Arial"/>
        </w:rPr>
        <w:lastRenderedPageBreak/>
        <w:t>Review with every second revision of GHS (it is unclear whether this is a legislated or less formal administrative practice),</w:t>
      </w:r>
      <w:r w:rsidR="00056380">
        <w:rPr>
          <w:rFonts w:ascii="Arial" w:hAnsi="Arial" w:cs="Arial"/>
        </w:rPr>
        <w:t xml:space="preserve"> and</w:t>
      </w:r>
    </w:p>
    <w:p w14:paraId="18C0183F" w14:textId="270E81DB" w:rsidR="00D23BF9" w:rsidRDefault="00056380" w:rsidP="00E26EB3">
      <w:pPr>
        <w:pStyle w:val="ListParagraph"/>
        <w:numPr>
          <w:ilvl w:val="0"/>
          <w:numId w:val="7"/>
        </w:numPr>
        <w:spacing w:after="0"/>
        <w:jc w:val="both"/>
        <w:rPr>
          <w:rFonts w:ascii="Arial" w:hAnsi="Arial" w:cs="Arial"/>
        </w:rPr>
      </w:pPr>
      <w:r>
        <w:rPr>
          <w:rFonts w:ascii="Arial" w:hAnsi="Arial" w:cs="Arial"/>
        </w:rPr>
        <w:t>“manual” trigger by the regulator.</w:t>
      </w:r>
    </w:p>
    <w:p w14:paraId="72986CAC" w14:textId="0C8B8110" w:rsidR="00056380" w:rsidRDefault="00056380" w:rsidP="00056380">
      <w:pPr>
        <w:spacing w:after="0"/>
        <w:jc w:val="both"/>
        <w:rPr>
          <w:rFonts w:ascii="Arial" w:hAnsi="Arial" w:cs="Arial"/>
        </w:rPr>
      </w:pPr>
    </w:p>
    <w:p w14:paraId="0097738E" w14:textId="2094FFC4" w:rsidR="00DC4090" w:rsidRDefault="00056380" w:rsidP="00056380">
      <w:pPr>
        <w:spacing w:after="0"/>
        <w:jc w:val="both"/>
        <w:rPr>
          <w:rFonts w:ascii="Arial" w:hAnsi="Arial" w:cs="Arial"/>
        </w:rPr>
      </w:pPr>
      <w:r>
        <w:rPr>
          <w:rFonts w:ascii="Arial" w:hAnsi="Arial" w:cs="Arial"/>
        </w:rPr>
        <w:t xml:space="preserve">One Economy identified that </w:t>
      </w:r>
      <w:r w:rsidR="00E677E5">
        <w:rPr>
          <w:rFonts w:ascii="Arial" w:hAnsi="Arial" w:cs="Arial"/>
        </w:rPr>
        <w:t xml:space="preserve">later revisions of GHS than </w:t>
      </w:r>
      <w:r w:rsidR="006F3FC4">
        <w:rPr>
          <w:rFonts w:ascii="Arial" w:hAnsi="Arial" w:cs="Arial"/>
        </w:rPr>
        <w:t xml:space="preserve">that </w:t>
      </w:r>
      <w:r w:rsidR="00E677E5">
        <w:rPr>
          <w:rFonts w:ascii="Arial" w:hAnsi="Arial" w:cs="Arial"/>
        </w:rPr>
        <w:t xml:space="preserve">formally adopted by the Economy were </w:t>
      </w:r>
      <w:r w:rsidR="00B768D5">
        <w:rPr>
          <w:rFonts w:ascii="Arial" w:hAnsi="Arial" w:cs="Arial"/>
        </w:rPr>
        <w:t>already recognized.</w:t>
      </w:r>
    </w:p>
    <w:p w14:paraId="0F4033C9" w14:textId="77777777" w:rsidR="003F7770" w:rsidRDefault="003F7770" w:rsidP="00056380">
      <w:pPr>
        <w:spacing w:after="0"/>
        <w:jc w:val="both"/>
        <w:rPr>
          <w:rFonts w:ascii="Arial" w:hAnsi="Arial" w:cs="Arial"/>
        </w:rPr>
      </w:pPr>
    </w:p>
    <w:p w14:paraId="5EE2EA4C" w14:textId="54F3D584" w:rsidR="00056380" w:rsidRPr="00056380" w:rsidRDefault="003F7770" w:rsidP="00056380">
      <w:pPr>
        <w:spacing w:after="0"/>
        <w:jc w:val="both"/>
        <w:rPr>
          <w:rFonts w:ascii="Arial" w:hAnsi="Arial" w:cs="Arial"/>
        </w:rPr>
      </w:pPr>
      <w:r>
        <w:rPr>
          <w:rFonts w:ascii="Arial" w:hAnsi="Arial" w:cs="Arial"/>
        </w:rPr>
        <w:t xml:space="preserve">Some Economies also identified that a full law making/update process would need to be followed to update to the newer revision of GHS, including cost/benefit analysis, </w:t>
      </w:r>
      <w:r w:rsidR="00F46374">
        <w:rPr>
          <w:rFonts w:ascii="Arial" w:hAnsi="Arial" w:cs="Arial"/>
        </w:rPr>
        <w:t>regulation impact analysis and public consultations.</w:t>
      </w:r>
    </w:p>
    <w:p w14:paraId="5CA9FF0F" w14:textId="77777777" w:rsidR="00732FF4" w:rsidRPr="00732FF4" w:rsidRDefault="00732FF4" w:rsidP="00576E01">
      <w:pPr>
        <w:pStyle w:val="ListParagraph"/>
        <w:jc w:val="both"/>
        <w:rPr>
          <w:rFonts w:ascii="Arial" w:hAnsi="Arial" w:cs="Arial"/>
        </w:rPr>
      </w:pPr>
    </w:p>
    <w:p w14:paraId="4113738C" w14:textId="44EF25F3" w:rsidR="00732FF4" w:rsidRDefault="00732FF4" w:rsidP="00007742">
      <w:pPr>
        <w:pStyle w:val="Heading2"/>
      </w:pPr>
      <w:bookmarkStart w:id="6" w:name="_Toc6393968"/>
      <w:r w:rsidRPr="00DC2FFE">
        <w:t>Economies adopt common building blocks to facilitate trade</w:t>
      </w:r>
      <w:bookmarkEnd w:id="6"/>
    </w:p>
    <w:p w14:paraId="37EFB011" w14:textId="14E6686D" w:rsidR="001D1A95" w:rsidRDefault="00ED7233" w:rsidP="001D1A95">
      <w:pPr>
        <w:spacing w:after="0"/>
        <w:jc w:val="both"/>
        <w:rPr>
          <w:rFonts w:ascii="Arial" w:hAnsi="Arial" w:cs="Arial"/>
          <w:color w:val="000000" w:themeColor="text1"/>
          <w:shd w:val="clear" w:color="auto" w:fill="FFFFFF"/>
        </w:rPr>
      </w:pPr>
      <w:r w:rsidRPr="00ED7233">
        <w:rPr>
          <w:rFonts w:ascii="Arial" w:hAnsi="Arial" w:cs="Arial"/>
          <w:color w:val="000000" w:themeColor="text1"/>
          <w:shd w:val="clear" w:color="auto" w:fill="FFFFFF"/>
        </w:rPr>
        <w:t xml:space="preserve">At the 2017 SOM3 Chemical Dialogue meeting in Ho Chi Minh City, the </w:t>
      </w:r>
      <w:r w:rsidR="00217700">
        <w:rPr>
          <w:rFonts w:ascii="Arial" w:hAnsi="Arial" w:cs="Arial"/>
          <w:color w:val="000000" w:themeColor="text1"/>
          <w:shd w:val="clear" w:color="auto" w:fill="FFFFFF"/>
        </w:rPr>
        <w:t>VWG-</w:t>
      </w:r>
      <w:r w:rsidRPr="00ED7233">
        <w:rPr>
          <w:rFonts w:ascii="Arial" w:hAnsi="Arial" w:cs="Arial"/>
          <w:color w:val="000000" w:themeColor="text1"/>
          <w:shd w:val="clear" w:color="auto" w:fill="FFFFFF"/>
        </w:rPr>
        <w:t>GHS shared a document comparing the implementation of GHS amongst APEC Economies</w:t>
      </w:r>
      <w:r w:rsidR="00193A1D">
        <w:rPr>
          <w:rFonts w:ascii="Arial" w:hAnsi="Arial" w:cs="Arial"/>
          <w:color w:val="000000" w:themeColor="text1"/>
          <w:shd w:val="clear" w:color="auto" w:fill="FFFFFF"/>
        </w:rPr>
        <w:t>,</w:t>
      </w:r>
      <w:r w:rsidRPr="00ED7233">
        <w:rPr>
          <w:rFonts w:ascii="Arial" w:hAnsi="Arial" w:cs="Arial"/>
          <w:color w:val="000000" w:themeColor="text1"/>
          <w:shd w:val="clear" w:color="auto" w:fill="FFFFFF"/>
        </w:rPr>
        <w:t xml:space="preserve"> </w:t>
      </w:r>
      <w:r w:rsidRPr="00193A1D">
        <w:rPr>
          <w:rFonts w:ascii="Arial" w:hAnsi="Arial" w:cs="Arial"/>
          <w:i/>
          <w:color w:val="000000" w:themeColor="text1"/>
          <w:shd w:val="clear" w:color="auto" w:fill="FFFFFF"/>
        </w:rPr>
        <w:t>Comparison of Implementing Globally Harmonised System of Classification and Labelling Regulations Amongst the APEC Economies</w:t>
      </w:r>
      <w:r w:rsidRPr="00ED7233">
        <w:rPr>
          <w:rFonts w:ascii="Arial" w:hAnsi="Arial" w:cs="Arial"/>
          <w:color w:val="000000" w:themeColor="text1"/>
          <w:shd w:val="clear" w:color="auto" w:fill="FFFFFF"/>
        </w:rPr>
        <w:t xml:space="preserve"> (agenda item 2017/SOM3/CD/012) for review and discussion.</w:t>
      </w:r>
      <w:r w:rsidRPr="00ED7233">
        <w:rPr>
          <w:rFonts w:ascii="Arial" w:hAnsi="Arial" w:cs="Arial"/>
          <w:color w:val="000000" w:themeColor="text1"/>
        </w:rPr>
        <w:br/>
      </w:r>
      <w:r w:rsidRPr="00ED7233">
        <w:rPr>
          <w:rFonts w:ascii="Arial" w:hAnsi="Arial" w:cs="Arial"/>
          <w:color w:val="000000" w:themeColor="text1"/>
        </w:rPr>
        <w:br/>
      </w:r>
      <w:r w:rsidRPr="00ED7233">
        <w:rPr>
          <w:rFonts w:ascii="Arial" w:hAnsi="Arial" w:cs="Arial"/>
          <w:color w:val="000000" w:themeColor="text1"/>
          <w:shd w:val="clear" w:color="auto" w:fill="FFFFFF"/>
        </w:rPr>
        <w:t>The comparison document highlighted the divergent implementation of GHS building blocks across the APEC region.  While some of these divergences are likely to be due to the differences that exist</w:t>
      </w:r>
      <w:r w:rsidR="00715B30">
        <w:rPr>
          <w:rFonts w:ascii="Arial" w:hAnsi="Arial" w:cs="Arial"/>
          <w:color w:val="000000" w:themeColor="text1"/>
          <w:shd w:val="clear" w:color="auto" w:fill="FFFFFF"/>
        </w:rPr>
        <w:t xml:space="preserve"> </w:t>
      </w:r>
      <w:r w:rsidR="00427A32">
        <w:rPr>
          <w:rFonts w:ascii="Arial" w:hAnsi="Arial" w:cs="Arial"/>
          <w:color w:val="000000" w:themeColor="text1"/>
          <w:shd w:val="clear" w:color="auto" w:fill="FFFFFF"/>
        </w:rPr>
        <w:t>i</w:t>
      </w:r>
      <w:r w:rsidRPr="00ED7233">
        <w:rPr>
          <w:rFonts w:ascii="Arial" w:hAnsi="Arial" w:cs="Arial"/>
          <w:color w:val="000000" w:themeColor="text1"/>
          <w:shd w:val="clear" w:color="auto" w:fill="FFFFFF"/>
        </w:rPr>
        <w:t xml:space="preserve">n the legislative/regulatory structure of each economy and/or careful regulation impact consideration e.g. decision by Australia, Canada and the USA not to adopt environmental building blocks, some divergences may be due to the lack of availability of information on GHS implementation by close trading partners during the Economy’s implementation </w:t>
      </w:r>
      <w:r w:rsidR="00FE1F77">
        <w:rPr>
          <w:rFonts w:ascii="Arial" w:hAnsi="Arial" w:cs="Arial"/>
          <w:color w:val="000000" w:themeColor="text1"/>
          <w:shd w:val="clear" w:color="auto" w:fill="FFFFFF"/>
        </w:rPr>
        <w:t>consideration</w:t>
      </w:r>
      <w:r w:rsidRPr="00ED7233">
        <w:rPr>
          <w:rFonts w:ascii="Arial" w:hAnsi="Arial" w:cs="Arial"/>
          <w:color w:val="000000" w:themeColor="text1"/>
          <w:shd w:val="clear" w:color="auto" w:fill="FFFFFF"/>
        </w:rPr>
        <w:t>. </w:t>
      </w:r>
      <w:r w:rsidRPr="00ED7233">
        <w:rPr>
          <w:rFonts w:ascii="Arial" w:hAnsi="Arial" w:cs="Arial"/>
          <w:color w:val="000000" w:themeColor="text1"/>
        </w:rPr>
        <w:br/>
      </w:r>
      <w:r w:rsidRPr="00ED7233">
        <w:rPr>
          <w:rFonts w:ascii="Arial" w:hAnsi="Arial" w:cs="Arial"/>
          <w:color w:val="000000" w:themeColor="text1"/>
        </w:rPr>
        <w:br/>
      </w:r>
      <w:r w:rsidRPr="00ED7233">
        <w:rPr>
          <w:rFonts w:ascii="Arial" w:hAnsi="Arial" w:cs="Arial"/>
          <w:color w:val="000000" w:themeColor="text1"/>
          <w:shd w:val="clear" w:color="auto" w:fill="FFFFFF"/>
        </w:rPr>
        <w:t>As an initial study to explore potential convergence of regulatory approach for GHS implementation, two hazard classes, skin sensitisation and respiratory sensitisation were identified as divergent building blocks implemented with trade impact where a more convergent approach has the potential to reduce the trade impact with minimal impact on the protection of human health or the environment.</w:t>
      </w:r>
    </w:p>
    <w:p w14:paraId="21E84ECE" w14:textId="6048DC9B" w:rsidR="00BB736C" w:rsidRDefault="00BB736C" w:rsidP="001D1A95">
      <w:pPr>
        <w:spacing w:after="0"/>
        <w:jc w:val="both"/>
        <w:rPr>
          <w:rFonts w:ascii="Arial" w:hAnsi="Arial" w:cs="Arial"/>
          <w:color w:val="000000" w:themeColor="text1"/>
          <w:shd w:val="clear" w:color="auto" w:fill="FFFFFF"/>
        </w:rPr>
      </w:pPr>
    </w:p>
    <w:p w14:paraId="66442323" w14:textId="5F9945AE" w:rsidR="000E2E9D" w:rsidRPr="005F0855" w:rsidRDefault="005F0855" w:rsidP="00007742">
      <w:pPr>
        <w:pStyle w:val="Heading3"/>
        <w:rPr>
          <w:shd w:val="clear" w:color="auto" w:fill="FFFFFF"/>
        </w:rPr>
      </w:pPr>
      <w:bookmarkStart w:id="7" w:name="_Toc6393969"/>
      <w:r w:rsidRPr="005F0855">
        <w:rPr>
          <w:shd w:val="clear" w:color="auto" w:fill="FFFFFF"/>
        </w:rPr>
        <w:t>Category 1 or Categories 1A and 1B?</w:t>
      </w:r>
      <w:bookmarkEnd w:id="7"/>
    </w:p>
    <w:p w14:paraId="5A21E3A6" w14:textId="410739F1" w:rsidR="000E2E9D" w:rsidRDefault="001439FF" w:rsidP="001D1A95">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main benefit identified for using a single category was that often there was not enough data to </w:t>
      </w:r>
      <w:r w:rsidR="00985B26">
        <w:rPr>
          <w:rFonts w:ascii="Arial" w:hAnsi="Arial" w:cs="Arial"/>
          <w:color w:val="000000" w:themeColor="text1"/>
          <w:shd w:val="clear" w:color="auto" w:fill="FFFFFF"/>
        </w:rPr>
        <w:t>allow classification to sub</w:t>
      </w:r>
      <w:r w:rsidR="005B5E99">
        <w:rPr>
          <w:rFonts w:ascii="Arial" w:hAnsi="Arial" w:cs="Arial"/>
          <w:color w:val="000000" w:themeColor="text1"/>
          <w:shd w:val="clear" w:color="auto" w:fill="FFFFFF"/>
        </w:rPr>
        <w:t>-</w:t>
      </w:r>
      <w:r w:rsidR="00985B26">
        <w:rPr>
          <w:rFonts w:ascii="Arial" w:hAnsi="Arial" w:cs="Arial"/>
          <w:color w:val="000000" w:themeColor="text1"/>
          <w:shd w:val="clear" w:color="auto" w:fill="FFFFFF"/>
        </w:rPr>
        <w:t>categories 1A and 1B.</w:t>
      </w:r>
      <w:r w:rsidR="003A1DA2">
        <w:rPr>
          <w:rFonts w:ascii="Arial" w:hAnsi="Arial" w:cs="Arial"/>
          <w:color w:val="000000" w:themeColor="text1"/>
          <w:shd w:val="clear" w:color="auto" w:fill="FFFFFF"/>
        </w:rPr>
        <w:t xml:space="preserve">  </w:t>
      </w:r>
      <w:r w:rsidR="00602DD3">
        <w:rPr>
          <w:rFonts w:ascii="Arial" w:hAnsi="Arial" w:cs="Arial"/>
          <w:color w:val="000000" w:themeColor="text1"/>
          <w:shd w:val="clear" w:color="auto" w:fill="FFFFFF"/>
        </w:rPr>
        <w:t xml:space="preserve">The use of a single category has the potential to reduce additional and/or animal testing.  </w:t>
      </w:r>
      <w:r w:rsidR="003A1DA2">
        <w:rPr>
          <w:rFonts w:ascii="Arial" w:hAnsi="Arial" w:cs="Arial"/>
          <w:color w:val="000000" w:themeColor="text1"/>
          <w:shd w:val="clear" w:color="auto" w:fill="FFFFFF"/>
        </w:rPr>
        <w:t xml:space="preserve">Additionally, there are </w:t>
      </w:r>
      <w:r w:rsidR="009C54DC">
        <w:rPr>
          <w:rFonts w:ascii="Arial" w:hAnsi="Arial" w:cs="Arial"/>
          <w:color w:val="000000" w:themeColor="text1"/>
          <w:shd w:val="clear" w:color="auto" w:fill="FFFFFF"/>
        </w:rPr>
        <w:t xml:space="preserve">no </w:t>
      </w:r>
      <w:r w:rsidR="00BC577D">
        <w:rPr>
          <w:rFonts w:ascii="Arial" w:hAnsi="Arial" w:cs="Arial"/>
          <w:color w:val="000000" w:themeColor="text1"/>
          <w:shd w:val="clear" w:color="auto" w:fill="FFFFFF"/>
        </w:rPr>
        <w:t>difference</w:t>
      </w:r>
      <w:r w:rsidR="00FF12E9">
        <w:rPr>
          <w:rFonts w:ascii="Arial" w:hAnsi="Arial" w:cs="Arial"/>
          <w:color w:val="000000" w:themeColor="text1"/>
          <w:shd w:val="clear" w:color="auto" w:fill="FFFFFF"/>
        </w:rPr>
        <w:t>s</w:t>
      </w:r>
      <w:r w:rsidR="00BC577D">
        <w:rPr>
          <w:rFonts w:ascii="Arial" w:hAnsi="Arial" w:cs="Arial"/>
          <w:color w:val="000000" w:themeColor="text1"/>
          <w:shd w:val="clear" w:color="auto" w:fill="FFFFFF"/>
        </w:rPr>
        <w:t xml:space="preserve"> in label elements for the two sub-categories, and therefore there are no additional hazard communication benefits, just </w:t>
      </w:r>
      <w:r w:rsidR="00FF12E9">
        <w:rPr>
          <w:rFonts w:ascii="Arial" w:hAnsi="Arial" w:cs="Arial"/>
          <w:color w:val="000000" w:themeColor="text1"/>
          <w:shd w:val="clear" w:color="auto" w:fill="FFFFFF"/>
        </w:rPr>
        <w:t xml:space="preserve">an </w:t>
      </w:r>
      <w:r w:rsidR="00DE2F59">
        <w:rPr>
          <w:rFonts w:ascii="Arial" w:hAnsi="Arial" w:cs="Arial"/>
          <w:color w:val="000000" w:themeColor="text1"/>
          <w:shd w:val="clear" w:color="auto" w:fill="FFFFFF"/>
        </w:rPr>
        <w:t>additional burden on industry.</w:t>
      </w:r>
    </w:p>
    <w:p w14:paraId="28A241B7" w14:textId="73BFD36F" w:rsidR="009E347B" w:rsidRDefault="009E347B" w:rsidP="001D1A95">
      <w:pPr>
        <w:spacing w:after="0"/>
        <w:jc w:val="both"/>
        <w:rPr>
          <w:rFonts w:ascii="Arial" w:hAnsi="Arial" w:cs="Arial"/>
          <w:color w:val="000000" w:themeColor="text1"/>
          <w:shd w:val="clear" w:color="auto" w:fill="FFFFFF"/>
        </w:rPr>
      </w:pPr>
    </w:p>
    <w:p w14:paraId="211F2DE1" w14:textId="3CAD4506" w:rsidR="009E347B" w:rsidRDefault="009E347B" w:rsidP="001D1A95">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benefit identified for using two sub-categories was that it </w:t>
      </w:r>
      <w:r w:rsidR="00504CD4">
        <w:rPr>
          <w:rFonts w:ascii="Arial" w:hAnsi="Arial" w:cs="Arial"/>
          <w:color w:val="000000" w:themeColor="text1"/>
          <w:shd w:val="clear" w:color="auto" w:fill="FFFFFF"/>
        </w:rPr>
        <w:t xml:space="preserve">provided a </w:t>
      </w:r>
      <w:r>
        <w:rPr>
          <w:rFonts w:ascii="Arial" w:hAnsi="Arial" w:cs="Arial"/>
          <w:color w:val="000000" w:themeColor="text1"/>
          <w:shd w:val="clear" w:color="auto" w:fill="FFFFFF"/>
        </w:rPr>
        <w:t>choice to the Competent Authorities</w:t>
      </w:r>
      <w:r w:rsidR="007F1A38">
        <w:rPr>
          <w:rFonts w:ascii="Arial" w:hAnsi="Arial" w:cs="Arial"/>
          <w:color w:val="000000" w:themeColor="text1"/>
          <w:shd w:val="clear" w:color="auto" w:fill="FFFFFF"/>
        </w:rPr>
        <w:t xml:space="preserve">, particularly where the </w:t>
      </w:r>
      <w:r w:rsidR="00504C6A">
        <w:rPr>
          <w:rFonts w:ascii="Arial" w:hAnsi="Arial" w:cs="Arial"/>
          <w:color w:val="000000" w:themeColor="text1"/>
          <w:shd w:val="clear" w:color="auto" w:fill="FFFFFF"/>
        </w:rPr>
        <w:t>Economy had previously had two tiers of sensitization categories.</w:t>
      </w:r>
      <w:r w:rsidR="00602DD3">
        <w:rPr>
          <w:rFonts w:ascii="Arial" w:hAnsi="Arial" w:cs="Arial"/>
          <w:color w:val="000000" w:themeColor="text1"/>
          <w:shd w:val="clear" w:color="auto" w:fill="FFFFFF"/>
        </w:rPr>
        <w:t xml:space="preserve"> The option also provides the most precise classification.</w:t>
      </w:r>
    </w:p>
    <w:p w14:paraId="0404AFC4" w14:textId="42D792F2" w:rsidR="00332805" w:rsidRDefault="00332805" w:rsidP="001D1A95">
      <w:pPr>
        <w:spacing w:after="0"/>
        <w:jc w:val="both"/>
        <w:rPr>
          <w:rFonts w:ascii="Arial" w:hAnsi="Arial" w:cs="Arial"/>
          <w:color w:val="000000" w:themeColor="text1"/>
          <w:shd w:val="clear" w:color="auto" w:fill="FFFFFF"/>
        </w:rPr>
      </w:pPr>
    </w:p>
    <w:p w14:paraId="632D3636" w14:textId="05D55368" w:rsidR="00332805" w:rsidRDefault="00332805" w:rsidP="001D1A95">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w:t>
      </w:r>
      <w:r w:rsidR="003537DE">
        <w:rPr>
          <w:rFonts w:ascii="Arial" w:hAnsi="Arial" w:cs="Arial"/>
          <w:color w:val="000000" w:themeColor="text1"/>
          <w:shd w:val="clear" w:color="auto" w:fill="FFFFFF"/>
        </w:rPr>
        <w:t xml:space="preserve">largest number of benefits were identified for the flexible option where either a single category or sub-categorisation </w:t>
      </w:r>
      <w:r w:rsidR="00B67DA3">
        <w:rPr>
          <w:rFonts w:ascii="Arial" w:hAnsi="Arial" w:cs="Arial"/>
          <w:color w:val="000000" w:themeColor="text1"/>
          <w:shd w:val="clear" w:color="auto" w:fill="FFFFFF"/>
        </w:rPr>
        <w:t>may be used.  The benefits identified are:</w:t>
      </w:r>
    </w:p>
    <w:p w14:paraId="63ED5E6C" w14:textId="15C7853D" w:rsidR="00B67DA3" w:rsidRDefault="00B67DA3" w:rsidP="00B67DA3">
      <w:pPr>
        <w:pStyle w:val="ListParagraph"/>
        <w:numPr>
          <w:ilvl w:val="0"/>
          <w:numId w:val="10"/>
        </w:num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More </w:t>
      </w:r>
      <w:r w:rsidR="001646E4">
        <w:rPr>
          <w:rFonts w:ascii="Arial" w:hAnsi="Arial" w:cs="Arial"/>
          <w:color w:val="000000" w:themeColor="text1"/>
          <w:shd w:val="clear" w:color="auto" w:fill="FFFFFF"/>
        </w:rPr>
        <w:t xml:space="preserve">reliable and </w:t>
      </w:r>
      <w:r>
        <w:rPr>
          <w:rFonts w:ascii="Arial" w:hAnsi="Arial" w:cs="Arial"/>
          <w:color w:val="000000" w:themeColor="text1"/>
          <w:shd w:val="clear" w:color="auto" w:fill="FFFFFF"/>
        </w:rPr>
        <w:t xml:space="preserve">accurate classification – </w:t>
      </w:r>
      <w:r w:rsidR="001646E4">
        <w:rPr>
          <w:rFonts w:ascii="Arial" w:hAnsi="Arial" w:cs="Arial"/>
          <w:color w:val="000000" w:themeColor="text1"/>
          <w:shd w:val="clear" w:color="auto" w:fill="FFFFFF"/>
        </w:rPr>
        <w:t>sub-categorisation is only possible where there is sufficient data.</w:t>
      </w:r>
    </w:p>
    <w:p w14:paraId="224F2DA9" w14:textId="5B9571E6" w:rsidR="001646E4" w:rsidRDefault="002C0DF0" w:rsidP="00B67DA3">
      <w:pPr>
        <w:pStyle w:val="ListParagraph"/>
        <w:numPr>
          <w:ilvl w:val="0"/>
          <w:numId w:val="10"/>
        </w:num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 xml:space="preserve">Allows regulatory acceptance of </w:t>
      </w:r>
      <w:r w:rsidR="00995E11">
        <w:rPr>
          <w:rFonts w:ascii="Arial" w:hAnsi="Arial" w:cs="Arial"/>
          <w:color w:val="000000" w:themeColor="text1"/>
          <w:shd w:val="clear" w:color="auto" w:fill="FFFFFF"/>
        </w:rPr>
        <w:t>both approaches that may be used by different regulatory jurisdictions.</w:t>
      </w:r>
    </w:p>
    <w:p w14:paraId="0F3F667D" w14:textId="21311649" w:rsidR="00995E11" w:rsidRDefault="000A4DF4" w:rsidP="00B67DA3">
      <w:pPr>
        <w:pStyle w:val="ListParagraph"/>
        <w:numPr>
          <w:ilvl w:val="0"/>
          <w:numId w:val="10"/>
        </w:num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Flexilbility </w:t>
      </w:r>
      <w:r w:rsidR="00E5325C">
        <w:rPr>
          <w:rFonts w:ascii="Arial" w:hAnsi="Arial" w:cs="Arial"/>
          <w:color w:val="000000" w:themeColor="text1"/>
          <w:shd w:val="clear" w:color="auto" w:fill="FFFFFF"/>
        </w:rPr>
        <w:t>give</w:t>
      </w:r>
      <w:r w:rsidR="00764916">
        <w:rPr>
          <w:rFonts w:ascii="Arial" w:hAnsi="Arial" w:cs="Arial"/>
          <w:color w:val="000000" w:themeColor="text1"/>
          <w:shd w:val="clear" w:color="auto" w:fill="FFFFFF"/>
        </w:rPr>
        <w:t>s</w:t>
      </w:r>
      <w:r w:rsidR="00E5325C">
        <w:rPr>
          <w:rFonts w:ascii="Arial" w:hAnsi="Arial" w:cs="Arial"/>
          <w:color w:val="000000" w:themeColor="text1"/>
          <w:shd w:val="clear" w:color="auto" w:fill="FFFFFF"/>
        </w:rPr>
        <w:t xml:space="preserve"> industry a more practical method of compliance.</w:t>
      </w:r>
    </w:p>
    <w:p w14:paraId="2E63B56C" w14:textId="4ACBED58" w:rsidR="00E5325C" w:rsidRDefault="00E5325C" w:rsidP="00B67DA3">
      <w:pPr>
        <w:pStyle w:val="ListParagraph"/>
        <w:numPr>
          <w:ilvl w:val="0"/>
          <w:numId w:val="10"/>
        </w:num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Allows businesses with more data </w:t>
      </w:r>
      <w:r w:rsidR="00BF59FB">
        <w:rPr>
          <w:rFonts w:ascii="Arial" w:hAnsi="Arial" w:cs="Arial"/>
          <w:color w:val="000000" w:themeColor="text1"/>
          <w:shd w:val="clear" w:color="auto" w:fill="FFFFFF"/>
        </w:rPr>
        <w:t xml:space="preserve">the option </w:t>
      </w:r>
      <w:r>
        <w:rPr>
          <w:rFonts w:ascii="Arial" w:hAnsi="Arial" w:cs="Arial"/>
          <w:color w:val="000000" w:themeColor="text1"/>
          <w:shd w:val="clear" w:color="auto" w:fill="FFFFFF"/>
        </w:rPr>
        <w:t>to use the less hazardous sub-category.</w:t>
      </w:r>
    </w:p>
    <w:p w14:paraId="24C2CA72" w14:textId="77777777" w:rsidR="002500F9" w:rsidRDefault="002500F9" w:rsidP="001D1A95">
      <w:pPr>
        <w:spacing w:after="0"/>
        <w:jc w:val="both"/>
        <w:rPr>
          <w:rFonts w:ascii="Arial" w:hAnsi="Arial" w:cs="Arial"/>
          <w:color w:val="000000" w:themeColor="text1"/>
          <w:shd w:val="clear" w:color="auto" w:fill="FFFFFF"/>
        </w:rPr>
      </w:pPr>
    </w:p>
    <w:p w14:paraId="341ABBCA" w14:textId="08C5BBD0" w:rsidR="00DE2F59" w:rsidRDefault="00A53150" w:rsidP="001D1A95">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One respondent noted that the flexible option </w:t>
      </w:r>
      <w:r w:rsidR="00251FFB">
        <w:rPr>
          <w:rFonts w:ascii="Arial" w:hAnsi="Arial" w:cs="Arial"/>
          <w:color w:val="000000" w:themeColor="text1"/>
          <w:shd w:val="clear" w:color="auto" w:fill="FFFFFF"/>
        </w:rPr>
        <w:t>would be preferable but only if mutually agreed by all parties.</w:t>
      </w:r>
    </w:p>
    <w:p w14:paraId="45896ABB" w14:textId="77777777" w:rsidR="005F0855" w:rsidRDefault="005F0855" w:rsidP="001D1A95">
      <w:pPr>
        <w:spacing w:after="0"/>
        <w:jc w:val="both"/>
        <w:rPr>
          <w:rFonts w:ascii="Arial" w:hAnsi="Arial" w:cs="Arial"/>
          <w:color w:val="000000" w:themeColor="text1"/>
          <w:shd w:val="clear" w:color="auto" w:fill="FFFFFF"/>
        </w:rPr>
      </w:pPr>
    </w:p>
    <w:p w14:paraId="64071CD6" w14:textId="57560AB7" w:rsidR="001F124F" w:rsidRPr="005F0855" w:rsidRDefault="005F0855" w:rsidP="00007742">
      <w:pPr>
        <w:pStyle w:val="Heading3"/>
        <w:rPr>
          <w:shd w:val="clear" w:color="auto" w:fill="FFFFFF"/>
        </w:rPr>
      </w:pPr>
      <w:bookmarkStart w:id="8" w:name="_Toc6393970"/>
      <w:r>
        <w:rPr>
          <w:shd w:val="clear" w:color="auto" w:fill="FFFFFF"/>
        </w:rPr>
        <w:t xml:space="preserve">Mixture cut-off of </w:t>
      </w:r>
      <w:r w:rsidR="000E2E9D" w:rsidRPr="005F0855">
        <w:rPr>
          <w:shd w:val="clear" w:color="auto" w:fill="FFFFFF"/>
        </w:rPr>
        <w:t>≥0.1% or ≥1.0%</w:t>
      </w:r>
      <w:r w:rsidR="00E46B30">
        <w:rPr>
          <w:shd w:val="clear" w:color="auto" w:fill="FFFFFF"/>
        </w:rPr>
        <w:t xml:space="preserve"> (or </w:t>
      </w:r>
      <w:r w:rsidR="00E46B30" w:rsidRPr="005F0855">
        <w:rPr>
          <w:shd w:val="clear" w:color="auto" w:fill="FFFFFF"/>
        </w:rPr>
        <w:t>≥0.1% or ≥</w:t>
      </w:r>
      <w:r w:rsidR="00E46B30">
        <w:rPr>
          <w:shd w:val="clear" w:color="auto" w:fill="FFFFFF"/>
        </w:rPr>
        <w:t>0.2</w:t>
      </w:r>
      <w:r w:rsidR="00E46B30" w:rsidRPr="005F0855">
        <w:rPr>
          <w:shd w:val="clear" w:color="auto" w:fill="FFFFFF"/>
        </w:rPr>
        <w:t>%</w:t>
      </w:r>
      <w:r w:rsidR="00E46B30">
        <w:rPr>
          <w:shd w:val="clear" w:color="auto" w:fill="FFFFFF"/>
        </w:rPr>
        <w:t>)</w:t>
      </w:r>
      <w:r w:rsidR="000E2E9D" w:rsidRPr="005F0855">
        <w:rPr>
          <w:shd w:val="clear" w:color="auto" w:fill="FFFFFF"/>
        </w:rPr>
        <w:t>?</w:t>
      </w:r>
      <w:bookmarkEnd w:id="8"/>
    </w:p>
    <w:p w14:paraId="634038C0" w14:textId="0C8C39B5" w:rsidR="0001411B" w:rsidRDefault="00FB2865" w:rsidP="001D1A95">
      <w:pPr>
        <w:spacing w:after="0"/>
        <w:jc w:val="both"/>
        <w:rPr>
          <w:rFonts w:ascii="Arial" w:hAnsi="Arial" w:cs="Arial"/>
          <w:color w:val="000000" w:themeColor="text1"/>
        </w:rPr>
      </w:pPr>
      <w:r>
        <w:rPr>
          <w:rFonts w:ascii="Arial" w:hAnsi="Arial" w:cs="Arial"/>
          <w:color w:val="000000" w:themeColor="text1"/>
        </w:rPr>
        <w:t>Respondents identified that the main benefit of</w:t>
      </w:r>
      <w:r w:rsidR="00C90A01">
        <w:rPr>
          <w:rFonts w:ascii="Arial" w:hAnsi="Arial" w:cs="Arial"/>
          <w:color w:val="000000" w:themeColor="text1"/>
        </w:rPr>
        <w:t xml:space="preserve"> the lower concentration cut-off</w:t>
      </w:r>
      <w:r>
        <w:rPr>
          <w:rFonts w:ascii="Arial" w:hAnsi="Arial" w:cs="Arial"/>
          <w:color w:val="000000" w:themeColor="text1"/>
        </w:rPr>
        <w:t xml:space="preserve"> is the</w:t>
      </w:r>
      <w:r w:rsidR="00C90A01">
        <w:rPr>
          <w:rFonts w:ascii="Arial" w:hAnsi="Arial" w:cs="Arial"/>
          <w:color w:val="000000" w:themeColor="text1"/>
        </w:rPr>
        <w:t xml:space="preserve"> </w:t>
      </w:r>
      <w:r w:rsidR="006E1575">
        <w:rPr>
          <w:rFonts w:ascii="Arial" w:hAnsi="Arial" w:cs="Arial"/>
          <w:color w:val="000000" w:themeColor="text1"/>
        </w:rPr>
        <w:t>protection of end users, particularly those that are already sensitized or highly sensitive.</w:t>
      </w:r>
      <w:r w:rsidR="00916628">
        <w:rPr>
          <w:rFonts w:ascii="Arial" w:hAnsi="Arial" w:cs="Arial"/>
          <w:color w:val="000000" w:themeColor="text1"/>
        </w:rPr>
        <w:t xml:space="preserve"> </w:t>
      </w:r>
      <w:r w:rsidR="007F6040">
        <w:rPr>
          <w:rFonts w:ascii="Arial" w:hAnsi="Arial" w:cs="Arial"/>
          <w:color w:val="000000" w:themeColor="text1"/>
        </w:rPr>
        <w:t xml:space="preserve">The main </w:t>
      </w:r>
      <w:r>
        <w:rPr>
          <w:rFonts w:ascii="Arial" w:hAnsi="Arial" w:cs="Arial"/>
          <w:color w:val="000000" w:themeColor="text1"/>
        </w:rPr>
        <w:t>criticism</w:t>
      </w:r>
      <w:r w:rsidR="00EA71BA">
        <w:rPr>
          <w:rFonts w:ascii="Arial" w:hAnsi="Arial" w:cs="Arial"/>
          <w:color w:val="000000" w:themeColor="text1"/>
        </w:rPr>
        <w:t xml:space="preserve"> for this approach was</w:t>
      </w:r>
      <w:r w:rsidR="00916628">
        <w:rPr>
          <w:rFonts w:ascii="Arial" w:hAnsi="Arial" w:cs="Arial"/>
          <w:color w:val="000000" w:themeColor="text1"/>
        </w:rPr>
        <w:t xml:space="preserve"> </w:t>
      </w:r>
      <w:r w:rsidR="00380636">
        <w:rPr>
          <w:rFonts w:ascii="Arial" w:hAnsi="Arial" w:cs="Arial"/>
          <w:color w:val="000000" w:themeColor="text1"/>
        </w:rPr>
        <w:t xml:space="preserve">that </w:t>
      </w:r>
      <w:r w:rsidR="00E4433A">
        <w:rPr>
          <w:rFonts w:ascii="Arial" w:hAnsi="Arial" w:cs="Arial"/>
          <w:color w:val="000000" w:themeColor="text1"/>
        </w:rPr>
        <w:t xml:space="preserve">it is an additional burden on industry and </w:t>
      </w:r>
      <w:r w:rsidR="00EA71BA">
        <w:rPr>
          <w:rFonts w:ascii="Arial" w:hAnsi="Arial" w:cs="Arial"/>
          <w:color w:val="000000" w:themeColor="text1"/>
        </w:rPr>
        <w:t xml:space="preserve">the protection of highly sensitive individuals </w:t>
      </w:r>
      <w:r w:rsidR="00916628">
        <w:rPr>
          <w:rFonts w:ascii="Arial" w:hAnsi="Arial" w:cs="Arial"/>
          <w:color w:val="000000" w:themeColor="text1"/>
        </w:rPr>
        <w:t xml:space="preserve">was </w:t>
      </w:r>
      <w:r w:rsidR="00071239">
        <w:rPr>
          <w:rFonts w:ascii="Arial" w:hAnsi="Arial" w:cs="Arial"/>
          <w:color w:val="000000" w:themeColor="text1"/>
        </w:rPr>
        <w:t>theoretical</w:t>
      </w:r>
      <w:r>
        <w:rPr>
          <w:rFonts w:ascii="Arial" w:hAnsi="Arial" w:cs="Arial"/>
          <w:color w:val="000000" w:themeColor="text1"/>
        </w:rPr>
        <w:t xml:space="preserve"> - </w:t>
      </w:r>
      <w:r w:rsidR="00916628">
        <w:rPr>
          <w:rFonts w:ascii="Arial" w:hAnsi="Arial" w:cs="Arial"/>
          <w:color w:val="000000" w:themeColor="text1"/>
        </w:rPr>
        <w:t xml:space="preserve">it is not known </w:t>
      </w:r>
      <w:r w:rsidR="00CF527D">
        <w:rPr>
          <w:rFonts w:ascii="Arial" w:hAnsi="Arial" w:cs="Arial"/>
          <w:color w:val="000000" w:themeColor="text1"/>
        </w:rPr>
        <w:t xml:space="preserve">what </w:t>
      </w:r>
      <w:r w:rsidR="0001411B">
        <w:rPr>
          <w:rFonts w:ascii="Arial" w:hAnsi="Arial" w:cs="Arial"/>
          <w:color w:val="000000" w:themeColor="text1"/>
        </w:rPr>
        <w:t xml:space="preserve">proportion of the population </w:t>
      </w:r>
      <w:r>
        <w:rPr>
          <w:rFonts w:ascii="Arial" w:hAnsi="Arial" w:cs="Arial"/>
          <w:color w:val="000000" w:themeColor="text1"/>
        </w:rPr>
        <w:t>is affected</w:t>
      </w:r>
      <w:r w:rsidR="00071239">
        <w:rPr>
          <w:rFonts w:ascii="Arial" w:hAnsi="Arial" w:cs="Arial"/>
          <w:color w:val="000000" w:themeColor="text1"/>
        </w:rPr>
        <w:t xml:space="preserve"> </w:t>
      </w:r>
      <w:r w:rsidR="0001411B">
        <w:rPr>
          <w:rFonts w:ascii="Arial" w:hAnsi="Arial" w:cs="Arial"/>
          <w:color w:val="000000" w:themeColor="text1"/>
        </w:rPr>
        <w:t>(</w:t>
      </w:r>
      <w:r w:rsidR="002120C5">
        <w:rPr>
          <w:rFonts w:ascii="Arial" w:hAnsi="Arial" w:cs="Arial"/>
          <w:color w:val="000000" w:themeColor="text1"/>
        </w:rPr>
        <w:t>presumably compared to the higher concentration cut-off)</w:t>
      </w:r>
      <w:r w:rsidR="00456574">
        <w:rPr>
          <w:rFonts w:ascii="Arial" w:hAnsi="Arial" w:cs="Arial"/>
          <w:color w:val="000000" w:themeColor="text1"/>
        </w:rPr>
        <w:t>, and may lead to over-warning for less severe skin sensitisers</w:t>
      </w:r>
      <w:r>
        <w:rPr>
          <w:rFonts w:ascii="Arial" w:hAnsi="Arial" w:cs="Arial"/>
          <w:color w:val="000000" w:themeColor="text1"/>
        </w:rPr>
        <w:t>.</w:t>
      </w:r>
    </w:p>
    <w:p w14:paraId="5DDF33A6" w14:textId="56CD6110" w:rsidR="00AD3A6F" w:rsidRDefault="00AD3A6F" w:rsidP="001D1A95">
      <w:pPr>
        <w:spacing w:after="0"/>
        <w:jc w:val="both"/>
        <w:rPr>
          <w:rFonts w:ascii="Arial" w:hAnsi="Arial" w:cs="Arial"/>
          <w:color w:val="000000" w:themeColor="text1"/>
        </w:rPr>
      </w:pPr>
    </w:p>
    <w:p w14:paraId="20118306" w14:textId="73E8C0BF" w:rsidR="00AD3A6F" w:rsidRDefault="00FB2865" w:rsidP="001D1A95">
      <w:pPr>
        <w:spacing w:after="0"/>
        <w:jc w:val="both"/>
        <w:rPr>
          <w:rFonts w:ascii="Arial" w:hAnsi="Arial" w:cs="Arial"/>
          <w:color w:val="000000" w:themeColor="text1"/>
        </w:rPr>
      </w:pPr>
      <w:r>
        <w:rPr>
          <w:rFonts w:ascii="Arial" w:hAnsi="Arial" w:cs="Arial"/>
          <w:color w:val="000000" w:themeColor="text1"/>
        </w:rPr>
        <w:t xml:space="preserve">For higher concentration cut-off, the benefit </w:t>
      </w:r>
      <w:r w:rsidR="00BD0AC6">
        <w:rPr>
          <w:rFonts w:ascii="Arial" w:hAnsi="Arial" w:cs="Arial"/>
          <w:color w:val="000000" w:themeColor="text1"/>
        </w:rPr>
        <w:t>identified was</w:t>
      </w:r>
      <w:r w:rsidR="00277BD7">
        <w:rPr>
          <w:rFonts w:ascii="Arial" w:hAnsi="Arial" w:cs="Arial"/>
          <w:color w:val="000000" w:themeColor="text1"/>
        </w:rPr>
        <w:t xml:space="preserve"> </w:t>
      </w:r>
      <w:r w:rsidR="00D25877">
        <w:rPr>
          <w:rFonts w:ascii="Arial" w:hAnsi="Arial" w:cs="Arial"/>
          <w:color w:val="000000" w:themeColor="text1"/>
        </w:rPr>
        <w:t>that it was a</w:t>
      </w:r>
      <w:r w:rsidR="00277BD7">
        <w:rPr>
          <w:rFonts w:ascii="Arial" w:hAnsi="Arial" w:cs="Arial"/>
          <w:color w:val="000000" w:themeColor="text1"/>
        </w:rPr>
        <w:t xml:space="preserve"> more practical option for industry</w:t>
      </w:r>
      <w:r w:rsidR="00BD0AC6">
        <w:rPr>
          <w:rFonts w:ascii="Arial" w:hAnsi="Arial" w:cs="Arial"/>
          <w:color w:val="000000" w:themeColor="text1"/>
        </w:rPr>
        <w:t xml:space="preserve">. </w:t>
      </w:r>
      <w:r w:rsidR="00AC6880">
        <w:rPr>
          <w:rFonts w:ascii="Arial" w:hAnsi="Arial" w:cs="Arial"/>
          <w:color w:val="000000" w:themeColor="text1"/>
        </w:rPr>
        <w:t xml:space="preserve">One respondent also noted that for some Economies </w:t>
      </w:r>
      <w:r w:rsidR="00376F02">
        <w:rPr>
          <w:rFonts w:ascii="Arial" w:hAnsi="Arial" w:cs="Arial"/>
          <w:color w:val="000000" w:themeColor="text1"/>
        </w:rPr>
        <w:t xml:space="preserve">the </w:t>
      </w:r>
      <w:r w:rsidR="00AC6880">
        <w:rPr>
          <w:rFonts w:ascii="Arial" w:hAnsi="Arial" w:cs="Arial"/>
          <w:color w:val="000000" w:themeColor="text1"/>
        </w:rPr>
        <w:t>1% mixture cut-off was the default prior to GHS implementation (and therefore no increase in the risk to the population).</w:t>
      </w:r>
      <w:r w:rsidR="00C84A58">
        <w:rPr>
          <w:rFonts w:ascii="Arial" w:hAnsi="Arial" w:cs="Arial"/>
          <w:color w:val="000000" w:themeColor="text1"/>
        </w:rPr>
        <w:t xml:space="preserve"> </w:t>
      </w:r>
      <w:r w:rsidR="00600A4C">
        <w:rPr>
          <w:rFonts w:ascii="Arial" w:hAnsi="Arial" w:cs="Arial"/>
          <w:color w:val="000000" w:themeColor="text1"/>
        </w:rPr>
        <w:t>The same respondent noted that in some other Economies 0.1% may have been the default mixture cut-off prior to GHS implementation.</w:t>
      </w:r>
      <w:r w:rsidR="00C84A58">
        <w:rPr>
          <w:rFonts w:ascii="Arial" w:hAnsi="Arial" w:cs="Arial"/>
          <w:color w:val="000000" w:themeColor="text1"/>
        </w:rPr>
        <w:t xml:space="preserve"> The main drawback identified was that </w:t>
      </w:r>
      <w:r w:rsidR="00456574">
        <w:rPr>
          <w:rFonts w:ascii="Arial" w:hAnsi="Arial" w:cs="Arial"/>
          <w:color w:val="000000" w:themeColor="text1"/>
        </w:rPr>
        <w:t xml:space="preserve">it may lead to under-warning for </w:t>
      </w:r>
      <w:r w:rsidR="00C84A58">
        <w:rPr>
          <w:rFonts w:ascii="Arial" w:hAnsi="Arial" w:cs="Arial"/>
          <w:color w:val="000000" w:themeColor="text1"/>
        </w:rPr>
        <w:t xml:space="preserve">products containing </w:t>
      </w:r>
      <w:r w:rsidR="00456574">
        <w:rPr>
          <w:rFonts w:ascii="Arial" w:hAnsi="Arial" w:cs="Arial"/>
          <w:color w:val="000000" w:themeColor="text1"/>
        </w:rPr>
        <w:t xml:space="preserve">severe skin sensitisers.  Products containing </w:t>
      </w:r>
      <w:r w:rsidR="00C84A58">
        <w:rPr>
          <w:rFonts w:ascii="Arial" w:hAnsi="Arial" w:cs="Arial"/>
          <w:color w:val="000000" w:themeColor="text1"/>
        </w:rPr>
        <w:t>concentration</w:t>
      </w:r>
      <w:r w:rsidR="00456574">
        <w:rPr>
          <w:rFonts w:ascii="Arial" w:hAnsi="Arial" w:cs="Arial"/>
          <w:color w:val="000000" w:themeColor="text1"/>
        </w:rPr>
        <w:t xml:space="preserve"> between 0.1 and 1% of the sensitiser </w:t>
      </w:r>
      <w:r w:rsidR="00C84A58">
        <w:rPr>
          <w:rFonts w:ascii="Arial" w:hAnsi="Arial" w:cs="Arial"/>
          <w:color w:val="000000" w:themeColor="text1"/>
        </w:rPr>
        <w:t>would not be identified as sensitisers</w:t>
      </w:r>
      <w:r w:rsidR="00600A4C">
        <w:rPr>
          <w:rFonts w:ascii="Arial" w:hAnsi="Arial" w:cs="Arial"/>
          <w:color w:val="000000" w:themeColor="text1"/>
        </w:rPr>
        <w:t xml:space="preserve"> which may affect highly sensitive or already sensitized individuals.</w:t>
      </w:r>
    </w:p>
    <w:p w14:paraId="280AEA74" w14:textId="77777777" w:rsidR="00AE00C9" w:rsidRDefault="00AE00C9" w:rsidP="001D1A95">
      <w:pPr>
        <w:spacing w:after="0"/>
        <w:jc w:val="both"/>
        <w:rPr>
          <w:rFonts w:ascii="Arial" w:hAnsi="Arial" w:cs="Arial"/>
          <w:color w:val="000000" w:themeColor="text1"/>
        </w:rPr>
      </w:pPr>
    </w:p>
    <w:p w14:paraId="007DFAC8" w14:textId="08EBD63E" w:rsidR="00D25877" w:rsidRDefault="00AE00C9" w:rsidP="001D1A95">
      <w:pPr>
        <w:spacing w:after="0"/>
        <w:jc w:val="both"/>
        <w:rPr>
          <w:rFonts w:ascii="Arial" w:hAnsi="Arial" w:cs="Arial"/>
          <w:color w:val="000000" w:themeColor="text1"/>
        </w:rPr>
      </w:pPr>
      <w:r>
        <w:rPr>
          <w:rFonts w:ascii="Arial" w:hAnsi="Arial" w:cs="Arial"/>
          <w:color w:val="000000" w:themeColor="text1"/>
        </w:rPr>
        <w:t xml:space="preserve">Respondents appeared quite strongly for or against the option of allowing a flexible adoption of </w:t>
      </w:r>
      <w:r w:rsidR="00492D16">
        <w:rPr>
          <w:rFonts w:ascii="Arial" w:hAnsi="Arial" w:cs="Arial"/>
          <w:color w:val="000000" w:themeColor="text1"/>
        </w:rPr>
        <w:t xml:space="preserve">mixture </w:t>
      </w:r>
      <w:r>
        <w:rPr>
          <w:rFonts w:ascii="Arial" w:hAnsi="Arial" w:cs="Arial"/>
          <w:color w:val="000000" w:themeColor="text1"/>
        </w:rPr>
        <w:t>cut-off concentration</w:t>
      </w:r>
      <w:r w:rsidR="00492D16">
        <w:rPr>
          <w:rFonts w:ascii="Arial" w:hAnsi="Arial" w:cs="Arial"/>
          <w:color w:val="000000" w:themeColor="text1"/>
        </w:rPr>
        <w:t>. Those that were for the flexibility noted that the flexibility allowed for better harmonization</w:t>
      </w:r>
      <w:r w:rsidR="00EC113E">
        <w:rPr>
          <w:rFonts w:ascii="Arial" w:hAnsi="Arial" w:cs="Arial"/>
          <w:color w:val="000000" w:themeColor="text1"/>
        </w:rPr>
        <w:t xml:space="preserve">.  Those against noted that </w:t>
      </w:r>
      <w:r w:rsidR="00C86FFA">
        <w:rPr>
          <w:rFonts w:ascii="Arial" w:hAnsi="Arial" w:cs="Arial"/>
          <w:color w:val="000000" w:themeColor="text1"/>
        </w:rPr>
        <w:t>it may cause more confusion and divergence.</w:t>
      </w:r>
    </w:p>
    <w:p w14:paraId="10B5E057" w14:textId="2AD24416" w:rsidR="00AE00C9" w:rsidRDefault="00AE00C9" w:rsidP="001D1A95">
      <w:pPr>
        <w:spacing w:after="0"/>
        <w:jc w:val="both"/>
        <w:rPr>
          <w:rFonts w:ascii="Arial" w:hAnsi="Arial" w:cs="Arial"/>
          <w:color w:val="000000" w:themeColor="text1"/>
        </w:rPr>
      </w:pPr>
    </w:p>
    <w:p w14:paraId="5F8AC453" w14:textId="784CE071" w:rsidR="00CD5FDB" w:rsidRPr="0045376E" w:rsidRDefault="0045376E" w:rsidP="00E94F2B">
      <w:pPr>
        <w:pStyle w:val="Heading4"/>
      </w:pPr>
      <w:r>
        <w:t>Potential for a</w:t>
      </w:r>
      <w:r w:rsidR="00CD5FDB" w:rsidRPr="0045376E">
        <w:t xml:space="preserve">pplication across other GHS building blocks and </w:t>
      </w:r>
      <w:r w:rsidRPr="0045376E">
        <w:t>m</w:t>
      </w:r>
      <w:r w:rsidR="00CD5FDB" w:rsidRPr="0045376E">
        <w:t xml:space="preserve">ixture </w:t>
      </w:r>
      <w:r w:rsidRPr="0045376E">
        <w:t>cut-off concentrations</w:t>
      </w:r>
    </w:p>
    <w:p w14:paraId="78FAE004" w14:textId="2605F377" w:rsidR="007009C8" w:rsidRDefault="007009C8" w:rsidP="007009C8">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The reasons for the responding Economies’ choice of building blocks (single category or two sub-categories) did not appear to be specific to the hazard categor</w:t>
      </w:r>
      <w:r w:rsidR="0082672F">
        <w:rPr>
          <w:rFonts w:ascii="Arial" w:hAnsi="Arial" w:cs="Arial"/>
          <w:color w:val="000000" w:themeColor="text1"/>
          <w:shd w:val="clear" w:color="auto" w:fill="FFFFFF"/>
        </w:rPr>
        <w:t>ies</w:t>
      </w:r>
      <w:r>
        <w:rPr>
          <w:rFonts w:ascii="Arial" w:hAnsi="Arial" w:cs="Arial"/>
          <w:color w:val="000000" w:themeColor="text1"/>
          <w:shd w:val="clear" w:color="auto" w:fill="FFFFFF"/>
        </w:rPr>
        <w:t xml:space="preserve">.  This may allow the findings of this </w:t>
      </w:r>
      <w:r w:rsidR="00D222E6">
        <w:rPr>
          <w:rFonts w:ascii="Arial" w:hAnsi="Arial" w:cs="Arial"/>
          <w:color w:val="000000" w:themeColor="text1"/>
          <w:shd w:val="clear" w:color="auto" w:fill="FFFFFF"/>
        </w:rPr>
        <w:t>Questionnaire</w:t>
      </w:r>
      <w:r>
        <w:rPr>
          <w:rFonts w:ascii="Arial" w:hAnsi="Arial" w:cs="Arial"/>
          <w:color w:val="000000" w:themeColor="text1"/>
          <w:shd w:val="clear" w:color="auto" w:fill="FFFFFF"/>
        </w:rPr>
        <w:t xml:space="preserve"> to be </w:t>
      </w:r>
      <w:r w:rsidR="00D222E6">
        <w:rPr>
          <w:rFonts w:ascii="Arial" w:hAnsi="Arial" w:cs="Arial"/>
          <w:color w:val="000000" w:themeColor="text1"/>
          <w:shd w:val="clear" w:color="auto" w:fill="FFFFFF"/>
        </w:rPr>
        <w:t xml:space="preserve">applied more broadly </w:t>
      </w:r>
      <w:r>
        <w:rPr>
          <w:rFonts w:ascii="Arial" w:hAnsi="Arial" w:cs="Arial"/>
          <w:color w:val="000000" w:themeColor="text1"/>
          <w:shd w:val="clear" w:color="auto" w:fill="FFFFFF"/>
        </w:rPr>
        <w:t>to other GHS classification categories</w:t>
      </w:r>
      <w:r w:rsidR="007D7F5F">
        <w:rPr>
          <w:rFonts w:ascii="Arial" w:hAnsi="Arial" w:cs="Arial"/>
          <w:color w:val="000000" w:themeColor="text1"/>
          <w:shd w:val="clear" w:color="auto" w:fill="FFFFFF"/>
        </w:rPr>
        <w:t xml:space="preserve"> where the option for sub-categorisation exists</w:t>
      </w:r>
      <w:r w:rsidR="00D222E6">
        <w:rPr>
          <w:rFonts w:ascii="Arial" w:hAnsi="Arial" w:cs="Arial"/>
          <w:color w:val="000000" w:themeColor="text1"/>
          <w:shd w:val="clear" w:color="auto" w:fill="FFFFFF"/>
        </w:rPr>
        <w:t>.</w:t>
      </w:r>
    </w:p>
    <w:p w14:paraId="5BDD0AA0" w14:textId="49ED8E04" w:rsidR="0082672F" w:rsidRDefault="0082672F" w:rsidP="007009C8">
      <w:pPr>
        <w:spacing w:after="0"/>
        <w:jc w:val="both"/>
        <w:rPr>
          <w:rFonts w:ascii="Arial" w:hAnsi="Arial" w:cs="Arial"/>
          <w:color w:val="000000" w:themeColor="text1"/>
          <w:shd w:val="clear" w:color="auto" w:fill="FFFFFF"/>
        </w:rPr>
      </w:pPr>
    </w:p>
    <w:p w14:paraId="664CE742" w14:textId="502BA4BB" w:rsidR="001D1A95" w:rsidRDefault="0082672F" w:rsidP="001D1A95">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However, some of the reasons provided for the mixture classification cut-off appear specific to sensitisers i.e. consideration of induction and elicitation </w:t>
      </w:r>
      <w:r w:rsidR="004F2001">
        <w:rPr>
          <w:rFonts w:ascii="Arial" w:hAnsi="Arial" w:cs="Arial"/>
          <w:color w:val="000000" w:themeColor="text1"/>
          <w:shd w:val="clear" w:color="auto" w:fill="FFFFFF"/>
        </w:rPr>
        <w:t>concentration levels</w:t>
      </w:r>
      <w:r>
        <w:rPr>
          <w:rFonts w:ascii="Arial" w:hAnsi="Arial" w:cs="Arial"/>
          <w:color w:val="000000" w:themeColor="text1"/>
          <w:shd w:val="clear" w:color="auto" w:fill="FFFFFF"/>
        </w:rPr>
        <w:t xml:space="preserve"> </w:t>
      </w:r>
      <w:r w:rsidR="004F2001">
        <w:rPr>
          <w:rFonts w:ascii="Arial" w:hAnsi="Arial" w:cs="Arial"/>
          <w:color w:val="000000" w:themeColor="text1"/>
          <w:shd w:val="clear" w:color="auto" w:fill="FFFFFF"/>
        </w:rPr>
        <w:t>of chemicals in individuals</w:t>
      </w:r>
      <w:r w:rsidR="00DE6B3F">
        <w:rPr>
          <w:rFonts w:ascii="Arial" w:hAnsi="Arial" w:cs="Arial"/>
          <w:color w:val="000000" w:themeColor="text1"/>
          <w:shd w:val="clear" w:color="auto" w:fill="FFFFFF"/>
        </w:rPr>
        <w:t>,</w:t>
      </w:r>
      <w:r w:rsidR="004F2001">
        <w:rPr>
          <w:rFonts w:ascii="Arial" w:hAnsi="Arial" w:cs="Arial"/>
          <w:color w:val="000000" w:themeColor="text1"/>
          <w:shd w:val="clear" w:color="auto" w:fill="FFFFFF"/>
        </w:rPr>
        <w:t xml:space="preserve"> and may not be appropriate for broader application</w:t>
      </w:r>
      <w:r w:rsidR="00344A43">
        <w:rPr>
          <w:rFonts w:ascii="Arial" w:hAnsi="Arial" w:cs="Arial"/>
          <w:color w:val="000000" w:themeColor="text1"/>
          <w:shd w:val="clear" w:color="auto" w:fill="FFFFFF"/>
        </w:rPr>
        <w:t xml:space="preserve"> to other GHS mixture classifications</w:t>
      </w:r>
      <w:r w:rsidR="004F2001">
        <w:rPr>
          <w:rFonts w:ascii="Arial" w:hAnsi="Arial" w:cs="Arial"/>
          <w:color w:val="000000" w:themeColor="text1"/>
          <w:shd w:val="clear" w:color="auto" w:fill="FFFFFF"/>
        </w:rPr>
        <w:t>.</w:t>
      </w:r>
    </w:p>
    <w:p w14:paraId="5DEF73A3" w14:textId="77777777" w:rsidR="0082672F" w:rsidRPr="00ED7233" w:rsidRDefault="0082672F" w:rsidP="001D1A95">
      <w:pPr>
        <w:spacing w:after="0"/>
        <w:jc w:val="both"/>
        <w:rPr>
          <w:rFonts w:ascii="Arial" w:hAnsi="Arial" w:cs="Arial"/>
          <w:color w:val="000000" w:themeColor="text1"/>
        </w:rPr>
      </w:pPr>
    </w:p>
    <w:p w14:paraId="6AD67A01" w14:textId="1A4B9DC3" w:rsidR="00732FF4" w:rsidRPr="001D1A95" w:rsidRDefault="00732FF4" w:rsidP="00007742">
      <w:pPr>
        <w:pStyle w:val="Heading2"/>
      </w:pPr>
      <w:bookmarkStart w:id="9" w:name="_Toc6393971"/>
      <w:r w:rsidRPr="001D1A95">
        <w:t>Regulators work with each other to find possible ways to deliver a convergent implementation of GHS</w:t>
      </w:r>
      <w:bookmarkEnd w:id="9"/>
    </w:p>
    <w:p w14:paraId="63376440" w14:textId="5E2918EA" w:rsidR="00E63CD8" w:rsidRDefault="00973B7B" w:rsidP="00576E01">
      <w:pPr>
        <w:spacing w:after="0"/>
        <w:jc w:val="both"/>
        <w:rPr>
          <w:rFonts w:ascii="Arial" w:hAnsi="Arial" w:cs="Arial"/>
        </w:rPr>
      </w:pPr>
      <w:r>
        <w:rPr>
          <w:rFonts w:ascii="Arial" w:hAnsi="Arial" w:cs="Arial"/>
        </w:rPr>
        <w:t xml:space="preserve">Economies were asked to identify </w:t>
      </w:r>
      <w:r w:rsidR="00183FAB">
        <w:rPr>
          <w:rFonts w:ascii="Arial" w:hAnsi="Arial" w:cs="Arial"/>
        </w:rPr>
        <w:t>any forum</w:t>
      </w:r>
      <w:r w:rsidR="008440AC">
        <w:rPr>
          <w:rFonts w:ascii="Arial" w:hAnsi="Arial" w:cs="Arial"/>
        </w:rPr>
        <w:t xml:space="preserve"> for regulators</w:t>
      </w:r>
      <w:r w:rsidR="00183FAB">
        <w:rPr>
          <w:rFonts w:ascii="Arial" w:hAnsi="Arial" w:cs="Arial"/>
        </w:rPr>
        <w:t xml:space="preserve"> that are dedicated to</w:t>
      </w:r>
      <w:r w:rsidR="008440AC">
        <w:rPr>
          <w:rFonts w:ascii="Arial" w:hAnsi="Arial" w:cs="Arial"/>
        </w:rPr>
        <w:t xml:space="preserve"> GHS implementation convergence.</w:t>
      </w:r>
    </w:p>
    <w:p w14:paraId="69ADB906" w14:textId="48A00A39" w:rsidR="00745688" w:rsidRDefault="00745688" w:rsidP="00576E01">
      <w:pPr>
        <w:spacing w:after="0"/>
        <w:jc w:val="both"/>
        <w:rPr>
          <w:rFonts w:ascii="Arial" w:hAnsi="Arial" w:cs="Arial"/>
        </w:rPr>
      </w:pPr>
    </w:p>
    <w:p w14:paraId="65F6CE7F" w14:textId="0616BD71" w:rsidR="00745688" w:rsidRDefault="00745688" w:rsidP="00576E01">
      <w:pPr>
        <w:spacing w:after="0"/>
        <w:jc w:val="both"/>
        <w:rPr>
          <w:rFonts w:ascii="Arial" w:hAnsi="Arial" w:cs="Arial"/>
        </w:rPr>
      </w:pPr>
      <w:r>
        <w:rPr>
          <w:rFonts w:ascii="Arial" w:hAnsi="Arial" w:cs="Arial"/>
        </w:rPr>
        <w:t>The following fora were identified.</w:t>
      </w:r>
    </w:p>
    <w:p w14:paraId="2D9F6338" w14:textId="7C4F61BF" w:rsidR="00745688" w:rsidRDefault="00745688" w:rsidP="00745688">
      <w:pPr>
        <w:pStyle w:val="ListParagraph"/>
        <w:numPr>
          <w:ilvl w:val="0"/>
          <w:numId w:val="8"/>
        </w:numPr>
        <w:spacing w:after="0"/>
        <w:jc w:val="both"/>
        <w:rPr>
          <w:rFonts w:ascii="Arial" w:hAnsi="Arial" w:cs="Arial"/>
        </w:rPr>
      </w:pPr>
      <w:r>
        <w:rPr>
          <w:rFonts w:ascii="Arial" w:hAnsi="Arial" w:cs="Arial"/>
        </w:rPr>
        <w:lastRenderedPageBreak/>
        <w:t>APEC Chemical Dialogue</w:t>
      </w:r>
    </w:p>
    <w:p w14:paraId="0C65D4CD" w14:textId="0ACF095C" w:rsidR="00745688" w:rsidRDefault="001346C9" w:rsidP="00745688">
      <w:pPr>
        <w:pStyle w:val="ListParagraph"/>
        <w:numPr>
          <w:ilvl w:val="0"/>
          <w:numId w:val="8"/>
        </w:numPr>
        <w:spacing w:after="0"/>
        <w:jc w:val="both"/>
        <w:rPr>
          <w:rFonts w:ascii="Arial" w:hAnsi="Arial" w:cs="Arial"/>
        </w:rPr>
      </w:pPr>
      <w:r>
        <w:rPr>
          <w:rFonts w:ascii="Arial" w:hAnsi="Arial" w:cs="Arial"/>
        </w:rPr>
        <w:t>UN GHS Sub-Committee (UNSCEGHS)</w:t>
      </w:r>
    </w:p>
    <w:p w14:paraId="43A6D23B" w14:textId="4942AB60" w:rsidR="001346C9" w:rsidRDefault="001346C9" w:rsidP="00745688">
      <w:pPr>
        <w:pStyle w:val="ListParagraph"/>
        <w:numPr>
          <w:ilvl w:val="0"/>
          <w:numId w:val="8"/>
        </w:numPr>
        <w:spacing w:after="0"/>
        <w:jc w:val="both"/>
        <w:rPr>
          <w:rFonts w:ascii="Arial" w:hAnsi="Arial" w:cs="Arial"/>
        </w:rPr>
      </w:pPr>
      <w:r>
        <w:rPr>
          <w:rFonts w:ascii="Arial" w:hAnsi="Arial" w:cs="Arial"/>
        </w:rPr>
        <w:t>United Nations Institute for Training and Research</w:t>
      </w:r>
    </w:p>
    <w:p w14:paraId="1DB556B2" w14:textId="2D8B00FF" w:rsidR="001346C9" w:rsidRDefault="001346C9" w:rsidP="00745688">
      <w:pPr>
        <w:pStyle w:val="ListParagraph"/>
        <w:numPr>
          <w:ilvl w:val="0"/>
          <w:numId w:val="8"/>
        </w:numPr>
        <w:spacing w:after="0"/>
        <w:jc w:val="both"/>
        <w:rPr>
          <w:rFonts w:ascii="Arial" w:hAnsi="Arial" w:cs="Arial"/>
        </w:rPr>
      </w:pPr>
      <w:r>
        <w:rPr>
          <w:rFonts w:ascii="Arial" w:hAnsi="Arial" w:cs="Arial"/>
        </w:rPr>
        <w:t>USA/Canada Regulatory Cooperation Council initiative on GHS (Workplace Hazards)</w:t>
      </w:r>
    </w:p>
    <w:p w14:paraId="48B207A2" w14:textId="22146E86" w:rsidR="00D23D11" w:rsidRDefault="00D23D11" w:rsidP="00745688">
      <w:pPr>
        <w:pStyle w:val="ListParagraph"/>
        <w:numPr>
          <w:ilvl w:val="0"/>
          <w:numId w:val="8"/>
        </w:numPr>
        <w:spacing w:after="0"/>
        <w:jc w:val="both"/>
        <w:rPr>
          <w:rFonts w:ascii="Arial" w:hAnsi="Arial" w:cs="Arial"/>
        </w:rPr>
      </w:pPr>
      <w:r>
        <w:rPr>
          <w:rFonts w:ascii="Arial" w:hAnsi="Arial" w:cs="Arial"/>
        </w:rPr>
        <w:t xml:space="preserve">ASEAN Chemical Industry Regulatory Co-operation Workshop platform </w:t>
      </w:r>
    </w:p>
    <w:p w14:paraId="04E0DC35" w14:textId="22B6148A" w:rsidR="00AB142E" w:rsidRDefault="00AB142E" w:rsidP="00745688">
      <w:pPr>
        <w:pStyle w:val="ListParagraph"/>
        <w:numPr>
          <w:ilvl w:val="0"/>
          <w:numId w:val="8"/>
        </w:numPr>
        <w:spacing w:after="0"/>
        <w:jc w:val="both"/>
        <w:rPr>
          <w:rFonts w:ascii="Arial" w:hAnsi="Arial" w:cs="Arial"/>
        </w:rPr>
      </w:pPr>
      <w:r>
        <w:rPr>
          <w:rFonts w:ascii="Arial" w:hAnsi="Arial" w:cs="Arial"/>
        </w:rPr>
        <w:t>ASEAN OSHNet</w:t>
      </w:r>
    </w:p>
    <w:p w14:paraId="0FE4BA26" w14:textId="77777777" w:rsidR="00AB142E" w:rsidRDefault="00AB142E" w:rsidP="00576E01">
      <w:pPr>
        <w:spacing w:after="0"/>
        <w:jc w:val="both"/>
        <w:rPr>
          <w:rFonts w:ascii="Arial" w:hAnsi="Arial" w:cs="Arial"/>
        </w:rPr>
      </w:pPr>
    </w:p>
    <w:p w14:paraId="57F31746" w14:textId="153CDB20" w:rsidR="000453ED" w:rsidRDefault="00AB142E" w:rsidP="00576E01">
      <w:pPr>
        <w:spacing w:after="0"/>
        <w:jc w:val="both"/>
        <w:rPr>
          <w:rFonts w:ascii="Arial" w:hAnsi="Arial" w:cs="Arial"/>
        </w:rPr>
      </w:pPr>
      <w:r>
        <w:rPr>
          <w:rFonts w:ascii="Arial" w:hAnsi="Arial" w:cs="Arial"/>
        </w:rPr>
        <w:t>Interestingly, some Eco</w:t>
      </w:r>
      <w:r w:rsidR="00D71D6A">
        <w:rPr>
          <w:rFonts w:ascii="Arial" w:hAnsi="Arial" w:cs="Arial"/>
        </w:rPr>
        <w:t>n</w:t>
      </w:r>
      <w:r>
        <w:rPr>
          <w:rFonts w:ascii="Arial" w:hAnsi="Arial" w:cs="Arial"/>
        </w:rPr>
        <w:t xml:space="preserve">omies identified that there </w:t>
      </w:r>
      <w:r w:rsidR="00456574">
        <w:rPr>
          <w:rFonts w:ascii="Arial" w:hAnsi="Arial" w:cs="Arial"/>
        </w:rPr>
        <w:t>is</w:t>
      </w:r>
      <w:r>
        <w:rPr>
          <w:rFonts w:ascii="Arial" w:hAnsi="Arial" w:cs="Arial"/>
        </w:rPr>
        <w:t xml:space="preserve"> </w:t>
      </w:r>
      <w:r w:rsidR="00D71D6A">
        <w:rPr>
          <w:rFonts w:ascii="Arial" w:hAnsi="Arial" w:cs="Arial"/>
        </w:rPr>
        <w:t xml:space="preserve">no forum for regulators that are dedicated to GHS implementation convergence.  This may be due to </w:t>
      </w:r>
      <w:r w:rsidR="005C5FAD">
        <w:rPr>
          <w:rFonts w:ascii="Arial" w:hAnsi="Arial" w:cs="Arial"/>
        </w:rPr>
        <w:t xml:space="preserve">the varying interpretation of “dedicated” used in the survey – it is noted that the primary function of the identified fora </w:t>
      </w:r>
      <w:r w:rsidR="0040627B">
        <w:rPr>
          <w:rFonts w:ascii="Arial" w:hAnsi="Arial" w:cs="Arial"/>
        </w:rPr>
        <w:t>is</w:t>
      </w:r>
      <w:r w:rsidR="005C5FAD">
        <w:rPr>
          <w:rFonts w:ascii="Arial" w:hAnsi="Arial" w:cs="Arial"/>
        </w:rPr>
        <w:t xml:space="preserve"> not regulatory convergence </w:t>
      </w:r>
      <w:r w:rsidR="0040627B">
        <w:rPr>
          <w:rFonts w:ascii="Arial" w:hAnsi="Arial" w:cs="Arial"/>
        </w:rPr>
        <w:t xml:space="preserve">of GHS </w:t>
      </w:r>
      <w:r w:rsidR="005C5FAD">
        <w:rPr>
          <w:rFonts w:ascii="Arial" w:hAnsi="Arial" w:cs="Arial"/>
        </w:rPr>
        <w:t>across multiple Economies</w:t>
      </w:r>
      <w:r w:rsidR="0040627B">
        <w:rPr>
          <w:rFonts w:ascii="Arial" w:hAnsi="Arial" w:cs="Arial"/>
        </w:rPr>
        <w:t xml:space="preserve"> e.g. APEC CD has a much broader purpose.</w:t>
      </w:r>
    </w:p>
    <w:p w14:paraId="490A15F8" w14:textId="22F99C3E" w:rsidR="00B16982" w:rsidRDefault="00B16982" w:rsidP="00576E01">
      <w:pPr>
        <w:spacing w:after="0"/>
        <w:jc w:val="both"/>
        <w:rPr>
          <w:rFonts w:ascii="Arial" w:hAnsi="Arial" w:cs="Arial"/>
        </w:rPr>
      </w:pPr>
    </w:p>
    <w:p w14:paraId="09DB0D54" w14:textId="77777777" w:rsidR="003034EE" w:rsidRDefault="003034EE">
      <w:pPr>
        <w:rPr>
          <w:rFonts w:ascii="Arial" w:hAnsi="Arial" w:cs="Arial"/>
          <w:b/>
        </w:rPr>
      </w:pPr>
      <w:r>
        <w:rPr>
          <w:rFonts w:ascii="Arial" w:hAnsi="Arial" w:cs="Arial"/>
          <w:b/>
        </w:rPr>
        <w:br w:type="page"/>
      </w:r>
    </w:p>
    <w:p w14:paraId="5CEBC57F" w14:textId="05EDAB8E" w:rsidR="00B16982" w:rsidRPr="003B20EB" w:rsidRDefault="00B16982" w:rsidP="00007742">
      <w:pPr>
        <w:pStyle w:val="Heading1"/>
      </w:pPr>
      <w:bookmarkStart w:id="10" w:name="_Toc6393972"/>
      <w:r w:rsidRPr="003B20EB">
        <w:lastRenderedPageBreak/>
        <w:t>Conclusion</w:t>
      </w:r>
      <w:bookmarkEnd w:id="10"/>
    </w:p>
    <w:p w14:paraId="68C81908" w14:textId="296F4C8F" w:rsidR="00B1316F" w:rsidRDefault="000B2CAE" w:rsidP="00576E01">
      <w:pPr>
        <w:spacing w:after="0"/>
        <w:jc w:val="both"/>
        <w:rPr>
          <w:rFonts w:ascii="Arial" w:hAnsi="Arial" w:cs="Arial"/>
        </w:rPr>
      </w:pPr>
      <w:r>
        <w:rPr>
          <w:rFonts w:ascii="Arial" w:hAnsi="Arial" w:cs="Arial"/>
        </w:rPr>
        <w:t xml:space="preserve">Based on the responses to the Questionnaire, the APEC Economies are working towards </w:t>
      </w:r>
      <w:r w:rsidR="009B204D">
        <w:rPr>
          <w:rFonts w:ascii="Arial" w:hAnsi="Arial" w:cs="Arial"/>
        </w:rPr>
        <w:t xml:space="preserve">some aspects of </w:t>
      </w:r>
      <w:r w:rsidR="00495014">
        <w:rPr>
          <w:rFonts w:ascii="Arial" w:hAnsi="Arial" w:cs="Arial"/>
        </w:rPr>
        <w:t>convergent implementation of GHS.</w:t>
      </w:r>
      <w:r w:rsidR="00C9108E">
        <w:rPr>
          <w:rFonts w:ascii="Arial" w:hAnsi="Arial" w:cs="Arial"/>
        </w:rPr>
        <w:t xml:space="preserve">  However, </w:t>
      </w:r>
      <w:r w:rsidR="009C41CE">
        <w:rPr>
          <w:rFonts w:ascii="Arial" w:hAnsi="Arial" w:cs="Arial"/>
        </w:rPr>
        <w:t>collaboration across the APEC region</w:t>
      </w:r>
      <w:r w:rsidR="00C406D3">
        <w:rPr>
          <w:rFonts w:ascii="Arial" w:hAnsi="Arial" w:cs="Arial"/>
        </w:rPr>
        <w:t xml:space="preserve"> is required to achieve better alignment.</w:t>
      </w:r>
      <w:r w:rsidR="00495014">
        <w:rPr>
          <w:rFonts w:ascii="Arial" w:hAnsi="Arial" w:cs="Arial"/>
        </w:rPr>
        <w:t xml:space="preserve">  </w:t>
      </w:r>
    </w:p>
    <w:p w14:paraId="17273FF3" w14:textId="57CD0A0B" w:rsidR="00185F7D" w:rsidRDefault="00185F7D" w:rsidP="00576E01">
      <w:pPr>
        <w:spacing w:after="0"/>
        <w:jc w:val="both"/>
        <w:rPr>
          <w:rFonts w:ascii="Arial" w:hAnsi="Arial" w:cs="Arial"/>
        </w:rPr>
      </w:pPr>
    </w:p>
    <w:p w14:paraId="56036CAB" w14:textId="6C5E325A" w:rsidR="009B204D" w:rsidRPr="009B204D" w:rsidRDefault="004A68DC" w:rsidP="00007742">
      <w:pPr>
        <w:pStyle w:val="Heading2"/>
      </w:pPr>
      <w:bookmarkStart w:id="11" w:name="_Toc6393973"/>
      <w:r>
        <w:t>Economies a</w:t>
      </w:r>
      <w:r w:rsidR="009B204D" w:rsidRPr="009B204D">
        <w:t>dopt later revisions of GHS</w:t>
      </w:r>
      <w:bookmarkEnd w:id="11"/>
    </w:p>
    <w:p w14:paraId="4E64E303" w14:textId="3D26F17E" w:rsidR="00543E39" w:rsidRDefault="00495014" w:rsidP="00576E01">
      <w:pPr>
        <w:spacing w:after="0"/>
        <w:jc w:val="both"/>
        <w:rPr>
          <w:rFonts w:ascii="Arial" w:hAnsi="Arial" w:cs="Arial"/>
        </w:rPr>
      </w:pPr>
      <w:r>
        <w:rPr>
          <w:rFonts w:ascii="Arial" w:hAnsi="Arial" w:cs="Arial"/>
        </w:rPr>
        <w:t xml:space="preserve">All Economies </w:t>
      </w:r>
      <w:r w:rsidR="0073518A">
        <w:rPr>
          <w:rFonts w:ascii="Arial" w:hAnsi="Arial" w:cs="Arial"/>
        </w:rPr>
        <w:t>that are planning to adopt a</w:t>
      </w:r>
      <w:r>
        <w:rPr>
          <w:rFonts w:ascii="Arial" w:hAnsi="Arial" w:cs="Arial"/>
        </w:rPr>
        <w:t xml:space="preserve"> </w:t>
      </w:r>
      <w:r w:rsidR="0073518A">
        <w:rPr>
          <w:rFonts w:ascii="Arial" w:hAnsi="Arial" w:cs="Arial"/>
        </w:rPr>
        <w:t>later revision</w:t>
      </w:r>
      <w:r w:rsidR="004C3C7D">
        <w:rPr>
          <w:rFonts w:ascii="Arial" w:hAnsi="Arial" w:cs="Arial"/>
        </w:rPr>
        <w:t xml:space="preserve"> of GHS have identified the 7</w:t>
      </w:r>
      <w:r w:rsidR="004C3C7D" w:rsidRPr="004C3C7D">
        <w:rPr>
          <w:rFonts w:ascii="Arial" w:hAnsi="Arial" w:cs="Arial"/>
          <w:vertAlign w:val="superscript"/>
        </w:rPr>
        <w:t>th</w:t>
      </w:r>
      <w:r w:rsidR="004C3C7D">
        <w:rPr>
          <w:rFonts w:ascii="Arial" w:hAnsi="Arial" w:cs="Arial"/>
        </w:rPr>
        <w:t xml:space="preserve"> revision as the revision to adopt.  The implementation timing</w:t>
      </w:r>
      <w:r w:rsidR="00193FEC">
        <w:rPr>
          <w:rFonts w:ascii="Arial" w:hAnsi="Arial" w:cs="Arial"/>
        </w:rPr>
        <w:t>s</w:t>
      </w:r>
      <w:r w:rsidR="004C3C7D">
        <w:rPr>
          <w:rFonts w:ascii="Arial" w:hAnsi="Arial" w:cs="Arial"/>
        </w:rPr>
        <w:t xml:space="preserve"> also </w:t>
      </w:r>
      <w:r w:rsidR="00C67FC3">
        <w:rPr>
          <w:rFonts w:ascii="Arial" w:hAnsi="Arial" w:cs="Arial"/>
        </w:rPr>
        <w:t>appear</w:t>
      </w:r>
      <w:r w:rsidR="004C3C7D">
        <w:rPr>
          <w:rFonts w:ascii="Arial" w:hAnsi="Arial" w:cs="Arial"/>
        </w:rPr>
        <w:t xml:space="preserve"> closely aligned with th</w:t>
      </w:r>
      <w:r w:rsidR="00193FEC">
        <w:rPr>
          <w:rFonts w:ascii="Arial" w:hAnsi="Arial" w:cs="Arial"/>
        </w:rPr>
        <w:t>e</w:t>
      </w:r>
      <w:r w:rsidR="004C3C7D">
        <w:rPr>
          <w:rFonts w:ascii="Arial" w:hAnsi="Arial" w:cs="Arial"/>
        </w:rPr>
        <w:t xml:space="preserve"> Economies identifying 2020 or 2021 as the planned implementation years.</w:t>
      </w:r>
      <w:r w:rsidR="00C67FC3">
        <w:rPr>
          <w:rFonts w:ascii="Arial" w:hAnsi="Arial" w:cs="Arial"/>
        </w:rPr>
        <w:t xml:space="preserve"> </w:t>
      </w:r>
      <w:r w:rsidR="00BD1845">
        <w:rPr>
          <w:rFonts w:ascii="Arial" w:hAnsi="Arial" w:cs="Arial"/>
        </w:rPr>
        <w:t xml:space="preserve">We note that </w:t>
      </w:r>
      <w:r w:rsidR="0075301A">
        <w:rPr>
          <w:rFonts w:ascii="Arial" w:hAnsi="Arial" w:cs="Arial"/>
        </w:rPr>
        <w:t>the difference of up to two years in implementation t</w:t>
      </w:r>
      <w:r w:rsidR="007D12F6">
        <w:rPr>
          <w:rFonts w:ascii="Arial" w:hAnsi="Arial" w:cs="Arial"/>
        </w:rPr>
        <w:t>ime may be managed with approp</w:t>
      </w:r>
      <w:r w:rsidR="00476DB8">
        <w:rPr>
          <w:rFonts w:ascii="Arial" w:hAnsi="Arial" w:cs="Arial"/>
        </w:rPr>
        <w:t>riate transition time</w:t>
      </w:r>
      <w:r w:rsidR="00FA3E72">
        <w:rPr>
          <w:rFonts w:ascii="Arial" w:hAnsi="Arial" w:cs="Arial"/>
        </w:rPr>
        <w:t xml:space="preserve"> to achieve </w:t>
      </w:r>
      <w:r w:rsidR="009E6DDF">
        <w:rPr>
          <w:rFonts w:ascii="Arial" w:hAnsi="Arial" w:cs="Arial"/>
        </w:rPr>
        <w:t>harmonized implementation</w:t>
      </w:r>
      <w:r w:rsidR="00BD1845">
        <w:rPr>
          <w:rFonts w:ascii="Arial" w:hAnsi="Arial" w:cs="Arial"/>
        </w:rPr>
        <w:t xml:space="preserve"> of the 7</w:t>
      </w:r>
      <w:r w:rsidR="00BD1845" w:rsidRPr="00BD1845">
        <w:rPr>
          <w:rFonts w:ascii="Arial" w:hAnsi="Arial" w:cs="Arial"/>
          <w:vertAlign w:val="superscript"/>
        </w:rPr>
        <w:t>th</w:t>
      </w:r>
      <w:r w:rsidR="00BD1845">
        <w:rPr>
          <w:rFonts w:ascii="Arial" w:hAnsi="Arial" w:cs="Arial"/>
        </w:rPr>
        <w:t xml:space="preserve"> revision of GHS</w:t>
      </w:r>
      <w:r w:rsidR="003921DC">
        <w:rPr>
          <w:rFonts w:ascii="Arial" w:hAnsi="Arial" w:cs="Arial"/>
        </w:rPr>
        <w:t xml:space="preserve"> across the Economies</w:t>
      </w:r>
      <w:r w:rsidR="00476DB8">
        <w:rPr>
          <w:rFonts w:ascii="Arial" w:hAnsi="Arial" w:cs="Arial"/>
        </w:rPr>
        <w:t>.</w:t>
      </w:r>
    </w:p>
    <w:p w14:paraId="7238A072" w14:textId="1516F999" w:rsidR="009208E7" w:rsidRDefault="009208E7" w:rsidP="00576E01">
      <w:pPr>
        <w:spacing w:after="0"/>
        <w:jc w:val="both"/>
        <w:rPr>
          <w:rFonts w:ascii="Arial" w:hAnsi="Arial" w:cs="Arial"/>
        </w:rPr>
      </w:pPr>
    </w:p>
    <w:p w14:paraId="2D720F04" w14:textId="4D806F69" w:rsidR="0007142F" w:rsidRDefault="0007142F" w:rsidP="00576E01">
      <w:pPr>
        <w:spacing w:after="0"/>
        <w:jc w:val="both"/>
        <w:rPr>
          <w:rFonts w:ascii="Arial" w:hAnsi="Arial" w:cs="Arial"/>
        </w:rPr>
      </w:pPr>
      <w:r>
        <w:rPr>
          <w:rFonts w:ascii="Arial" w:hAnsi="Arial" w:cs="Arial"/>
        </w:rPr>
        <w:t>However, th</w:t>
      </w:r>
      <w:r w:rsidR="002E78F5">
        <w:rPr>
          <w:rFonts w:ascii="Arial" w:hAnsi="Arial" w:cs="Arial"/>
        </w:rPr>
        <w:t xml:space="preserve">e mechanism for adopting later revisions </w:t>
      </w:r>
      <w:r w:rsidR="00B82718">
        <w:rPr>
          <w:rFonts w:ascii="Arial" w:hAnsi="Arial" w:cs="Arial"/>
        </w:rPr>
        <w:t>of GHS do not appear to be present in some Economies that are required to “manually trigger” the process.</w:t>
      </w:r>
      <w:r w:rsidR="004B30F5">
        <w:rPr>
          <w:rFonts w:ascii="Arial" w:hAnsi="Arial" w:cs="Arial"/>
        </w:rPr>
        <w:t xml:space="preserve">  Further those Economies that have mechanisms in place differ in the tim</w:t>
      </w:r>
      <w:r w:rsidR="00C80739">
        <w:rPr>
          <w:rFonts w:ascii="Arial" w:hAnsi="Arial" w:cs="Arial"/>
        </w:rPr>
        <w:t>ing</w:t>
      </w:r>
      <w:r w:rsidR="004B30F5">
        <w:rPr>
          <w:rFonts w:ascii="Arial" w:hAnsi="Arial" w:cs="Arial"/>
        </w:rPr>
        <w:t xml:space="preserve"> of the review process e.g. </w:t>
      </w:r>
      <w:r w:rsidR="004258F2">
        <w:rPr>
          <w:rFonts w:ascii="Arial" w:hAnsi="Arial" w:cs="Arial"/>
        </w:rPr>
        <w:t xml:space="preserve">legislated five yearly review in some Economies, every second revision </w:t>
      </w:r>
      <w:r w:rsidR="00C833DA">
        <w:rPr>
          <w:rFonts w:ascii="Arial" w:hAnsi="Arial" w:cs="Arial"/>
        </w:rPr>
        <w:t>for one Economy, and a continuing review process in another.</w:t>
      </w:r>
    </w:p>
    <w:p w14:paraId="533EEF34" w14:textId="306B727C" w:rsidR="00C80739" w:rsidRDefault="00C80739" w:rsidP="00576E01">
      <w:pPr>
        <w:spacing w:after="0"/>
        <w:jc w:val="both"/>
        <w:rPr>
          <w:rFonts w:ascii="Arial" w:hAnsi="Arial" w:cs="Arial"/>
        </w:rPr>
      </w:pPr>
    </w:p>
    <w:p w14:paraId="2513DBA9" w14:textId="1D366EC5" w:rsidR="00C80739" w:rsidRDefault="000C4A66" w:rsidP="00576E01">
      <w:pPr>
        <w:spacing w:after="0"/>
        <w:jc w:val="both"/>
        <w:rPr>
          <w:rFonts w:ascii="Arial" w:hAnsi="Arial" w:cs="Arial"/>
        </w:rPr>
      </w:pPr>
      <w:r>
        <w:rPr>
          <w:rFonts w:ascii="Arial" w:hAnsi="Arial" w:cs="Arial"/>
        </w:rPr>
        <w:t xml:space="preserve">This leads to the conclusion that the potential near future alignment </w:t>
      </w:r>
      <w:r w:rsidR="00E4306F">
        <w:rPr>
          <w:rFonts w:ascii="Arial" w:hAnsi="Arial" w:cs="Arial"/>
        </w:rPr>
        <w:t>with the adoption of the 7</w:t>
      </w:r>
      <w:r w:rsidR="00E4306F" w:rsidRPr="00E4306F">
        <w:rPr>
          <w:rFonts w:ascii="Arial" w:hAnsi="Arial" w:cs="Arial"/>
          <w:vertAlign w:val="superscript"/>
        </w:rPr>
        <w:t>th</w:t>
      </w:r>
      <w:r w:rsidR="00E4306F">
        <w:rPr>
          <w:rFonts w:ascii="Arial" w:hAnsi="Arial" w:cs="Arial"/>
        </w:rPr>
        <w:t xml:space="preserve"> revision of GHS is by good fortune rather than good design.</w:t>
      </w:r>
      <w:r w:rsidR="00AF2B28">
        <w:rPr>
          <w:rFonts w:ascii="Arial" w:hAnsi="Arial" w:cs="Arial"/>
        </w:rPr>
        <w:t xml:space="preserve">  T</w:t>
      </w:r>
      <w:r w:rsidR="00DF2D44">
        <w:rPr>
          <w:rFonts w:ascii="Arial" w:hAnsi="Arial" w:cs="Arial"/>
        </w:rPr>
        <w:t>o</w:t>
      </w:r>
      <w:r w:rsidR="00AF2B28">
        <w:rPr>
          <w:rFonts w:ascii="Arial" w:hAnsi="Arial" w:cs="Arial"/>
        </w:rPr>
        <w:t xml:space="preserve"> ensure continued convergent implementation of the GHS revisions, </w:t>
      </w:r>
      <w:r w:rsidR="00DF2D44">
        <w:rPr>
          <w:rFonts w:ascii="Arial" w:hAnsi="Arial" w:cs="Arial"/>
        </w:rPr>
        <w:t xml:space="preserve">APEC Economies should consider mechanisms </w:t>
      </w:r>
      <w:r w:rsidR="00B02C41">
        <w:rPr>
          <w:rFonts w:ascii="Arial" w:hAnsi="Arial" w:cs="Arial"/>
        </w:rPr>
        <w:t>to</w:t>
      </w:r>
      <w:r w:rsidR="00DF2D44">
        <w:rPr>
          <w:rFonts w:ascii="Arial" w:hAnsi="Arial" w:cs="Arial"/>
        </w:rPr>
        <w:t xml:space="preserve"> regularly update </w:t>
      </w:r>
      <w:r w:rsidR="00271462">
        <w:rPr>
          <w:rFonts w:ascii="Arial" w:hAnsi="Arial" w:cs="Arial"/>
        </w:rPr>
        <w:t xml:space="preserve">their </w:t>
      </w:r>
      <w:r w:rsidR="00801FF5">
        <w:rPr>
          <w:rFonts w:ascii="Arial" w:hAnsi="Arial" w:cs="Arial"/>
        </w:rPr>
        <w:t xml:space="preserve">adoption of </w:t>
      </w:r>
      <w:r w:rsidR="00B02C41">
        <w:rPr>
          <w:rFonts w:ascii="Arial" w:hAnsi="Arial" w:cs="Arial"/>
        </w:rPr>
        <w:t>GHS</w:t>
      </w:r>
    </w:p>
    <w:p w14:paraId="5BBDD7EE" w14:textId="74BE9390" w:rsidR="00BD1845" w:rsidRDefault="00BD1845" w:rsidP="00576E01">
      <w:pPr>
        <w:spacing w:after="0"/>
        <w:jc w:val="both"/>
        <w:rPr>
          <w:rFonts w:ascii="Arial" w:hAnsi="Arial" w:cs="Arial"/>
        </w:rPr>
      </w:pPr>
    </w:p>
    <w:p w14:paraId="565457CA" w14:textId="77777777" w:rsidR="000751D5" w:rsidRPr="000751D5" w:rsidRDefault="000751D5" w:rsidP="00007742">
      <w:pPr>
        <w:pStyle w:val="Heading2"/>
      </w:pPr>
      <w:bookmarkStart w:id="12" w:name="_Toc6393974"/>
      <w:r w:rsidRPr="000751D5">
        <w:t>Economies adopt common building blocks to facilitate trade</w:t>
      </w:r>
      <w:bookmarkEnd w:id="12"/>
    </w:p>
    <w:p w14:paraId="4E2FF8AB" w14:textId="38AFBE54" w:rsidR="004A68DC" w:rsidRDefault="008179F1" w:rsidP="00576E01">
      <w:pPr>
        <w:spacing w:after="0"/>
        <w:jc w:val="both"/>
        <w:rPr>
          <w:rFonts w:ascii="Arial" w:hAnsi="Arial" w:cs="Arial"/>
        </w:rPr>
      </w:pPr>
      <w:r>
        <w:rPr>
          <w:rFonts w:ascii="Arial" w:hAnsi="Arial" w:cs="Arial"/>
        </w:rPr>
        <w:t xml:space="preserve">It is noted that the conclusions drawn </w:t>
      </w:r>
      <w:r w:rsidR="004137EB">
        <w:rPr>
          <w:rFonts w:ascii="Arial" w:hAnsi="Arial" w:cs="Arial"/>
        </w:rPr>
        <w:t xml:space="preserve">regarding </w:t>
      </w:r>
      <w:r w:rsidR="00ED5FBB">
        <w:rPr>
          <w:rFonts w:ascii="Arial" w:hAnsi="Arial" w:cs="Arial"/>
        </w:rPr>
        <w:t xml:space="preserve">convergent </w:t>
      </w:r>
      <w:r w:rsidR="004137EB">
        <w:rPr>
          <w:rFonts w:ascii="Arial" w:hAnsi="Arial" w:cs="Arial"/>
        </w:rPr>
        <w:t xml:space="preserve">adoption of GHS classification building blocks is solely based on the responses to the Questionnaire, which in turn only considered two building blocks in </w:t>
      </w:r>
      <w:r w:rsidR="00B03AFC">
        <w:rPr>
          <w:rFonts w:ascii="Arial" w:hAnsi="Arial" w:cs="Arial"/>
        </w:rPr>
        <w:t>detail.</w:t>
      </w:r>
    </w:p>
    <w:p w14:paraId="2A4C13C5" w14:textId="439F46EE" w:rsidR="00B03AFC" w:rsidRDefault="00B03AFC" w:rsidP="00576E01">
      <w:pPr>
        <w:spacing w:after="0"/>
        <w:jc w:val="both"/>
        <w:rPr>
          <w:rFonts w:ascii="Arial" w:hAnsi="Arial" w:cs="Arial"/>
        </w:rPr>
      </w:pPr>
    </w:p>
    <w:p w14:paraId="5070F48C" w14:textId="0C66779C" w:rsidR="00B03AFC" w:rsidRDefault="005E3AB4" w:rsidP="00576E01">
      <w:pPr>
        <w:spacing w:after="0"/>
        <w:jc w:val="both"/>
        <w:rPr>
          <w:rFonts w:ascii="Arial" w:hAnsi="Arial" w:cs="Arial"/>
        </w:rPr>
      </w:pPr>
      <w:r>
        <w:rPr>
          <w:rFonts w:ascii="Arial" w:hAnsi="Arial" w:cs="Arial"/>
        </w:rPr>
        <w:t>The two building blocks</w:t>
      </w:r>
      <w:r w:rsidR="009470C5">
        <w:rPr>
          <w:rFonts w:ascii="Arial" w:hAnsi="Arial" w:cs="Arial"/>
        </w:rPr>
        <w:t xml:space="preserve"> and their mixture concentration cut-offs</w:t>
      </w:r>
      <w:r>
        <w:rPr>
          <w:rFonts w:ascii="Arial" w:hAnsi="Arial" w:cs="Arial"/>
        </w:rPr>
        <w:t xml:space="preserve"> were deliberately chosen </w:t>
      </w:r>
      <w:r w:rsidR="000578EF">
        <w:rPr>
          <w:rFonts w:ascii="Arial" w:hAnsi="Arial" w:cs="Arial"/>
        </w:rPr>
        <w:t xml:space="preserve">as they </w:t>
      </w:r>
      <w:r w:rsidR="00372A47">
        <w:rPr>
          <w:rFonts w:ascii="Arial" w:hAnsi="Arial" w:cs="Arial"/>
        </w:rPr>
        <w:t>demonstrate</w:t>
      </w:r>
      <w:r w:rsidR="000578EF">
        <w:rPr>
          <w:rFonts w:ascii="Arial" w:hAnsi="Arial" w:cs="Arial"/>
        </w:rPr>
        <w:t xml:space="preserve"> significant divergences </w:t>
      </w:r>
      <w:r w:rsidR="00372A47">
        <w:rPr>
          <w:rFonts w:ascii="Arial" w:hAnsi="Arial" w:cs="Arial"/>
        </w:rPr>
        <w:t>across the Economies</w:t>
      </w:r>
      <w:r w:rsidR="004E1313">
        <w:rPr>
          <w:rFonts w:ascii="Arial" w:hAnsi="Arial" w:cs="Arial"/>
        </w:rPr>
        <w:t>.</w:t>
      </w:r>
    </w:p>
    <w:p w14:paraId="31F2D9F2" w14:textId="4C9FECE9" w:rsidR="004E1313" w:rsidRDefault="004E1313" w:rsidP="00576E01">
      <w:pPr>
        <w:spacing w:after="0"/>
        <w:jc w:val="both"/>
        <w:rPr>
          <w:rFonts w:ascii="Arial" w:hAnsi="Arial" w:cs="Arial"/>
        </w:rPr>
      </w:pPr>
    </w:p>
    <w:p w14:paraId="2E5071E0" w14:textId="59726A54" w:rsidR="004E1313" w:rsidRDefault="004E1313" w:rsidP="00576E01">
      <w:pPr>
        <w:spacing w:after="0"/>
        <w:jc w:val="both"/>
        <w:rPr>
          <w:rFonts w:ascii="Arial" w:hAnsi="Arial" w:cs="Arial"/>
        </w:rPr>
      </w:pPr>
      <w:r>
        <w:rPr>
          <w:rFonts w:ascii="Arial" w:hAnsi="Arial" w:cs="Arial"/>
        </w:rPr>
        <w:t xml:space="preserve">The reasons for and against each of the options that are available </w:t>
      </w:r>
      <w:r w:rsidR="009470C5">
        <w:rPr>
          <w:rFonts w:ascii="Arial" w:hAnsi="Arial" w:cs="Arial"/>
        </w:rPr>
        <w:t xml:space="preserve">for the building block implementation </w:t>
      </w:r>
      <w:r w:rsidR="00B06DA8">
        <w:rPr>
          <w:rFonts w:ascii="Arial" w:hAnsi="Arial" w:cs="Arial"/>
        </w:rPr>
        <w:t xml:space="preserve">approaches </w:t>
      </w:r>
      <w:r w:rsidR="00591022">
        <w:rPr>
          <w:rFonts w:ascii="Arial" w:hAnsi="Arial" w:cs="Arial"/>
        </w:rPr>
        <w:t xml:space="preserve">lead to the conclusion that the flexible option (allow the </w:t>
      </w:r>
      <w:r w:rsidR="00E630D5">
        <w:rPr>
          <w:rFonts w:ascii="Arial" w:hAnsi="Arial" w:cs="Arial"/>
        </w:rPr>
        <w:t xml:space="preserve">choice of </w:t>
      </w:r>
      <w:r w:rsidR="00591022">
        <w:rPr>
          <w:rFonts w:ascii="Arial" w:hAnsi="Arial" w:cs="Arial"/>
        </w:rPr>
        <w:t>either the single Category 1, or two sub-categories 1A and 1B</w:t>
      </w:r>
      <w:r w:rsidR="00E630D5">
        <w:rPr>
          <w:rFonts w:ascii="Arial" w:hAnsi="Arial" w:cs="Arial"/>
        </w:rPr>
        <w:t xml:space="preserve"> for classification</w:t>
      </w:r>
      <w:r w:rsidR="00591022">
        <w:rPr>
          <w:rFonts w:ascii="Arial" w:hAnsi="Arial" w:cs="Arial"/>
        </w:rPr>
        <w:t>)</w:t>
      </w:r>
      <w:r w:rsidR="00E630D5">
        <w:rPr>
          <w:rFonts w:ascii="Arial" w:hAnsi="Arial" w:cs="Arial"/>
        </w:rPr>
        <w:t xml:space="preserve"> </w:t>
      </w:r>
      <w:r w:rsidR="009057A7">
        <w:rPr>
          <w:rFonts w:ascii="Arial" w:hAnsi="Arial" w:cs="Arial"/>
        </w:rPr>
        <w:t xml:space="preserve">had the most benefit.  </w:t>
      </w:r>
    </w:p>
    <w:p w14:paraId="15660DEE" w14:textId="07312F24" w:rsidR="00741754" w:rsidRDefault="00741754" w:rsidP="00576E01">
      <w:pPr>
        <w:spacing w:after="0"/>
        <w:jc w:val="both"/>
        <w:rPr>
          <w:rFonts w:ascii="Arial" w:hAnsi="Arial" w:cs="Arial"/>
        </w:rPr>
      </w:pPr>
    </w:p>
    <w:p w14:paraId="04EA3D17" w14:textId="56829493" w:rsidR="00741754" w:rsidRDefault="00541C81" w:rsidP="00576E01">
      <w:pPr>
        <w:spacing w:after="0"/>
        <w:jc w:val="both"/>
        <w:rPr>
          <w:rFonts w:ascii="Arial" w:hAnsi="Arial" w:cs="Arial"/>
        </w:rPr>
      </w:pPr>
      <w:r>
        <w:rPr>
          <w:rFonts w:ascii="Arial" w:hAnsi="Arial" w:cs="Arial"/>
        </w:rPr>
        <w:t xml:space="preserve">The commentary around mixture concentration cut-off appeared </w:t>
      </w:r>
      <w:r w:rsidR="006E5B1B">
        <w:rPr>
          <w:rFonts w:ascii="Arial" w:hAnsi="Arial" w:cs="Arial"/>
        </w:rPr>
        <w:t xml:space="preserve">to need more in-depth </w:t>
      </w:r>
      <w:r w:rsidR="004A0A30">
        <w:rPr>
          <w:rFonts w:ascii="Arial" w:hAnsi="Arial" w:cs="Arial"/>
        </w:rPr>
        <w:t>exploration and consideration</w:t>
      </w:r>
      <w:r w:rsidR="00A86CB6">
        <w:rPr>
          <w:rFonts w:ascii="Arial" w:hAnsi="Arial" w:cs="Arial"/>
        </w:rPr>
        <w:t xml:space="preserve">.  While protection of vulnerable population was raised </w:t>
      </w:r>
      <w:r w:rsidR="00271462">
        <w:rPr>
          <w:rFonts w:ascii="Arial" w:hAnsi="Arial" w:cs="Arial"/>
        </w:rPr>
        <w:t xml:space="preserve">as a key factor for lower concentration cut-off, it was also noted that there was no data on what percentage of population would be impacted.  </w:t>
      </w:r>
      <w:r w:rsidR="001725DD">
        <w:rPr>
          <w:rFonts w:ascii="Arial" w:hAnsi="Arial" w:cs="Arial"/>
        </w:rPr>
        <w:t xml:space="preserve">This is a risk consideration, which highlights the challenges of implementing GHS, a hazard-based system, into an Economy’s rules, which may require risk assessment and risk management considerations.  </w:t>
      </w:r>
    </w:p>
    <w:p w14:paraId="6674B4E8" w14:textId="46A435CD" w:rsidR="00A8283E" w:rsidRDefault="00A8283E" w:rsidP="00576E01">
      <w:pPr>
        <w:spacing w:after="0"/>
        <w:jc w:val="both"/>
        <w:rPr>
          <w:rFonts w:ascii="Arial" w:hAnsi="Arial" w:cs="Arial"/>
        </w:rPr>
      </w:pPr>
    </w:p>
    <w:p w14:paraId="2F624D54" w14:textId="77777777" w:rsidR="00B42F38" w:rsidRPr="001D1A95" w:rsidRDefault="00B42F38" w:rsidP="00B42F38">
      <w:pPr>
        <w:pStyle w:val="Heading2"/>
      </w:pPr>
      <w:bookmarkStart w:id="13" w:name="_Toc6393975"/>
      <w:r w:rsidRPr="001D1A95">
        <w:lastRenderedPageBreak/>
        <w:t>Regulators work with each other to find possible ways to deliver a convergent implementation of GHS</w:t>
      </w:r>
      <w:bookmarkEnd w:id="13"/>
    </w:p>
    <w:p w14:paraId="76708D3D" w14:textId="2D7D6DB0" w:rsidR="00A8283E" w:rsidRPr="00555234" w:rsidRDefault="006B0D7E" w:rsidP="00576E01">
      <w:pPr>
        <w:spacing w:after="0"/>
        <w:jc w:val="both"/>
        <w:rPr>
          <w:rFonts w:ascii="Arial" w:hAnsi="Arial" w:cs="Arial"/>
        </w:rPr>
      </w:pPr>
      <w:r>
        <w:rPr>
          <w:rFonts w:ascii="Arial" w:hAnsi="Arial" w:cs="Arial"/>
        </w:rPr>
        <w:t xml:space="preserve">While </w:t>
      </w:r>
      <w:r w:rsidR="00713155">
        <w:rPr>
          <w:rFonts w:ascii="Arial" w:hAnsi="Arial" w:cs="Arial"/>
        </w:rPr>
        <w:t xml:space="preserve">there are </w:t>
      </w:r>
      <w:r w:rsidR="001A3604">
        <w:rPr>
          <w:rFonts w:ascii="Arial" w:hAnsi="Arial" w:cs="Arial"/>
        </w:rPr>
        <w:t>several</w:t>
      </w:r>
      <w:r>
        <w:rPr>
          <w:rFonts w:ascii="Arial" w:hAnsi="Arial" w:cs="Arial"/>
        </w:rPr>
        <w:t xml:space="preserve"> fora where GHS implementation convergence could be discussed, it </w:t>
      </w:r>
      <w:r w:rsidR="001F5A24">
        <w:rPr>
          <w:rFonts w:ascii="Arial" w:hAnsi="Arial" w:cs="Arial"/>
        </w:rPr>
        <w:t xml:space="preserve">appears that there are </w:t>
      </w:r>
      <w:r w:rsidR="001A3604">
        <w:rPr>
          <w:rFonts w:ascii="Arial" w:hAnsi="Arial" w:cs="Arial"/>
        </w:rPr>
        <w:t>none with the sole purpose of promoting convergent implementation of GHS</w:t>
      </w:r>
      <w:r w:rsidR="006E5520">
        <w:rPr>
          <w:rFonts w:ascii="Arial" w:hAnsi="Arial" w:cs="Arial"/>
        </w:rPr>
        <w:t xml:space="preserve"> and that include many economies</w:t>
      </w:r>
      <w:bookmarkStart w:id="14" w:name="_GoBack"/>
      <w:bookmarkEnd w:id="14"/>
      <w:r w:rsidR="00C32C8C" w:rsidRPr="001725DD">
        <w:rPr>
          <w:rFonts w:ascii="Arial" w:hAnsi="Arial" w:cs="Arial"/>
        </w:rPr>
        <w:t xml:space="preserve">.  This is a potential work for the APEC CD Regulator’s </w:t>
      </w:r>
      <w:r w:rsidR="009B09D4" w:rsidRPr="001725DD">
        <w:rPr>
          <w:rFonts w:ascii="Arial" w:hAnsi="Arial" w:cs="Arial"/>
        </w:rPr>
        <w:t>F</w:t>
      </w:r>
      <w:r w:rsidR="00C32C8C" w:rsidRPr="001725DD">
        <w:rPr>
          <w:rFonts w:ascii="Arial" w:hAnsi="Arial" w:cs="Arial"/>
        </w:rPr>
        <w:t xml:space="preserve">orum, where </w:t>
      </w:r>
      <w:r w:rsidR="001725DD">
        <w:rPr>
          <w:rFonts w:ascii="Arial" w:hAnsi="Arial" w:cs="Arial"/>
        </w:rPr>
        <w:t xml:space="preserve">an inclusive and open </w:t>
      </w:r>
      <w:r w:rsidR="00617BE4" w:rsidRPr="001725DD">
        <w:rPr>
          <w:rFonts w:ascii="Arial" w:hAnsi="Arial" w:cs="Arial"/>
        </w:rPr>
        <w:t xml:space="preserve">workshops on risk assessment and risk management </w:t>
      </w:r>
      <w:r w:rsidR="003C785E" w:rsidRPr="001725DD">
        <w:rPr>
          <w:rFonts w:ascii="Arial" w:hAnsi="Arial" w:cs="Arial"/>
        </w:rPr>
        <w:t>specific</w:t>
      </w:r>
      <w:r w:rsidR="00617BE4" w:rsidRPr="001725DD">
        <w:rPr>
          <w:rFonts w:ascii="Arial" w:hAnsi="Arial" w:cs="Arial"/>
        </w:rPr>
        <w:t xml:space="preserve"> to individual hazard categories and concentration cut-off could be </w:t>
      </w:r>
      <w:r w:rsidR="003C785E" w:rsidRPr="001725DD">
        <w:rPr>
          <w:rFonts w:ascii="Arial" w:hAnsi="Arial" w:cs="Arial"/>
        </w:rPr>
        <w:t>considered</w:t>
      </w:r>
      <w:r w:rsidR="001725DD" w:rsidRPr="001725DD">
        <w:rPr>
          <w:rFonts w:ascii="Arial" w:hAnsi="Arial" w:cs="Arial"/>
        </w:rPr>
        <w:t>,</w:t>
      </w:r>
      <w:r w:rsidR="001725DD">
        <w:rPr>
          <w:rFonts w:ascii="Arial" w:hAnsi="Arial" w:cs="Arial"/>
        </w:rPr>
        <w:t xml:space="preserve"> noting that while GHS is a hazard-based system, Economies may need to consider risk before GHS can be adopted into an Economy’s rules.</w:t>
      </w:r>
    </w:p>
    <w:p w14:paraId="1FC2956F" w14:textId="77777777" w:rsidR="00830725" w:rsidRPr="0006361B" w:rsidRDefault="00830725" w:rsidP="00576E01">
      <w:pPr>
        <w:spacing w:after="0"/>
        <w:jc w:val="both"/>
        <w:rPr>
          <w:rFonts w:ascii="Arial" w:hAnsi="Arial" w:cs="Arial"/>
        </w:rPr>
      </w:pPr>
    </w:p>
    <w:p w14:paraId="5C478206" w14:textId="77777777" w:rsidR="003034EE" w:rsidRDefault="003034EE">
      <w:pPr>
        <w:rPr>
          <w:rFonts w:ascii="Arial" w:hAnsi="Arial" w:cs="Arial"/>
          <w:b/>
        </w:rPr>
      </w:pPr>
      <w:r>
        <w:rPr>
          <w:rFonts w:ascii="Arial" w:hAnsi="Arial" w:cs="Arial"/>
          <w:b/>
        </w:rPr>
        <w:br w:type="page"/>
      </w:r>
    </w:p>
    <w:p w14:paraId="762C8ADB" w14:textId="339AFF79" w:rsidR="00B16982" w:rsidRPr="003B20EB" w:rsidRDefault="00B16982" w:rsidP="00562FB0">
      <w:pPr>
        <w:pStyle w:val="Heading1"/>
      </w:pPr>
      <w:bookmarkStart w:id="15" w:name="_Toc6393976"/>
      <w:r w:rsidRPr="003B20EB">
        <w:lastRenderedPageBreak/>
        <w:t>Recommendations</w:t>
      </w:r>
      <w:bookmarkEnd w:id="15"/>
    </w:p>
    <w:p w14:paraId="0C277060" w14:textId="15241CCD" w:rsidR="00C35859" w:rsidRDefault="00495014" w:rsidP="00495014">
      <w:pPr>
        <w:spacing w:after="0"/>
        <w:jc w:val="both"/>
        <w:rPr>
          <w:rFonts w:ascii="Arial" w:hAnsi="Arial" w:cs="Arial"/>
        </w:rPr>
      </w:pPr>
      <w:r w:rsidRPr="00495014">
        <w:rPr>
          <w:rFonts w:ascii="Arial" w:hAnsi="Arial" w:cs="Arial"/>
        </w:rPr>
        <w:t>The CD recommend</w:t>
      </w:r>
      <w:r w:rsidR="0063191F">
        <w:rPr>
          <w:rFonts w:ascii="Arial" w:hAnsi="Arial" w:cs="Arial"/>
        </w:rPr>
        <w:t>s</w:t>
      </w:r>
      <w:r w:rsidRPr="00495014">
        <w:rPr>
          <w:rFonts w:ascii="Arial" w:hAnsi="Arial" w:cs="Arial"/>
        </w:rPr>
        <w:t xml:space="preserve"> that:</w:t>
      </w:r>
    </w:p>
    <w:p w14:paraId="248733DE" w14:textId="2A2BF196" w:rsidR="00495014" w:rsidRDefault="00495014" w:rsidP="00495014">
      <w:pPr>
        <w:pStyle w:val="ListParagraph"/>
        <w:numPr>
          <w:ilvl w:val="0"/>
          <w:numId w:val="12"/>
        </w:numPr>
        <w:spacing w:after="0"/>
        <w:jc w:val="both"/>
        <w:rPr>
          <w:rFonts w:ascii="Arial" w:hAnsi="Arial" w:cs="Arial"/>
        </w:rPr>
      </w:pPr>
      <w:r>
        <w:rPr>
          <w:rFonts w:ascii="Arial" w:hAnsi="Arial" w:cs="Arial"/>
        </w:rPr>
        <w:t>Economies consider adoption of the 7</w:t>
      </w:r>
      <w:r w:rsidRPr="00495014">
        <w:rPr>
          <w:rFonts w:ascii="Arial" w:hAnsi="Arial" w:cs="Arial"/>
          <w:vertAlign w:val="superscript"/>
        </w:rPr>
        <w:t>th</w:t>
      </w:r>
      <w:r>
        <w:rPr>
          <w:rFonts w:ascii="Arial" w:hAnsi="Arial" w:cs="Arial"/>
        </w:rPr>
        <w:t xml:space="preserve"> revision of GHS by 2021</w:t>
      </w:r>
      <w:r w:rsidR="0073518A">
        <w:rPr>
          <w:rFonts w:ascii="Arial" w:hAnsi="Arial" w:cs="Arial"/>
        </w:rPr>
        <w:t>,</w:t>
      </w:r>
    </w:p>
    <w:p w14:paraId="613B2A25" w14:textId="768E9D13" w:rsidR="001C7D0A" w:rsidRDefault="001C7D0A" w:rsidP="00495014">
      <w:pPr>
        <w:pStyle w:val="ListParagraph"/>
        <w:numPr>
          <w:ilvl w:val="0"/>
          <w:numId w:val="12"/>
        </w:numPr>
        <w:spacing w:after="0"/>
        <w:jc w:val="both"/>
        <w:rPr>
          <w:rFonts w:ascii="Arial" w:hAnsi="Arial" w:cs="Arial"/>
        </w:rPr>
      </w:pPr>
      <w:r>
        <w:rPr>
          <w:rFonts w:ascii="Arial" w:hAnsi="Arial" w:cs="Arial"/>
        </w:rPr>
        <w:t xml:space="preserve">Economies consider implementing automatic </w:t>
      </w:r>
      <w:r w:rsidR="00CA5874">
        <w:rPr>
          <w:rFonts w:ascii="Arial" w:hAnsi="Arial" w:cs="Arial"/>
        </w:rPr>
        <w:t>or legislated review processes to continually update to the newer revisions of GHS,</w:t>
      </w:r>
    </w:p>
    <w:p w14:paraId="582CC927" w14:textId="5A3DF2C7" w:rsidR="009057A7" w:rsidRDefault="009057A7" w:rsidP="00495014">
      <w:pPr>
        <w:pStyle w:val="ListParagraph"/>
        <w:numPr>
          <w:ilvl w:val="0"/>
          <w:numId w:val="12"/>
        </w:numPr>
        <w:spacing w:after="0"/>
        <w:jc w:val="both"/>
        <w:rPr>
          <w:rFonts w:ascii="Arial" w:hAnsi="Arial" w:cs="Arial"/>
        </w:rPr>
      </w:pPr>
      <w:r>
        <w:rPr>
          <w:rFonts w:ascii="Arial" w:hAnsi="Arial" w:cs="Arial"/>
        </w:rPr>
        <w:t xml:space="preserve">Economies consider allowing flexibility </w:t>
      </w:r>
      <w:r w:rsidR="00483CDD">
        <w:rPr>
          <w:rFonts w:ascii="Arial" w:hAnsi="Arial" w:cs="Arial"/>
        </w:rPr>
        <w:t xml:space="preserve">for classification </w:t>
      </w:r>
      <w:r w:rsidR="00741754">
        <w:rPr>
          <w:rFonts w:ascii="Arial" w:hAnsi="Arial" w:cs="Arial"/>
        </w:rPr>
        <w:t>for</w:t>
      </w:r>
      <w:r w:rsidR="00483CDD">
        <w:rPr>
          <w:rFonts w:ascii="Arial" w:hAnsi="Arial" w:cs="Arial"/>
        </w:rPr>
        <w:t xml:space="preserve"> building blocks where sub-categorisation options exist in GHS</w:t>
      </w:r>
      <w:r w:rsidR="00741754">
        <w:rPr>
          <w:rFonts w:ascii="Arial" w:hAnsi="Arial" w:cs="Arial"/>
        </w:rPr>
        <w:t>,</w:t>
      </w:r>
      <w:r>
        <w:rPr>
          <w:rFonts w:ascii="Arial" w:hAnsi="Arial" w:cs="Arial"/>
        </w:rPr>
        <w:t xml:space="preserve"> </w:t>
      </w:r>
      <w:r w:rsidR="006B2CE5">
        <w:rPr>
          <w:rFonts w:ascii="Arial" w:hAnsi="Arial" w:cs="Arial"/>
        </w:rPr>
        <w:t>and</w:t>
      </w:r>
    </w:p>
    <w:p w14:paraId="15979C47" w14:textId="5212B3C8" w:rsidR="006B2CE5" w:rsidRPr="001725DD" w:rsidRDefault="006B2CE5" w:rsidP="00495014">
      <w:pPr>
        <w:pStyle w:val="ListParagraph"/>
        <w:numPr>
          <w:ilvl w:val="0"/>
          <w:numId w:val="12"/>
        </w:numPr>
        <w:spacing w:after="0"/>
        <w:jc w:val="both"/>
        <w:rPr>
          <w:rFonts w:ascii="Arial" w:hAnsi="Arial" w:cs="Arial"/>
        </w:rPr>
      </w:pPr>
      <w:r w:rsidRPr="001725DD">
        <w:rPr>
          <w:rFonts w:ascii="Arial" w:hAnsi="Arial" w:cs="Arial"/>
        </w:rPr>
        <w:t xml:space="preserve">Economies consider whether the Regulator’s Forum should convene workshops </w:t>
      </w:r>
      <w:r w:rsidR="00C9606B" w:rsidRPr="001725DD">
        <w:rPr>
          <w:rFonts w:ascii="Arial" w:hAnsi="Arial" w:cs="Arial"/>
        </w:rPr>
        <w:t>where</w:t>
      </w:r>
      <w:r w:rsidRPr="001725DD">
        <w:rPr>
          <w:rFonts w:ascii="Arial" w:hAnsi="Arial" w:cs="Arial"/>
        </w:rPr>
        <w:t xml:space="preserve"> </w:t>
      </w:r>
      <w:r w:rsidR="003F4491" w:rsidRPr="001725DD">
        <w:rPr>
          <w:rFonts w:ascii="Arial" w:hAnsi="Arial" w:cs="Arial"/>
        </w:rPr>
        <w:t xml:space="preserve">detailed </w:t>
      </w:r>
      <w:r w:rsidRPr="001725DD">
        <w:rPr>
          <w:rFonts w:ascii="Arial" w:hAnsi="Arial" w:cs="Arial"/>
        </w:rPr>
        <w:t xml:space="preserve">risk assessment and risk management </w:t>
      </w:r>
      <w:r w:rsidR="00C9606B" w:rsidRPr="001725DD">
        <w:rPr>
          <w:rFonts w:ascii="Arial" w:hAnsi="Arial" w:cs="Arial"/>
        </w:rPr>
        <w:t>specific</w:t>
      </w:r>
      <w:r w:rsidRPr="001725DD">
        <w:rPr>
          <w:rFonts w:ascii="Arial" w:hAnsi="Arial" w:cs="Arial"/>
        </w:rPr>
        <w:t xml:space="preserve"> to individual hazard categor</w:t>
      </w:r>
      <w:r w:rsidR="003034EE" w:rsidRPr="001725DD">
        <w:rPr>
          <w:rFonts w:ascii="Arial" w:hAnsi="Arial" w:cs="Arial"/>
        </w:rPr>
        <w:t>ies and concentration cut-off</w:t>
      </w:r>
      <w:r w:rsidR="009A0133" w:rsidRPr="001725DD">
        <w:rPr>
          <w:rFonts w:ascii="Arial" w:hAnsi="Arial" w:cs="Arial"/>
        </w:rPr>
        <w:t xml:space="preserve"> could be considered</w:t>
      </w:r>
      <w:r w:rsidR="0063191F" w:rsidRPr="001725DD">
        <w:rPr>
          <w:rFonts w:ascii="Arial" w:hAnsi="Arial" w:cs="Arial"/>
        </w:rPr>
        <w:t>.</w:t>
      </w:r>
    </w:p>
    <w:p w14:paraId="75262AFE" w14:textId="77777777" w:rsidR="00495014" w:rsidRPr="00495014" w:rsidRDefault="00495014" w:rsidP="00495014">
      <w:pPr>
        <w:spacing w:after="0"/>
        <w:jc w:val="both"/>
        <w:rPr>
          <w:rFonts w:ascii="Arial" w:hAnsi="Arial" w:cs="Arial"/>
        </w:rPr>
      </w:pPr>
    </w:p>
    <w:sectPr w:rsidR="00495014" w:rsidRPr="00495014" w:rsidSect="000D5D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1A360" w14:textId="77777777" w:rsidR="00BB15D2" w:rsidRDefault="00BB15D2" w:rsidP="00E42D41">
      <w:pPr>
        <w:spacing w:after="0" w:line="240" w:lineRule="auto"/>
      </w:pPr>
      <w:r>
        <w:separator/>
      </w:r>
    </w:p>
  </w:endnote>
  <w:endnote w:type="continuationSeparator" w:id="0">
    <w:p w14:paraId="18ED7501" w14:textId="77777777" w:rsidR="00BB15D2" w:rsidRDefault="00BB15D2" w:rsidP="00E4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40C4" w14:textId="77777777" w:rsidR="00D5063C" w:rsidRDefault="00D5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00134"/>
      <w:docPartObj>
        <w:docPartGallery w:val="Page Numbers (Bottom of Page)"/>
        <w:docPartUnique/>
      </w:docPartObj>
    </w:sdtPr>
    <w:sdtEndPr/>
    <w:sdtContent>
      <w:sdt>
        <w:sdtPr>
          <w:id w:val="1728636285"/>
          <w:docPartObj>
            <w:docPartGallery w:val="Page Numbers (Top of Page)"/>
            <w:docPartUnique/>
          </w:docPartObj>
        </w:sdtPr>
        <w:sdtEndPr/>
        <w:sdtContent>
          <w:p w14:paraId="6FB577F4" w14:textId="093C3219" w:rsidR="00007742" w:rsidRDefault="000077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552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520">
              <w:rPr>
                <w:b/>
                <w:bCs/>
                <w:noProof/>
              </w:rPr>
              <w:t>10</w:t>
            </w:r>
            <w:r>
              <w:rPr>
                <w:b/>
                <w:bCs/>
                <w:sz w:val="24"/>
                <w:szCs w:val="24"/>
              </w:rPr>
              <w:fldChar w:fldCharType="end"/>
            </w:r>
          </w:p>
        </w:sdtContent>
      </w:sdt>
    </w:sdtContent>
  </w:sdt>
  <w:p w14:paraId="01E38F4F" w14:textId="77777777" w:rsidR="00007742" w:rsidRDefault="00007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FB65" w14:textId="77777777" w:rsidR="00D5063C" w:rsidRDefault="00D5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3F46" w14:textId="77777777" w:rsidR="00BB15D2" w:rsidRDefault="00BB15D2" w:rsidP="00E42D41">
      <w:pPr>
        <w:spacing w:after="0" w:line="240" w:lineRule="auto"/>
      </w:pPr>
      <w:r>
        <w:separator/>
      </w:r>
    </w:p>
  </w:footnote>
  <w:footnote w:type="continuationSeparator" w:id="0">
    <w:p w14:paraId="0FF1D434" w14:textId="77777777" w:rsidR="00BB15D2" w:rsidRDefault="00BB15D2" w:rsidP="00E42D41">
      <w:pPr>
        <w:spacing w:after="0" w:line="240" w:lineRule="auto"/>
      </w:pPr>
      <w:r>
        <w:continuationSeparator/>
      </w:r>
    </w:p>
  </w:footnote>
  <w:footnote w:id="1">
    <w:p w14:paraId="4300A4E6" w14:textId="77777777" w:rsidR="00E42D41" w:rsidRPr="00F65AD6" w:rsidRDefault="00E42D41" w:rsidP="00E42D41">
      <w:pPr>
        <w:spacing w:after="0" w:line="240" w:lineRule="auto"/>
        <w:jc w:val="both"/>
        <w:rPr>
          <w:rFonts w:ascii="Arial" w:hAnsi="Arial" w:cs="Arial"/>
          <w:i/>
          <w:sz w:val="18"/>
          <w:szCs w:val="18"/>
        </w:rPr>
      </w:pPr>
      <w:r>
        <w:rPr>
          <w:rStyle w:val="FootnoteReference"/>
        </w:rPr>
        <w:footnoteRef/>
      </w:r>
      <w:r>
        <w:t xml:space="preserve"> </w:t>
      </w:r>
      <w:r w:rsidRPr="00F65AD6">
        <w:rPr>
          <w:rFonts w:ascii="Arial" w:hAnsi="Arial" w:cs="Arial"/>
          <w:i/>
          <w:sz w:val="18"/>
          <w:szCs w:val="18"/>
        </w:rPr>
        <w:t>3</w:t>
      </w:r>
      <w:r w:rsidRPr="00F65AD6">
        <w:rPr>
          <w:rFonts w:ascii="Arial" w:hAnsi="Arial" w:cs="Arial"/>
          <w:i/>
          <w:sz w:val="18"/>
          <w:szCs w:val="18"/>
        </w:rPr>
        <w:tab/>
        <w:t>To address divergences in GHS, the CD recommends that:</w:t>
      </w:r>
    </w:p>
    <w:p w14:paraId="0AC2DDE8" w14:textId="77777777" w:rsidR="00E42D41" w:rsidRPr="00F65AD6" w:rsidRDefault="00E42D41" w:rsidP="00E42D41">
      <w:pPr>
        <w:numPr>
          <w:ilvl w:val="0"/>
          <w:numId w:val="3"/>
        </w:numPr>
        <w:spacing w:after="0" w:line="240" w:lineRule="auto"/>
        <w:jc w:val="both"/>
        <w:rPr>
          <w:rFonts w:ascii="Arial" w:hAnsi="Arial" w:cs="Arial"/>
          <w:i/>
          <w:sz w:val="18"/>
          <w:szCs w:val="18"/>
        </w:rPr>
      </w:pPr>
      <w:r w:rsidRPr="00F65AD6">
        <w:rPr>
          <w:rFonts w:ascii="Arial" w:hAnsi="Arial" w:cs="Arial"/>
          <w:i/>
          <w:sz w:val="18"/>
          <w:szCs w:val="18"/>
        </w:rPr>
        <w:t>APEC CD regulators work with each other to find possible ways to deliver a convergent implementation of GHS over time.</w:t>
      </w:r>
    </w:p>
    <w:p w14:paraId="70C7B24B" w14:textId="77777777" w:rsidR="00E42D41" w:rsidRPr="00F65AD6" w:rsidRDefault="00E42D41" w:rsidP="00E42D41">
      <w:pPr>
        <w:numPr>
          <w:ilvl w:val="0"/>
          <w:numId w:val="3"/>
        </w:numPr>
        <w:spacing w:after="0" w:line="240" w:lineRule="auto"/>
        <w:jc w:val="both"/>
        <w:rPr>
          <w:rFonts w:ascii="Arial" w:hAnsi="Arial" w:cs="Arial"/>
          <w:i/>
          <w:sz w:val="18"/>
          <w:szCs w:val="18"/>
        </w:rPr>
      </w:pPr>
      <w:r w:rsidRPr="00F65AD6">
        <w:rPr>
          <w:rFonts w:ascii="Arial" w:hAnsi="Arial" w:cs="Arial"/>
          <w:i/>
          <w:sz w:val="18"/>
          <w:szCs w:val="18"/>
        </w:rPr>
        <w:t xml:space="preserve">Each APEC CD economy considers and amends elements of its own local rules for GHS implementation that may impede convergent implementation of GHS within the APEC region. </w:t>
      </w:r>
    </w:p>
    <w:p w14:paraId="380FDD1C" w14:textId="77777777" w:rsidR="00E42D41" w:rsidRPr="00F65AD6" w:rsidRDefault="00E42D41" w:rsidP="00E42D41">
      <w:pPr>
        <w:numPr>
          <w:ilvl w:val="0"/>
          <w:numId w:val="3"/>
        </w:numPr>
        <w:spacing w:after="0" w:line="240" w:lineRule="auto"/>
        <w:jc w:val="both"/>
        <w:rPr>
          <w:rFonts w:ascii="Arial" w:hAnsi="Arial" w:cs="Arial"/>
          <w:i/>
          <w:sz w:val="18"/>
          <w:szCs w:val="18"/>
        </w:rPr>
      </w:pPr>
      <w:r w:rsidRPr="00F65AD6">
        <w:rPr>
          <w:rFonts w:ascii="Arial" w:hAnsi="Arial" w:cs="Arial"/>
          <w:i/>
          <w:sz w:val="18"/>
          <w:szCs w:val="18"/>
        </w:rPr>
        <w:t xml:space="preserve">Economies adopt common building blocks to facilitate trade. </w:t>
      </w:r>
    </w:p>
    <w:p w14:paraId="53A24A5F" w14:textId="77777777" w:rsidR="00E42D41" w:rsidRPr="00F65AD6" w:rsidRDefault="00E42D41" w:rsidP="00E42D41">
      <w:pPr>
        <w:numPr>
          <w:ilvl w:val="0"/>
          <w:numId w:val="3"/>
        </w:numPr>
        <w:spacing w:after="0" w:line="240" w:lineRule="auto"/>
        <w:jc w:val="both"/>
        <w:rPr>
          <w:rFonts w:ascii="Arial" w:hAnsi="Arial" w:cs="Arial"/>
          <w:i/>
          <w:sz w:val="18"/>
          <w:szCs w:val="18"/>
        </w:rPr>
      </w:pPr>
      <w:r w:rsidRPr="00F65AD6">
        <w:rPr>
          <w:rFonts w:ascii="Arial" w:hAnsi="Arial" w:cs="Arial"/>
          <w:i/>
          <w:sz w:val="18"/>
          <w:szCs w:val="18"/>
        </w:rPr>
        <w:t xml:space="preserve">Economies adopt later editions of GHS. </w:t>
      </w:r>
    </w:p>
    <w:p w14:paraId="4E94B50E" w14:textId="2FB3B3D9" w:rsidR="00E42D41" w:rsidRDefault="00E42D41">
      <w:pPr>
        <w:pStyle w:val="FootnoteText"/>
      </w:pPr>
    </w:p>
  </w:footnote>
  <w:footnote w:id="2">
    <w:p w14:paraId="545F4C76" w14:textId="6786DE1C" w:rsidR="008C141E" w:rsidRDefault="008C141E">
      <w:pPr>
        <w:pStyle w:val="FootnoteText"/>
      </w:pPr>
      <w:r>
        <w:rPr>
          <w:rStyle w:val="FootnoteReference"/>
        </w:rPr>
        <w:footnoteRef/>
      </w:r>
      <w:r>
        <w:t xml:space="preserve"> </w:t>
      </w:r>
      <w:r>
        <w:rPr>
          <w:rFonts w:ascii="Arial" w:hAnsi="Arial" w:cs="Arial"/>
        </w:rPr>
        <w:t xml:space="preserve">The Republic of the Philippines </w:t>
      </w:r>
      <w:r w:rsidR="0045599A">
        <w:rPr>
          <w:rFonts w:ascii="Arial" w:hAnsi="Arial" w:cs="Arial"/>
        </w:rPr>
        <w:t xml:space="preserve">and Singapore </w:t>
      </w:r>
      <w:r>
        <w:rPr>
          <w:rFonts w:ascii="Arial" w:hAnsi="Arial" w:cs="Arial"/>
        </w:rPr>
        <w:t xml:space="preserve">provided a joint regulator and industry response and is counted as </w:t>
      </w:r>
      <w:r w:rsidR="00604D87">
        <w:rPr>
          <w:rFonts w:ascii="Arial" w:hAnsi="Arial" w:cs="Arial"/>
        </w:rPr>
        <w:t>both</w:t>
      </w:r>
      <w:r>
        <w:rPr>
          <w:rFonts w:ascii="Arial" w:hAnsi="Arial" w:cs="Arial"/>
        </w:rPr>
        <w:t xml:space="preserve"> regulator response and industry response.  Chinese Taipei identified as neither regulator or industry (identified as the GHS focal point) and was not counted as either regulator or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B948" w14:textId="77777777" w:rsidR="00D5063C" w:rsidRDefault="00D50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4A66" w14:textId="74A518EF" w:rsidR="00D5063C" w:rsidRDefault="00D50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BA60" w14:textId="2F208B3B" w:rsidR="00D5063C" w:rsidRDefault="00D5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953"/>
    <w:multiLevelType w:val="hybridMultilevel"/>
    <w:tmpl w:val="EF1C83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49B2B38"/>
    <w:multiLevelType w:val="hybridMultilevel"/>
    <w:tmpl w:val="619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1CE9"/>
    <w:multiLevelType w:val="hybridMultilevel"/>
    <w:tmpl w:val="ADEC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0CC1"/>
    <w:multiLevelType w:val="hybridMultilevel"/>
    <w:tmpl w:val="DD68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E6F80"/>
    <w:multiLevelType w:val="hybridMultilevel"/>
    <w:tmpl w:val="0F381A8E"/>
    <w:lvl w:ilvl="0" w:tplc="0D00103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108F4"/>
    <w:multiLevelType w:val="hybridMultilevel"/>
    <w:tmpl w:val="5666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705B"/>
    <w:multiLevelType w:val="hybridMultilevel"/>
    <w:tmpl w:val="2214DD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37F13CB"/>
    <w:multiLevelType w:val="hybridMultilevel"/>
    <w:tmpl w:val="3E92F0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B134BEB"/>
    <w:multiLevelType w:val="hybridMultilevel"/>
    <w:tmpl w:val="7CC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D71EC"/>
    <w:multiLevelType w:val="hybridMultilevel"/>
    <w:tmpl w:val="991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52424"/>
    <w:multiLevelType w:val="hybridMultilevel"/>
    <w:tmpl w:val="523C59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F96CAE"/>
    <w:multiLevelType w:val="hybridMultilevel"/>
    <w:tmpl w:val="23E6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0"/>
  </w:num>
  <w:num w:numId="6">
    <w:abstractNumId w:val="4"/>
  </w:num>
  <w:num w:numId="7">
    <w:abstractNumId w:val="8"/>
  </w:num>
  <w:num w:numId="8">
    <w:abstractNumId w:val="9"/>
  </w:num>
  <w:num w:numId="9">
    <w:abstractNumId w:val="3"/>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5D"/>
    <w:rsid w:val="000023FE"/>
    <w:rsid w:val="00007742"/>
    <w:rsid w:val="0001411B"/>
    <w:rsid w:val="00037971"/>
    <w:rsid w:val="00040D9F"/>
    <w:rsid w:val="000453ED"/>
    <w:rsid w:val="00056380"/>
    <w:rsid w:val="00056E80"/>
    <w:rsid w:val="000578EF"/>
    <w:rsid w:val="0006361B"/>
    <w:rsid w:val="00071239"/>
    <w:rsid w:val="0007142F"/>
    <w:rsid w:val="000751D5"/>
    <w:rsid w:val="00093CF7"/>
    <w:rsid w:val="000A3DB7"/>
    <w:rsid w:val="000A4DF4"/>
    <w:rsid w:val="000B2477"/>
    <w:rsid w:val="000B2CAE"/>
    <w:rsid w:val="000C4A66"/>
    <w:rsid w:val="000D5D2E"/>
    <w:rsid w:val="000E2E9D"/>
    <w:rsid w:val="000E2ED3"/>
    <w:rsid w:val="00106A04"/>
    <w:rsid w:val="00117E68"/>
    <w:rsid w:val="001339DD"/>
    <w:rsid w:val="001346C9"/>
    <w:rsid w:val="001439FF"/>
    <w:rsid w:val="001466FB"/>
    <w:rsid w:val="00146C5A"/>
    <w:rsid w:val="001646E4"/>
    <w:rsid w:val="001725DD"/>
    <w:rsid w:val="00175A04"/>
    <w:rsid w:val="00183817"/>
    <w:rsid w:val="00183FAB"/>
    <w:rsid w:val="00185F7D"/>
    <w:rsid w:val="00187D7A"/>
    <w:rsid w:val="0019166F"/>
    <w:rsid w:val="00193A1D"/>
    <w:rsid w:val="00193FEC"/>
    <w:rsid w:val="00194455"/>
    <w:rsid w:val="00197613"/>
    <w:rsid w:val="001A3604"/>
    <w:rsid w:val="001A5EA3"/>
    <w:rsid w:val="001C2FEE"/>
    <w:rsid w:val="001C7D0A"/>
    <w:rsid w:val="001D1A95"/>
    <w:rsid w:val="001F124F"/>
    <w:rsid w:val="001F5A24"/>
    <w:rsid w:val="002106F3"/>
    <w:rsid w:val="002120C5"/>
    <w:rsid w:val="0021680A"/>
    <w:rsid w:val="00217700"/>
    <w:rsid w:val="00231C6C"/>
    <w:rsid w:val="00237402"/>
    <w:rsid w:val="00242658"/>
    <w:rsid w:val="002500F9"/>
    <w:rsid w:val="00251FFB"/>
    <w:rsid w:val="00255B89"/>
    <w:rsid w:val="002567FF"/>
    <w:rsid w:val="00256BAF"/>
    <w:rsid w:val="00271462"/>
    <w:rsid w:val="00271ADF"/>
    <w:rsid w:val="0027519D"/>
    <w:rsid w:val="00277BD7"/>
    <w:rsid w:val="0029367F"/>
    <w:rsid w:val="002A19BE"/>
    <w:rsid w:val="002C0DF0"/>
    <w:rsid w:val="002E78F5"/>
    <w:rsid w:val="002F411F"/>
    <w:rsid w:val="00300297"/>
    <w:rsid w:val="003003F3"/>
    <w:rsid w:val="003034EE"/>
    <w:rsid w:val="00310CEB"/>
    <w:rsid w:val="00332805"/>
    <w:rsid w:val="00342C43"/>
    <w:rsid w:val="00344A43"/>
    <w:rsid w:val="003537DE"/>
    <w:rsid w:val="00370146"/>
    <w:rsid w:val="00372A11"/>
    <w:rsid w:val="00372A47"/>
    <w:rsid w:val="00376F02"/>
    <w:rsid w:val="00380636"/>
    <w:rsid w:val="003921DC"/>
    <w:rsid w:val="003A1DA2"/>
    <w:rsid w:val="003B20EB"/>
    <w:rsid w:val="003C785E"/>
    <w:rsid w:val="003D6E1C"/>
    <w:rsid w:val="003E6C96"/>
    <w:rsid w:val="003F4491"/>
    <w:rsid w:val="003F7770"/>
    <w:rsid w:val="0040627B"/>
    <w:rsid w:val="004105E4"/>
    <w:rsid w:val="004137EB"/>
    <w:rsid w:val="00421CD2"/>
    <w:rsid w:val="00423A41"/>
    <w:rsid w:val="004258F2"/>
    <w:rsid w:val="00427153"/>
    <w:rsid w:val="00427A32"/>
    <w:rsid w:val="004315B0"/>
    <w:rsid w:val="004433FD"/>
    <w:rsid w:val="00452A62"/>
    <w:rsid w:val="0045376E"/>
    <w:rsid w:val="0045599A"/>
    <w:rsid w:val="00456574"/>
    <w:rsid w:val="0045799E"/>
    <w:rsid w:val="00476DB8"/>
    <w:rsid w:val="00483CDD"/>
    <w:rsid w:val="00484D32"/>
    <w:rsid w:val="00492D16"/>
    <w:rsid w:val="00495014"/>
    <w:rsid w:val="004A0A30"/>
    <w:rsid w:val="004A68DC"/>
    <w:rsid w:val="004B30F5"/>
    <w:rsid w:val="004B47C9"/>
    <w:rsid w:val="004C3C7D"/>
    <w:rsid w:val="004D1154"/>
    <w:rsid w:val="004E1313"/>
    <w:rsid w:val="004E6D64"/>
    <w:rsid w:val="004F0EBA"/>
    <w:rsid w:val="004F2001"/>
    <w:rsid w:val="00500CE4"/>
    <w:rsid w:val="00504C6A"/>
    <w:rsid w:val="00504CD4"/>
    <w:rsid w:val="00513D34"/>
    <w:rsid w:val="00526C84"/>
    <w:rsid w:val="00533A94"/>
    <w:rsid w:val="0053589E"/>
    <w:rsid w:val="00541C81"/>
    <w:rsid w:val="00543E39"/>
    <w:rsid w:val="00544E34"/>
    <w:rsid w:val="00555234"/>
    <w:rsid w:val="00556E80"/>
    <w:rsid w:val="00562FB0"/>
    <w:rsid w:val="00576485"/>
    <w:rsid w:val="00576E01"/>
    <w:rsid w:val="00581238"/>
    <w:rsid w:val="00587ECA"/>
    <w:rsid w:val="00591022"/>
    <w:rsid w:val="005A6E1E"/>
    <w:rsid w:val="005A77E5"/>
    <w:rsid w:val="005B5E99"/>
    <w:rsid w:val="005C065C"/>
    <w:rsid w:val="005C5DFF"/>
    <w:rsid w:val="005C5FAD"/>
    <w:rsid w:val="005C6479"/>
    <w:rsid w:val="005E2627"/>
    <w:rsid w:val="005E3AB4"/>
    <w:rsid w:val="005F0855"/>
    <w:rsid w:val="005F441F"/>
    <w:rsid w:val="00600A4C"/>
    <w:rsid w:val="00602DD3"/>
    <w:rsid w:val="00604D87"/>
    <w:rsid w:val="00604DE9"/>
    <w:rsid w:val="00617BE4"/>
    <w:rsid w:val="0063191F"/>
    <w:rsid w:val="00647267"/>
    <w:rsid w:val="00662079"/>
    <w:rsid w:val="00662ECC"/>
    <w:rsid w:val="00685A44"/>
    <w:rsid w:val="00691699"/>
    <w:rsid w:val="00697C59"/>
    <w:rsid w:val="006A3E62"/>
    <w:rsid w:val="006B0D7E"/>
    <w:rsid w:val="006B2CE5"/>
    <w:rsid w:val="006B3494"/>
    <w:rsid w:val="006B49DB"/>
    <w:rsid w:val="006B6A5B"/>
    <w:rsid w:val="006C039A"/>
    <w:rsid w:val="006D23DC"/>
    <w:rsid w:val="006D65DD"/>
    <w:rsid w:val="006E1575"/>
    <w:rsid w:val="006E5520"/>
    <w:rsid w:val="006E5B1B"/>
    <w:rsid w:val="006F3FC4"/>
    <w:rsid w:val="007009C8"/>
    <w:rsid w:val="00700CA7"/>
    <w:rsid w:val="00713155"/>
    <w:rsid w:val="00715B30"/>
    <w:rsid w:val="0072552D"/>
    <w:rsid w:val="00732FF4"/>
    <w:rsid w:val="0073518A"/>
    <w:rsid w:val="00737E5A"/>
    <w:rsid w:val="00741754"/>
    <w:rsid w:val="00745688"/>
    <w:rsid w:val="007456D2"/>
    <w:rsid w:val="0075301A"/>
    <w:rsid w:val="007554B0"/>
    <w:rsid w:val="00757266"/>
    <w:rsid w:val="007577BD"/>
    <w:rsid w:val="0075794B"/>
    <w:rsid w:val="00764916"/>
    <w:rsid w:val="007739DD"/>
    <w:rsid w:val="0078116E"/>
    <w:rsid w:val="0079050D"/>
    <w:rsid w:val="007908EE"/>
    <w:rsid w:val="00796F5B"/>
    <w:rsid w:val="007A29F7"/>
    <w:rsid w:val="007A5DB1"/>
    <w:rsid w:val="007B4B6E"/>
    <w:rsid w:val="007B78CF"/>
    <w:rsid w:val="007C22D2"/>
    <w:rsid w:val="007D12F6"/>
    <w:rsid w:val="007D7F5F"/>
    <w:rsid w:val="007E0D73"/>
    <w:rsid w:val="007E116E"/>
    <w:rsid w:val="007E1683"/>
    <w:rsid w:val="007F1A38"/>
    <w:rsid w:val="007F6040"/>
    <w:rsid w:val="00801BC9"/>
    <w:rsid w:val="00801FF5"/>
    <w:rsid w:val="008179F1"/>
    <w:rsid w:val="0082672F"/>
    <w:rsid w:val="00827802"/>
    <w:rsid w:val="00830725"/>
    <w:rsid w:val="008323DA"/>
    <w:rsid w:val="00837E40"/>
    <w:rsid w:val="00841A5D"/>
    <w:rsid w:val="008440AC"/>
    <w:rsid w:val="00856982"/>
    <w:rsid w:val="008703A7"/>
    <w:rsid w:val="008920C0"/>
    <w:rsid w:val="00892CDA"/>
    <w:rsid w:val="008C141E"/>
    <w:rsid w:val="008E67FC"/>
    <w:rsid w:val="008F7B77"/>
    <w:rsid w:val="00904F2C"/>
    <w:rsid w:val="009057A7"/>
    <w:rsid w:val="00913F52"/>
    <w:rsid w:val="00915B36"/>
    <w:rsid w:val="00916628"/>
    <w:rsid w:val="00916D8D"/>
    <w:rsid w:val="009208E7"/>
    <w:rsid w:val="00924877"/>
    <w:rsid w:val="00926675"/>
    <w:rsid w:val="00927437"/>
    <w:rsid w:val="009470C5"/>
    <w:rsid w:val="00973B7B"/>
    <w:rsid w:val="00974959"/>
    <w:rsid w:val="00975A49"/>
    <w:rsid w:val="00985B26"/>
    <w:rsid w:val="00995E11"/>
    <w:rsid w:val="009A0133"/>
    <w:rsid w:val="009A1445"/>
    <w:rsid w:val="009A35EB"/>
    <w:rsid w:val="009B09D4"/>
    <w:rsid w:val="009B204D"/>
    <w:rsid w:val="009B750B"/>
    <w:rsid w:val="009C02AD"/>
    <w:rsid w:val="009C41CE"/>
    <w:rsid w:val="009C54DC"/>
    <w:rsid w:val="009E347B"/>
    <w:rsid w:val="009E4164"/>
    <w:rsid w:val="009E6DDF"/>
    <w:rsid w:val="009F2121"/>
    <w:rsid w:val="00A04A9D"/>
    <w:rsid w:val="00A14267"/>
    <w:rsid w:val="00A24142"/>
    <w:rsid w:val="00A510B0"/>
    <w:rsid w:val="00A53150"/>
    <w:rsid w:val="00A56CF7"/>
    <w:rsid w:val="00A72566"/>
    <w:rsid w:val="00A8283E"/>
    <w:rsid w:val="00A86CB6"/>
    <w:rsid w:val="00A90629"/>
    <w:rsid w:val="00A9066F"/>
    <w:rsid w:val="00AA1ED5"/>
    <w:rsid w:val="00AB142E"/>
    <w:rsid w:val="00AB1728"/>
    <w:rsid w:val="00AC004D"/>
    <w:rsid w:val="00AC6880"/>
    <w:rsid w:val="00AC696D"/>
    <w:rsid w:val="00AC7EDE"/>
    <w:rsid w:val="00AD3A6F"/>
    <w:rsid w:val="00AE00C9"/>
    <w:rsid w:val="00AE6B2D"/>
    <w:rsid w:val="00AE76FD"/>
    <w:rsid w:val="00AF2B28"/>
    <w:rsid w:val="00B02C41"/>
    <w:rsid w:val="00B03AFC"/>
    <w:rsid w:val="00B06DA8"/>
    <w:rsid w:val="00B113C5"/>
    <w:rsid w:val="00B1316F"/>
    <w:rsid w:val="00B135D8"/>
    <w:rsid w:val="00B16982"/>
    <w:rsid w:val="00B17165"/>
    <w:rsid w:val="00B21BE4"/>
    <w:rsid w:val="00B2302B"/>
    <w:rsid w:val="00B253FD"/>
    <w:rsid w:val="00B3584B"/>
    <w:rsid w:val="00B371F2"/>
    <w:rsid w:val="00B42F38"/>
    <w:rsid w:val="00B432C3"/>
    <w:rsid w:val="00B61BBD"/>
    <w:rsid w:val="00B67DA3"/>
    <w:rsid w:val="00B768D5"/>
    <w:rsid w:val="00B82718"/>
    <w:rsid w:val="00BB15D2"/>
    <w:rsid w:val="00BB2CA0"/>
    <w:rsid w:val="00BB736C"/>
    <w:rsid w:val="00BC577D"/>
    <w:rsid w:val="00BD0AC6"/>
    <w:rsid w:val="00BD1845"/>
    <w:rsid w:val="00BE58D7"/>
    <w:rsid w:val="00BF59FB"/>
    <w:rsid w:val="00BF7A8B"/>
    <w:rsid w:val="00C01ACC"/>
    <w:rsid w:val="00C0740A"/>
    <w:rsid w:val="00C10BA9"/>
    <w:rsid w:val="00C2054A"/>
    <w:rsid w:val="00C264A9"/>
    <w:rsid w:val="00C314A6"/>
    <w:rsid w:val="00C32C8C"/>
    <w:rsid w:val="00C33AF3"/>
    <w:rsid w:val="00C35859"/>
    <w:rsid w:val="00C406D3"/>
    <w:rsid w:val="00C40CB0"/>
    <w:rsid w:val="00C52B21"/>
    <w:rsid w:val="00C54977"/>
    <w:rsid w:val="00C67FC3"/>
    <w:rsid w:val="00C76C09"/>
    <w:rsid w:val="00C77F20"/>
    <w:rsid w:val="00C80739"/>
    <w:rsid w:val="00C833DA"/>
    <w:rsid w:val="00C84A58"/>
    <w:rsid w:val="00C86FFA"/>
    <w:rsid w:val="00C90A01"/>
    <w:rsid w:val="00C9108E"/>
    <w:rsid w:val="00C913CF"/>
    <w:rsid w:val="00C95198"/>
    <w:rsid w:val="00C9606B"/>
    <w:rsid w:val="00CA5874"/>
    <w:rsid w:val="00CB01AA"/>
    <w:rsid w:val="00CD2991"/>
    <w:rsid w:val="00CD5FDB"/>
    <w:rsid w:val="00CF21B1"/>
    <w:rsid w:val="00CF527D"/>
    <w:rsid w:val="00D01CBB"/>
    <w:rsid w:val="00D222E6"/>
    <w:rsid w:val="00D2283F"/>
    <w:rsid w:val="00D23BF9"/>
    <w:rsid w:val="00D23D11"/>
    <w:rsid w:val="00D25877"/>
    <w:rsid w:val="00D27F1B"/>
    <w:rsid w:val="00D400F6"/>
    <w:rsid w:val="00D5063C"/>
    <w:rsid w:val="00D71D6A"/>
    <w:rsid w:val="00D72F4F"/>
    <w:rsid w:val="00D77A36"/>
    <w:rsid w:val="00D82F32"/>
    <w:rsid w:val="00DA19DE"/>
    <w:rsid w:val="00DA1F78"/>
    <w:rsid w:val="00DA7A1A"/>
    <w:rsid w:val="00DC2FFE"/>
    <w:rsid w:val="00DC3337"/>
    <w:rsid w:val="00DC33FB"/>
    <w:rsid w:val="00DC4090"/>
    <w:rsid w:val="00DE1649"/>
    <w:rsid w:val="00DE2F59"/>
    <w:rsid w:val="00DE6B3F"/>
    <w:rsid w:val="00DF2D44"/>
    <w:rsid w:val="00DF4828"/>
    <w:rsid w:val="00E03727"/>
    <w:rsid w:val="00E23BA7"/>
    <w:rsid w:val="00E26EB3"/>
    <w:rsid w:val="00E42D41"/>
    <w:rsid w:val="00E4306F"/>
    <w:rsid w:val="00E4433A"/>
    <w:rsid w:val="00E46B30"/>
    <w:rsid w:val="00E5325C"/>
    <w:rsid w:val="00E630D5"/>
    <w:rsid w:val="00E630E6"/>
    <w:rsid w:val="00E63B93"/>
    <w:rsid w:val="00E63CD8"/>
    <w:rsid w:val="00E677E5"/>
    <w:rsid w:val="00E74550"/>
    <w:rsid w:val="00E861F9"/>
    <w:rsid w:val="00E94F2B"/>
    <w:rsid w:val="00EA2909"/>
    <w:rsid w:val="00EA6D8D"/>
    <w:rsid w:val="00EA71BA"/>
    <w:rsid w:val="00EC113E"/>
    <w:rsid w:val="00ED1E6B"/>
    <w:rsid w:val="00ED5FBB"/>
    <w:rsid w:val="00ED7233"/>
    <w:rsid w:val="00EF60D7"/>
    <w:rsid w:val="00F03F65"/>
    <w:rsid w:val="00F11C70"/>
    <w:rsid w:val="00F17731"/>
    <w:rsid w:val="00F31691"/>
    <w:rsid w:val="00F368C8"/>
    <w:rsid w:val="00F43CB3"/>
    <w:rsid w:val="00F46374"/>
    <w:rsid w:val="00F51B12"/>
    <w:rsid w:val="00F6512B"/>
    <w:rsid w:val="00F65AD6"/>
    <w:rsid w:val="00F72CDC"/>
    <w:rsid w:val="00F84F9D"/>
    <w:rsid w:val="00F94C15"/>
    <w:rsid w:val="00FA3E72"/>
    <w:rsid w:val="00FB2865"/>
    <w:rsid w:val="00FD0CBE"/>
    <w:rsid w:val="00FD5141"/>
    <w:rsid w:val="00FD5823"/>
    <w:rsid w:val="00FD7FBC"/>
    <w:rsid w:val="00FE1F77"/>
    <w:rsid w:val="00FF12E9"/>
    <w:rsid w:val="00FF5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D9F8"/>
  <w15:chartTrackingRefBased/>
  <w15:docId w15:val="{4C8DED09-0594-4FE6-BBB6-6A99E44E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5D"/>
  </w:style>
  <w:style w:type="paragraph" w:styleId="Heading1">
    <w:name w:val="heading 1"/>
    <w:basedOn w:val="Normal"/>
    <w:next w:val="Normal"/>
    <w:link w:val="Heading1Char"/>
    <w:uiPriority w:val="9"/>
    <w:qFormat/>
    <w:rsid w:val="00007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77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4F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A5D"/>
    <w:pPr>
      <w:ind w:left="720"/>
      <w:contextualSpacing/>
    </w:pPr>
  </w:style>
  <w:style w:type="paragraph" w:styleId="BodyText">
    <w:name w:val="Body Text"/>
    <w:basedOn w:val="Normal"/>
    <w:link w:val="BodyTextChar"/>
    <w:uiPriority w:val="1"/>
    <w:semiHidden/>
    <w:unhideWhenUsed/>
    <w:qFormat/>
    <w:rsid w:val="00924877"/>
    <w:pPr>
      <w:widowControl w:val="0"/>
      <w:spacing w:after="0" w:line="240" w:lineRule="auto"/>
      <w:jc w:val="both"/>
    </w:pPr>
    <w:rPr>
      <w:rFonts w:ascii="Calibri" w:eastAsia="Calibri" w:hAnsi="Calibri"/>
    </w:rPr>
  </w:style>
  <w:style w:type="character" w:customStyle="1" w:styleId="BodyTextChar">
    <w:name w:val="Body Text Char"/>
    <w:basedOn w:val="DefaultParagraphFont"/>
    <w:link w:val="BodyText"/>
    <w:uiPriority w:val="1"/>
    <w:semiHidden/>
    <w:rsid w:val="00924877"/>
    <w:rPr>
      <w:rFonts w:ascii="Calibri" w:eastAsia="Calibri" w:hAnsi="Calibri"/>
    </w:rPr>
  </w:style>
  <w:style w:type="character" w:styleId="Hyperlink">
    <w:name w:val="Hyperlink"/>
    <w:basedOn w:val="DefaultParagraphFont"/>
    <w:uiPriority w:val="99"/>
    <w:unhideWhenUsed/>
    <w:rsid w:val="00904F2C"/>
    <w:rPr>
      <w:color w:val="0563C1" w:themeColor="hyperlink"/>
      <w:u w:val="single"/>
    </w:rPr>
  </w:style>
  <w:style w:type="paragraph" w:styleId="FootnoteText">
    <w:name w:val="footnote text"/>
    <w:basedOn w:val="Normal"/>
    <w:link w:val="FootnoteTextChar"/>
    <w:uiPriority w:val="99"/>
    <w:semiHidden/>
    <w:unhideWhenUsed/>
    <w:rsid w:val="00E4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D41"/>
    <w:rPr>
      <w:sz w:val="20"/>
      <w:szCs w:val="20"/>
    </w:rPr>
  </w:style>
  <w:style w:type="character" w:styleId="FootnoteReference">
    <w:name w:val="footnote reference"/>
    <w:basedOn w:val="DefaultParagraphFont"/>
    <w:uiPriority w:val="99"/>
    <w:semiHidden/>
    <w:unhideWhenUsed/>
    <w:rsid w:val="00E42D41"/>
    <w:rPr>
      <w:vertAlign w:val="superscript"/>
    </w:rPr>
  </w:style>
  <w:style w:type="paragraph" w:styleId="BalloonText">
    <w:name w:val="Balloon Text"/>
    <w:basedOn w:val="Normal"/>
    <w:link w:val="BalloonTextChar"/>
    <w:uiPriority w:val="99"/>
    <w:semiHidden/>
    <w:unhideWhenUsed/>
    <w:rsid w:val="00B37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F2"/>
    <w:rPr>
      <w:rFonts w:ascii="Segoe UI" w:hAnsi="Segoe UI" w:cs="Segoe UI"/>
      <w:sz w:val="18"/>
      <w:szCs w:val="18"/>
    </w:rPr>
  </w:style>
  <w:style w:type="paragraph" w:styleId="Header">
    <w:name w:val="header"/>
    <w:basedOn w:val="Normal"/>
    <w:link w:val="HeaderChar"/>
    <w:uiPriority w:val="99"/>
    <w:unhideWhenUsed/>
    <w:rsid w:val="00007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742"/>
  </w:style>
  <w:style w:type="paragraph" w:styleId="Footer">
    <w:name w:val="footer"/>
    <w:basedOn w:val="Normal"/>
    <w:link w:val="FooterChar"/>
    <w:uiPriority w:val="99"/>
    <w:unhideWhenUsed/>
    <w:rsid w:val="00007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42"/>
  </w:style>
  <w:style w:type="character" w:customStyle="1" w:styleId="Heading1Char">
    <w:name w:val="Heading 1 Char"/>
    <w:basedOn w:val="DefaultParagraphFont"/>
    <w:link w:val="Heading1"/>
    <w:uiPriority w:val="9"/>
    <w:rsid w:val="0000774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077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74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77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7742"/>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B3494"/>
    <w:pPr>
      <w:outlineLvl w:val="9"/>
    </w:pPr>
  </w:style>
  <w:style w:type="paragraph" w:styleId="TOC1">
    <w:name w:val="toc 1"/>
    <w:basedOn w:val="Normal"/>
    <w:next w:val="Normal"/>
    <w:autoRedefine/>
    <w:uiPriority w:val="39"/>
    <w:unhideWhenUsed/>
    <w:rsid w:val="006B3494"/>
    <w:pPr>
      <w:spacing w:after="100"/>
    </w:pPr>
  </w:style>
  <w:style w:type="paragraph" w:styleId="TOC2">
    <w:name w:val="toc 2"/>
    <w:basedOn w:val="Normal"/>
    <w:next w:val="Normal"/>
    <w:autoRedefine/>
    <w:uiPriority w:val="39"/>
    <w:unhideWhenUsed/>
    <w:rsid w:val="006B3494"/>
    <w:pPr>
      <w:spacing w:after="100"/>
      <w:ind w:left="220"/>
    </w:pPr>
  </w:style>
  <w:style w:type="paragraph" w:styleId="TOC3">
    <w:name w:val="toc 3"/>
    <w:basedOn w:val="Normal"/>
    <w:next w:val="Normal"/>
    <w:autoRedefine/>
    <w:uiPriority w:val="39"/>
    <w:unhideWhenUsed/>
    <w:rsid w:val="006B3494"/>
    <w:pPr>
      <w:spacing w:after="100"/>
      <w:ind w:left="440"/>
    </w:pPr>
  </w:style>
  <w:style w:type="paragraph" w:styleId="NoSpacing">
    <w:name w:val="No Spacing"/>
    <w:link w:val="NoSpacingChar"/>
    <w:uiPriority w:val="1"/>
    <w:qFormat/>
    <w:rsid w:val="000D5D2E"/>
    <w:pPr>
      <w:spacing w:after="0" w:line="240" w:lineRule="auto"/>
    </w:pPr>
    <w:rPr>
      <w:rFonts w:eastAsiaTheme="minorEastAsia"/>
    </w:rPr>
  </w:style>
  <w:style w:type="character" w:customStyle="1" w:styleId="NoSpacingChar">
    <w:name w:val="No Spacing Char"/>
    <w:basedOn w:val="DefaultParagraphFont"/>
    <w:link w:val="NoSpacing"/>
    <w:uiPriority w:val="1"/>
    <w:rsid w:val="000D5D2E"/>
    <w:rPr>
      <w:rFonts w:eastAsiaTheme="minorEastAsia"/>
    </w:rPr>
  </w:style>
  <w:style w:type="character" w:customStyle="1" w:styleId="Heading4Char">
    <w:name w:val="Heading 4 Char"/>
    <w:basedOn w:val="DefaultParagraphFont"/>
    <w:link w:val="Heading4"/>
    <w:uiPriority w:val="9"/>
    <w:rsid w:val="00E94F2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00116">
      <w:bodyDiv w:val="1"/>
      <w:marLeft w:val="0"/>
      <w:marRight w:val="0"/>
      <w:marTop w:val="0"/>
      <w:marBottom w:val="0"/>
      <w:divBdr>
        <w:top w:val="none" w:sz="0" w:space="0" w:color="auto"/>
        <w:left w:val="none" w:sz="0" w:space="0" w:color="auto"/>
        <w:bottom w:val="none" w:sz="0" w:space="0" w:color="auto"/>
        <w:right w:val="none" w:sz="0" w:space="0" w:color="auto"/>
      </w:divBdr>
    </w:div>
    <w:div w:id="21208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rveymonkey.com/r/APEC_CD_GHS_Converg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Different revisions of GHS adopted by APEC economies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Sheet1!$B$17</c:f>
              <c:strCache>
                <c:ptCount val="1"/>
                <c:pt idx="0">
                  <c:v>Total number of economies</c:v>
                </c:pt>
              </c:strCache>
            </c:strRef>
          </c:tx>
          <c:spPr>
            <a:solidFill>
              <a:schemeClr val="accent1"/>
            </a:solidFill>
            <a:ln>
              <a:noFill/>
            </a:ln>
            <a:effectLst/>
          </c:spPr>
          <c:invertIfNegative val="0"/>
          <c:cat>
            <c:strRef>
              <c:f>Sheet1!$A$18:$A$23</c:f>
              <c:strCache>
                <c:ptCount val="6"/>
                <c:pt idx="0">
                  <c:v>2nd </c:v>
                </c:pt>
                <c:pt idx="1">
                  <c:v>3rd</c:v>
                </c:pt>
                <c:pt idx="2">
                  <c:v>4th</c:v>
                </c:pt>
                <c:pt idx="3">
                  <c:v>5th</c:v>
                </c:pt>
                <c:pt idx="4">
                  <c:v>6th</c:v>
                </c:pt>
                <c:pt idx="5">
                  <c:v>7th</c:v>
                </c:pt>
              </c:strCache>
            </c:strRef>
          </c:cat>
          <c:val>
            <c:numRef>
              <c:f>Sheet1!$B$18:$B$23</c:f>
              <c:numCache>
                <c:formatCode>General</c:formatCode>
                <c:ptCount val="6"/>
                <c:pt idx="0">
                  <c:v>1</c:v>
                </c:pt>
                <c:pt idx="1">
                  <c:v>5</c:v>
                </c:pt>
                <c:pt idx="2">
                  <c:v>5</c:v>
                </c:pt>
                <c:pt idx="3">
                  <c:v>3</c:v>
                </c:pt>
                <c:pt idx="4">
                  <c:v>1</c:v>
                </c:pt>
                <c:pt idx="5">
                  <c:v>1</c:v>
                </c:pt>
              </c:numCache>
            </c:numRef>
          </c:val>
          <c:extLst>
            <c:ext xmlns:c16="http://schemas.microsoft.com/office/drawing/2014/chart" uri="{C3380CC4-5D6E-409C-BE32-E72D297353CC}">
              <c16:uniqueId val="{00000000-6AF6-4CD7-B7BA-0B3E50E4A9E7}"/>
            </c:ext>
          </c:extLst>
        </c:ser>
        <c:dLbls>
          <c:showLegendKey val="0"/>
          <c:showVal val="0"/>
          <c:showCatName val="0"/>
          <c:showSerName val="0"/>
          <c:showPercent val="0"/>
          <c:showBubbleSize val="0"/>
        </c:dLbls>
        <c:gapWidth val="219"/>
        <c:overlap val="-27"/>
        <c:axId val="381359328"/>
        <c:axId val="381361296"/>
      </c:barChart>
      <c:catAx>
        <c:axId val="381359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Revision</a:t>
                </a:r>
                <a:r>
                  <a:rPr lang="en-US" baseline="0"/>
                  <a:t> of GHS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361296"/>
        <c:crosses val="autoZero"/>
        <c:auto val="1"/>
        <c:lblAlgn val="ctr"/>
        <c:lblOffset val="100"/>
        <c:noMultiLvlLbl val="0"/>
      </c:catAx>
      <c:valAx>
        <c:axId val="38136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APEC Economies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3593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8AA11C9290D47AAE054F9ADF585A6" ma:contentTypeVersion="8" ma:contentTypeDescription="Create a new document." ma:contentTypeScope="" ma:versionID="7b0aa9ed7a60b02a5f9630d8487fb689">
  <xsd:schema xmlns:xsd="http://www.w3.org/2001/XMLSchema" xmlns:xs="http://www.w3.org/2001/XMLSchema" xmlns:p="http://schemas.microsoft.com/office/2006/metadata/properties" xmlns:ns2="60266a26-fb77-4a14-a18e-927ea900d7b0" xmlns:ns3="19fe2b29-95a9-4e85-b54e-b66efdcb826b" targetNamespace="http://schemas.microsoft.com/office/2006/metadata/properties" ma:root="true" ma:fieldsID="297d83d72d4f6ede4f35f86aae43e8fa" ns2:_="" ns3:_="">
    <xsd:import namespace="60266a26-fb77-4a14-a18e-927ea900d7b0"/>
    <xsd:import namespace="19fe2b29-95a9-4e85-b54e-b66efdcb8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66a26-fb77-4a14-a18e-927ea900d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e2b29-95a9-4e85-b54e-b66efdcb82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0A0EF-6692-4C97-AF1F-A61A22EC1B38}">
  <ds:schemaRefs>
    <ds:schemaRef ds:uri="http://schemas.microsoft.com/sharepoint/v3/contenttype/forms"/>
  </ds:schemaRefs>
</ds:datastoreItem>
</file>

<file path=customXml/itemProps3.xml><?xml version="1.0" encoding="utf-8"?>
<ds:datastoreItem xmlns:ds="http://schemas.openxmlformats.org/officeDocument/2006/customXml" ds:itemID="{5B2C5C73-D49D-446C-B829-00B0442C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66a26-fb77-4a14-a18e-927ea900d7b0"/>
    <ds:schemaRef ds:uri="19fe2b29-95a9-4e85-b54e-b66efdc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30712-0E4A-4A6A-9957-879A0C15BC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7C9664-C385-4E2E-A1A5-9A6B4C5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APEC CD GHS Implementation Convergence Questionnaire Progress Report</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CD GHS Implementation Convergence Questionnaire Progress Report</dc:title>
  <dc:subject/>
  <dc:creator>Caterine Oh</dc:creator>
  <cp:keywords/>
  <dc:description/>
  <cp:lastModifiedBy>Johnny Lin Hung-hsun</cp:lastModifiedBy>
  <cp:revision>4</cp:revision>
  <cp:lastPrinted>2019-04-15T23:14:00Z</cp:lastPrinted>
  <dcterms:created xsi:type="dcterms:W3CDTF">2019-05-07T01:58:00Z</dcterms:created>
  <dcterms:modified xsi:type="dcterms:W3CDTF">2019-05-08T03:05:00Z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0x0101004CD8AA11C9290D47AAE054F9ADF585A6</vt:lpwstr>
  </property>
</Properties>
</file>