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34" w:rsidRPr="00B61F99" w:rsidRDefault="00FB398A" w:rsidP="00E71D54">
      <w:pPr>
        <w:pStyle w:val="NoSpacing"/>
        <w:rPr>
          <w:rFonts w:ascii="Arial Narrow" w:hAnsi="Arial Narrow" w:cs="Arial"/>
          <w:b/>
          <w:sz w:val="24"/>
          <w:szCs w:val="24"/>
        </w:rPr>
      </w:pPr>
      <w:r w:rsidRPr="00B61F99">
        <w:rPr>
          <w:rFonts w:ascii="Arial Narrow" w:hAnsi="Arial Narrow" w:cs="Arial"/>
          <w:b/>
          <w:sz w:val="24"/>
          <w:szCs w:val="24"/>
        </w:rPr>
        <w:t>APEC AUTOMOTIVE DIALOGUE</w:t>
      </w:r>
    </w:p>
    <w:p w:rsidR="00FB398A" w:rsidRPr="00B61F99" w:rsidRDefault="00FB398A" w:rsidP="00E71D54">
      <w:pPr>
        <w:pStyle w:val="NoSpacing"/>
        <w:rPr>
          <w:rFonts w:ascii="Arial Narrow" w:hAnsi="Arial Narrow" w:cs="Arial"/>
          <w:sz w:val="24"/>
          <w:szCs w:val="24"/>
        </w:rPr>
      </w:pPr>
      <w:r w:rsidRPr="00B61F99">
        <w:rPr>
          <w:rFonts w:ascii="Arial Narrow" w:hAnsi="Arial Narrow" w:cs="Arial"/>
          <w:sz w:val="24"/>
          <w:szCs w:val="24"/>
        </w:rPr>
        <w:t xml:space="preserve">2016 </w:t>
      </w:r>
      <w:r w:rsidR="00D557D4" w:rsidRPr="00B61F99">
        <w:rPr>
          <w:rFonts w:ascii="Arial Narrow" w:hAnsi="Arial Narrow" w:cs="Arial"/>
          <w:sz w:val="24"/>
          <w:szCs w:val="24"/>
        </w:rPr>
        <w:t xml:space="preserve">-2017 </w:t>
      </w:r>
      <w:r w:rsidRPr="00B61F99">
        <w:rPr>
          <w:rFonts w:ascii="Arial Narrow" w:hAnsi="Arial Narrow" w:cs="Arial"/>
          <w:sz w:val="24"/>
          <w:szCs w:val="24"/>
        </w:rPr>
        <w:t>Work Plan</w:t>
      </w:r>
    </w:p>
    <w:p w:rsidR="00FB398A" w:rsidRPr="00B61F99" w:rsidRDefault="00FB398A" w:rsidP="00E71D54">
      <w:pPr>
        <w:pStyle w:val="NoSpacing"/>
        <w:rPr>
          <w:rFonts w:ascii="Arial Narrow" w:hAnsi="Arial Narrow" w:cs="Arial"/>
          <w:sz w:val="24"/>
          <w:szCs w:val="24"/>
        </w:rPr>
      </w:pPr>
    </w:p>
    <w:p w:rsidR="007100B6" w:rsidRPr="00B61F99" w:rsidRDefault="007100B6" w:rsidP="00B61F99">
      <w:pPr>
        <w:pStyle w:val="NoSpacing"/>
        <w:spacing w:after="120"/>
        <w:jc w:val="both"/>
        <w:rPr>
          <w:rFonts w:ascii="Arial Narrow" w:eastAsia="Calibri" w:hAnsi="Arial Narrow" w:cs="Arial"/>
          <w:sz w:val="24"/>
          <w:szCs w:val="24"/>
        </w:rPr>
      </w:pPr>
      <w:r w:rsidRPr="00B61F99">
        <w:rPr>
          <w:rFonts w:ascii="Arial Narrow" w:hAnsi="Arial Narrow" w:cs="Arial"/>
          <w:sz w:val="24"/>
          <w:szCs w:val="24"/>
        </w:rPr>
        <w:t xml:space="preserve">The Automotive Dialogue (AD) was established in 1998 as </w:t>
      </w:r>
      <w:r w:rsidRPr="00B61F99">
        <w:rPr>
          <w:rFonts w:ascii="Arial Narrow" w:eastAsia="Calibri" w:hAnsi="Arial Narrow" w:cs="Arial"/>
          <w:sz w:val="24"/>
          <w:szCs w:val="24"/>
        </w:rPr>
        <w:t xml:space="preserve">part of the Early Voluntary Sectoral Liberalization (EVSL) process to act as a forum for </w:t>
      </w:r>
      <w:r w:rsidR="006B119A" w:rsidRPr="00B61F99">
        <w:rPr>
          <w:rFonts w:ascii="Arial Narrow" w:hAnsi="Arial Narrow" w:cs="Arial"/>
          <w:sz w:val="24"/>
          <w:szCs w:val="24"/>
        </w:rPr>
        <w:t>private sector automotive industry representatives and appropriate government officials who are involved in developing trade and trade-related regulatory policy within APEC member economies</w:t>
      </w:r>
      <w:r w:rsidRPr="00B61F99">
        <w:rPr>
          <w:rFonts w:ascii="Arial Narrow" w:eastAsia="Calibri" w:hAnsi="Arial Narrow" w:cs="Arial"/>
          <w:sz w:val="24"/>
          <w:szCs w:val="24"/>
        </w:rPr>
        <w:t xml:space="preserve"> to discuss a broad range of issues that affect auto trade</w:t>
      </w:r>
      <w:r w:rsidR="006B119A" w:rsidRPr="00B61F99">
        <w:rPr>
          <w:rFonts w:ascii="Arial Narrow" w:eastAsia="Calibri" w:hAnsi="Arial Narrow" w:cs="Arial"/>
          <w:sz w:val="24"/>
          <w:szCs w:val="24"/>
        </w:rPr>
        <w:t xml:space="preserve"> in accordance with the Ministerial mandate</w:t>
      </w:r>
      <w:r w:rsidRPr="00B61F99">
        <w:rPr>
          <w:rFonts w:ascii="Arial Narrow" w:eastAsia="Calibri" w:hAnsi="Arial Narrow" w:cs="Arial"/>
          <w:sz w:val="24"/>
          <w:szCs w:val="24"/>
        </w:rPr>
        <w:t>.</w:t>
      </w:r>
    </w:p>
    <w:p w:rsidR="00F37296" w:rsidRPr="00B61F99" w:rsidRDefault="00F37296" w:rsidP="00B61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Narrow" w:hAnsi="Arial Narrow" w:cs="Arial"/>
          <w:szCs w:val="24"/>
        </w:rPr>
      </w:pPr>
      <w:r w:rsidRPr="00B61F99">
        <w:rPr>
          <w:rFonts w:ascii="Arial Narrow" w:hAnsi="Arial Narrow" w:cs="Arial"/>
          <w:szCs w:val="24"/>
        </w:rPr>
        <w:t xml:space="preserve">Based on these discussions, the </w:t>
      </w:r>
      <w:r w:rsidR="005344E6" w:rsidRPr="00B61F99">
        <w:rPr>
          <w:rFonts w:ascii="Arial Narrow" w:hAnsi="Arial Narrow" w:cs="Arial"/>
          <w:szCs w:val="24"/>
        </w:rPr>
        <w:t>AD</w:t>
      </w:r>
      <w:r w:rsidRPr="00B61F99">
        <w:rPr>
          <w:rFonts w:ascii="Arial Narrow" w:hAnsi="Arial Narrow" w:cs="Arial"/>
          <w:szCs w:val="24"/>
        </w:rPr>
        <w:t xml:space="preserve"> will develop recommendations to facilitate trade in the automotive sector and enhance the competitiveness and sustainable development of the industry in the region. Some APEC Member Economies may choose to move more quickly than others in terms of implementing recommendations as is consistent with APEC’s flexible, voluntary and consensus oriented approach to trade facilitation and economic and technical cooperation.</w:t>
      </w:r>
    </w:p>
    <w:p w:rsidR="0037321D" w:rsidRPr="00B61F99" w:rsidRDefault="0037321D" w:rsidP="00B61F99">
      <w:pPr>
        <w:spacing w:after="120"/>
        <w:jc w:val="both"/>
        <w:rPr>
          <w:rFonts w:ascii="Arial Narrow" w:hAnsi="Arial Narrow" w:cs="Arial"/>
          <w:szCs w:val="24"/>
        </w:rPr>
      </w:pPr>
      <w:r w:rsidRPr="00B61F99">
        <w:rPr>
          <w:rFonts w:ascii="Arial Narrow" w:hAnsi="Arial Narrow" w:cs="Arial"/>
          <w:bCs/>
          <w:szCs w:val="24"/>
        </w:rPr>
        <w:t>Following the theme for 201</w:t>
      </w:r>
      <w:r w:rsidR="00C5331E" w:rsidRPr="00B61F99">
        <w:rPr>
          <w:rFonts w:ascii="Arial Narrow" w:hAnsi="Arial Narrow" w:cs="Arial"/>
          <w:bCs/>
          <w:szCs w:val="24"/>
        </w:rPr>
        <w:t>6 of “Quality Growth and Human Development”, with</w:t>
      </w:r>
      <w:r w:rsidRPr="00B61F99">
        <w:rPr>
          <w:rFonts w:ascii="Arial Narrow" w:hAnsi="Arial Narrow" w:cs="Arial"/>
          <w:bCs/>
          <w:szCs w:val="24"/>
        </w:rPr>
        <w:t xml:space="preserve"> its four focus areas</w:t>
      </w:r>
      <w:r w:rsidR="007B43D1" w:rsidRPr="00B61F99">
        <w:rPr>
          <w:rFonts w:ascii="Arial Narrow" w:hAnsi="Arial Narrow" w:cs="Arial"/>
          <w:bCs/>
          <w:szCs w:val="24"/>
        </w:rPr>
        <w:t xml:space="preserve"> – (1) </w:t>
      </w:r>
      <w:r w:rsidR="00C5331E" w:rsidRPr="00B61F99">
        <w:rPr>
          <w:rFonts w:ascii="Arial Narrow" w:hAnsi="Arial Narrow" w:cs="Arial"/>
          <w:szCs w:val="24"/>
        </w:rPr>
        <w:t>advancing</w:t>
      </w:r>
      <w:r w:rsidRPr="00B61F99">
        <w:rPr>
          <w:rFonts w:ascii="Arial Narrow" w:hAnsi="Arial Narrow" w:cs="Arial"/>
          <w:szCs w:val="24"/>
        </w:rPr>
        <w:t xml:space="preserve"> the regional economic</w:t>
      </w:r>
      <w:r w:rsidR="00C5331E" w:rsidRPr="00B61F99">
        <w:rPr>
          <w:rFonts w:ascii="Arial Narrow" w:hAnsi="Arial Narrow" w:cs="Arial"/>
          <w:szCs w:val="24"/>
        </w:rPr>
        <w:t xml:space="preserve"> integration and growth</w:t>
      </w:r>
      <w:r w:rsidRPr="00B61F99">
        <w:rPr>
          <w:rFonts w:ascii="Arial Narrow" w:hAnsi="Arial Narrow" w:cs="Arial"/>
          <w:szCs w:val="24"/>
        </w:rPr>
        <w:t xml:space="preserve"> agenda</w:t>
      </w:r>
      <w:r w:rsidR="007B43D1" w:rsidRPr="00B61F99">
        <w:rPr>
          <w:rFonts w:ascii="Arial Narrow" w:hAnsi="Arial Narrow" w:cs="Arial"/>
          <w:szCs w:val="24"/>
        </w:rPr>
        <w:t xml:space="preserve">, (2) </w:t>
      </w:r>
      <w:r w:rsidRPr="00B61F99">
        <w:rPr>
          <w:rFonts w:ascii="Arial Narrow" w:hAnsi="Arial Narrow" w:cs="Arial"/>
          <w:szCs w:val="24"/>
        </w:rPr>
        <w:t xml:space="preserve">fostering </w:t>
      </w:r>
      <w:r w:rsidR="00C5331E" w:rsidRPr="00B61F99">
        <w:rPr>
          <w:rFonts w:ascii="Arial Narrow" w:hAnsi="Arial Narrow" w:cs="Arial"/>
          <w:szCs w:val="24"/>
        </w:rPr>
        <w:t>the regional food market</w:t>
      </w:r>
      <w:r w:rsidR="007B43D1" w:rsidRPr="00B61F99">
        <w:rPr>
          <w:rFonts w:ascii="Arial Narrow" w:hAnsi="Arial Narrow" w:cs="Arial"/>
          <w:szCs w:val="24"/>
        </w:rPr>
        <w:t xml:space="preserve">, (3) </w:t>
      </w:r>
      <w:r w:rsidR="00C5331E" w:rsidRPr="00B61F99">
        <w:rPr>
          <w:rFonts w:ascii="Arial Narrow" w:hAnsi="Arial Narrow" w:cs="Arial"/>
          <w:szCs w:val="24"/>
        </w:rPr>
        <w:t>towards the modernization of MSMEs in the Asia-Pacific</w:t>
      </w:r>
      <w:r w:rsidR="007B43D1" w:rsidRPr="00B61F99">
        <w:rPr>
          <w:rFonts w:ascii="Arial Narrow" w:hAnsi="Arial Narrow" w:cs="Arial"/>
          <w:szCs w:val="24"/>
        </w:rPr>
        <w:t xml:space="preserve"> and (4) </w:t>
      </w:r>
      <w:r w:rsidR="00C5331E" w:rsidRPr="00B61F99">
        <w:rPr>
          <w:rFonts w:ascii="Arial Narrow" w:hAnsi="Arial Narrow" w:cs="Arial"/>
          <w:szCs w:val="24"/>
        </w:rPr>
        <w:t xml:space="preserve">investing in human capital Development </w:t>
      </w:r>
      <w:r w:rsidR="00C979AC" w:rsidRPr="00B61F99">
        <w:rPr>
          <w:rFonts w:ascii="Arial Narrow" w:hAnsi="Arial Narrow" w:cs="Arial"/>
          <w:szCs w:val="24"/>
        </w:rPr>
        <w:t>–</w:t>
      </w:r>
      <w:r w:rsidR="00C5331E" w:rsidRPr="00B61F99">
        <w:rPr>
          <w:rFonts w:ascii="Arial Narrow" w:hAnsi="Arial Narrow" w:cs="Arial"/>
          <w:szCs w:val="24"/>
        </w:rPr>
        <w:t xml:space="preserve"> </w:t>
      </w:r>
      <w:r w:rsidR="00C979AC" w:rsidRPr="00B61F99">
        <w:rPr>
          <w:rFonts w:ascii="Arial Narrow" w:hAnsi="Arial Narrow" w:cs="Arial"/>
          <w:szCs w:val="24"/>
        </w:rPr>
        <w:t xml:space="preserve">the AD </w:t>
      </w:r>
      <w:r w:rsidR="00C5331E" w:rsidRPr="00B61F99">
        <w:rPr>
          <w:rFonts w:ascii="Arial Narrow" w:hAnsi="Arial Narrow" w:cs="Arial"/>
          <w:szCs w:val="24"/>
        </w:rPr>
        <w:t>will continue to focus</w:t>
      </w:r>
      <w:r w:rsidR="00C979AC" w:rsidRPr="00B61F99">
        <w:rPr>
          <w:rFonts w:ascii="Arial Narrow" w:hAnsi="Arial Narrow" w:cs="Arial"/>
          <w:szCs w:val="24"/>
        </w:rPr>
        <w:t xml:space="preserve"> on the promoting SME participation in the automotive global value chains, organizing workshops and conducting projects to support the concept. </w:t>
      </w:r>
    </w:p>
    <w:p w:rsidR="00B40DD4" w:rsidRDefault="00C979AC" w:rsidP="00B61F99">
      <w:pPr>
        <w:spacing w:after="120"/>
        <w:jc w:val="both"/>
        <w:rPr>
          <w:rFonts w:ascii="Arial Narrow" w:hAnsi="Arial Narrow" w:cs="Arial"/>
          <w:szCs w:val="24"/>
        </w:rPr>
      </w:pPr>
      <w:r w:rsidRPr="00B61F99">
        <w:rPr>
          <w:rFonts w:ascii="Arial Narrow" w:hAnsi="Arial Narrow" w:cs="Arial"/>
          <w:szCs w:val="24"/>
        </w:rPr>
        <w:t>For 2016</w:t>
      </w:r>
      <w:r w:rsidR="009A204D" w:rsidRPr="00B61F99">
        <w:rPr>
          <w:rFonts w:ascii="Arial Narrow" w:hAnsi="Arial Narrow" w:cs="Arial"/>
          <w:szCs w:val="24"/>
        </w:rPr>
        <w:t>-2017</w:t>
      </w:r>
      <w:r w:rsidRPr="00B61F99">
        <w:rPr>
          <w:rFonts w:ascii="Arial Narrow" w:hAnsi="Arial Narrow" w:cs="Arial"/>
          <w:szCs w:val="24"/>
        </w:rPr>
        <w:t xml:space="preserve">, </w:t>
      </w:r>
      <w:r w:rsidR="00B40DD4" w:rsidRPr="00B61F99">
        <w:rPr>
          <w:rFonts w:ascii="Arial Narrow" w:hAnsi="Arial Narrow" w:cs="Arial"/>
          <w:szCs w:val="24"/>
        </w:rPr>
        <w:t xml:space="preserve">the APEC AD proposes to </w:t>
      </w:r>
      <w:r w:rsidRPr="00B61F99">
        <w:rPr>
          <w:rFonts w:ascii="Arial Narrow" w:hAnsi="Arial Narrow" w:cs="Arial"/>
          <w:szCs w:val="24"/>
        </w:rPr>
        <w:t xml:space="preserve">continue with the promotion of SME empowerment and participation in the GVC, and </w:t>
      </w:r>
      <w:r w:rsidR="00B40DD4" w:rsidRPr="00B61F99">
        <w:rPr>
          <w:rFonts w:ascii="Arial Narrow" w:hAnsi="Arial Narrow" w:cs="Arial"/>
          <w:szCs w:val="24"/>
        </w:rPr>
        <w:t xml:space="preserve">undertake the following </w:t>
      </w:r>
      <w:r w:rsidRPr="00B61F99">
        <w:rPr>
          <w:rFonts w:ascii="Arial Narrow" w:hAnsi="Arial Narrow" w:cs="Arial"/>
          <w:szCs w:val="24"/>
        </w:rPr>
        <w:t>work</w:t>
      </w:r>
      <w:r w:rsidR="00B40DD4" w:rsidRPr="00B61F99">
        <w:rPr>
          <w:rFonts w:ascii="Arial Narrow" w:hAnsi="Arial Narrow" w:cs="Arial"/>
          <w:szCs w:val="24"/>
        </w:rPr>
        <w:t>:</w:t>
      </w:r>
    </w:p>
    <w:p w:rsidR="00B61F99" w:rsidRPr="00B61F99" w:rsidRDefault="00B61F99" w:rsidP="00B61F99">
      <w:pPr>
        <w:spacing w:after="120"/>
        <w:jc w:val="both"/>
        <w:rPr>
          <w:rFonts w:ascii="Arial Narrow" w:hAnsi="Arial Narrow" w:cs="Arial"/>
          <w:szCs w:val="24"/>
        </w:rPr>
      </w:pPr>
    </w:p>
    <w:p w:rsidR="00B40DD4" w:rsidRPr="00B61F99" w:rsidRDefault="00B40DD4" w:rsidP="00E71D54">
      <w:pPr>
        <w:pStyle w:val="NoSpacing"/>
        <w:rPr>
          <w:rFonts w:ascii="Arial Narrow" w:hAnsi="Arial Narrow" w:cs="Arial"/>
          <w:sz w:val="24"/>
          <w:szCs w:val="24"/>
        </w:rPr>
      </w:pPr>
    </w:p>
    <w:tbl>
      <w:tblPr>
        <w:tblStyle w:val="TableGrid"/>
        <w:tblW w:w="14607" w:type="dxa"/>
        <w:tblInd w:w="198" w:type="dxa"/>
        <w:tblLayout w:type="fixed"/>
        <w:tblLook w:val="04A0" w:firstRow="1" w:lastRow="0" w:firstColumn="1" w:lastColumn="0" w:noHBand="0" w:noVBand="1"/>
      </w:tblPr>
      <w:tblGrid>
        <w:gridCol w:w="341"/>
        <w:gridCol w:w="2089"/>
        <w:gridCol w:w="4950"/>
        <w:gridCol w:w="1620"/>
        <w:gridCol w:w="1800"/>
        <w:gridCol w:w="1620"/>
        <w:gridCol w:w="2187"/>
      </w:tblGrid>
      <w:tr w:rsidR="00AE395F" w:rsidRPr="00B61F99" w:rsidTr="009E7FD0">
        <w:tc>
          <w:tcPr>
            <w:tcW w:w="341" w:type="dxa"/>
          </w:tcPr>
          <w:p w:rsidR="00AE395F" w:rsidRPr="00B61F99" w:rsidRDefault="00AE395F" w:rsidP="00E71D54">
            <w:pPr>
              <w:pStyle w:val="NoSpacing"/>
              <w:rPr>
                <w:rFonts w:ascii="Arial Narrow" w:hAnsi="Arial Narrow" w:cs="Arial"/>
                <w:sz w:val="24"/>
                <w:szCs w:val="24"/>
              </w:rPr>
            </w:pPr>
          </w:p>
        </w:tc>
        <w:tc>
          <w:tcPr>
            <w:tcW w:w="2089" w:type="dxa"/>
          </w:tcPr>
          <w:p w:rsidR="00AE395F" w:rsidRPr="00B61F99" w:rsidRDefault="00AE395F" w:rsidP="00F802AB">
            <w:pPr>
              <w:pStyle w:val="NoSpacing"/>
              <w:jc w:val="center"/>
              <w:rPr>
                <w:rFonts w:ascii="Arial Narrow" w:hAnsi="Arial Narrow" w:cs="Arial"/>
                <w:b/>
                <w:sz w:val="24"/>
                <w:szCs w:val="24"/>
              </w:rPr>
            </w:pPr>
            <w:r w:rsidRPr="00B61F99">
              <w:rPr>
                <w:rFonts w:ascii="Arial Narrow" w:hAnsi="Arial Narrow" w:cs="Arial"/>
                <w:b/>
                <w:sz w:val="24"/>
                <w:szCs w:val="24"/>
              </w:rPr>
              <w:t>Title</w:t>
            </w:r>
          </w:p>
        </w:tc>
        <w:tc>
          <w:tcPr>
            <w:tcW w:w="4950" w:type="dxa"/>
            <w:vAlign w:val="center"/>
          </w:tcPr>
          <w:p w:rsidR="00AE395F" w:rsidRPr="00B61F99" w:rsidRDefault="00AE395F" w:rsidP="009A204D">
            <w:pPr>
              <w:pStyle w:val="NoSpacing"/>
              <w:jc w:val="center"/>
              <w:rPr>
                <w:rFonts w:ascii="Arial Narrow" w:hAnsi="Arial Narrow" w:cs="Arial"/>
                <w:b/>
                <w:sz w:val="24"/>
                <w:szCs w:val="24"/>
              </w:rPr>
            </w:pPr>
            <w:r w:rsidRPr="00B61F99">
              <w:rPr>
                <w:rFonts w:ascii="Arial Narrow" w:hAnsi="Arial Narrow" w:cs="Arial"/>
                <w:b/>
                <w:sz w:val="24"/>
                <w:szCs w:val="24"/>
              </w:rPr>
              <w:t>Description and Proposed Actions</w:t>
            </w:r>
          </w:p>
        </w:tc>
        <w:tc>
          <w:tcPr>
            <w:tcW w:w="1620" w:type="dxa"/>
            <w:vAlign w:val="center"/>
          </w:tcPr>
          <w:p w:rsidR="00AE395F" w:rsidRPr="00B61F99" w:rsidRDefault="00AE395F" w:rsidP="009A204D">
            <w:pPr>
              <w:pStyle w:val="NoSpacing"/>
              <w:jc w:val="center"/>
              <w:rPr>
                <w:rFonts w:ascii="Arial Narrow" w:hAnsi="Arial Narrow" w:cs="Arial"/>
                <w:b/>
                <w:sz w:val="24"/>
                <w:szCs w:val="24"/>
              </w:rPr>
            </w:pPr>
            <w:r w:rsidRPr="00B61F99">
              <w:rPr>
                <w:rFonts w:ascii="Arial Narrow" w:hAnsi="Arial Narrow" w:cs="Arial"/>
                <w:b/>
                <w:sz w:val="24"/>
                <w:szCs w:val="24"/>
              </w:rPr>
              <w:t>Lead Economy</w:t>
            </w:r>
          </w:p>
        </w:tc>
        <w:tc>
          <w:tcPr>
            <w:tcW w:w="1800" w:type="dxa"/>
            <w:vAlign w:val="center"/>
          </w:tcPr>
          <w:p w:rsidR="00AE395F" w:rsidRPr="00B61F99" w:rsidRDefault="00AE395F" w:rsidP="009A204D">
            <w:pPr>
              <w:pStyle w:val="NoSpacing"/>
              <w:jc w:val="center"/>
              <w:rPr>
                <w:rFonts w:ascii="Arial Narrow" w:hAnsi="Arial Narrow" w:cs="Arial"/>
                <w:b/>
                <w:sz w:val="24"/>
                <w:szCs w:val="24"/>
              </w:rPr>
            </w:pPr>
            <w:r w:rsidRPr="00B61F99">
              <w:rPr>
                <w:rFonts w:ascii="Arial Narrow" w:hAnsi="Arial Narrow" w:cs="Arial"/>
                <w:b/>
                <w:sz w:val="24"/>
                <w:szCs w:val="24"/>
              </w:rPr>
              <w:t>2016</w:t>
            </w:r>
          </w:p>
        </w:tc>
        <w:tc>
          <w:tcPr>
            <w:tcW w:w="1620" w:type="dxa"/>
            <w:vAlign w:val="center"/>
          </w:tcPr>
          <w:p w:rsidR="00AE395F" w:rsidRPr="00B61F99" w:rsidRDefault="00AE395F" w:rsidP="009A204D">
            <w:pPr>
              <w:pStyle w:val="NoSpacing"/>
              <w:jc w:val="center"/>
              <w:rPr>
                <w:rFonts w:ascii="Arial Narrow" w:hAnsi="Arial Narrow" w:cs="Arial"/>
                <w:b/>
                <w:sz w:val="24"/>
                <w:szCs w:val="24"/>
              </w:rPr>
            </w:pPr>
            <w:r w:rsidRPr="00B61F99">
              <w:rPr>
                <w:rFonts w:ascii="Arial Narrow" w:hAnsi="Arial Narrow" w:cs="Arial"/>
                <w:b/>
                <w:sz w:val="24"/>
                <w:szCs w:val="24"/>
              </w:rPr>
              <w:t>2017</w:t>
            </w:r>
          </w:p>
        </w:tc>
        <w:tc>
          <w:tcPr>
            <w:tcW w:w="2187" w:type="dxa"/>
          </w:tcPr>
          <w:p w:rsidR="00AE395F" w:rsidRPr="00B61F99" w:rsidRDefault="00AE395F" w:rsidP="009A204D">
            <w:pPr>
              <w:pStyle w:val="NoSpacing"/>
              <w:jc w:val="center"/>
              <w:rPr>
                <w:rFonts w:ascii="Arial Narrow" w:hAnsi="Arial Narrow" w:cs="Arial"/>
                <w:b/>
                <w:sz w:val="24"/>
                <w:szCs w:val="24"/>
              </w:rPr>
            </w:pPr>
            <w:r w:rsidRPr="00B61F99">
              <w:rPr>
                <w:rFonts w:ascii="Arial Narrow" w:hAnsi="Arial Narrow" w:cs="Arial"/>
                <w:b/>
                <w:sz w:val="24"/>
                <w:szCs w:val="24"/>
              </w:rPr>
              <w:t>Status/Remarks</w:t>
            </w:r>
          </w:p>
        </w:tc>
      </w:tr>
      <w:tr w:rsidR="00AE395F" w:rsidRPr="00B61F99" w:rsidTr="009E7FD0">
        <w:tc>
          <w:tcPr>
            <w:tcW w:w="341" w:type="dxa"/>
          </w:tcPr>
          <w:p w:rsidR="00AE395F" w:rsidRPr="00B61F99" w:rsidRDefault="00AE395F" w:rsidP="00E71D54">
            <w:pPr>
              <w:pStyle w:val="NoSpacing"/>
              <w:rPr>
                <w:rFonts w:ascii="Arial Narrow" w:hAnsi="Arial Narrow" w:cs="Arial"/>
                <w:sz w:val="24"/>
                <w:szCs w:val="24"/>
              </w:rPr>
            </w:pPr>
            <w:r w:rsidRPr="00B61F99">
              <w:rPr>
                <w:rFonts w:ascii="Arial Narrow" w:hAnsi="Arial Narrow" w:cs="Arial"/>
                <w:sz w:val="24"/>
                <w:szCs w:val="24"/>
              </w:rPr>
              <w:t>1</w:t>
            </w:r>
          </w:p>
        </w:tc>
        <w:tc>
          <w:tcPr>
            <w:tcW w:w="2089" w:type="dxa"/>
          </w:tcPr>
          <w:p w:rsidR="00AE395F" w:rsidRPr="00B61F99" w:rsidRDefault="00AE395F" w:rsidP="00B40DD4">
            <w:pPr>
              <w:pStyle w:val="NoSpacing"/>
              <w:rPr>
                <w:rFonts w:ascii="Arial Narrow" w:hAnsi="Arial Narrow" w:cs="Arial"/>
                <w:sz w:val="24"/>
                <w:szCs w:val="24"/>
              </w:rPr>
            </w:pPr>
            <w:r w:rsidRPr="00B61F99">
              <w:rPr>
                <w:rFonts w:ascii="Arial Narrow" w:hAnsi="Arial Narrow" w:cs="Arial"/>
                <w:sz w:val="24"/>
                <w:szCs w:val="24"/>
              </w:rPr>
              <w:t>APEC AD Meeting</w:t>
            </w:r>
          </w:p>
          <w:p w:rsidR="00AE395F" w:rsidRPr="00B61F99" w:rsidRDefault="00AE395F" w:rsidP="00E71D54">
            <w:pPr>
              <w:pStyle w:val="NoSpacing"/>
              <w:rPr>
                <w:rFonts w:ascii="Arial Narrow" w:hAnsi="Arial Narrow" w:cs="Arial"/>
                <w:sz w:val="24"/>
                <w:szCs w:val="24"/>
              </w:rPr>
            </w:pPr>
          </w:p>
        </w:tc>
        <w:tc>
          <w:tcPr>
            <w:tcW w:w="4950" w:type="dxa"/>
          </w:tcPr>
          <w:p w:rsidR="00AE395F" w:rsidRPr="00B61F99" w:rsidRDefault="00AE395F" w:rsidP="00E82A72">
            <w:pPr>
              <w:pStyle w:val="NoSpacing"/>
              <w:rPr>
                <w:rFonts w:ascii="Arial Narrow" w:hAnsi="Arial Narrow" w:cs="Arial"/>
                <w:sz w:val="24"/>
                <w:szCs w:val="24"/>
              </w:rPr>
            </w:pPr>
            <w:r w:rsidRPr="00B61F99">
              <w:rPr>
                <w:rFonts w:ascii="Arial Narrow" w:hAnsi="Arial Narrow" w:cs="Arial"/>
                <w:sz w:val="24"/>
                <w:szCs w:val="24"/>
              </w:rPr>
              <w:t xml:space="preserve">The AD is held biannually, when possible. The meeting is scheduled to be held in Singapore, following Item 4.2.4 of the AD Terms of Reference (TOR). </w:t>
            </w:r>
          </w:p>
        </w:tc>
        <w:tc>
          <w:tcPr>
            <w:tcW w:w="1620" w:type="dxa"/>
          </w:tcPr>
          <w:p w:rsidR="00AE395F" w:rsidRPr="00B61F99" w:rsidRDefault="00AE395F" w:rsidP="00E71D54">
            <w:pPr>
              <w:pStyle w:val="NoSpacing"/>
              <w:rPr>
                <w:rFonts w:ascii="Arial Narrow" w:hAnsi="Arial Narrow" w:cs="Arial"/>
                <w:sz w:val="24"/>
                <w:szCs w:val="24"/>
              </w:rPr>
            </w:pPr>
          </w:p>
        </w:tc>
        <w:tc>
          <w:tcPr>
            <w:tcW w:w="1800" w:type="dxa"/>
          </w:tcPr>
          <w:p w:rsidR="00AE395F" w:rsidRPr="00B61F99" w:rsidRDefault="00AE395F" w:rsidP="00E71D54">
            <w:pPr>
              <w:pStyle w:val="NoSpacing"/>
              <w:rPr>
                <w:rFonts w:ascii="Arial Narrow" w:hAnsi="Arial Narrow" w:cs="Arial"/>
                <w:sz w:val="24"/>
                <w:szCs w:val="24"/>
              </w:rPr>
            </w:pPr>
            <w:r w:rsidRPr="00B61F99">
              <w:rPr>
                <w:rFonts w:ascii="Arial Narrow" w:hAnsi="Arial Narrow" w:cs="Arial"/>
                <w:sz w:val="24"/>
                <w:szCs w:val="24"/>
              </w:rPr>
              <w:t>24</w:t>
            </w:r>
            <w:r w:rsidRPr="00B61F99">
              <w:rPr>
                <w:rFonts w:ascii="Arial Narrow" w:hAnsi="Arial Narrow" w:cs="Arial"/>
                <w:sz w:val="24"/>
                <w:szCs w:val="24"/>
                <w:vertAlign w:val="superscript"/>
              </w:rPr>
              <w:t>th</w:t>
            </w:r>
            <w:r w:rsidRPr="00B61F99">
              <w:rPr>
                <w:rFonts w:ascii="Arial Narrow" w:hAnsi="Arial Narrow" w:cs="Arial"/>
                <w:sz w:val="24"/>
                <w:szCs w:val="24"/>
              </w:rPr>
              <w:t>: 25-27 May</w:t>
            </w:r>
          </w:p>
          <w:p w:rsidR="00AE395F" w:rsidRPr="00B61F99" w:rsidRDefault="00AE395F" w:rsidP="00587C73">
            <w:pPr>
              <w:pStyle w:val="NoSpacing"/>
              <w:rPr>
                <w:rFonts w:ascii="Arial Narrow" w:hAnsi="Arial Narrow" w:cs="Arial"/>
                <w:sz w:val="24"/>
                <w:szCs w:val="24"/>
              </w:rPr>
            </w:pPr>
          </w:p>
          <w:p w:rsidR="00AE395F" w:rsidRPr="00B61F99" w:rsidRDefault="00AE395F" w:rsidP="00587C73">
            <w:pPr>
              <w:pStyle w:val="NoSpacing"/>
              <w:rPr>
                <w:rFonts w:ascii="Arial Narrow" w:hAnsi="Arial Narrow" w:cs="Arial"/>
                <w:sz w:val="24"/>
                <w:szCs w:val="24"/>
              </w:rPr>
            </w:pPr>
            <w:r w:rsidRPr="00B61F99">
              <w:rPr>
                <w:rFonts w:ascii="Arial Narrow" w:hAnsi="Arial Narrow" w:cs="Arial"/>
                <w:sz w:val="24"/>
                <w:szCs w:val="24"/>
              </w:rPr>
              <w:t>25</w:t>
            </w:r>
            <w:r w:rsidRPr="00B61F99">
              <w:rPr>
                <w:rFonts w:ascii="Arial Narrow" w:hAnsi="Arial Narrow" w:cs="Arial"/>
                <w:sz w:val="24"/>
                <w:szCs w:val="24"/>
                <w:vertAlign w:val="superscript"/>
              </w:rPr>
              <w:t>th</w:t>
            </w:r>
            <w:r w:rsidRPr="00B61F99">
              <w:rPr>
                <w:rFonts w:ascii="Arial Narrow" w:hAnsi="Arial Narrow" w:cs="Arial"/>
                <w:sz w:val="24"/>
                <w:szCs w:val="24"/>
              </w:rPr>
              <w:t xml:space="preserve">: 19-21 September  (TBC) </w:t>
            </w:r>
          </w:p>
        </w:tc>
        <w:tc>
          <w:tcPr>
            <w:tcW w:w="1620" w:type="dxa"/>
          </w:tcPr>
          <w:p w:rsidR="00AE395F" w:rsidRPr="00B61F99" w:rsidRDefault="00AE395F" w:rsidP="00E71D54">
            <w:pPr>
              <w:pStyle w:val="NoSpacing"/>
              <w:rPr>
                <w:rFonts w:ascii="Arial Narrow" w:hAnsi="Arial Narrow" w:cs="Arial"/>
                <w:sz w:val="24"/>
                <w:szCs w:val="24"/>
              </w:rPr>
            </w:pPr>
            <w:r w:rsidRPr="00B61F99">
              <w:rPr>
                <w:rFonts w:ascii="Arial Narrow" w:hAnsi="Arial Narrow" w:cs="Arial"/>
                <w:sz w:val="24"/>
                <w:szCs w:val="24"/>
              </w:rPr>
              <w:t>To be confirmed with Vietnam</w:t>
            </w:r>
          </w:p>
        </w:tc>
        <w:tc>
          <w:tcPr>
            <w:tcW w:w="2187" w:type="dxa"/>
          </w:tcPr>
          <w:p w:rsidR="00AE395F" w:rsidRPr="00B61F99" w:rsidRDefault="00AE395F" w:rsidP="00E71D54">
            <w:pPr>
              <w:pStyle w:val="NoSpacing"/>
              <w:rPr>
                <w:rFonts w:ascii="Arial Narrow" w:hAnsi="Arial Narrow" w:cs="Arial"/>
                <w:sz w:val="24"/>
                <w:szCs w:val="24"/>
              </w:rPr>
            </w:pPr>
            <w:r w:rsidRPr="00B61F99">
              <w:rPr>
                <w:rFonts w:ascii="Arial Narrow" w:hAnsi="Arial Narrow" w:cs="Arial"/>
                <w:sz w:val="24"/>
                <w:szCs w:val="24"/>
              </w:rPr>
              <w:t>Done</w:t>
            </w:r>
          </w:p>
        </w:tc>
      </w:tr>
      <w:tr w:rsidR="00AE395F" w:rsidRPr="00B61F99" w:rsidTr="009E7FD0">
        <w:tc>
          <w:tcPr>
            <w:tcW w:w="341" w:type="dxa"/>
          </w:tcPr>
          <w:p w:rsidR="00AE395F" w:rsidRPr="00B61F99" w:rsidRDefault="00AE395F" w:rsidP="00E71D54">
            <w:pPr>
              <w:pStyle w:val="NoSpacing"/>
              <w:rPr>
                <w:rFonts w:ascii="Arial Narrow" w:hAnsi="Arial Narrow" w:cs="Arial"/>
                <w:sz w:val="24"/>
                <w:szCs w:val="24"/>
              </w:rPr>
            </w:pPr>
            <w:r w:rsidRPr="00B61F99">
              <w:rPr>
                <w:rFonts w:ascii="Arial Narrow" w:hAnsi="Arial Narrow" w:cs="Arial"/>
                <w:sz w:val="24"/>
                <w:szCs w:val="24"/>
              </w:rPr>
              <w:t>2</w:t>
            </w:r>
          </w:p>
        </w:tc>
        <w:tc>
          <w:tcPr>
            <w:tcW w:w="2089" w:type="dxa"/>
          </w:tcPr>
          <w:p w:rsidR="00AE395F" w:rsidRPr="00B61F99" w:rsidRDefault="00AE395F" w:rsidP="00E71D54">
            <w:pPr>
              <w:pStyle w:val="NoSpacing"/>
              <w:rPr>
                <w:rFonts w:ascii="Arial Narrow" w:hAnsi="Arial Narrow" w:cs="Arial"/>
                <w:sz w:val="24"/>
                <w:szCs w:val="24"/>
              </w:rPr>
            </w:pPr>
            <w:r w:rsidRPr="00B61F99">
              <w:rPr>
                <w:rFonts w:ascii="Arial Narrow" w:hAnsi="Arial Narrow" w:cs="Arial"/>
                <w:sz w:val="24"/>
                <w:szCs w:val="24"/>
              </w:rPr>
              <w:t>APEC AD Workshop</w:t>
            </w:r>
          </w:p>
        </w:tc>
        <w:tc>
          <w:tcPr>
            <w:tcW w:w="4950" w:type="dxa"/>
          </w:tcPr>
          <w:p w:rsidR="00AE395F" w:rsidRPr="00B61F99" w:rsidRDefault="00AE395F" w:rsidP="00867EBB">
            <w:pPr>
              <w:pStyle w:val="NoSpacing"/>
              <w:rPr>
                <w:rFonts w:ascii="Arial Narrow" w:hAnsi="Arial Narrow" w:cs="Arial"/>
                <w:sz w:val="24"/>
                <w:szCs w:val="24"/>
              </w:rPr>
            </w:pPr>
            <w:r w:rsidRPr="00B61F99">
              <w:rPr>
                <w:rFonts w:ascii="Arial Narrow" w:hAnsi="Arial Narrow" w:cs="Arial"/>
                <w:sz w:val="24"/>
                <w:szCs w:val="24"/>
              </w:rPr>
              <w:t xml:space="preserve">The AD holds workshops designed within the AD meetings to engage member economies in cooperative efforts to foster the growth and development of the regional auto industry. </w:t>
            </w:r>
          </w:p>
          <w:p w:rsidR="00AE395F" w:rsidRPr="00B61F99" w:rsidRDefault="00AE395F" w:rsidP="00867EBB">
            <w:pPr>
              <w:pStyle w:val="NoSpacing"/>
              <w:rPr>
                <w:rFonts w:ascii="Arial Narrow" w:hAnsi="Arial Narrow" w:cs="Arial"/>
                <w:sz w:val="24"/>
                <w:szCs w:val="24"/>
              </w:rPr>
            </w:pPr>
          </w:p>
          <w:p w:rsidR="00AE395F" w:rsidRPr="00B61F99" w:rsidRDefault="00AE395F" w:rsidP="00867EBB">
            <w:pPr>
              <w:pStyle w:val="NoSpacing"/>
              <w:rPr>
                <w:rFonts w:ascii="Arial Narrow" w:hAnsi="Arial Narrow" w:cs="Arial"/>
                <w:sz w:val="24"/>
                <w:szCs w:val="24"/>
              </w:rPr>
            </w:pPr>
            <w:r w:rsidRPr="00B61F99">
              <w:rPr>
                <w:rFonts w:ascii="Arial Narrow" w:hAnsi="Arial Narrow" w:cs="Arial"/>
                <w:sz w:val="24"/>
                <w:szCs w:val="24"/>
              </w:rPr>
              <w:t xml:space="preserve">For 2016, the AD proposes the continuation of the 2015 APEC AD efforts of fostering integration of auto SMEs into the global value chains. </w:t>
            </w:r>
          </w:p>
        </w:tc>
        <w:tc>
          <w:tcPr>
            <w:tcW w:w="1620" w:type="dxa"/>
          </w:tcPr>
          <w:p w:rsidR="00AE395F" w:rsidRPr="00B61F99" w:rsidRDefault="00AE395F" w:rsidP="00867EBB">
            <w:pPr>
              <w:pStyle w:val="NoSpacing"/>
              <w:rPr>
                <w:rFonts w:ascii="Arial Narrow" w:hAnsi="Arial Narrow" w:cs="Arial"/>
                <w:sz w:val="24"/>
                <w:szCs w:val="24"/>
              </w:rPr>
            </w:pPr>
          </w:p>
        </w:tc>
        <w:tc>
          <w:tcPr>
            <w:tcW w:w="1800" w:type="dxa"/>
          </w:tcPr>
          <w:p w:rsidR="00AE395F" w:rsidRPr="00B61F99" w:rsidRDefault="00AE395F" w:rsidP="00867EBB">
            <w:pPr>
              <w:pStyle w:val="NoSpacing"/>
              <w:rPr>
                <w:rFonts w:ascii="Arial Narrow" w:hAnsi="Arial Narrow" w:cs="Arial"/>
                <w:sz w:val="24"/>
                <w:szCs w:val="24"/>
              </w:rPr>
            </w:pPr>
            <w:r w:rsidRPr="00B61F99">
              <w:rPr>
                <w:rFonts w:ascii="Arial Narrow" w:hAnsi="Arial Narrow" w:cs="Arial"/>
                <w:sz w:val="24"/>
                <w:szCs w:val="24"/>
              </w:rPr>
              <w:t>25</w:t>
            </w:r>
            <w:r w:rsidRPr="00B61F99">
              <w:rPr>
                <w:rFonts w:ascii="Arial Narrow" w:hAnsi="Arial Narrow" w:cs="Arial"/>
                <w:sz w:val="24"/>
                <w:szCs w:val="24"/>
                <w:vertAlign w:val="superscript"/>
              </w:rPr>
              <w:t>th</w:t>
            </w:r>
            <w:r w:rsidRPr="00B61F99">
              <w:rPr>
                <w:rFonts w:ascii="Arial Narrow" w:hAnsi="Arial Narrow" w:cs="Arial"/>
                <w:sz w:val="24"/>
                <w:szCs w:val="24"/>
              </w:rPr>
              <w:t>: 19-21 September  (TBC)</w:t>
            </w:r>
          </w:p>
        </w:tc>
        <w:tc>
          <w:tcPr>
            <w:tcW w:w="1620" w:type="dxa"/>
          </w:tcPr>
          <w:p w:rsidR="00AE395F" w:rsidRPr="00B61F99" w:rsidRDefault="00AE395F" w:rsidP="00867EBB">
            <w:pPr>
              <w:pStyle w:val="NoSpacing"/>
              <w:rPr>
                <w:rFonts w:ascii="Arial Narrow" w:hAnsi="Arial Narrow" w:cs="Arial"/>
                <w:sz w:val="24"/>
                <w:szCs w:val="24"/>
              </w:rPr>
            </w:pPr>
            <w:r w:rsidRPr="00B61F99">
              <w:rPr>
                <w:rFonts w:ascii="Arial Narrow" w:hAnsi="Arial Narrow" w:cs="Arial"/>
                <w:sz w:val="24"/>
                <w:szCs w:val="24"/>
              </w:rPr>
              <w:t>To be confirmed with Vietnam</w:t>
            </w:r>
          </w:p>
        </w:tc>
        <w:tc>
          <w:tcPr>
            <w:tcW w:w="2187" w:type="dxa"/>
          </w:tcPr>
          <w:p w:rsidR="00AE395F" w:rsidRPr="00B61F99" w:rsidRDefault="000B18BB" w:rsidP="00867EBB">
            <w:pPr>
              <w:pStyle w:val="NoSpacing"/>
              <w:rPr>
                <w:rFonts w:ascii="Arial Narrow" w:hAnsi="Arial Narrow" w:cs="Arial"/>
                <w:sz w:val="24"/>
                <w:szCs w:val="24"/>
              </w:rPr>
            </w:pPr>
            <w:r w:rsidRPr="00B61F99">
              <w:rPr>
                <w:rFonts w:ascii="Arial Narrow" w:hAnsi="Arial Narrow" w:cs="Arial"/>
                <w:sz w:val="24"/>
                <w:szCs w:val="24"/>
              </w:rPr>
              <w:t>To be organized within AD 25</w:t>
            </w:r>
          </w:p>
        </w:tc>
      </w:tr>
    </w:tbl>
    <w:p w:rsidR="00B61F99" w:rsidRDefault="00B61F99">
      <w:r>
        <w:br w:type="page"/>
      </w:r>
    </w:p>
    <w:tbl>
      <w:tblPr>
        <w:tblStyle w:val="TableGrid"/>
        <w:tblW w:w="14607" w:type="dxa"/>
        <w:tblInd w:w="198" w:type="dxa"/>
        <w:tblLayout w:type="fixed"/>
        <w:tblLook w:val="04A0" w:firstRow="1" w:lastRow="0" w:firstColumn="1" w:lastColumn="0" w:noHBand="0" w:noVBand="1"/>
      </w:tblPr>
      <w:tblGrid>
        <w:gridCol w:w="341"/>
        <w:gridCol w:w="2089"/>
        <w:gridCol w:w="4950"/>
        <w:gridCol w:w="1620"/>
        <w:gridCol w:w="1800"/>
        <w:gridCol w:w="1620"/>
        <w:gridCol w:w="2187"/>
      </w:tblGrid>
      <w:tr w:rsidR="00AE395F" w:rsidRPr="00B61F99" w:rsidTr="009E7FD0">
        <w:tc>
          <w:tcPr>
            <w:tcW w:w="341" w:type="dxa"/>
          </w:tcPr>
          <w:p w:rsidR="00AE395F" w:rsidRPr="00B61F99" w:rsidRDefault="00AE395F" w:rsidP="00E71D54">
            <w:pPr>
              <w:pStyle w:val="NoSpacing"/>
              <w:rPr>
                <w:rFonts w:ascii="Arial Narrow" w:hAnsi="Arial Narrow" w:cs="Arial"/>
                <w:sz w:val="24"/>
                <w:szCs w:val="24"/>
              </w:rPr>
            </w:pPr>
            <w:r w:rsidRPr="00B61F99">
              <w:rPr>
                <w:rFonts w:ascii="Arial Narrow" w:hAnsi="Arial Narrow" w:cs="Arial"/>
                <w:sz w:val="24"/>
                <w:szCs w:val="24"/>
              </w:rPr>
              <w:lastRenderedPageBreak/>
              <w:t>3</w:t>
            </w:r>
          </w:p>
        </w:tc>
        <w:tc>
          <w:tcPr>
            <w:tcW w:w="2089" w:type="dxa"/>
          </w:tcPr>
          <w:p w:rsidR="00AE395F" w:rsidRPr="00B61F99" w:rsidRDefault="00AE395F" w:rsidP="00411ACC">
            <w:pPr>
              <w:pStyle w:val="NoSpacing"/>
              <w:rPr>
                <w:rFonts w:ascii="Arial Narrow" w:hAnsi="Arial Narrow" w:cs="Arial"/>
                <w:sz w:val="24"/>
                <w:szCs w:val="24"/>
              </w:rPr>
            </w:pPr>
            <w:r w:rsidRPr="00B61F99">
              <w:rPr>
                <w:rFonts w:ascii="Arial Narrow" w:hAnsi="Arial Narrow" w:cs="Arial"/>
                <w:sz w:val="24"/>
                <w:szCs w:val="24"/>
              </w:rPr>
              <w:t>GSAS Follow Through Activity*</w:t>
            </w:r>
          </w:p>
          <w:p w:rsidR="00AE395F" w:rsidRPr="00B61F99" w:rsidRDefault="00AE395F" w:rsidP="00411ACC">
            <w:pPr>
              <w:pStyle w:val="NoSpacing"/>
              <w:rPr>
                <w:rFonts w:ascii="Arial Narrow" w:hAnsi="Arial Narrow" w:cs="Arial"/>
                <w:sz w:val="24"/>
                <w:szCs w:val="24"/>
              </w:rPr>
            </w:pPr>
            <w:r w:rsidRPr="00B61F99">
              <w:rPr>
                <w:rFonts w:ascii="Arial Narrow" w:hAnsi="Arial Narrow" w:cs="Arial"/>
                <w:sz w:val="24"/>
                <w:szCs w:val="24"/>
              </w:rPr>
              <w:t>-Development capacity building action plan for SMEs</w:t>
            </w:r>
          </w:p>
        </w:tc>
        <w:tc>
          <w:tcPr>
            <w:tcW w:w="4950" w:type="dxa"/>
          </w:tcPr>
          <w:p w:rsidR="00AE395F" w:rsidRPr="00B61F99" w:rsidRDefault="00AE395F" w:rsidP="00D65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The Malaysian-led GVC/SME Automotive Sector (GSAS) Survey Project, was conducted last 2015, with the survey circulated among Economies within APEC Region from the period of April till June 2015. The project aimed to identify specific challenges faced by SMEs in integrating into global value chain and provide recommendations to overcome the challenges.</w:t>
            </w:r>
          </w:p>
          <w:p w:rsidR="00AE395F" w:rsidRPr="00B61F99" w:rsidRDefault="00AE395F" w:rsidP="00D65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p>
          <w:p w:rsidR="00AE395F" w:rsidRPr="00B61F99" w:rsidRDefault="00AE395F" w:rsidP="00D65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 xml:space="preserve">The survey identified that most of SMEs in the region (higher than 50%) faced various Tariff Barrier (TB) and Non-Tariff Barriers (NTB) including as Standards, Regulations, and Product Labelling, which participation in the global value chain difficult. </w:t>
            </w:r>
          </w:p>
          <w:p w:rsidR="00AE395F" w:rsidRPr="00B61F99" w:rsidRDefault="00AE395F" w:rsidP="00D65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p>
          <w:p w:rsidR="00AE395F" w:rsidRPr="00B61F99" w:rsidRDefault="00AE395F" w:rsidP="00D65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The project recommended that apart from coming out with complete report on the list of NTBs and their solutions, a capacity building activity be carried out to enhance the capability of SMEs in the APEC region to integrate into global value chain through APEC’s Regional Automotive Supplier Excellence Program, to be led by Malaysia. The program will be looking at enhancing the fundamental capabilities of SMEs including Process, Management, Cost, Marketing etc.</w:t>
            </w:r>
          </w:p>
          <w:p w:rsidR="00AE395F" w:rsidRPr="00B61F99" w:rsidRDefault="00AE395F" w:rsidP="00E71D54">
            <w:pPr>
              <w:pStyle w:val="NoSpacing"/>
              <w:rPr>
                <w:rFonts w:ascii="Arial Narrow" w:hAnsi="Arial Narrow" w:cs="Arial"/>
                <w:sz w:val="24"/>
                <w:szCs w:val="24"/>
              </w:rPr>
            </w:pPr>
          </w:p>
        </w:tc>
        <w:tc>
          <w:tcPr>
            <w:tcW w:w="1620" w:type="dxa"/>
          </w:tcPr>
          <w:p w:rsidR="00AE395F" w:rsidRPr="00B61F99" w:rsidRDefault="00AE395F" w:rsidP="003F61AE">
            <w:pPr>
              <w:pStyle w:val="NoSpacing"/>
              <w:rPr>
                <w:rFonts w:ascii="Arial Narrow" w:hAnsi="Arial Narrow" w:cs="Arial"/>
                <w:sz w:val="24"/>
                <w:szCs w:val="24"/>
              </w:rPr>
            </w:pPr>
            <w:r w:rsidRPr="00B61F99">
              <w:rPr>
                <w:rFonts w:ascii="Arial Narrow" w:hAnsi="Arial Narrow" w:cs="Arial"/>
                <w:sz w:val="24"/>
                <w:szCs w:val="24"/>
              </w:rPr>
              <w:t>Malaysia and Philippines</w:t>
            </w:r>
          </w:p>
        </w:tc>
        <w:tc>
          <w:tcPr>
            <w:tcW w:w="1800" w:type="dxa"/>
          </w:tcPr>
          <w:p w:rsidR="00AE395F" w:rsidRPr="00B61F99" w:rsidRDefault="00AE395F" w:rsidP="009A204D">
            <w:pPr>
              <w:pStyle w:val="NoSpacing"/>
              <w:rPr>
                <w:rFonts w:ascii="Arial Narrow" w:hAnsi="Arial Narrow" w:cs="Arial"/>
                <w:sz w:val="24"/>
                <w:szCs w:val="24"/>
              </w:rPr>
            </w:pPr>
            <w:r w:rsidRPr="00B61F99">
              <w:rPr>
                <w:rFonts w:ascii="Arial Narrow" w:hAnsi="Arial Narrow" w:cs="Arial"/>
                <w:sz w:val="24"/>
                <w:szCs w:val="24"/>
              </w:rPr>
              <w:t xml:space="preserve">Approval of Concept Note at CTI and AD levels: </w:t>
            </w:r>
            <w:r w:rsidRPr="00B61F99">
              <w:rPr>
                <w:rFonts w:ascii="Arial Narrow" w:hAnsi="Arial Narrow" w:cs="Arial"/>
                <w:sz w:val="24"/>
                <w:szCs w:val="24"/>
                <w:lang w:eastAsia="ko-KR"/>
              </w:rPr>
              <w:t>February-March</w:t>
            </w:r>
            <w:r w:rsidRPr="00B61F99">
              <w:rPr>
                <w:rFonts w:ascii="Arial Narrow" w:hAnsi="Arial Narrow" w:cs="Arial"/>
                <w:sz w:val="24"/>
                <w:szCs w:val="24"/>
              </w:rPr>
              <w:t xml:space="preserve"> </w:t>
            </w:r>
          </w:p>
          <w:p w:rsidR="004D0A88" w:rsidRPr="00B61F99" w:rsidRDefault="004D0A88" w:rsidP="009A204D">
            <w:pPr>
              <w:pStyle w:val="NoSpacing"/>
              <w:rPr>
                <w:rFonts w:ascii="Arial Narrow" w:hAnsi="Arial Narrow" w:cs="Arial"/>
                <w:sz w:val="24"/>
                <w:szCs w:val="24"/>
              </w:rPr>
            </w:pPr>
          </w:p>
          <w:p w:rsidR="00AE395F" w:rsidRPr="00B61F99" w:rsidRDefault="00AE395F" w:rsidP="009A204D">
            <w:pPr>
              <w:pStyle w:val="NoSpacing"/>
              <w:rPr>
                <w:rFonts w:ascii="Arial Narrow" w:eastAsia="Arial" w:hAnsi="Arial Narrow" w:cs="Arial"/>
                <w:sz w:val="24"/>
                <w:szCs w:val="24"/>
              </w:rPr>
            </w:pPr>
            <w:r w:rsidRPr="00B61F99">
              <w:rPr>
                <w:rFonts w:ascii="Arial Narrow" w:eastAsia="Arial" w:hAnsi="Arial Narrow" w:cs="Arial"/>
                <w:sz w:val="24"/>
                <w:szCs w:val="24"/>
              </w:rPr>
              <w:t>Project Proposal stage and preparation for the workshop: March-May</w:t>
            </w:r>
          </w:p>
          <w:p w:rsidR="00AE395F" w:rsidRPr="00B61F99" w:rsidRDefault="00AE395F" w:rsidP="009A204D">
            <w:pPr>
              <w:pStyle w:val="NoSpacing"/>
              <w:rPr>
                <w:rFonts w:ascii="Arial Narrow" w:eastAsia="Arial" w:hAnsi="Arial Narrow" w:cs="Arial"/>
                <w:sz w:val="24"/>
                <w:szCs w:val="24"/>
              </w:rPr>
            </w:pPr>
          </w:p>
          <w:p w:rsidR="00AE395F" w:rsidRPr="00B61F99" w:rsidRDefault="00AE395F" w:rsidP="009A204D">
            <w:pPr>
              <w:pStyle w:val="NoSpacing"/>
              <w:rPr>
                <w:rFonts w:ascii="Arial Narrow" w:eastAsia="Arial" w:hAnsi="Arial Narrow" w:cs="Arial"/>
                <w:sz w:val="24"/>
                <w:szCs w:val="24"/>
              </w:rPr>
            </w:pPr>
            <w:r w:rsidRPr="00B61F99">
              <w:rPr>
                <w:rFonts w:ascii="Arial Narrow" w:eastAsia="Arial" w:hAnsi="Arial Narrow" w:cs="Arial"/>
                <w:sz w:val="24"/>
                <w:szCs w:val="24"/>
              </w:rPr>
              <w:t>Organizing the workshop in Kuala Lumpur back-to-back with AD2, 2016 meeting: 19-21 September (TBC)</w:t>
            </w:r>
          </w:p>
          <w:p w:rsidR="00AE395F" w:rsidRPr="00B61F99" w:rsidRDefault="00AE395F" w:rsidP="009A204D">
            <w:pPr>
              <w:pStyle w:val="NoSpacing"/>
              <w:rPr>
                <w:rFonts w:ascii="Arial Narrow" w:eastAsia="Arial" w:hAnsi="Arial Narrow" w:cs="Arial"/>
                <w:sz w:val="24"/>
                <w:szCs w:val="24"/>
              </w:rPr>
            </w:pPr>
          </w:p>
          <w:p w:rsidR="00AE395F" w:rsidRPr="00B61F99" w:rsidRDefault="00AE395F" w:rsidP="009A204D">
            <w:pPr>
              <w:pStyle w:val="NoSpacing"/>
              <w:rPr>
                <w:rFonts w:ascii="Arial Narrow" w:eastAsia="Arial" w:hAnsi="Arial Narrow" w:cs="Arial"/>
                <w:sz w:val="24"/>
                <w:szCs w:val="24"/>
              </w:rPr>
            </w:pPr>
            <w:r w:rsidRPr="00B61F99">
              <w:rPr>
                <w:rFonts w:ascii="Arial Narrow" w:eastAsia="Arial" w:hAnsi="Arial Narrow" w:cs="Arial"/>
                <w:sz w:val="24"/>
                <w:szCs w:val="24"/>
              </w:rPr>
              <w:t xml:space="preserve">Reporting of the workshop outcomes to CTI3: August </w:t>
            </w:r>
          </w:p>
          <w:p w:rsidR="00AE395F" w:rsidRPr="00B61F99" w:rsidRDefault="00AE395F" w:rsidP="009A204D">
            <w:pPr>
              <w:pStyle w:val="NoSpacing"/>
              <w:rPr>
                <w:rFonts w:ascii="Arial Narrow" w:hAnsi="Arial Narrow" w:cs="Arial"/>
                <w:sz w:val="24"/>
                <w:szCs w:val="24"/>
              </w:rPr>
            </w:pPr>
          </w:p>
          <w:p w:rsidR="00AE395F" w:rsidRPr="00B61F99" w:rsidRDefault="00AE395F" w:rsidP="009A204D">
            <w:pPr>
              <w:pStyle w:val="NoSpacing"/>
              <w:rPr>
                <w:rFonts w:ascii="Arial Narrow" w:hAnsi="Arial Narrow" w:cs="Arial"/>
                <w:sz w:val="24"/>
                <w:szCs w:val="24"/>
              </w:rPr>
            </w:pPr>
            <w:r w:rsidRPr="00B61F99">
              <w:rPr>
                <w:rFonts w:ascii="Arial Narrow" w:eastAsiaTheme="minorEastAsia" w:hAnsi="Arial Narrow" w:cs="Arial"/>
                <w:sz w:val="24"/>
                <w:szCs w:val="24"/>
                <w:lang w:eastAsia="ko-KR"/>
              </w:rPr>
              <w:t>Updating the progress to SOM and seeking endorsement from Leaders and Ministers: November</w:t>
            </w:r>
          </w:p>
        </w:tc>
        <w:tc>
          <w:tcPr>
            <w:tcW w:w="1620" w:type="dxa"/>
          </w:tcPr>
          <w:p w:rsidR="00AE395F" w:rsidRPr="00B61F99" w:rsidRDefault="00AE395F" w:rsidP="003F61AE">
            <w:pPr>
              <w:pStyle w:val="NoSpacing"/>
              <w:rPr>
                <w:rFonts w:ascii="Arial Narrow" w:hAnsi="Arial Narrow" w:cs="Arial"/>
                <w:sz w:val="24"/>
                <w:szCs w:val="24"/>
              </w:rPr>
            </w:pPr>
            <w:r w:rsidRPr="00B61F99">
              <w:rPr>
                <w:rFonts w:ascii="Arial Narrow" w:hAnsi="Arial Narrow" w:cs="Arial"/>
                <w:sz w:val="24"/>
                <w:szCs w:val="24"/>
              </w:rPr>
              <w:t>Identification and selection of SMEs to Participate in RASEP: TBC</w:t>
            </w:r>
          </w:p>
          <w:p w:rsidR="00AE395F" w:rsidRPr="00B61F99" w:rsidRDefault="00AE395F" w:rsidP="003F61AE">
            <w:pPr>
              <w:pStyle w:val="NoSpacing"/>
              <w:rPr>
                <w:rFonts w:ascii="Arial Narrow" w:hAnsi="Arial Narrow" w:cs="Arial"/>
                <w:sz w:val="24"/>
                <w:szCs w:val="24"/>
              </w:rPr>
            </w:pPr>
          </w:p>
          <w:p w:rsidR="00AE395F" w:rsidRPr="00B61F99" w:rsidRDefault="00AE395F" w:rsidP="003F61AE">
            <w:pPr>
              <w:pStyle w:val="NoSpacing"/>
              <w:rPr>
                <w:rFonts w:ascii="Arial Narrow" w:hAnsi="Arial Narrow" w:cs="Arial"/>
                <w:sz w:val="24"/>
                <w:szCs w:val="24"/>
              </w:rPr>
            </w:pPr>
            <w:r w:rsidRPr="00B61F99">
              <w:rPr>
                <w:rFonts w:ascii="Arial Narrow" w:hAnsi="Arial Narrow" w:cs="Arial"/>
                <w:sz w:val="24"/>
                <w:szCs w:val="24"/>
              </w:rPr>
              <w:t>Implement tailored TACB for Auto SMEs to Address Issues Identified by the RASEP Assessment: TBC</w:t>
            </w:r>
          </w:p>
        </w:tc>
        <w:tc>
          <w:tcPr>
            <w:tcW w:w="2187" w:type="dxa"/>
          </w:tcPr>
          <w:p w:rsidR="00AE395F" w:rsidRPr="00B61F99" w:rsidRDefault="004D0A88" w:rsidP="003F61AE">
            <w:pPr>
              <w:pStyle w:val="NoSpacing"/>
              <w:rPr>
                <w:rFonts w:ascii="Arial Narrow" w:hAnsi="Arial Narrow" w:cs="Arial"/>
                <w:sz w:val="24"/>
                <w:szCs w:val="24"/>
              </w:rPr>
            </w:pPr>
            <w:r w:rsidRPr="00B61F99">
              <w:rPr>
                <w:rFonts w:ascii="Arial Narrow" w:hAnsi="Arial Narrow" w:cs="Arial"/>
                <w:sz w:val="24"/>
                <w:szCs w:val="24"/>
              </w:rPr>
              <w:t>Project was not endorsed at CTI 1. To be endorsed by AD in time for Project Session 2 in 2016</w:t>
            </w:r>
          </w:p>
          <w:p w:rsidR="004D0A88" w:rsidRPr="00B61F99" w:rsidRDefault="004D0A88" w:rsidP="003F61AE">
            <w:pPr>
              <w:pStyle w:val="NoSpacing"/>
              <w:rPr>
                <w:rFonts w:ascii="Arial Narrow" w:hAnsi="Arial Narrow" w:cs="Arial"/>
                <w:sz w:val="24"/>
                <w:szCs w:val="24"/>
              </w:rPr>
            </w:pPr>
          </w:p>
          <w:p w:rsidR="004D0A88" w:rsidRPr="00B61F99" w:rsidRDefault="004D0A88" w:rsidP="003F61AE">
            <w:pPr>
              <w:pStyle w:val="NoSpacing"/>
              <w:rPr>
                <w:rFonts w:ascii="Arial Narrow" w:hAnsi="Arial Narrow" w:cs="Arial"/>
                <w:sz w:val="24"/>
                <w:szCs w:val="24"/>
              </w:rPr>
            </w:pPr>
          </w:p>
          <w:p w:rsidR="004D0A88" w:rsidRPr="00B61F99" w:rsidRDefault="004D0A88" w:rsidP="003F61AE">
            <w:pPr>
              <w:pStyle w:val="NoSpacing"/>
              <w:rPr>
                <w:rFonts w:ascii="Arial Narrow" w:hAnsi="Arial Narrow" w:cs="Arial"/>
                <w:sz w:val="24"/>
                <w:szCs w:val="24"/>
              </w:rPr>
            </w:pPr>
          </w:p>
          <w:p w:rsidR="004D0A88" w:rsidRPr="00B61F99" w:rsidRDefault="004D0A88" w:rsidP="003F61AE">
            <w:pPr>
              <w:pStyle w:val="NoSpacing"/>
              <w:rPr>
                <w:rFonts w:ascii="Arial Narrow" w:hAnsi="Arial Narrow" w:cs="Arial"/>
                <w:sz w:val="24"/>
                <w:szCs w:val="24"/>
              </w:rPr>
            </w:pPr>
          </w:p>
          <w:p w:rsidR="004D0A88" w:rsidRPr="00B61F99" w:rsidRDefault="004D0A88" w:rsidP="003F61AE">
            <w:pPr>
              <w:pStyle w:val="NoSpacing"/>
              <w:rPr>
                <w:rFonts w:ascii="Arial Narrow" w:hAnsi="Arial Narrow" w:cs="Arial"/>
                <w:sz w:val="24"/>
                <w:szCs w:val="24"/>
              </w:rPr>
            </w:pPr>
          </w:p>
          <w:p w:rsidR="004D0A88" w:rsidRPr="00B61F99" w:rsidRDefault="004D0A88" w:rsidP="003F61AE">
            <w:pPr>
              <w:pStyle w:val="NoSpacing"/>
              <w:rPr>
                <w:rFonts w:ascii="Arial Narrow" w:hAnsi="Arial Narrow" w:cs="Arial"/>
                <w:sz w:val="24"/>
                <w:szCs w:val="24"/>
              </w:rPr>
            </w:pPr>
          </w:p>
          <w:p w:rsidR="004D0A88" w:rsidRPr="00B61F99" w:rsidRDefault="004D0A88" w:rsidP="003F61AE">
            <w:pPr>
              <w:pStyle w:val="NoSpacing"/>
              <w:rPr>
                <w:rFonts w:ascii="Arial Narrow" w:hAnsi="Arial Narrow" w:cs="Arial"/>
                <w:sz w:val="24"/>
                <w:szCs w:val="24"/>
              </w:rPr>
            </w:pPr>
          </w:p>
        </w:tc>
      </w:tr>
    </w:tbl>
    <w:p w:rsidR="00B61F99" w:rsidRDefault="00B61F99">
      <w:r>
        <w:br w:type="page"/>
      </w:r>
    </w:p>
    <w:tbl>
      <w:tblPr>
        <w:tblStyle w:val="TableGrid"/>
        <w:tblW w:w="14607" w:type="dxa"/>
        <w:tblInd w:w="198" w:type="dxa"/>
        <w:tblLayout w:type="fixed"/>
        <w:tblLook w:val="04A0" w:firstRow="1" w:lastRow="0" w:firstColumn="1" w:lastColumn="0" w:noHBand="0" w:noVBand="1"/>
      </w:tblPr>
      <w:tblGrid>
        <w:gridCol w:w="341"/>
        <w:gridCol w:w="2089"/>
        <w:gridCol w:w="4950"/>
        <w:gridCol w:w="1620"/>
        <w:gridCol w:w="1800"/>
        <w:gridCol w:w="1620"/>
        <w:gridCol w:w="2187"/>
      </w:tblGrid>
      <w:tr w:rsidR="00AE395F" w:rsidRPr="00B61F99" w:rsidTr="009E7FD0">
        <w:tc>
          <w:tcPr>
            <w:tcW w:w="341" w:type="dxa"/>
          </w:tcPr>
          <w:p w:rsidR="00AE395F" w:rsidRPr="00B61F99" w:rsidRDefault="00AE395F" w:rsidP="00E71D54">
            <w:pPr>
              <w:pStyle w:val="NoSpacing"/>
              <w:rPr>
                <w:rFonts w:ascii="Arial Narrow" w:hAnsi="Arial Narrow" w:cs="Arial"/>
                <w:sz w:val="24"/>
                <w:szCs w:val="24"/>
              </w:rPr>
            </w:pPr>
            <w:r w:rsidRPr="00B61F99">
              <w:rPr>
                <w:rFonts w:ascii="Arial Narrow" w:hAnsi="Arial Narrow" w:cs="Arial"/>
                <w:sz w:val="24"/>
                <w:szCs w:val="24"/>
              </w:rPr>
              <w:lastRenderedPageBreak/>
              <w:t>4</w:t>
            </w:r>
          </w:p>
        </w:tc>
        <w:tc>
          <w:tcPr>
            <w:tcW w:w="2089" w:type="dxa"/>
          </w:tcPr>
          <w:p w:rsidR="00AE395F" w:rsidRPr="00B61F99" w:rsidRDefault="00AE395F" w:rsidP="00411ACC">
            <w:pPr>
              <w:pStyle w:val="NoSpacing"/>
              <w:rPr>
                <w:rFonts w:ascii="Arial Narrow" w:hAnsi="Arial Narrow" w:cs="Arial"/>
                <w:sz w:val="24"/>
                <w:szCs w:val="24"/>
              </w:rPr>
            </w:pPr>
            <w:r w:rsidRPr="00B61F99">
              <w:rPr>
                <w:rFonts w:ascii="Arial Narrow" w:hAnsi="Arial Narrow" w:cs="Arial"/>
                <w:sz w:val="24"/>
                <w:szCs w:val="24"/>
              </w:rPr>
              <w:t>APEC Electric Vehicle (EV) Roadmap Workshops</w:t>
            </w:r>
          </w:p>
        </w:tc>
        <w:tc>
          <w:tcPr>
            <w:tcW w:w="4950" w:type="dxa"/>
          </w:tcPr>
          <w:p w:rsidR="00AE395F" w:rsidRPr="00B61F99" w:rsidRDefault="00AE395F" w:rsidP="00B61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As tasked by the CTI, the EV Roadmap was drafted in cooperation with the Energy Working Group and Transportation Working Group. The aim of this Roadmap is to facilitate the adoption and implementation of international standards pertaining to electric vehicles. The Roadmap is already for implementation, following the 11 points identified to adopt and implement international EV standa</w:t>
            </w:r>
            <w:bookmarkStart w:id="0" w:name="_GoBack"/>
            <w:bookmarkEnd w:id="0"/>
            <w:r w:rsidRPr="00B61F99">
              <w:rPr>
                <w:rFonts w:ascii="Arial Narrow" w:hAnsi="Arial Narrow" w:cs="Arial"/>
                <w:color w:val="000000"/>
                <w:szCs w:val="24"/>
                <w:lang w:eastAsia="en-SG"/>
              </w:rPr>
              <w:t>rd:</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1. Pursue technical coordination to support harmonized standards and regulatory approaches in the region for both electric vehicles and their parts, including interoperability between vehicles and their charging infrastructure</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2. Undertake further regulatory cooperation and communication activities in APEC</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3. Actively participate to the greatest extent possible in the UNECE WP.29 1998 Agreement process to promote the development of Global Technical Regulations on EVs</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4. Actively participate to the greatest extent possible in EV international standards development and harmonization efforts;</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5. Identify technical areas where alignment could be achieved to facilitate trade and investment and enable accelerated EV deployment;</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 xml:space="preserve">6. Work towards adoption of aligned approaches to electric vehicle charging and communications, </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7. Use international standards, where appropriate, as the basis for any new regulations pertaining to electric vehicles;</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8. Draft in coordination with industry a list of priority international standards for promoting widespread usage of electric vehicles in the region;</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9. Promote EV-specific first responder education and training efforts to ensure the safe and energy efficient operation of EVs;</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lastRenderedPageBreak/>
              <w:t>10. Promote established best practices for the proper collection of used batteries to deter proliferation of toxic and hazardous wastes in developing countries.</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 xml:space="preserve">11. Work to establish  an  APEC  EV Interoperability  and  Research  Center  in  cooperation  with  the established interoperability centers in the United States and Europe to further assist economies in promoting EV use, production,  and trade, and  to support greater global  collaboration and partnerships among governments, industries, international fora, and developers of international standards.  </w:t>
            </w: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p>
          <w:p w:rsidR="00AE395F" w:rsidRPr="00B61F99" w:rsidRDefault="00AE395F" w:rsidP="003732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 xml:space="preserve">As part of the Roadmap implementation, 4 workshops will be organized to address each of the APEC Actions and consolidate undertakings, capacity building, and next steps. The workshops shall be conducted from 2016 to 2017. </w:t>
            </w:r>
          </w:p>
          <w:p w:rsidR="00AE395F" w:rsidRPr="00B61F99" w:rsidRDefault="00AE395F" w:rsidP="00FE0B6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hAnsi="Arial Narrow" w:cs="Arial"/>
                <w:color w:val="000000"/>
                <w:szCs w:val="24"/>
                <w:lang w:eastAsia="en-SG"/>
              </w:rPr>
            </w:pPr>
            <w:r w:rsidRPr="00B61F99">
              <w:rPr>
                <w:rFonts w:ascii="Arial Narrow" w:hAnsi="Arial Narrow" w:cs="Arial"/>
                <w:color w:val="000000"/>
                <w:szCs w:val="24"/>
                <w:lang w:eastAsia="en-SG"/>
              </w:rPr>
              <w:t>Workshop 1 will discuss the background on EV operations in the APEC region</w:t>
            </w:r>
            <w:r w:rsidR="004D0A88" w:rsidRPr="00B61F99">
              <w:rPr>
                <w:rFonts w:ascii="Arial Narrow" w:hAnsi="Arial Narrow" w:cs="Arial"/>
                <w:color w:val="000000"/>
                <w:szCs w:val="24"/>
                <w:lang w:eastAsia="en-SG"/>
              </w:rPr>
              <w:t xml:space="preserve"> and </w:t>
            </w:r>
            <w:r w:rsidRPr="00B61F99">
              <w:rPr>
                <w:rFonts w:ascii="Arial Narrow" w:hAnsi="Arial Narrow" w:cs="Arial"/>
                <w:color w:val="000000"/>
                <w:szCs w:val="24"/>
                <w:lang w:eastAsia="en-SG"/>
              </w:rPr>
              <w:t>the on-going international efforts to create Global Technical Regulations on EVs, including an update on the UNECE WP 29 1998 Agreement</w:t>
            </w:r>
          </w:p>
          <w:p w:rsidR="00AE395F" w:rsidRPr="00B61F99" w:rsidRDefault="00AE395F" w:rsidP="00FE0B6E">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hAnsi="Arial Narrow" w:cs="Arial"/>
                <w:color w:val="000000"/>
                <w:szCs w:val="24"/>
                <w:lang w:eastAsia="en-SG"/>
              </w:rPr>
            </w:pPr>
            <w:r w:rsidRPr="00B61F99">
              <w:rPr>
                <w:rFonts w:ascii="Arial Narrow" w:hAnsi="Arial Narrow" w:cs="Arial"/>
                <w:color w:val="000000"/>
                <w:szCs w:val="24"/>
                <w:lang w:eastAsia="en-SG"/>
              </w:rPr>
              <w:t xml:space="preserve">Workshop </w:t>
            </w:r>
            <w:r w:rsidR="004D0A88" w:rsidRPr="00B61F99">
              <w:rPr>
                <w:rFonts w:ascii="Arial Narrow" w:hAnsi="Arial Narrow" w:cs="Arial"/>
                <w:color w:val="000000"/>
                <w:szCs w:val="24"/>
                <w:lang w:eastAsia="en-SG"/>
              </w:rPr>
              <w:t>2</w:t>
            </w:r>
            <w:r w:rsidRPr="00B61F99">
              <w:rPr>
                <w:rFonts w:ascii="Arial Narrow" w:hAnsi="Arial Narrow" w:cs="Arial"/>
                <w:color w:val="000000"/>
                <w:szCs w:val="24"/>
                <w:lang w:eastAsia="en-SG"/>
              </w:rPr>
              <w:t xml:space="preserve"> will </w:t>
            </w:r>
            <w:r w:rsidRPr="00B61F99">
              <w:rPr>
                <w:rFonts w:ascii="Arial Narrow" w:hAnsi="Arial Narrow"/>
                <w:szCs w:val="24"/>
              </w:rPr>
              <w:t>discuss the establishment of an APEC Interoperability Center</w:t>
            </w:r>
          </w:p>
          <w:p w:rsidR="00AE395F" w:rsidRPr="00B61F99" w:rsidRDefault="00AE395F" w:rsidP="004D0A88">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Narrow" w:hAnsi="Arial Narrow" w:cs="Arial"/>
                <w:color w:val="000000"/>
                <w:szCs w:val="24"/>
                <w:lang w:eastAsia="en-SG"/>
              </w:rPr>
            </w:pPr>
            <w:r w:rsidRPr="00B61F99">
              <w:rPr>
                <w:rFonts w:ascii="Arial Narrow" w:hAnsi="Arial Narrow" w:cs="Arial"/>
                <w:color w:val="000000"/>
                <w:szCs w:val="24"/>
                <w:lang w:eastAsia="en-SG"/>
              </w:rPr>
              <w:t xml:space="preserve">Workshop </w:t>
            </w:r>
            <w:r w:rsidR="004D0A88" w:rsidRPr="00B61F99">
              <w:rPr>
                <w:rFonts w:ascii="Arial Narrow" w:hAnsi="Arial Narrow" w:cs="Arial"/>
                <w:color w:val="000000"/>
                <w:szCs w:val="24"/>
                <w:lang w:eastAsia="en-SG"/>
              </w:rPr>
              <w:t>3</w:t>
            </w:r>
            <w:r w:rsidRPr="00B61F99">
              <w:rPr>
                <w:rFonts w:ascii="Arial Narrow" w:hAnsi="Arial Narrow" w:cs="Arial"/>
                <w:color w:val="000000"/>
                <w:szCs w:val="24"/>
                <w:lang w:eastAsia="en-SG"/>
              </w:rPr>
              <w:t xml:space="preserve"> will work on</w:t>
            </w:r>
            <w:r w:rsidRPr="00B61F99">
              <w:rPr>
                <w:rFonts w:ascii="Arial Narrow" w:hAnsi="Arial Narrow"/>
                <w:szCs w:val="24"/>
              </w:rPr>
              <w:t xml:space="preserve"> a list of priority standards for promoting widespread usage of electric vehicles in the region</w:t>
            </w:r>
          </w:p>
        </w:tc>
        <w:tc>
          <w:tcPr>
            <w:tcW w:w="1620" w:type="dxa"/>
          </w:tcPr>
          <w:p w:rsidR="00AE395F" w:rsidRPr="00B61F99" w:rsidRDefault="00AE395F" w:rsidP="00C979AC">
            <w:pPr>
              <w:pStyle w:val="NoSpacing"/>
              <w:rPr>
                <w:rFonts w:ascii="Arial Narrow" w:hAnsi="Arial Narrow" w:cs="Arial"/>
                <w:sz w:val="24"/>
                <w:szCs w:val="24"/>
              </w:rPr>
            </w:pPr>
            <w:r w:rsidRPr="00B61F99">
              <w:rPr>
                <w:rFonts w:ascii="Arial Narrow" w:hAnsi="Arial Narrow" w:cs="Arial"/>
                <w:sz w:val="24"/>
                <w:szCs w:val="24"/>
              </w:rPr>
              <w:lastRenderedPageBreak/>
              <w:t>US</w:t>
            </w:r>
          </w:p>
        </w:tc>
        <w:tc>
          <w:tcPr>
            <w:tcW w:w="1800" w:type="dxa"/>
          </w:tcPr>
          <w:p w:rsidR="00AE395F" w:rsidRPr="00B61F99" w:rsidRDefault="00AE395F" w:rsidP="009A204D">
            <w:pPr>
              <w:pStyle w:val="NoSpacing"/>
              <w:rPr>
                <w:rFonts w:ascii="Arial Narrow" w:hAnsi="Arial Narrow" w:cs="Arial"/>
                <w:i/>
                <w:sz w:val="24"/>
                <w:szCs w:val="24"/>
              </w:rPr>
            </w:pPr>
            <w:r w:rsidRPr="00B61F99">
              <w:rPr>
                <w:rFonts w:ascii="Arial Narrow" w:hAnsi="Arial Narrow" w:cs="Arial"/>
                <w:sz w:val="24"/>
                <w:szCs w:val="24"/>
              </w:rPr>
              <w:t>Workshop</w:t>
            </w:r>
            <w:r w:rsidR="004D0A88" w:rsidRPr="00B61F99">
              <w:rPr>
                <w:rFonts w:ascii="Arial Narrow" w:hAnsi="Arial Narrow" w:cs="Arial"/>
                <w:sz w:val="24"/>
                <w:szCs w:val="24"/>
              </w:rPr>
              <w:t xml:space="preserve"> 1</w:t>
            </w:r>
            <w:r w:rsidRPr="00B61F99">
              <w:rPr>
                <w:rFonts w:ascii="Arial Narrow" w:hAnsi="Arial Narrow" w:cs="Arial"/>
                <w:sz w:val="24"/>
                <w:szCs w:val="24"/>
              </w:rPr>
              <w:t>: 19-21 September (TBC)</w:t>
            </w:r>
          </w:p>
          <w:p w:rsidR="00AE395F" w:rsidRPr="00B61F99" w:rsidRDefault="00AE395F" w:rsidP="00C979AC">
            <w:pPr>
              <w:pStyle w:val="NoSpacing"/>
              <w:rPr>
                <w:rFonts w:ascii="Arial Narrow" w:hAnsi="Arial Narrow" w:cs="Arial"/>
                <w:sz w:val="24"/>
                <w:szCs w:val="24"/>
              </w:rPr>
            </w:pPr>
          </w:p>
          <w:p w:rsidR="00AE395F" w:rsidRPr="00B61F99" w:rsidRDefault="00AE395F" w:rsidP="009A204D">
            <w:pPr>
              <w:pStyle w:val="NoSpacing"/>
              <w:rPr>
                <w:rFonts w:ascii="Arial Narrow" w:hAnsi="Arial Narrow" w:cs="Arial"/>
                <w:sz w:val="24"/>
                <w:szCs w:val="24"/>
              </w:rPr>
            </w:pPr>
          </w:p>
        </w:tc>
        <w:tc>
          <w:tcPr>
            <w:tcW w:w="1620" w:type="dxa"/>
          </w:tcPr>
          <w:p w:rsidR="00AE395F" w:rsidRPr="00B61F99" w:rsidRDefault="00AE395F" w:rsidP="009A204D">
            <w:pPr>
              <w:pStyle w:val="NoSpacing"/>
              <w:rPr>
                <w:rFonts w:ascii="Arial Narrow" w:hAnsi="Arial Narrow" w:cs="Arial"/>
                <w:sz w:val="24"/>
                <w:szCs w:val="24"/>
              </w:rPr>
            </w:pPr>
            <w:r w:rsidRPr="00B61F99">
              <w:rPr>
                <w:rFonts w:ascii="Arial Narrow" w:hAnsi="Arial Narrow" w:cs="Arial"/>
                <w:sz w:val="24"/>
                <w:szCs w:val="24"/>
              </w:rPr>
              <w:t xml:space="preserve">Workshop </w:t>
            </w:r>
            <w:r w:rsidR="004D0A88" w:rsidRPr="00B61F99">
              <w:rPr>
                <w:rFonts w:ascii="Arial Narrow" w:hAnsi="Arial Narrow" w:cs="Arial"/>
                <w:sz w:val="24"/>
                <w:szCs w:val="24"/>
              </w:rPr>
              <w:t>2</w:t>
            </w:r>
            <w:r w:rsidRPr="00B61F99">
              <w:rPr>
                <w:rFonts w:ascii="Arial Narrow" w:hAnsi="Arial Narrow" w:cs="Arial"/>
                <w:sz w:val="24"/>
                <w:szCs w:val="24"/>
              </w:rPr>
              <w:t xml:space="preserve">: CTI1 </w:t>
            </w:r>
          </w:p>
          <w:p w:rsidR="00AE395F" w:rsidRPr="00B61F99" w:rsidRDefault="00AE395F" w:rsidP="009A204D">
            <w:pPr>
              <w:pStyle w:val="NoSpacing"/>
              <w:rPr>
                <w:rFonts w:ascii="Arial Narrow" w:hAnsi="Arial Narrow" w:cs="Arial"/>
                <w:sz w:val="24"/>
                <w:szCs w:val="24"/>
              </w:rPr>
            </w:pPr>
          </w:p>
          <w:p w:rsidR="00AE395F" w:rsidRPr="00B61F99" w:rsidRDefault="00AE395F" w:rsidP="004D0A88">
            <w:pPr>
              <w:pStyle w:val="NoSpacing"/>
              <w:rPr>
                <w:rFonts w:ascii="Arial Narrow" w:hAnsi="Arial Narrow" w:cs="Arial"/>
                <w:sz w:val="24"/>
                <w:szCs w:val="24"/>
              </w:rPr>
            </w:pPr>
            <w:r w:rsidRPr="00B61F99">
              <w:rPr>
                <w:rFonts w:ascii="Arial Narrow" w:hAnsi="Arial Narrow" w:cs="Arial"/>
                <w:sz w:val="24"/>
                <w:szCs w:val="24"/>
              </w:rPr>
              <w:t xml:space="preserve">Workshop </w:t>
            </w:r>
            <w:r w:rsidR="004D0A88" w:rsidRPr="00B61F99">
              <w:rPr>
                <w:rFonts w:ascii="Arial Narrow" w:hAnsi="Arial Narrow" w:cs="Arial"/>
                <w:sz w:val="24"/>
                <w:szCs w:val="24"/>
              </w:rPr>
              <w:t>3</w:t>
            </w:r>
            <w:r w:rsidRPr="00B61F99">
              <w:rPr>
                <w:rFonts w:ascii="Arial Narrow" w:hAnsi="Arial Narrow" w:cs="Arial"/>
                <w:sz w:val="24"/>
                <w:szCs w:val="24"/>
              </w:rPr>
              <w:t>: CTI2</w:t>
            </w:r>
          </w:p>
        </w:tc>
        <w:tc>
          <w:tcPr>
            <w:tcW w:w="2187" w:type="dxa"/>
          </w:tcPr>
          <w:p w:rsidR="00AE395F" w:rsidRPr="00B61F99" w:rsidRDefault="004D0A88" w:rsidP="009A204D">
            <w:pPr>
              <w:pStyle w:val="NoSpacing"/>
              <w:rPr>
                <w:rFonts w:ascii="Arial Narrow" w:hAnsi="Arial Narrow" w:cs="Arial"/>
                <w:sz w:val="24"/>
                <w:szCs w:val="24"/>
              </w:rPr>
            </w:pPr>
            <w:r w:rsidRPr="00B61F99">
              <w:rPr>
                <w:rFonts w:ascii="Arial Narrow" w:hAnsi="Arial Narrow" w:cs="Arial"/>
                <w:sz w:val="24"/>
                <w:szCs w:val="24"/>
              </w:rPr>
              <w:t>Draft Program for Workshop 1 presented to AD 24 for further inputs and comments of AD members until mid-June 2016</w:t>
            </w:r>
          </w:p>
          <w:p w:rsidR="00E377BE" w:rsidRPr="00B61F99" w:rsidRDefault="00E377BE" w:rsidP="009A204D">
            <w:pPr>
              <w:pStyle w:val="NoSpacing"/>
              <w:rPr>
                <w:rFonts w:ascii="Arial Narrow" w:hAnsi="Arial Narrow" w:cs="Arial"/>
                <w:sz w:val="24"/>
                <w:szCs w:val="24"/>
              </w:rPr>
            </w:pPr>
          </w:p>
          <w:p w:rsidR="00E377BE" w:rsidRPr="00B61F99" w:rsidRDefault="00E377BE" w:rsidP="00E377BE">
            <w:pPr>
              <w:pStyle w:val="NoSpacing"/>
              <w:rPr>
                <w:rFonts w:ascii="Arial Narrow" w:hAnsi="Arial Narrow" w:cs="Arial"/>
                <w:sz w:val="24"/>
                <w:szCs w:val="24"/>
              </w:rPr>
            </w:pPr>
            <w:r w:rsidRPr="00B61F99">
              <w:rPr>
                <w:rFonts w:ascii="Arial Narrow" w:hAnsi="Arial Narrow" w:cs="Arial"/>
                <w:sz w:val="24"/>
                <w:szCs w:val="24"/>
              </w:rPr>
              <w:t>Workshop 1 to be organized within AD 25</w:t>
            </w:r>
          </w:p>
        </w:tc>
      </w:tr>
    </w:tbl>
    <w:p w:rsidR="00B61F99" w:rsidRDefault="00B61F99">
      <w:r>
        <w:br w:type="page"/>
      </w:r>
    </w:p>
    <w:tbl>
      <w:tblPr>
        <w:tblStyle w:val="TableGrid"/>
        <w:tblW w:w="14607" w:type="dxa"/>
        <w:tblInd w:w="198" w:type="dxa"/>
        <w:tblLayout w:type="fixed"/>
        <w:tblLook w:val="04A0" w:firstRow="1" w:lastRow="0" w:firstColumn="1" w:lastColumn="0" w:noHBand="0" w:noVBand="1"/>
      </w:tblPr>
      <w:tblGrid>
        <w:gridCol w:w="341"/>
        <w:gridCol w:w="2089"/>
        <w:gridCol w:w="4950"/>
        <w:gridCol w:w="1620"/>
        <w:gridCol w:w="1710"/>
        <w:gridCol w:w="90"/>
        <w:gridCol w:w="1620"/>
        <w:gridCol w:w="2187"/>
      </w:tblGrid>
      <w:tr w:rsidR="00AE395F" w:rsidRPr="00B61F99" w:rsidTr="009E7FD0">
        <w:tc>
          <w:tcPr>
            <w:tcW w:w="341" w:type="dxa"/>
          </w:tcPr>
          <w:p w:rsidR="00AE395F" w:rsidRPr="00B61F99" w:rsidRDefault="00AE395F" w:rsidP="00E71D54">
            <w:pPr>
              <w:pStyle w:val="NoSpacing"/>
              <w:rPr>
                <w:rFonts w:ascii="Arial Narrow" w:hAnsi="Arial Narrow" w:cs="Arial"/>
                <w:sz w:val="24"/>
                <w:szCs w:val="24"/>
              </w:rPr>
            </w:pPr>
            <w:r w:rsidRPr="00B61F99">
              <w:rPr>
                <w:rFonts w:ascii="Arial Narrow" w:hAnsi="Arial Narrow" w:cs="Arial"/>
                <w:sz w:val="24"/>
                <w:szCs w:val="24"/>
              </w:rPr>
              <w:lastRenderedPageBreak/>
              <w:t>5</w:t>
            </w:r>
          </w:p>
        </w:tc>
        <w:tc>
          <w:tcPr>
            <w:tcW w:w="2089" w:type="dxa"/>
          </w:tcPr>
          <w:p w:rsidR="00AE395F" w:rsidRPr="00B61F99" w:rsidRDefault="00AE395F" w:rsidP="00411ACC">
            <w:pPr>
              <w:pStyle w:val="NoSpacing"/>
              <w:rPr>
                <w:rFonts w:ascii="Arial Narrow" w:hAnsi="Arial Narrow" w:cs="Arial"/>
                <w:sz w:val="24"/>
                <w:szCs w:val="24"/>
              </w:rPr>
            </w:pPr>
            <w:r w:rsidRPr="00B61F99">
              <w:rPr>
                <w:rFonts w:ascii="Arial Narrow" w:hAnsi="Arial Narrow" w:cs="Arial"/>
                <w:sz w:val="24"/>
                <w:szCs w:val="24"/>
              </w:rPr>
              <w:t>Impact of Government Policy Instrument in Promoting NEVs</w:t>
            </w:r>
          </w:p>
        </w:tc>
        <w:tc>
          <w:tcPr>
            <w:tcW w:w="4950" w:type="dxa"/>
          </w:tcPr>
          <w:p w:rsidR="00AE395F" w:rsidRPr="00B61F99" w:rsidRDefault="00AE395F" w:rsidP="002B5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The task aims to assess the effect of government policy in the development of NEVs and create a dynamic database of NEV policies in APEC economies, provide an assessment on policies on NEV development and develop a decision-assisting system for NEV policy. China has already submitted the monitoring report to the APEC Secretariat.</w:t>
            </w:r>
          </w:p>
        </w:tc>
        <w:tc>
          <w:tcPr>
            <w:tcW w:w="1620" w:type="dxa"/>
          </w:tcPr>
          <w:p w:rsidR="00AE395F" w:rsidRPr="00B61F99" w:rsidRDefault="00AE395F" w:rsidP="00686233">
            <w:pPr>
              <w:pStyle w:val="NoSpacing"/>
              <w:rPr>
                <w:rFonts w:ascii="Arial Narrow" w:hAnsi="Arial Narrow" w:cs="Arial"/>
                <w:sz w:val="24"/>
                <w:szCs w:val="24"/>
              </w:rPr>
            </w:pPr>
            <w:r w:rsidRPr="00B61F99">
              <w:rPr>
                <w:rFonts w:ascii="Arial Narrow" w:hAnsi="Arial Narrow" w:cs="Arial"/>
                <w:sz w:val="24"/>
                <w:szCs w:val="24"/>
              </w:rPr>
              <w:t>PRC</w:t>
            </w:r>
          </w:p>
        </w:tc>
        <w:tc>
          <w:tcPr>
            <w:tcW w:w="1800" w:type="dxa"/>
            <w:gridSpan w:val="2"/>
          </w:tcPr>
          <w:p w:rsidR="00AE395F" w:rsidRPr="00B61F99" w:rsidRDefault="0011573C" w:rsidP="009A204D">
            <w:pPr>
              <w:pStyle w:val="NoSpacing"/>
              <w:rPr>
                <w:rFonts w:ascii="Arial Narrow" w:hAnsi="Arial Narrow" w:cs="Arial"/>
                <w:sz w:val="24"/>
                <w:szCs w:val="24"/>
              </w:rPr>
            </w:pPr>
            <w:r w:rsidRPr="00B61F99">
              <w:rPr>
                <w:rFonts w:ascii="Arial Narrow" w:hAnsi="Arial Narrow" w:cs="Arial"/>
                <w:sz w:val="24"/>
                <w:szCs w:val="24"/>
              </w:rPr>
              <w:t>Research to be completed in October 2016</w:t>
            </w:r>
          </w:p>
        </w:tc>
        <w:tc>
          <w:tcPr>
            <w:tcW w:w="1620" w:type="dxa"/>
          </w:tcPr>
          <w:p w:rsidR="00AE395F" w:rsidRPr="00B61F99" w:rsidRDefault="00AE395F" w:rsidP="00686233">
            <w:pPr>
              <w:pStyle w:val="NoSpacing"/>
              <w:rPr>
                <w:rFonts w:ascii="Arial Narrow" w:hAnsi="Arial Narrow" w:cs="Arial"/>
                <w:sz w:val="24"/>
                <w:szCs w:val="24"/>
              </w:rPr>
            </w:pPr>
          </w:p>
        </w:tc>
        <w:tc>
          <w:tcPr>
            <w:tcW w:w="2187" w:type="dxa"/>
          </w:tcPr>
          <w:p w:rsidR="00AE395F" w:rsidRPr="00B61F99" w:rsidRDefault="0011573C" w:rsidP="00686233">
            <w:pPr>
              <w:pStyle w:val="NoSpacing"/>
              <w:rPr>
                <w:rFonts w:ascii="Arial Narrow" w:hAnsi="Arial Narrow" w:cs="Arial"/>
                <w:sz w:val="24"/>
                <w:szCs w:val="24"/>
              </w:rPr>
            </w:pPr>
            <w:r w:rsidRPr="00B61F99">
              <w:rPr>
                <w:rFonts w:ascii="Arial Narrow" w:hAnsi="Arial Narrow" w:cs="Arial"/>
                <w:sz w:val="24"/>
                <w:szCs w:val="24"/>
              </w:rPr>
              <w:t>Ongoing</w:t>
            </w:r>
          </w:p>
        </w:tc>
      </w:tr>
      <w:tr w:rsidR="00AE395F" w:rsidRPr="00B61F99" w:rsidTr="009E7FD0">
        <w:tc>
          <w:tcPr>
            <w:tcW w:w="341" w:type="dxa"/>
          </w:tcPr>
          <w:p w:rsidR="00AE395F" w:rsidRPr="00B61F99" w:rsidRDefault="00AE395F" w:rsidP="00FC78C1">
            <w:pPr>
              <w:pStyle w:val="NoSpacing"/>
              <w:rPr>
                <w:rFonts w:ascii="Arial Narrow" w:hAnsi="Arial Narrow" w:cs="Arial"/>
                <w:sz w:val="24"/>
                <w:szCs w:val="24"/>
              </w:rPr>
            </w:pPr>
            <w:r w:rsidRPr="00B61F99">
              <w:rPr>
                <w:rFonts w:ascii="Arial Narrow" w:hAnsi="Arial Narrow" w:cs="Arial"/>
                <w:sz w:val="24"/>
                <w:szCs w:val="24"/>
              </w:rPr>
              <w:t>6</w:t>
            </w:r>
          </w:p>
        </w:tc>
        <w:tc>
          <w:tcPr>
            <w:tcW w:w="2089" w:type="dxa"/>
          </w:tcPr>
          <w:p w:rsidR="00AE395F" w:rsidRPr="00B61F99" w:rsidRDefault="00AE395F" w:rsidP="00FC78C1">
            <w:pPr>
              <w:pStyle w:val="NoSpacing"/>
              <w:rPr>
                <w:rFonts w:ascii="Arial Narrow" w:hAnsi="Arial Narrow" w:cs="Arial"/>
                <w:sz w:val="24"/>
                <w:szCs w:val="24"/>
              </w:rPr>
            </w:pPr>
            <w:r w:rsidRPr="00B61F99">
              <w:rPr>
                <w:rFonts w:ascii="Arial Narrow" w:hAnsi="Arial Narrow" w:cs="Arial"/>
                <w:sz w:val="24"/>
                <w:szCs w:val="24"/>
              </w:rPr>
              <w:t>Compendium of Motor Vehicle-Related Taxes in APEC</w:t>
            </w:r>
          </w:p>
        </w:tc>
        <w:tc>
          <w:tcPr>
            <w:tcW w:w="4950" w:type="dxa"/>
          </w:tcPr>
          <w:p w:rsidR="00AE395F" w:rsidRPr="00B61F99" w:rsidRDefault="00AE395F" w:rsidP="008B4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 xml:space="preserve">The US-led automotive taxation research aims to promote regional industry growth. The compendium will include the different motor vehicle tax structures (Purchase, Possession, Use and Border), and incentives. This will be updated in a voluntary process. </w:t>
            </w:r>
          </w:p>
        </w:tc>
        <w:tc>
          <w:tcPr>
            <w:tcW w:w="1620" w:type="dxa"/>
          </w:tcPr>
          <w:p w:rsidR="00AE395F" w:rsidRPr="00B61F99" w:rsidRDefault="00AE395F" w:rsidP="00FC78C1">
            <w:pPr>
              <w:pStyle w:val="NoSpacing"/>
              <w:rPr>
                <w:rFonts w:ascii="Arial Narrow" w:hAnsi="Arial Narrow" w:cs="Arial"/>
                <w:sz w:val="24"/>
                <w:szCs w:val="24"/>
              </w:rPr>
            </w:pPr>
            <w:r w:rsidRPr="00B61F99">
              <w:rPr>
                <w:rFonts w:ascii="Arial Narrow" w:hAnsi="Arial Narrow" w:cs="Arial"/>
                <w:sz w:val="24"/>
                <w:szCs w:val="24"/>
              </w:rPr>
              <w:t>US</w:t>
            </w:r>
          </w:p>
        </w:tc>
        <w:tc>
          <w:tcPr>
            <w:tcW w:w="3420" w:type="dxa"/>
            <w:gridSpan w:val="3"/>
          </w:tcPr>
          <w:p w:rsidR="00AE395F" w:rsidRPr="00B61F99" w:rsidRDefault="00AE395F" w:rsidP="00FC78C1">
            <w:pPr>
              <w:pStyle w:val="NoSpacing"/>
              <w:rPr>
                <w:rFonts w:ascii="Arial Narrow" w:hAnsi="Arial Narrow" w:cs="Arial"/>
                <w:sz w:val="24"/>
                <w:szCs w:val="24"/>
              </w:rPr>
            </w:pPr>
            <w:r w:rsidRPr="00B61F99">
              <w:rPr>
                <w:rFonts w:ascii="Arial Narrow" w:hAnsi="Arial Narrow" w:cs="Arial"/>
                <w:sz w:val="24"/>
                <w:szCs w:val="24"/>
              </w:rPr>
              <w:t>For continuous updating</w:t>
            </w:r>
          </w:p>
        </w:tc>
        <w:tc>
          <w:tcPr>
            <w:tcW w:w="2187" w:type="dxa"/>
          </w:tcPr>
          <w:p w:rsidR="00AE395F" w:rsidRPr="00B61F99" w:rsidRDefault="0011573C" w:rsidP="00FC78C1">
            <w:pPr>
              <w:pStyle w:val="NoSpacing"/>
              <w:rPr>
                <w:rFonts w:ascii="Arial Narrow" w:hAnsi="Arial Narrow" w:cs="Arial"/>
                <w:sz w:val="24"/>
                <w:szCs w:val="24"/>
              </w:rPr>
            </w:pPr>
            <w:r w:rsidRPr="00B61F99">
              <w:rPr>
                <w:rFonts w:ascii="Arial Narrow" w:hAnsi="Arial Narrow" w:cs="Arial"/>
                <w:sz w:val="24"/>
                <w:szCs w:val="24"/>
              </w:rPr>
              <w:t>Updated study was presented to AD 24 for comments/inputs of AD members.</w:t>
            </w:r>
          </w:p>
          <w:p w:rsidR="0011573C" w:rsidRPr="00B61F99" w:rsidRDefault="0011573C" w:rsidP="00FC78C1">
            <w:pPr>
              <w:pStyle w:val="NoSpacing"/>
              <w:rPr>
                <w:rFonts w:ascii="Arial Narrow" w:hAnsi="Arial Narrow" w:cs="Arial"/>
                <w:sz w:val="24"/>
                <w:szCs w:val="24"/>
              </w:rPr>
            </w:pPr>
          </w:p>
          <w:p w:rsidR="0011573C" w:rsidRPr="00B61F99" w:rsidRDefault="009E7FD0" w:rsidP="009E7FD0">
            <w:pPr>
              <w:pStyle w:val="NoSpacing"/>
              <w:rPr>
                <w:rFonts w:ascii="Arial Narrow" w:hAnsi="Arial Narrow" w:cs="Arial"/>
                <w:sz w:val="24"/>
                <w:szCs w:val="24"/>
              </w:rPr>
            </w:pPr>
            <w:r w:rsidRPr="00B61F99">
              <w:rPr>
                <w:rFonts w:ascii="Arial Narrow" w:hAnsi="Arial Narrow" w:cs="Arial"/>
                <w:sz w:val="24"/>
                <w:szCs w:val="24"/>
              </w:rPr>
              <w:t>A revised summary with updates will be</w:t>
            </w:r>
            <w:r w:rsidR="0011573C" w:rsidRPr="00B61F99">
              <w:rPr>
                <w:rFonts w:ascii="Arial Narrow" w:hAnsi="Arial Narrow" w:cs="Arial"/>
                <w:sz w:val="24"/>
                <w:szCs w:val="24"/>
              </w:rPr>
              <w:t xml:space="preserve"> presented </w:t>
            </w:r>
            <w:r w:rsidRPr="00B61F99">
              <w:rPr>
                <w:rFonts w:ascii="Arial Narrow" w:hAnsi="Arial Narrow" w:cs="Arial"/>
                <w:sz w:val="24"/>
                <w:szCs w:val="24"/>
              </w:rPr>
              <w:t>to</w:t>
            </w:r>
            <w:r w:rsidR="0011573C" w:rsidRPr="00B61F99">
              <w:rPr>
                <w:rFonts w:ascii="Arial Narrow" w:hAnsi="Arial Narrow" w:cs="Arial"/>
                <w:sz w:val="24"/>
                <w:szCs w:val="24"/>
              </w:rPr>
              <w:t xml:space="preserve"> CTI 3 in August</w:t>
            </w:r>
            <w:r w:rsidRPr="00B61F99">
              <w:rPr>
                <w:rFonts w:ascii="Arial Narrow" w:hAnsi="Arial Narrow" w:cs="Arial"/>
                <w:sz w:val="24"/>
                <w:szCs w:val="24"/>
              </w:rPr>
              <w:t xml:space="preserve">. </w:t>
            </w:r>
          </w:p>
        </w:tc>
      </w:tr>
      <w:tr w:rsidR="00AE395F" w:rsidRPr="00B61F99" w:rsidTr="009E7FD0">
        <w:tc>
          <w:tcPr>
            <w:tcW w:w="341" w:type="dxa"/>
          </w:tcPr>
          <w:p w:rsidR="00AE395F" w:rsidRPr="00B61F99" w:rsidRDefault="00AE395F" w:rsidP="00FC78C1">
            <w:pPr>
              <w:pStyle w:val="NoSpacing"/>
              <w:rPr>
                <w:rFonts w:ascii="Arial Narrow" w:hAnsi="Arial Narrow" w:cs="Arial"/>
                <w:sz w:val="24"/>
                <w:szCs w:val="24"/>
              </w:rPr>
            </w:pPr>
            <w:r w:rsidRPr="00B61F99">
              <w:rPr>
                <w:rFonts w:ascii="Arial Narrow" w:hAnsi="Arial Narrow" w:cs="Arial"/>
                <w:sz w:val="24"/>
                <w:szCs w:val="24"/>
              </w:rPr>
              <w:t>7</w:t>
            </w:r>
          </w:p>
        </w:tc>
        <w:tc>
          <w:tcPr>
            <w:tcW w:w="2089" w:type="dxa"/>
          </w:tcPr>
          <w:p w:rsidR="00AE395F" w:rsidRPr="00B61F99" w:rsidRDefault="00AE395F" w:rsidP="00FC78C1">
            <w:pPr>
              <w:pStyle w:val="NoSpacing"/>
              <w:rPr>
                <w:rFonts w:ascii="Arial Narrow" w:hAnsi="Arial Narrow" w:cs="Arial"/>
                <w:sz w:val="24"/>
                <w:szCs w:val="24"/>
              </w:rPr>
            </w:pPr>
            <w:r w:rsidRPr="00B61F99">
              <w:rPr>
                <w:rFonts w:ascii="Arial Narrow" w:hAnsi="Arial Narrow" w:cs="Arial"/>
                <w:sz w:val="24"/>
                <w:szCs w:val="24"/>
              </w:rPr>
              <w:t>Compendium of Automotive Business Regimes in APEC</w:t>
            </w:r>
          </w:p>
        </w:tc>
        <w:tc>
          <w:tcPr>
            <w:tcW w:w="4950" w:type="dxa"/>
          </w:tcPr>
          <w:p w:rsidR="00AE395F" w:rsidRPr="00B61F99" w:rsidRDefault="00AE395F" w:rsidP="00001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 xml:space="preserve">The task aims at empowering APEC SMEs to penetrate the automotive GVCs, through updated trends and knowledge on the automotive markets in the APEC region. This is expected to be made available by the next year. This will be updated by the Philippines. </w:t>
            </w:r>
          </w:p>
        </w:tc>
        <w:tc>
          <w:tcPr>
            <w:tcW w:w="1620" w:type="dxa"/>
          </w:tcPr>
          <w:p w:rsidR="00AE395F" w:rsidRPr="00B61F99" w:rsidRDefault="00AE395F" w:rsidP="00FC78C1">
            <w:pPr>
              <w:pStyle w:val="NoSpacing"/>
              <w:rPr>
                <w:rFonts w:ascii="Arial Narrow" w:hAnsi="Arial Narrow" w:cs="Arial"/>
                <w:sz w:val="24"/>
                <w:szCs w:val="24"/>
              </w:rPr>
            </w:pPr>
            <w:r w:rsidRPr="00B61F99">
              <w:rPr>
                <w:rFonts w:ascii="Arial Narrow" w:hAnsi="Arial Narrow" w:cs="Arial"/>
                <w:sz w:val="24"/>
                <w:szCs w:val="24"/>
              </w:rPr>
              <w:t>PH</w:t>
            </w:r>
          </w:p>
        </w:tc>
        <w:tc>
          <w:tcPr>
            <w:tcW w:w="3420" w:type="dxa"/>
            <w:gridSpan w:val="3"/>
          </w:tcPr>
          <w:p w:rsidR="00AE395F" w:rsidRPr="00B61F99" w:rsidRDefault="00AE395F" w:rsidP="00686233">
            <w:pPr>
              <w:pStyle w:val="NoSpacing"/>
              <w:rPr>
                <w:rFonts w:ascii="Arial Narrow" w:hAnsi="Arial Narrow" w:cs="Arial"/>
                <w:sz w:val="24"/>
                <w:szCs w:val="24"/>
              </w:rPr>
            </w:pPr>
            <w:r w:rsidRPr="00B61F99">
              <w:rPr>
                <w:rFonts w:ascii="Arial Narrow" w:hAnsi="Arial Narrow" w:cs="Arial"/>
                <w:sz w:val="24"/>
                <w:szCs w:val="24"/>
              </w:rPr>
              <w:t>For continuous updating</w:t>
            </w:r>
          </w:p>
        </w:tc>
        <w:tc>
          <w:tcPr>
            <w:tcW w:w="2187" w:type="dxa"/>
          </w:tcPr>
          <w:p w:rsidR="00AE395F" w:rsidRPr="00B61F99" w:rsidRDefault="00211DD6" w:rsidP="00686233">
            <w:pPr>
              <w:pStyle w:val="NoSpacing"/>
              <w:rPr>
                <w:rFonts w:ascii="Arial Narrow" w:hAnsi="Arial Narrow" w:cs="Arial"/>
                <w:sz w:val="24"/>
                <w:szCs w:val="24"/>
              </w:rPr>
            </w:pPr>
            <w:r w:rsidRPr="00B61F99">
              <w:rPr>
                <w:rFonts w:ascii="Arial Narrow" w:hAnsi="Arial Narrow" w:cs="Arial"/>
                <w:sz w:val="24"/>
                <w:szCs w:val="24"/>
              </w:rPr>
              <w:t>Initial draft of the compendium was presented to AD 24 for further inputs of the members.</w:t>
            </w:r>
          </w:p>
        </w:tc>
      </w:tr>
      <w:tr w:rsidR="00E377BE" w:rsidRPr="00B61F99" w:rsidTr="00B70F37">
        <w:tc>
          <w:tcPr>
            <w:tcW w:w="341" w:type="dxa"/>
          </w:tcPr>
          <w:p w:rsidR="00E377BE" w:rsidRPr="00B61F99" w:rsidRDefault="00E377BE" w:rsidP="00FC78C1">
            <w:pPr>
              <w:pStyle w:val="NoSpacing"/>
              <w:rPr>
                <w:rFonts w:ascii="Arial Narrow" w:hAnsi="Arial Narrow" w:cs="Arial"/>
                <w:sz w:val="24"/>
                <w:szCs w:val="24"/>
              </w:rPr>
            </w:pPr>
            <w:r w:rsidRPr="00B61F99">
              <w:rPr>
                <w:rFonts w:ascii="Arial Narrow" w:hAnsi="Arial Narrow" w:cs="Arial"/>
                <w:sz w:val="24"/>
                <w:szCs w:val="24"/>
              </w:rPr>
              <w:t>8</w:t>
            </w:r>
          </w:p>
        </w:tc>
        <w:tc>
          <w:tcPr>
            <w:tcW w:w="2089" w:type="dxa"/>
          </w:tcPr>
          <w:p w:rsidR="00E377BE" w:rsidRPr="00B61F99" w:rsidRDefault="00E377BE" w:rsidP="00F802AB">
            <w:pPr>
              <w:pStyle w:val="NoSpacing"/>
              <w:rPr>
                <w:rFonts w:ascii="Arial Narrow" w:hAnsi="Arial Narrow" w:cs="Arial"/>
                <w:sz w:val="24"/>
                <w:szCs w:val="24"/>
              </w:rPr>
            </w:pPr>
            <w:r w:rsidRPr="00B61F99">
              <w:rPr>
                <w:rFonts w:ascii="Arial Narrow" w:hAnsi="Arial Narrow" w:cs="Arial"/>
                <w:sz w:val="24"/>
                <w:szCs w:val="24"/>
              </w:rPr>
              <w:t xml:space="preserve">Automotive Standards/Regulatory Coherence and Certification Process </w:t>
            </w:r>
          </w:p>
        </w:tc>
        <w:tc>
          <w:tcPr>
            <w:tcW w:w="4950" w:type="dxa"/>
          </w:tcPr>
          <w:p w:rsidR="00E377BE" w:rsidRPr="00B61F99" w:rsidRDefault="00E377BE" w:rsidP="00F80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Cs w:val="24"/>
                <w:lang w:eastAsia="en-SG"/>
              </w:rPr>
            </w:pPr>
            <w:r w:rsidRPr="00B61F99">
              <w:rPr>
                <w:rFonts w:ascii="Arial Narrow" w:hAnsi="Arial Narrow" w:cs="Arial"/>
                <w:color w:val="000000"/>
                <w:szCs w:val="24"/>
                <w:lang w:eastAsia="en-SG"/>
              </w:rPr>
              <w:t xml:space="preserve">The exchange of information on automotive safety/standards/regulations and certification processes developments in the WP29 APEC region and individual economies, including periodic workshops. </w:t>
            </w:r>
          </w:p>
        </w:tc>
        <w:tc>
          <w:tcPr>
            <w:tcW w:w="1620" w:type="dxa"/>
          </w:tcPr>
          <w:p w:rsidR="00E377BE" w:rsidRPr="00B61F99" w:rsidRDefault="00E377BE" w:rsidP="00FC78C1">
            <w:pPr>
              <w:pStyle w:val="NoSpacing"/>
              <w:rPr>
                <w:rFonts w:ascii="Arial Narrow" w:hAnsi="Arial Narrow" w:cs="Arial"/>
                <w:sz w:val="24"/>
                <w:szCs w:val="24"/>
              </w:rPr>
            </w:pPr>
            <w:r w:rsidRPr="00B61F99">
              <w:rPr>
                <w:rFonts w:ascii="Arial Narrow" w:hAnsi="Arial Narrow" w:cs="Arial"/>
                <w:sz w:val="24"/>
                <w:szCs w:val="24"/>
              </w:rPr>
              <w:t>All members</w:t>
            </w:r>
          </w:p>
        </w:tc>
        <w:tc>
          <w:tcPr>
            <w:tcW w:w="1710" w:type="dxa"/>
          </w:tcPr>
          <w:p w:rsidR="00E377BE" w:rsidRPr="00B61F99" w:rsidRDefault="00E377BE" w:rsidP="00686233">
            <w:pPr>
              <w:pStyle w:val="NoSpacing"/>
              <w:rPr>
                <w:rFonts w:ascii="Arial Narrow" w:hAnsi="Arial Narrow" w:cs="Arial"/>
                <w:sz w:val="24"/>
                <w:szCs w:val="24"/>
              </w:rPr>
            </w:pPr>
            <w:r w:rsidRPr="00B61F99">
              <w:rPr>
                <w:rFonts w:ascii="Arial Narrow" w:hAnsi="Arial Narrow" w:cs="Arial"/>
                <w:sz w:val="24"/>
                <w:szCs w:val="24"/>
              </w:rPr>
              <w:t>Workshop: 19-21 September</w:t>
            </w:r>
          </w:p>
        </w:tc>
        <w:tc>
          <w:tcPr>
            <w:tcW w:w="1710" w:type="dxa"/>
            <w:gridSpan w:val="2"/>
          </w:tcPr>
          <w:p w:rsidR="00E377BE" w:rsidRPr="00B61F99" w:rsidRDefault="00E377BE" w:rsidP="00686233">
            <w:pPr>
              <w:pStyle w:val="NoSpacing"/>
              <w:rPr>
                <w:rFonts w:ascii="Arial Narrow" w:hAnsi="Arial Narrow" w:cs="Arial"/>
                <w:sz w:val="24"/>
                <w:szCs w:val="24"/>
              </w:rPr>
            </w:pPr>
            <w:r w:rsidRPr="00B61F99">
              <w:rPr>
                <w:rFonts w:ascii="Arial Narrow" w:hAnsi="Arial Narrow" w:cs="Arial"/>
                <w:sz w:val="24"/>
                <w:szCs w:val="24"/>
              </w:rPr>
              <w:t>None yet</w:t>
            </w:r>
          </w:p>
        </w:tc>
        <w:tc>
          <w:tcPr>
            <w:tcW w:w="2187" w:type="dxa"/>
          </w:tcPr>
          <w:p w:rsidR="00E377BE" w:rsidRPr="00B61F99" w:rsidRDefault="00E377BE" w:rsidP="00686233">
            <w:pPr>
              <w:pStyle w:val="NoSpacing"/>
              <w:rPr>
                <w:rFonts w:ascii="Arial Narrow" w:hAnsi="Arial Narrow" w:cs="Arial"/>
                <w:sz w:val="24"/>
                <w:szCs w:val="24"/>
              </w:rPr>
            </w:pPr>
            <w:r w:rsidRPr="00B61F99">
              <w:rPr>
                <w:rFonts w:ascii="Arial Narrow" w:hAnsi="Arial Narrow" w:cs="Arial"/>
                <w:sz w:val="24"/>
                <w:szCs w:val="24"/>
              </w:rPr>
              <w:t>To be organized within AD 25</w:t>
            </w:r>
          </w:p>
        </w:tc>
      </w:tr>
    </w:tbl>
    <w:p w:rsidR="00B40DD4" w:rsidRPr="00B61F99" w:rsidRDefault="00B40DD4" w:rsidP="00B61F99">
      <w:pPr>
        <w:pStyle w:val="NoSpacing"/>
        <w:rPr>
          <w:rFonts w:ascii="Arial Narrow" w:hAnsi="Arial Narrow" w:cs="Arial"/>
          <w:sz w:val="24"/>
          <w:szCs w:val="24"/>
        </w:rPr>
      </w:pPr>
    </w:p>
    <w:sectPr w:rsidR="00B40DD4" w:rsidRPr="00B61F99" w:rsidSect="00B61F99">
      <w:headerReference w:type="default" r:id="rId7"/>
      <w:footerReference w:type="default" r:id="rId8"/>
      <w:pgSz w:w="16839" w:h="11907" w:orient="landscape" w:code="9"/>
      <w:pgMar w:top="720" w:right="1080" w:bottom="540" w:left="117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A3" w:rsidRDefault="006C29A3" w:rsidP="000244A9">
      <w:r>
        <w:separator/>
      </w:r>
    </w:p>
  </w:endnote>
  <w:endnote w:type="continuationSeparator" w:id="0">
    <w:p w:rsidR="006C29A3" w:rsidRDefault="006C29A3" w:rsidP="0002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118232667"/>
      <w:docPartObj>
        <w:docPartGallery w:val="Page Numbers (Bottom of Page)"/>
        <w:docPartUnique/>
      </w:docPartObj>
    </w:sdtPr>
    <w:sdtEndPr/>
    <w:sdtContent>
      <w:sdt>
        <w:sdtPr>
          <w:rPr>
            <w:rFonts w:ascii="Arial Narrow" w:hAnsi="Arial Narrow"/>
            <w:sz w:val="18"/>
            <w:szCs w:val="18"/>
          </w:rPr>
          <w:id w:val="-1151369641"/>
          <w:docPartObj>
            <w:docPartGallery w:val="Page Numbers (Top of Page)"/>
            <w:docPartUnique/>
          </w:docPartObj>
        </w:sdtPr>
        <w:sdtEndPr/>
        <w:sdtContent>
          <w:p w:rsidR="00977373" w:rsidRPr="00977373" w:rsidRDefault="00944E5E">
            <w:pPr>
              <w:pStyle w:val="Footer"/>
              <w:jc w:val="right"/>
              <w:rPr>
                <w:rFonts w:ascii="Arial Narrow" w:hAnsi="Arial Narrow"/>
                <w:sz w:val="18"/>
                <w:szCs w:val="18"/>
              </w:rPr>
            </w:pPr>
            <w:r w:rsidRPr="00977373">
              <w:rPr>
                <w:rFonts w:ascii="Arial Narrow" w:hAnsi="Arial Narrow"/>
                <w:b/>
                <w:sz w:val="18"/>
                <w:szCs w:val="18"/>
              </w:rPr>
              <w:fldChar w:fldCharType="begin"/>
            </w:r>
            <w:r w:rsidR="00977373" w:rsidRPr="00977373">
              <w:rPr>
                <w:rFonts w:ascii="Arial Narrow" w:hAnsi="Arial Narrow"/>
                <w:b/>
                <w:sz w:val="18"/>
                <w:szCs w:val="18"/>
              </w:rPr>
              <w:instrText xml:space="preserve"> PAGE </w:instrText>
            </w:r>
            <w:r w:rsidRPr="00977373">
              <w:rPr>
                <w:rFonts w:ascii="Arial Narrow" w:hAnsi="Arial Narrow"/>
                <w:b/>
                <w:sz w:val="18"/>
                <w:szCs w:val="18"/>
              </w:rPr>
              <w:fldChar w:fldCharType="separate"/>
            </w:r>
            <w:r w:rsidR="00B61F99">
              <w:rPr>
                <w:rFonts w:ascii="Arial Narrow" w:hAnsi="Arial Narrow"/>
                <w:b/>
                <w:noProof/>
                <w:sz w:val="18"/>
                <w:szCs w:val="18"/>
              </w:rPr>
              <w:t>5</w:t>
            </w:r>
            <w:r w:rsidRPr="00977373">
              <w:rPr>
                <w:rFonts w:ascii="Arial Narrow" w:hAnsi="Arial Narrow"/>
                <w:b/>
                <w:sz w:val="18"/>
                <w:szCs w:val="18"/>
              </w:rPr>
              <w:fldChar w:fldCharType="end"/>
            </w:r>
            <w:r w:rsidR="00977373" w:rsidRPr="00977373">
              <w:rPr>
                <w:rFonts w:ascii="Arial Narrow" w:hAnsi="Arial Narrow"/>
                <w:sz w:val="18"/>
                <w:szCs w:val="18"/>
              </w:rPr>
              <w:t xml:space="preserve"> of </w:t>
            </w:r>
            <w:r w:rsidRPr="00977373">
              <w:rPr>
                <w:rFonts w:ascii="Arial Narrow" w:hAnsi="Arial Narrow"/>
                <w:b/>
                <w:sz w:val="18"/>
                <w:szCs w:val="18"/>
              </w:rPr>
              <w:fldChar w:fldCharType="begin"/>
            </w:r>
            <w:r w:rsidR="00977373" w:rsidRPr="00977373">
              <w:rPr>
                <w:rFonts w:ascii="Arial Narrow" w:hAnsi="Arial Narrow"/>
                <w:b/>
                <w:sz w:val="18"/>
                <w:szCs w:val="18"/>
              </w:rPr>
              <w:instrText xml:space="preserve"> NUMPAGES  </w:instrText>
            </w:r>
            <w:r w:rsidRPr="00977373">
              <w:rPr>
                <w:rFonts w:ascii="Arial Narrow" w:hAnsi="Arial Narrow"/>
                <w:b/>
                <w:sz w:val="18"/>
                <w:szCs w:val="18"/>
              </w:rPr>
              <w:fldChar w:fldCharType="separate"/>
            </w:r>
            <w:r w:rsidR="00B61F99">
              <w:rPr>
                <w:rFonts w:ascii="Arial Narrow" w:hAnsi="Arial Narrow"/>
                <w:b/>
                <w:noProof/>
                <w:sz w:val="18"/>
                <w:szCs w:val="18"/>
              </w:rPr>
              <w:t>5</w:t>
            </w:r>
            <w:r w:rsidRPr="00977373">
              <w:rPr>
                <w:rFonts w:ascii="Arial Narrow" w:hAnsi="Arial Narrow"/>
                <w:b/>
                <w:sz w:val="18"/>
                <w:szCs w:val="18"/>
              </w:rPr>
              <w:fldChar w:fldCharType="end"/>
            </w:r>
          </w:p>
        </w:sdtContent>
      </w:sdt>
    </w:sdtContent>
  </w:sdt>
  <w:p w:rsidR="00977373" w:rsidRPr="00977373" w:rsidRDefault="00977373">
    <w:pPr>
      <w:pStyle w:val="Foo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A3" w:rsidRDefault="006C29A3" w:rsidP="000244A9">
      <w:r>
        <w:separator/>
      </w:r>
    </w:p>
  </w:footnote>
  <w:footnote w:type="continuationSeparator" w:id="0">
    <w:p w:rsidR="006C29A3" w:rsidRDefault="006C29A3" w:rsidP="0002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A9" w:rsidRPr="000244A9" w:rsidRDefault="000244A9" w:rsidP="000244A9">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C54"/>
    <w:multiLevelType w:val="hybridMultilevel"/>
    <w:tmpl w:val="2D323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D694FC6"/>
    <w:multiLevelType w:val="multilevel"/>
    <w:tmpl w:val="7B4C8F6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2" w15:restartNumberingAfterBreak="0">
    <w:nsid w:val="37FB663B"/>
    <w:multiLevelType w:val="hybridMultilevel"/>
    <w:tmpl w:val="6240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8A"/>
    <w:rsid w:val="00001B9B"/>
    <w:rsid w:val="00016D96"/>
    <w:rsid w:val="000244A9"/>
    <w:rsid w:val="000B18BB"/>
    <w:rsid w:val="000B696F"/>
    <w:rsid w:val="000D076F"/>
    <w:rsid w:val="0011573C"/>
    <w:rsid w:val="001B0A73"/>
    <w:rsid w:val="001C2334"/>
    <w:rsid w:val="001C78C5"/>
    <w:rsid w:val="00211DD6"/>
    <w:rsid w:val="00251D0D"/>
    <w:rsid w:val="002B5AAD"/>
    <w:rsid w:val="002C4B57"/>
    <w:rsid w:val="002D3E4F"/>
    <w:rsid w:val="003478E7"/>
    <w:rsid w:val="00350296"/>
    <w:rsid w:val="003665A3"/>
    <w:rsid w:val="0037321D"/>
    <w:rsid w:val="00373BB4"/>
    <w:rsid w:val="003935B6"/>
    <w:rsid w:val="003C3CD7"/>
    <w:rsid w:val="003F61AE"/>
    <w:rsid w:val="00411ACC"/>
    <w:rsid w:val="00431407"/>
    <w:rsid w:val="00452AA1"/>
    <w:rsid w:val="004A7D4C"/>
    <w:rsid w:val="004B3005"/>
    <w:rsid w:val="004D05FC"/>
    <w:rsid w:val="004D0A88"/>
    <w:rsid w:val="004F531A"/>
    <w:rsid w:val="00502800"/>
    <w:rsid w:val="005344E6"/>
    <w:rsid w:val="00587C73"/>
    <w:rsid w:val="0060736E"/>
    <w:rsid w:val="00616E44"/>
    <w:rsid w:val="00630F1C"/>
    <w:rsid w:val="00665AB9"/>
    <w:rsid w:val="006A4312"/>
    <w:rsid w:val="006B119A"/>
    <w:rsid w:val="006C29A3"/>
    <w:rsid w:val="006F4D7B"/>
    <w:rsid w:val="007100B6"/>
    <w:rsid w:val="00720427"/>
    <w:rsid w:val="007461D9"/>
    <w:rsid w:val="007B43D1"/>
    <w:rsid w:val="007B522A"/>
    <w:rsid w:val="00805680"/>
    <w:rsid w:val="00851A31"/>
    <w:rsid w:val="00867EBB"/>
    <w:rsid w:val="008B4F62"/>
    <w:rsid w:val="008D46E7"/>
    <w:rsid w:val="00944E5E"/>
    <w:rsid w:val="00977373"/>
    <w:rsid w:val="009A204D"/>
    <w:rsid w:val="009B7BBA"/>
    <w:rsid w:val="009E7FD0"/>
    <w:rsid w:val="00A13649"/>
    <w:rsid w:val="00A16F78"/>
    <w:rsid w:val="00A31A40"/>
    <w:rsid w:val="00A870AE"/>
    <w:rsid w:val="00A87FF8"/>
    <w:rsid w:val="00A9775C"/>
    <w:rsid w:val="00A97BD2"/>
    <w:rsid w:val="00AE395F"/>
    <w:rsid w:val="00B15B4F"/>
    <w:rsid w:val="00B40DD4"/>
    <w:rsid w:val="00B61F99"/>
    <w:rsid w:val="00B92A09"/>
    <w:rsid w:val="00BB2DB5"/>
    <w:rsid w:val="00BB7C4D"/>
    <w:rsid w:val="00C44F85"/>
    <w:rsid w:val="00C52468"/>
    <w:rsid w:val="00C5331E"/>
    <w:rsid w:val="00C6654C"/>
    <w:rsid w:val="00C7287C"/>
    <w:rsid w:val="00C979AC"/>
    <w:rsid w:val="00CB6CAB"/>
    <w:rsid w:val="00CC5679"/>
    <w:rsid w:val="00CF27A5"/>
    <w:rsid w:val="00D557D4"/>
    <w:rsid w:val="00D65E6A"/>
    <w:rsid w:val="00D734B3"/>
    <w:rsid w:val="00D759EC"/>
    <w:rsid w:val="00E05DF7"/>
    <w:rsid w:val="00E0754F"/>
    <w:rsid w:val="00E155A9"/>
    <w:rsid w:val="00E258A0"/>
    <w:rsid w:val="00E377BE"/>
    <w:rsid w:val="00E456BF"/>
    <w:rsid w:val="00E61D5F"/>
    <w:rsid w:val="00E71D54"/>
    <w:rsid w:val="00E7274F"/>
    <w:rsid w:val="00E81C8C"/>
    <w:rsid w:val="00E82A72"/>
    <w:rsid w:val="00ED7717"/>
    <w:rsid w:val="00F15567"/>
    <w:rsid w:val="00F37296"/>
    <w:rsid w:val="00F702DE"/>
    <w:rsid w:val="00F802AB"/>
    <w:rsid w:val="00F94465"/>
    <w:rsid w:val="00FB398A"/>
    <w:rsid w:val="00FE0B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B0084-D77D-4F87-A19A-DE3373D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B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D54"/>
    <w:pPr>
      <w:spacing w:after="0" w:line="240" w:lineRule="auto"/>
    </w:pPr>
  </w:style>
  <w:style w:type="table" w:styleId="TableGrid">
    <w:name w:val="Table Grid"/>
    <w:basedOn w:val="TableNormal"/>
    <w:uiPriority w:val="59"/>
    <w:rsid w:val="00B40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321D"/>
    <w:pPr>
      <w:widowControl/>
      <w:spacing w:after="200" w:line="276" w:lineRule="auto"/>
      <w:ind w:left="720"/>
      <w:contextualSpacing/>
    </w:pPr>
    <w:rPr>
      <w:rFonts w:ascii="Arial" w:eastAsia="Calibri" w:hAnsi="Arial"/>
      <w:snapToGrid/>
      <w:szCs w:val="22"/>
    </w:rPr>
  </w:style>
  <w:style w:type="paragraph" w:styleId="Header">
    <w:name w:val="header"/>
    <w:basedOn w:val="Normal"/>
    <w:link w:val="HeaderChar"/>
    <w:uiPriority w:val="99"/>
    <w:semiHidden/>
    <w:unhideWhenUsed/>
    <w:rsid w:val="000244A9"/>
    <w:pPr>
      <w:tabs>
        <w:tab w:val="center" w:pos="4680"/>
        <w:tab w:val="right" w:pos="9360"/>
      </w:tabs>
    </w:pPr>
  </w:style>
  <w:style w:type="character" w:customStyle="1" w:styleId="HeaderChar">
    <w:name w:val="Header Char"/>
    <w:basedOn w:val="DefaultParagraphFont"/>
    <w:link w:val="Header"/>
    <w:uiPriority w:val="99"/>
    <w:semiHidden/>
    <w:rsid w:val="000244A9"/>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244A9"/>
    <w:pPr>
      <w:tabs>
        <w:tab w:val="center" w:pos="4680"/>
        <w:tab w:val="right" w:pos="9360"/>
      </w:tabs>
    </w:pPr>
  </w:style>
  <w:style w:type="character" w:customStyle="1" w:styleId="FooterChar">
    <w:name w:val="Footer Char"/>
    <w:basedOn w:val="DefaultParagraphFont"/>
    <w:link w:val="Footer"/>
    <w:uiPriority w:val="99"/>
    <w:rsid w:val="000244A9"/>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E82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72"/>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E82A72"/>
    <w:rPr>
      <w:sz w:val="16"/>
      <w:szCs w:val="16"/>
    </w:rPr>
  </w:style>
  <w:style w:type="paragraph" w:styleId="CommentText">
    <w:name w:val="annotation text"/>
    <w:basedOn w:val="Normal"/>
    <w:link w:val="CommentTextChar"/>
    <w:uiPriority w:val="99"/>
    <w:semiHidden/>
    <w:unhideWhenUsed/>
    <w:rsid w:val="00E82A72"/>
    <w:rPr>
      <w:sz w:val="20"/>
    </w:rPr>
  </w:style>
  <w:style w:type="character" w:customStyle="1" w:styleId="CommentTextChar">
    <w:name w:val="Comment Text Char"/>
    <w:basedOn w:val="DefaultParagraphFont"/>
    <w:link w:val="CommentText"/>
    <w:uiPriority w:val="99"/>
    <w:semiHidden/>
    <w:rsid w:val="00E82A72"/>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82A72"/>
    <w:rPr>
      <w:b/>
      <w:bCs/>
    </w:rPr>
  </w:style>
  <w:style w:type="character" w:customStyle="1" w:styleId="CommentSubjectChar">
    <w:name w:val="Comment Subject Char"/>
    <w:basedOn w:val="CommentTextChar"/>
    <w:link w:val="CommentSubject"/>
    <w:uiPriority w:val="99"/>
    <w:semiHidden/>
    <w:rsid w:val="00E82A72"/>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Villasanta</dc:creator>
  <cp:lastModifiedBy>Pavel Bronnikov</cp:lastModifiedBy>
  <cp:revision>11</cp:revision>
  <cp:lastPrinted>2016-04-07T01:07:00Z</cp:lastPrinted>
  <dcterms:created xsi:type="dcterms:W3CDTF">2016-05-27T01:33:00Z</dcterms:created>
  <dcterms:modified xsi:type="dcterms:W3CDTF">2016-05-27T12:32:00Z</dcterms:modified>
</cp:coreProperties>
</file>