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4564" w:type="dxa"/>
        <w:tblInd w:w="-1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4564"/>
      </w:tblGrid>
      <w:tr w:rsidR="00CB6A57" w:rsidRPr="00B22617" w:rsidTr="000A33A0">
        <w:trPr>
          <w:tblHeader/>
        </w:trPr>
        <w:tc>
          <w:tcPr>
            <w:tcW w:w="14564" w:type="dxa"/>
            <w:shd w:val="clear" w:color="auto" w:fill="DBE5F1" w:themeFill="accent1" w:themeFillTint="33"/>
          </w:tcPr>
          <w:p w:rsidR="00CB6A57" w:rsidRPr="00B22617" w:rsidRDefault="00CB6A57" w:rsidP="00A377EB">
            <w:pPr>
              <w:spacing w:before="120" w:after="120"/>
              <w:jc w:val="center"/>
              <w:rPr>
                <w:rFonts w:asciiTheme="minorHAnsi" w:hAnsiTheme="minorHAnsi"/>
                <w:b/>
                <w:sz w:val="20"/>
              </w:rPr>
            </w:pPr>
            <w:r w:rsidRPr="00B22617">
              <w:rPr>
                <w:rFonts w:asciiTheme="minorHAnsi" w:hAnsiTheme="minorHAnsi"/>
                <w:b/>
                <w:sz w:val="20"/>
              </w:rPr>
              <w:t xml:space="preserve">Individual Action Plan Update for </w:t>
            </w:r>
            <w:r w:rsidR="00A377EB">
              <w:rPr>
                <w:rFonts w:asciiTheme="minorHAnsi" w:hAnsiTheme="minorHAnsi"/>
                <w:b/>
                <w:sz w:val="20"/>
              </w:rPr>
              <w:t>United States</w:t>
            </w:r>
            <w:r w:rsidRPr="00B22617">
              <w:rPr>
                <w:rFonts w:asciiTheme="minorHAnsi" w:hAnsiTheme="minorHAnsi"/>
                <w:b/>
                <w:sz w:val="20"/>
              </w:rPr>
              <w:t xml:space="preserve"> for </w:t>
            </w:r>
            <w:r w:rsidR="00A377EB">
              <w:rPr>
                <w:rFonts w:asciiTheme="minorHAnsi" w:hAnsiTheme="minorHAnsi"/>
                <w:b/>
                <w:sz w:val="20"/>
              </w:rPr>
              <w:t>2012 - April 2014</w:t>
            </w:r>
            <w:r w:rsidR="00D179F6" w:rsidRPr="00B22617">
              <w:rPr>
                <w:rFonts w:asciiTheme="minorHAnsi" w:hAnsiTheme="minorHAnsi"/>
                <w:b/>
                <w:sz w:val="20"/>
              </w:rPr>
              <w:fldChar w:fldCharType="begin" w:fldLock="1">
                <w:ffData>
                  <w:name w:val="Text30"/>
                  <w:enabled/>
                  <w:calcOnExit w:val="0"/>
                  <w:textInput>
                    <w:default w:val="{Year}"/>
                  </w:textInput>
                </w:ffData>
              </w:fldChar>
            </w:r>
            <w:r w:rsidRPr="00B22617">
              <w:rPr>
                <w:rFonts w:asciiTheme="minorHAnsi" w:hAnsiTheme="minorHAnsi"/>
                <w:b/>
                <w:sz w:val="20"/>
              </w:rPr>
              <w:instrText xml:space="preserve"> FORMTEXT </w:instrText>
            </w:r>
            <w:r w:rsidR="00FD5A7E" w:rsidRPr="00B22617">
              <w:rPr>
                <w:rFonts w:asciiTheme="minorHAnsi" w:hAnsiTheme="minorHAnsi"/>
                <w:b/>
                <w:sz w:val="20"/>
              </w:rPr>
            </w:r>
            <w:r w:rsidR="00FD5A7E" w:rsidRPr="00B22617">
              <w:rPr>
                <w:rFonts w:asciiTheme="minorHAnsi" w:hAnsiTheme="minorHAnsi"/>
                <w:b/>
                <w:sz w:val="20"/>
              </w:rPr>
              <w:fldChar w:fldCharType="separate"/>
            </w:r>
            <w:r w:rsidR="00D179F6" w:rsidRPr="00B22617">
              <w:rPr>
                <w:rFonts w:asciiTheme="minorHAnsi" w:hAnsiTheme="minorHAnsi"/>
                <w:b/>
                <w:sz w:val="20"/>
              </w:rPr>
              <w:fldChar w:fldCharType="end"/>
            </w:r>
          </w:p>
        </w:tc>
      </w:tr>
      <w:tr w:rsidR="00CB6A57" w:rsidRPr="00B22617">
        <w:trPr>
          <w:tblHeader/>
        </w:trPr>
        <w:tc>
          <w:tcPr>
            <w:tcW w:w="14564" w:type="dxa"/>
          </w:tcPr>
          <w:p w:rsidR="00CB6A57" w:rsidRPr="00B22617" w:rsidRDefault="00CB6A57">
            <w:pPr>
              <w:spacing w:before="120" w:after="120"/>
              <w:jc w:val="both"/>
              <w:rPr>
                <w:rFonts w:asciiTheme="minorHAnsi" w:hAnsiTheme="minorHAnsi"/>
                <w:b/>
                <w:i/>
                <w:sz w:val="20"/>
              </w:rPr>
            </w:pPr>
            <w:r w:rsidRPr="00B22617">
              <w:rPr>
                <w:rFonts w:asciiTheme="minorHAnsi" w:hAnsiTheme="minorHAnsi"/>
                <w:b/>
                <w:i/>
                <w:sz w:val="20"/>
              </w:rPr>
              <w:br/>
            </w:r>
            <w:bookmarkStart w:id="0" w:name="Highlights"/>
            <w:bookmarkEnd w:id="0"/>
            <w:r w:rsidRPr="00B22617">
              <w:rPr>
                <w:rFonts w:asciiTheme="minorHAnsi" w:hAnsiTheme="minorHAnsi"/>
                <w:b/>
                <w:i/>
                <w:sz w:val="20"/>
              </w:rPr>
              <w:t xml:space="preserve">Highlights of recent policy developments which indicate how [economy] is progressing towards the Bogor Goals and key challenges it faces in its efforts to meet the Goals. </w:t>
            </w:r>
          </w:p>
        </w:tc>
      </w:tr>
      <w:tr w:rsidR="00CB6A57" w:rsidRPr="00B22617">
        <w:trPr>
          <w:tblHeader/>
        </w:trPr>
        <w:tc>
          <w:tcPr>
            <w:tcW w:w="14564" w:type="dxa"/>
          </w:tcPr>
          <w:p w:rsidR="00CB6A57" w:rsidRPr="00B22617" w:rsidRDefault="00CB6A57">
            <w:pPr>
              <w:spacing w:before="120" w:after="120"/>
              <w:rPr>
                <w:rFonts w:asciiTheme="minorHAnsi" w:hAnsiTheme="minorHAnsi"/>
                <w:bCs/>
                <w:i/>
                <w:sz w:val="20"/>
              </w:rPr>
            </w:pPr>
            <w:r w:rsidRPr="00B22617">
              <w:rPr>
                <w:rFonts w:asciiTheme="minorHAnsi" w:hAnsiTheme="minorHAnsi"/>
                <w:bCs/>
                <w:i/>
                <w:sz w:val="20"/>
              </w:rPr>
              <w:br/>
            </w:r>
            <w:r w:rsidRPr="00B22617">
              <w:rPr>
                <w:rFonts w:asciiTheme="minorHAnsi" w:hAnsiTheme="minorHAnsi"/>
                <w:bCs/>
                <w:i/>
                <w:sz w:val="20"/>
              </w:rPr>
              <w:br/>
            </w:r>
          </w:p>
        </w:tc>
      </w:tr>
    </w:tbl>
    <w:p w:rsidR="00CB6A57" w:rsidRPr="00B22617" w:rsidRDefault="00CB6A57">
      <w:pPr>
        <w:rPr>
          <w:rFonts w:asciiTheme="minorHAnsi" w:hAnsiTheme="minorHAnsi"/>
          <w:sz w:val="20"/>
        </w:rPr>
      </w:pPr>
    </w:p>
    <w:tbl>
      <w:tblPr>
        <w:tblW w:w="14581" w:type="dxa"/>
        <w:tblInd w:w="-1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524"/>
        <w:gridCol w:w="5387"/>
        <w:gridCol w:w="5670"/>
      </w:tblGrid>
      <w:tr w:rsidR="00CB6A57" w:rsidRPr="00B22617" w:rsidTr="000A33A0">
        <w:trPr>
          <w:tblHeader/>
        </w:trPr>
        <w:tc>
          <w:tcPr>
            <w:tcW w:w="3524" w:type="dxa"/>
            <w:shd w:val="clear" w:color="auto" w:fill="C6D9F1" w:themeFill="text2" w:themeFillTint="33"/>
          </w:tcPr>
          <w:p w:rsidR="00CB6A57" w:rsidRPr="00B22617" w:rsidRDefault="00CB6A57">
            <w:pPr>
              <w:pStyle w:val="Subtitle"/>
              <w:spacing w:before="60" w:after="60"/>
              <w:jc w:val="center"/>
              <w:rPr>
                <w:rFonts w:asciiTheme="minorHAnsi" w:hAnsiTheme="minorHAnsi"/>
                <w:sz w:val="20"/>
              </w:rPr>
            </w:pPr>
            <w:r w:rsidRPr="00B22617">
              <w:rPr>
                <w:rFonts w:asciiTheme="minorHAnsi" w:hAnsiTheme="minorHAnsi"/>
                <w:sz w:val="20"/>
              </w:rPr>
              <w:t>IAP Chapter (and Sub-Chapter and Section Heading, if any)</w:t>
            </w:r>
            <w:r w:rsidR="008F223D" w:rsidRPr="00B22617">
              <w:rPr>
                <w:rFonts w:asciiTheme="minorHAnsi" w:hAnsiTheme="minorHAnsi"/>
                <w:b w:val="0"/>
                <w:sz w:val="20"/>
                <w:vertAlign w:val="superscript"/>
                <w:lang w:eastAsia="zh-TW"/>
              </w:rPr>
              <w:t xml:space="preserve"> </w:t>
            </w:r>
          </w:p>
        </w:tc>
        <w:tc>
          <w:tcPr>
            <w:tcW w:w="5387" w:type="dxa"/>
            <w:shd w:val="clear" w:color="auto" w:fill="C6D9F1" w:themeFill="text2" w:themeFillTint="33"/>
          </w:tcPr>
          <w:p w:rsidR="00CB6A57" w:rsidRPr="00B22617" w:rsidRDefault="00CB6A57">
            <w:pPr>
              <w:spacing w:before="60" w:after="60"/>
              <w:jc w:val="center"/>
              <w:rPr>
                <w:rFonts w:asciiTheme="minorHAnsi" w:hAnsiTheme="minorHAnsi"/>
                <w:b/>
                <w:sz w:val="20"/>
                <w:vertAlign w:val="superscript"/>
                <w:lang w:eastAsia="zh-TW"/>
              </w:rPr>
            </w:pPr>
            <w:r w:rsidRPr="00B22617">
              <w:rPr>
                <w:rFonts w:asciiTheme="minorHAnsi" w:hAnsiTheme="minorHAnsi"/>
                <w:b/>
                <w:sz w:val="20"/>
              </w:rPr>
              <w:t xml:space="preserve">Improvements made since </w:t>
            </w:r>
            <w:r w:rsidRPr="00B22617">
              <w:rPr>
                <w:rFonts w:asciiTheme="minorHAnsi" w:hAnsiTheme="minorHAnsi"/>
                <w:b/>
                <w:sz w:val="20"/>
                <w:lang w:eastAsia="zh-TW"/>
              </w:rPr>
              <w:t xml:space="preserve"> [Year]</w:t>
            </w:r>
            <w:r w:rsidRPr="00B22617">
              <w:rPr>
                <w:rFonts w:asciiTheme="minorHAnsi" w:hAnsiTheme="minorHAnsi"/>
                <w:b/>
                <w:sz w:val="20"/>
              </w:rPr>
              <w:t xml:space="preserve"> IAP </w:t>
            </w:r>
          </w:p>
        </w:tc>
        <w:tc>
          <w:tcPr>
            <w:tcW w:w="5670" w:type="dxa"/>
            <w:shd w:val="clear" w:color="auto" w:fill="C6D9F1" w:themeFill="text2" w:themeFillTint="33"/>
          </w:tcPr>
          <w:p w:rsidR="00CB6A57" w:rsidRPr="00B22617" w:rsidRDefault="00CB6A57">
            <w:pPr>
              <w:spacing w:before="60" w:after="60"/>
              <w:jc w:val="center"/>
              <w:rPr>
                <w:rFonts w:asciiTheme="minorHAnsi" w:hAnsiTheme="minorHAnsi"/>
                <w:b/>
                <w:sz w:val="20"/>
              </w:rPr>
            </w:pPr>
            <w:r w:rsidRPr="00B22617">
              <w:rPr>
                <w:rFonts w:asciiTheme="minorHAnsi" w:hAnsiTheme="minorHAnsi"/>
                <w:b/>
                <w:sz w:val="20"/>
              </w:rPr>
              <w:t>Further Improvements Planned</w:t>
            </w:r>
            <w:r w:rsidR="008F223D" w:rsidRPr="00B22617">
              <w:rPr>
                <w:rFonts w:asciiTheme="minorHAnsi" w:hAnsiTheme="minorHAnsi"/>
                <w:b/>
                <w:sz w:val="20"/>
                <w:vertAlign w:val="superscript"/>
                <w:lang w:eastAsia="zh-TW"/>
              </w:rPr>
              <w:t xml:space="preserve"> </w:t>
            </w:r>
          </w:p>
        </w:tc>
      </w:tr>
      <w:tr w:rsidR="00CB6A57" w:rsidRPr="00B22617">
        <w:trPr>
          <w:trHeight w:val="648"/>
        </w:trPr>
        <w:tc>
          <w:tcPr>
            <w:tcW w:w="3524" w:type="dxa"/>
          </w:tcPr>
          <w:p w:rsidR="00CB6A57" w:rsidRPr="00B22617" w:rsidRDefault="00CB6A57">
            <w:pPr>
              <w:pStyle w:val="Heading9"/>
              <w:rPr>
                <w:rFonts w:asciiTheme="minorHAnsi" w:hAnsiTheme="minorHAnsi"/>
              </w:rPr>
            </w:pPr>
            <w:bookmarkStart w:id="1" w:name="Row01"/>
            <w:r w:rsidRPr="00B22617">
              <w:rPr>
                <w:rFonts w:asciiTheme="minorHAnsi" w:hAnsiTheme="minorHAnsi"/>
              </w:rPr>
              <w:t>Tariffs</w:t>
            </w:r>
            <w:bookmarkEnd w:id="1"/>
          </w:p>
        </w:tc>
        <w:tc>
          <w:tcPr>
            <w:tcW w:w="5387" w:type="dxa"/>
          </w:tcPr>
          <w:p w:rsidR="00EE0640" w:rsidRPr="00EE0640" w:rsidRDefault="00EE0640" w:rsidP="00EE0640">
            <w:pPr>
              <w:rPr>
                <w:rFonts w:asciiTheme="minorHAnsi" w:hAnsiTheme="minorHAnsi" w:cs="Arial"/>
                <w:sz w:val="20"/>
                <w:lang w:val="en-US"/>
              </w:rPr>
            </w:pPr>
            <w:bookmarkStart w:id="2" w:name="Cell01"/>
            <w:bookmarkEnd w:id="2"/>
            <w:r w:rsidRPr="00EE0640">
              <w:rPr>
                <w:rFonts w:asciiTheme="minorHAnsi" w:hAnsiTheme="minorHAnsi" w:cs="Arial"/>
                <w:sz w:val="20"/>
              </w:rPr>
              <w:t xml:space="preserve">The U.S. economy is among the most open in the world.  In 2013, 70 percent of imports for consumption entered the United States duty-free.  The U.S. trade-weighted applied tariff average in 2013, including preferences and FTAs, was 1.4 percent.  </w:t>
            </w:r>
          </w:p>
          <w:p w:rsidR="00EE0640" w:rsidRPr="00EE0640" w:rsidRDefault="00EE0640" w:rsidP="00EE0640">
            <w:pPr>
              <w:rPr>
                <w:rFonts w:asciiTheme="minorHAnsi" w:hAnsiTheme="minorHAnsi" w:cs="Arial"/>
                <w:sz w:val="20"/>
              </w:rPr>
            </w:pPr>
          </w:p>
          <w:p w:rsidR="00EE0640" w:rsidRPr="00EE0640" w:rsidRDefault="00EE0640" w:rsidP="00EE0640">
            <w:pPr>
              <w:rPr>
                <w:rFonts w:asciiTheme="minorHAnsi" w:hAnsiTheme="minorHAnsi" w:cs="Arial"/>
                <w:sz w:val="20"/>
              </w:rPr>
            </w:pPr>
            <w:r w:rsidRPr="00EE0640">
              <w:rPr>
                <w:rFonts w:asciiTheme="minorHAnsi" w:hAnsiTheme="minorHAnsi" w:cs="Arial"/>
                <w:sz w:val="20"/>
              </w:rPr>
              <w:t>The United States has implemented Free Trade Agreements (FTAs) with 20 countries, including six agreements with seven APEC economies. Since 2011 the United States has implemented FTAs with Korea, Colombia, and Panama.</w:t>
            </w:r>
          </w:p>
          <w:p w:rsidR="00C52482" w:rsidRPr="00EE0640" w:rsidRDefault="00C52482" w:rsidP="0001261C">
            <w:pPr>
              <w:rPr>
                <w:rFonts w:asciiTheme="minorHAnsi" w:hAnsiTheme="minorHAnsi" w:cs="Arial"/>
                <w:i/>
                <w:color w:val="808080"/>
                <w:sz w:val="20"/>
              </w:rPr>
            </w:pPr>
          </w:p>
        </w:tc>
        <w:tc>
          <w:tcPr>
            <w:tcW w:w="5670" w:type="dxa"/>
          </w:tcPr>
          <w:p w:rsidR="00EE0640" w:rsidRPr="00EE0640" w:rsidRDefault="00EE0640" w:rsidP="00EE0640">
            <w:pPr>
              <w:rPr>
                <w:rFonts w:asciiTheme="minorHAnsi" w:hAnsiTheme="minorHAnsi" w:cs="Arial"/>
                <w:sz w:val="20"/>
                <w:lang w:val="en-US"/>
              </w:rPr>
            </w:pPr>
            <w:bookmarkStart w:id="3" w:name="Cell02"/>
            <w:bookmarkEnd w:id="3"/>
            <w:r w:rsidRPr="00EE0640">
              <w:rPr>
                <w:rFonts w:asciiTheme="minorHAnsi" w:hAnsiTheme="minorHAnsi" w:cs="Arial"/>
                <w:sz w:val="20"/>
              </w:rPr>
              <w:t xml:space="preserve">The United States is negotiating the Trans-Pacific Partnership with eleven other APEC economies, which will include binding commitments to market access, including tariffs, across all sectors.  </w:t>
            </w:r>
          </w:p>
          <w:p w:rsidR="00EE0640" w:rsidRPr="00EE0640" w:rsidRDefault="00EE0640" w:rsidP="00EE0640">
            <w:pPr>
              <w:rPr>
                <w:rFonts w:asciiTheme="minorHAnsi" w:hAnsiTheme="minorHAnsi" w:cs="Arial"/>
                <w:sz w:val="20"/>
              </w:rPr>
            </w:pPr>
          </w:p>
          <w:p w:rsidR="00EE0640" w:rsidRPr="00EE0640" w:rsidRDefault="00EE0640" w:rsidP="00EE0640">
            <w:pPr>
              <w:rPr>
                <w:rFonts w:asciiTheme="minorHAnsi" w:hAnsiTheme="minorHAnsi" w:cs="Arial"/>
                <w:sz w:val="20"/>
              </w:rPr>
            </w:pPr>
            <w:r w:rsidRPr="00EE0640">
              <w:rPr>
                <w:rFonts w:asciiTheme="minorHAnsi" w:hAnsiTheme="minorHAnsi" w:cs="Arial"/>
                <w:sz w:val="20"/>
              </w:rPr>
              <w:t xml:space="preserve">The United States is working with other APEC economies to carry out Leaders instructions to conclude negotiations on expanding the WTO Information Technology Agreement.  We have also announced our intent to enter into negotiations on a new trade agreement in the WTO aimed at eliminating tariffs on a wide range of environmental goods. </w:t>
            </w:r>
          </w:p>
          <w:p w:rsidR="00EE0640" w:rsidRPr="00EE0640" w:rsidRDefault="00EE0640" w:rsidP="00EE0640">
            <w:pPr>
              <w:rPr>
                <w:rFonts w:asciiTheme="minorHAnsi" w:hAnsiTheme="minorHAnsi" w:cs="Arial"/>
                <w:sz w:val="20"/>
              </w:rPr>
            </w:pPr>
          </w:p>
          <w:p w:rsidR="00C52482" w:rsidRPr="00EE0640" w:rsidRDefault="00EE0640" w:rsidP="00EE0640">
            <w:pPr>
              <w:rPr>
                <w:rFonts w:asciiTheme="minorHAnsi" w:hAnsiTheme="minorHAnsi" w:cs="Arial"/>
                <w:color w:val="808080"/>
                <w:sz w:val="20"/>
              </w:rPr>
            </w:pPr>
            <w:r w:rsidRPr="00EE0640">
              <w:rPr>
                <w:rFonts w:asciiTheme="minorHAnsi" w:hAnsiTheme="minorHAnsi" w:cs="Arial"/>
                <w:sz w:val="20"/>
              </w:rPr>
              <w:t xml:space="preserve"> The United States has implemented </w:t>
            </w:r>
            <w:proofErr w:type="spellStart"/>
            <w:r w:rsidRPr="00EE0640">
              <w:rPr>
                <w:rFonts w:asciiTheme="minorHAnsi" w:hAnsiTheme="minorHAnsi" w:cs="Arial"/>
                <w:sz w:val="20"/>
              </w:rPr>
              <w:t>WebTR</w:t>
            </w:r>
            <w:proofErr w:type="spellEnd"/>
            <w:r w:rsidRPr="00EE0640">
              <w:rPr>
                <w:rFonts w:asciiTheme="minorHAnsi" w:hAnsiTheme="minorHAnsi" w:cs="Arial"/>
                <w:sz w:val="20"/>
              </w:rPr>
              <w:t xml:space="preserve">, and will continue to make its tariff regime as transparent as possible, including keeping current its online tools and making them as user-friendly as possible.  </w:t>
            </w:r>
          </w:p>
        </w:tc>
      </w:tr>
      <w:tr w:rsidR="00C52482" w:rsidRPr="00B22617" w:rsidTr="009E28DA">
        <w:trPr>
          <w:trHeight w:val="212"/>
        </w:trPr>
        <w:tc>
          <w:tcPr>
            <w:tcW w:w="3524" w:type="dxa"/>
          </w:tcPr>
          <w:p w:rsidR="00C52482" w:rsidRPr="00B22617" w:rsidRDefault="00C52482">
            <w:pPr>
              <w:pStyle w:val="Heading9"/>
              <w:rPr>
                <w:rFonts w:asciiTheme="minorHAnsi" w:hAnsiTheme="minorHAnsi"/>
                <w:color w:val="808080"/>
              </w:rPr>
            </w:pPr>
            <w:r w:rsidRPr="00B22617">
              <w:rPr>
                <w:rFonts w:asciiTheme="minorHAnsi" w:hAnsiTheme="minorHAnsi"/>
                <w:b w:val="0"/>
                <w:color w:val="808080"/>
              </w:rPr>
              <w:t xml:space="preserve">Website for further information:  </w:t>
            </w:r>
          </w:p>
        </w:tc>
        <w:tc>
          <w:tcPr>
            <w:tcW w:w="5387" w:type="dxa"/>
          </w:tcPr>
          <w:p w:rsidR="00C52482" w:rsidRPr="00B22617" w:rsidRDefault="00EE0640">
            <w:pPr>
              <w:rPr>
                <w:rFonts w:asciiTheme="minorHAnsi" w:hAnsiTheme="minorHAnsi" w:cs="Arial"/>
                <w:i/>
                <w:sz w:val="20"/>
              </w:rPr>
            </w:pPr>
            <w:hyperlink r:id="rId7" w:history="1">
              <w:r w:rsidRPr="00DA1F2A">
                <w:rPr>
                  <w:rStyle w:val="Hyperlink"/>
                  <w:rFonts w:asciiTheme="minorHAnsi" w:hAnsiTheme="minorHAnsi" w:cs="Arial"/>
                  <w:i/>
                  <w:sz w:val="20"/>
                </w:rPr>
                <w:t>www.ustr.gov</w:t>
              </w:r>
            </w:hyperlink>
          </w:p>
        </w:tc>
        <w:tc>
          <w:tcPr>
            <w:tcW w:w="5670" w:type="dxa"/>
          </w:tcPr>
          <w:p w:rsidR="00C52482" w:rsidRPr="00B22617" w:rsidRDefault="00C52482">
            <w:pPr>
              <w:rPr>
                <w:rFonts w:asciiTheme="minorHAnsi" w:hAnsiTheme="minorHAnsi" w:cs="Arial"/>
                <w:i/>
                <w:sz w:val="20"/>
              </w:rPr>
            </w:pPr>
          </w:p>
        </w:tc>
      </w:tr>
      <w:tr w:rsidR="00C52482" w:rsidRPr="00B22617" w:rsidTr="009E28DA">
        <w:trPr>
          <w:trHeight w:val="230"/>
        </w:trPr>
        <w:tc>
          <w:tcPr>
            <w:tcW w:w="3524" w:type="dxa"/>
          </w:tcPr>
          <w:p w:rsidR="00C52482" w:rsidRPr="00B22617" w:rsidRDefault="00C52482">
            <w:pPr>
              <w:pStyle w:val="Heading9"/>
              <w:rPr>
                <w:rFonts w:asciiTheme="minorHAnsi" w:hAnsiTheme="minorHAnsi"/>
                <w:color w:val="808080"/>
              </w:rPr>
            </w:pPr>
            <w:r w:rsidRPr="00B22617">
              <w:rPr>
                <w:rFonts w:asciiTheme="minorHAnsi" w:hAnsiTheme="minorHAnsi"/>
                <w:b w:val="0"/>
                <w:color w:val="808080"/>
              </w:rPr>
              <w:t>Contact point for further details:</w:t>
            </w:r>
          </w:p>
        </w:tc>
        <w:tc>
          <w:tcPr>
            <w:tcW w:w="5387" w:type="dxa"/>
          </w:tcPr>
          <w:p w:rsidR="00C52482" w:rsidRPr="00B22617" w:rsidRDefault="00EE0640">
            <w:pPr>
              <w:rPr>
                <w:rFonts w:asciiTheme="minorHAnsi" w:hAnsiTheme="minorHAnsi" w:cs="Arial"/>
                <w:i/>
                <w:sz w:val="20"/>
              </w:rPr>
            </w:pPr>
            <w:hyperlink r:id="rId8" w:history="1">
              <w:r w:rsidRPr="00DA1F2A">
                <w:rPr>
                  <w:rStyle w:val="Hyperlink"/>
                  <w:rFonts w:asciiTheme="minorHAnsi" w:hAnsiTheme="minorHAnsi" w:cs="Arial"/>
                  <w:i/>
                  <w:sz w:val="20"/>
                </w:rPr>
                <w:t>Edward_Brzytwa@ustr.eop.gov</w:t>
              </w:r>
            </w:hyperlink>
            <w:r>
              <w:rPr>
                <w:rFonts w:asciiTheme="minorHAnsi" w:hAnsiTheme="minorHAnsi" w:cs="Arial"/>
                <w:i/>
                <w:sz w:val="20"/>
              </w:rPr>
              <w:t xml:space="preserve"> </w:t>
            </w:r>
            <w:bookmarkStart w:id="4" w:name="_GoBack"/>
            <w:bookmarkEnd w:id="4"/>
          </w:p>
        </w:tc>
        <w:tc>
          <w:tcPr>
            <w:tcW w:w="5670" w:type="dxa"/>
          </w:tcPr>
          <w:p w:rsidR="00C52482" w:rsidRPr="00B22617" w:rsidRDefault="00C52482">
            <w:pPr>
              <w:rPr>
                <w:rFonts w:asciiTheme="minorHAnsi" w:hAnsiTheme="minorHAnsi" w:cs="Arial"/>
                <w:i/>
                <w:sz w:val="20"/>
              </w:rPr>
            </w:pPr>
          </w:p>
        </w:tc>
      </w:tr>
      <w:tr w:rsidR="001F22A2" w:rsidRPr="00B22617">
        <w:trPr>
          <w:trHeight w:val="627"/>
        </w:trPr>
        <w:tc>
          <w:tcPr>
            <w:tcW w:w="3524" w:type="dxa"/>
          </w:tcPr>
          <w:p w:rsidR="001F22A2" w:rsidRPr="00B22617" w:rsidRDefault="001F22A2">
            <w:pPr>
              <w:rPr>
                <w:rFonts w:asciiTheme="minorHAnsi" w:hAnsiTheme="minorHAnsi"/>
                <w:b/>
                <w:i/>
                <w:sz w:val="20"/>
              </w:rPr>
            </w:pPr>
            <w:bookmarkStart w:id="5" w:name="Row2"/>
            <w:r w:rsidRPr="00B22617">
              <w:rPr>
                <w:rFonts w:asciiTheme="minorHAnsi" w:hAnsiTheme="minorHAnsi"/>
                <w:b/>
                <w:i/>
                <w:sz w:val="20"/>
              </w:rPr>
              <w:t>Non-Tariff Measures</w:t>
            </w:r>
            <w:bookmarkEnd w:id="5"/>
          </w:p>
        </w:tc>
        <w:tc>
          <w:tcPr>
            <w:tcW w:w="5387" w:type="dxa"/>
          </w:tcPr>
          <w:p w:rsidR="001F22A2" w:rsidRPr="00647304" w:rsidRDefault="00647304">
            <w:pPr>
              <w:rPr>
                <w:rFonts w:asciiTheme="minorHAnsi" w:hAnsiTheme="minorHAnsi"/>
                <w:b/>
                <w:color w:val="808080"/>
                <w:sz w:val="20"/>
              </w:rPr>
            </w:pPr>
            <w:bookmarkStart w:id="6" w:name="Cell03"/>
            <w:bookmarkEnd w:id="6"/>
            <w:r w:rsidRPr="00647304">
              <w:rPr>
                <w:rFonts w:asciiTheme="minorHAnsi" w:hAnsiTheme="minorHAnsi" w:cs="Arial"/>
                <w:b/>
                <w:sz w:val="20"/>
              </w:rPr>
              <w:t xml:space="preserve">No changes since 2011. </w:t>
            </w:r>
          </w:p>
        </w:tc>
        <w:tc>
          <w:tcPr>
            <w:tcW w:w="5670" w:type="dxa"/>
          </w:tcPr>
          <w:p w:rsidR="001F22A2" w:rsidRPr="00B22617" w:rsidRDefault="001F22A2">
            <w:pPr>
              <w:rPr>
                <w:rFonts w:asciiTheme="minorHAnsi" w:hAnsiTheme="minorHAnsi"/>
                <w:color w:val="808080"/>
                <w:sz w:val="20"/>
              </w:rPr>
            </w:pPr>
            <w:bookmarkStart w:id="7" w:name="Cell04"/>
            <w:bookmarkEnd w:id="7"/>
            <w:r w:rsidRPr="00B22617">
              <w:rPr>
                <w:rFonts w:asciiTheme="minorHAnsi" w:hAnsiTheme="minorHAnsi" w:cs="Arial"/>
                <w:i/>
                <w:color w:val="808080"/>
                <w:sz w:val="20"/>
              </w:rPr>
              <w:t>Provide brief points only</w:t>
            </w:r>
          </w:p>
        </w:tc>
      </w:tr>
      <w:tr w:rsidR="00C65AD1" w:rsidRPr="00B22617" w:rsidTr="009E28DA">
        <w:trPr>
          <w:trHeight w:val="200"/>
        </w:trPr>
        <w:tc>
          <w:tcPr>
            <w:tcW w:w="3524" w:type="dxa"/>
          </w:tcPr>
          <w:p w:rsidR="00C65AD1" w:rsidRPr="00B22617" w:rsidRDefault="00C65AD1" w:rsidP="009E28DA">
            <w:pPr>
              <w:pStyle w:val="Heading9"/>
              <w:rPr>
                <w:rFonts w:asciiTheme="minorHAnsi" w:hAnsiTheme="minorHAnsi"/>
                <w:b w:val="0"/>
                <w:color w:val="808080"/>
              </w:rPr>
            </w:pPr>
            <w:r w:rsidRPr="00B22617">
              <w:rPr>
                <w:rFonts w:asciiTheme="minorHAnsi" w:hAnsiTheme="minorHAnsi"/>
                <w:b w:val="0"/>
                <w:color w:val="808080"/>
              </w:rPr>
              <w:t xml:space="preserve">Website for further information:  </w:t>
            </w:r>
          </w:p>
        </w:tc>
        <w:tc>
          <w:tcPr>
            <w:tcW w:w="5387" w:type="dxa"/>
          </w:tcPr>
          <w:p w:rsidR="00C65AD1" w:rsidRPr="00B22617" w:rsidRDefault="00C65AD1" w:rsidP="009E28DA">
            <w:pPr>
              <w:pStyle w:val="Heading9"/>
              <w:rPr>
                <w:rFonts w:asciiTheme="minorHAnsi" w:hAnsiTheme="minorHAnsi"/>
                <w:b w:val="0"/>
              </w:rPr>
            </w:pPr>
          </w:p>
        </w:tc>
        <w:tc>
          <w:tcPr>
            <w:tcW w:w="5670" w:type="dxa"/>
          </w:tcPr>
          <w:p w:rsidR="00C65AD1" w:rsidRPr="00B22617" w:rsidRDefault="00C65AD1" w:rsidP="009E28DA">
            <w:pPr>
              <w:pStyle w:val="Heading9"/>
              <w:rPr>
                <w:rFonts w:asciiTheme="minorHAnsi" w:hAnsiTheme="minorHAnsi"/>
                <w:b w:val="0"/>
              </w:rPr>
            </w:pPr>
          </w:p>
        </w:tc>
      </w:tr>
      <w:tr w:rsidR="00C65AD1" w:rsidRPr="00B22617" w:rsidTr="009E28DA">
        <w:trPr>
          <w:trHeight w:val="245"/>
        </w:trPr>
        <w:tc>
          <w:tcPr>
            <w:tcW w:w="3524" w:type="dxa"/>
          </w:tcPr>
          <w:p w:rsidR="00C65AD1" w:rsidRPr="00B22617" w:rsidRDefault="00C65AD1" w:rsidP="009E28DA">
            <w:pPr>
              <w:pStyle w:val="Heading9"/>
              <w:rPr>
                <w:rFonts w:asciiTheme="minorHAnsi" w:hAnsiTheme="minorHAnsi"/>
                <w:b w:val="0"/>
                <w:color w:val="808080"/>
              </w:rPr>
            </w:pPr>
            <w:r w:rsidRPr="00B22617">
              <w:rPr>
                <w:rFonts w:asciiTheme="minorHAnsi" w:hAnsiTheme="minorHAnsi"/>
                <w:b w:val="0"/>
                <w:color w:val="808080"/>
              </w:rPr>
              <w:t>Contact p</w:t>
            </w:r>
            <w:r w:rsidR="00C52482" w:rsidRPr="00B22617">
              <w:rPr>
                <w:rFonts w:asciiTheme="minorHAnsi" w:hAnsiTheme="minorHAnsi"/>
                <w:b w:val="0"/>
                <w:color w:val="808080"/>
              </w:rPr>
              <w:t>oint for further details</w:t>
            </w:r>
            <w:r w:rsidRPr="00B22617">
              <w:rPr>
                <w:rFonts w:asciiTheme="minorHAnsi" w:hAnsiTheme="minorHAnsi"/>
                <w:b w:val="0"/>
                <w:color w:val="808080"/>
              </w:rPr>
              <w:t xml:space="preserve">: </w:t>
            </w:r>
          </w:p>
        </w:tc>
        <w:tc>
          <w:tcPr>
            <w:tcW w:w="5387" w:type="dxa"/>
          </w:tcPr>
          <w:p w:rsidR="00C65AD1" w:rsidRPr="00B22617" w:rsidRDefault="00C65AD1" w:rsidP="009E28DA">
            <w:pPr>
              <w:pStyle w:val="Heading9"/>
              <w:rPr>
                <w:rFonts w:asciiTheme="minorHAnsi" w:hAnsiTheme="minorHAnsi"/>
                <w:b w:val="0"/>
              </w:rPr>
            </w:pPr>
          </w:p>
        </w:tc>
        <w:tc>
          <w:tcPr>
            <w:tcW w:w="5670" w:type="dxa"/>
          </w:tcPr>
          <w:p w:rsidR="00C65AD1" w:rsidRPr="00B22617" w:rsidRDefault="00C65AD1" w:rsidP="009E28DA">
            <w:pPr>
              <w:pStyle w:val="Heading9"/>
              <w:rPr>
                <w:rFonts w:asciiTheme="minorHAnsi" w:hAnsiTheme="minorHAnsi"/>
                <w:b w:val="0"/>
              </w:rPr>
            </w:pPr>
          </w:p>
        </w:tc>
      </w:tr>
      <w:tr w:rsidR="001F22A2" w:rsidRPr="00B22617">
        <w:tc>
          <w:tcPr>
            <w:tcW w:w="3524" w:type="dxa"/>
          </w:tcPr>
          <w:p w:rsidR="001F22A2" w:rsidRPr="00B22617" w:rsidRDefault="001F22A2">
            <w:pPr>
              <w:rPr>
                <w:rFonts w:asciiTheme="minorHAnsi" w:hAnsiTheme="minorHAnsi"/>
                <w:b/>
                <w:i/>
                <w:sz w:val="20"/>
              </w:rPr>
            </w:pPr>
            <w:bookmarkStart w:id="8" w:name="Row3"/>
            <w:r w:rsidRPr="00B22617">
              <w:rPr>
                <w:rFonts w:asciiTheme="minorHAnsi" w:hAnsiTheme="minorHAnsi"/>
                <w:b/>
                <w:i/>
                <w:sz w:val="20"/>
              </w:rPr>
              <w:t>Services</w:t>
            </w:r>
            <w:bookmarkEnd w:id="8"/>
          </w:p>
          <w:p w:rsidR="001F22A2" w:rsidRPr="00B22617" w:rsidRDefault="001F22A2">
            <w:pPr>
              <w:rPr>
                <w:rFonts w:asciiTheme="minorHAnsi" w:hAnsiTheme="minorHAnsi"/>
                <w:b/>
                <w:i/>
                <w:sz w:val="20"/>
              </w:rPr>
            </w:pPr>
          </w:p>
        </w:tc>
        <w:tc>
          <w:tcPr>
            <w:tcW w:w="5387" w:type="dxa"/>
          </w:tcPr>
          <w:p w:rsidR="001F22A2" w:rsidRPr="00B22617" w:rsidRDefault="001F22A2">
            <w:pPr>
              <w:rPr>
                <w:rFonts w:asciiTheme="minorHAnsi" w:hAnsiTheme="minorHAnsi"/>
                <w:color w:val="808080"/>
                <w:sz w:val="20"/>
              </w:rPr>
            </w:pPr>
            <w:bookmarkStart w:id="9" w:name="Cell05"/>
            <w:bookmarkEnd w:id="9"/>
            <w:r w:rsidRPr="00B22617">
              <w:rPr>
                <w:rFonts w:asciiTheme="minorHAnsi" w:hAnsiTheme="minorHAnsi" w:cs="Arial"/>
                <w:i/>
                <w:color w:val="808080"/>
                <w:sz w:val="20"/>
              </w:rPr>
              <w:t>Provide brief points only</w:t>
            </w:r>
          </w:p>
        </w:tc>
        <w:tc>
          <w:tcPr>
            <w:tcW w:w="5670" w:type="dxa"/>
          </w:tcPr>
          <w:p w:rsidR="001F22A2" w:rsidRPr="00B22617" w:rsidRDefault="001F22A2">
            <w:pPr>
              <w:rPr>
                <w:rFonts w:asciiTheme="minorHAnsi" w:hAnsiTheme="minorHAnsi"/>
                <w:color w:val="808080"/>
                <w:sz w:val="20"/>
              </w:rPr>
            </w:pPr>
            <w:bookmarkStart w:id="10" w:name="Cell06"/>
            <w:bookmarkEnd w:id="10"/>
            <w:r w:rsidRPr="00B22617">
              <w:rPr>
                <w:rFonts w:asciiTheme="minorHAnsi" w:hAnsiTheme="minorHAnsi" w:cs="Arial"/>
                <w:i/>
                <w:color w:val="808080"/>
                <w:sz w:val="20"/>
              </w:rPr>
              <w:t>Provide brief points only</w:t>
            </w:r>
          </w:p>
        </w:tc>
      </w:tr>
      <w:tr w:rsidR="001A1859" w:rsidRPr="00B22617">
        <w:tc>
          <w:tcPr>
            <w:tcW w:w="3524" w:type="dxa"/>
          </w:tcPr>
          <w:p w:rsidR="001A1859" w:rsidRPr="00B22617" w:rsidRDefault="001A1859">
            <w:pPr>
              <w:rPr>
                <w:rFonts w:asciiTheme="minorHAnsi" w:hAnsiTheme="minorHAnsi"/>
                <w:i/>
                <w:color w:val="808080"/>
                <w:sz w:val="20"/>
              </w:rPr>
            </w:pPr>
            <w:r w:rsidRPr="00B22617">
              <w:rPr>
                <w:rFonts w:asciiTheme="minorHAnsi" w:hAnsiTheme="minorHAnsi"/>
                <w:i/>
                <w:color w:val="808080"/>
                <w:sz w:val="20"/>
              </w:rPr>
              <w:t xml:space="preserve">Website for further information:  </w:t>
            </w:r>
          </w:p>
        </w:tc>
        <w:tc>
          <w:tcPr>
            <w:tcW w:w="5387" w:type="dxa"/>
          </w:tcPr>
          <w:p w:rsidR="001A1859" w:rsidRPr="00B22617" w:rsidRDefault="001A1859">
            <w:pPr>
              <w:rPr>
                <w:rFonts w:asciiTheme="minorHAnsi" w:hAnsiTheme="minorHAnsi" w:cs="Arial"/>
                <w:i/>
                <w:sz w:val="20"/>
              </w:rPr>
            </w:pPr>
          </w:p>
        </w:tc>
        <w:tc>
          <w:tcPr>
            <w:tcW w:w="5670" w:type="dxa"/>
          </w:tcPr>
          <w:p w:rsidR="001A1859" w:rsidRPr="00B22617" w:rsidRDefault="001A1859">
            <w:pPr>
              <w:rPr>
                <w:rFonts w:asciiTheme="minorHAnsi" w:hAnsiTheme="minorHAnsi" w:cs="Arial"/>
                <w:i/>
                <w:sz w:val="20"/>
              </w:rPr>
            </w:pPr>
          </w:p>
        </w:tc>
      </w:tr>
      <w:tr w:rsidR="001A1859" w:rsidRPr="00B22617">
        <w:tc>
          <w:tcPr>
            <w:tcW w:w="3524" w:type="dxa"/>
          </w:tcPr>
          <w:p w:rsidR="001A1859" w:rsidRPr="00B22617" w:rsidRDefault="001A1859">
            <w:pPr>
              <w:rPr>
                <w:rFonts w:asciiTheme="minorHAnsi" w:hAnsiTheme="minorHAnsi"/>
                <w:i/>
                <w:color w:val="808080"/>
                <w:sz w:val="20"/>
              </w:rPr>
            </w:pPr>
            <w:r w:rsidRPr="00B22617">
              <w:rPr>
                <w:rFonts w:asciiTheme="minorHAnsi" w:hAnsiTheme="minorHAnsi"/>
                <w:i/>
                <w:color w:val="808080"/>
                <w:sz w:val="20"/>
              </w:rPr>
              <w:t>Contact point for further details:</w:t>
            </w:r>
          </w:p>
        </w:tc>
        <w:tc>
          <w:tcPr>
            <w:tcW w:w="5387" w:type="dxa"/>
          </w:tcPr>
          <w:p w:rsidR="001A1859" w:rsidRPr="00B22617" w:rsidRDefault="001A1859">
            <w:pPr>
              <w:rPr>
                <w:rFonts w:asciiTheme="minorHAnsi" w:hAnsiTheme="minorHAnsi" w:cs="Arial"/>
                <w:i/>
                <w:sz w:val="20"/>
              </w:rPr>
            </w:pPr>
          </w:p>
        </w:tc>
        <w:tc>
          <w:tcPr>
            <w:tcW w:w="5670" w:type="dxa"/>
          </w:tcPr>
          <w:p w:rsidR="001A1859" w:rsidRPr="00B22617" w:rsidRDefault="001A1859">
            <w:pPr>
              <w:rPr>
                <w:rFonts w:asciiTheme="minorHAnsi" w:hAnsiTheme="minorHAnsi" w:cs="Arial"/>
                <w:i/>
                <w:sz w:val="20"/>
              </w:rPr>
            </w:pPr>
          </w:p>
        </w:tc>
      </w:tr>
      <w:tr w:rsidR="001F22A2" w:rsidRPr="00B22617">
        <w:tc>
          <w:tcPr>
            <w:tcW w:w="3524" w:type="dxa"/>
          </w:tcPr>
          <w:p w:rsidR="001F22A2" w:rsidRPr="00B22617" w:rsidRDefault="001F22A2">
            <w:pPr>
              <w:rPr>
                <w:rFonts w:asciiTheme="minorHAnsi" w:hAnsiTheme="minorHAnsi"/>
                <w:b/>
                <w:i/>
                <w:sz w:val="20"/>
              </w:rPr>
            </w:pPr>
            <w:bookmarkStart w:id="11" w:name="Row4"/>
            <w:r w:rsidRPr="00B22617">
              <w:rPr>
                <w:rFonts w:asciiTheme="minorHAnsi" w:hAnsiTheme="minorHAnsi"/>
                <w:b/>
                <w:i/>
                <w:sz w:val="20"/>
              </w:rPr>
              <w:t>Investment</w:t>
            </w:r>
            <w:bookmarkEnd w:id="11"/>
          </w:p>
          <w:p w:rsidR="001F22A2" w:rsidRPr="00B22617" w:rsidRDefault="001F22A2">
            <w:pPr>
              <w:rPr>
                <w:rFonts w:asciiTheme="minorHAnsi" w:hAnsiTheme="minorHAnsi"/>
                <w:b/>
                <w:i/>
                <w:sz w:val="20"/>
              </w:rPr>
            </w:pPr>
          </w:p>
        </w:tc>
        <w:tc>
          <w:tcPr>
            <w:tcW w:w="5387" w:type="dxa"/>
          </w:tcPr>
          <w:p w:rsidR="001F22A2" w:rsidRPr="00B22617" w:rsidRDefault="001F22A2">
            <w:pPr>
              <w:rPr>
                <w:rFonts w:asciiTheme="minorHAnsi" w:hAnsiTheme="minorHAnsi"/>
                <w:color w:val="808080"/>
                <w:sz w:val="20"/>
              </w:rPr>
            </w:pPr>
            <w:bookmarkStart w:id="12" w:name="Cell07"/>
            <w:bookmarkEnd w:id="12"/>
            <w:r w:rsidRPr="00B22617">
              <w:rPr>
                <w:rFonts w:asciiTheme="minorHAnsi" w:hAnsiTheme="minorHAnsi" w:cs="Arial"/>
                <w:i/>
                <w:color w:val="808080"/>
                <w:sz w:val="20"/>
              </w:rPr>
              <w:t>Provide brief points only</w:t>
            </w:r>
          </w:p>
        </w:tc>
        <w:tc>
          <w:tcPr>
            <w:tcW w:w="5670" w:type="dxa"/>
          </w:tcPr>
          <w:p w:rsidR="001F22A2" w:rsidRPr="00B22617" w:rsidRDefault="001F22A2">
            <w:pPr>
              <w:rPr>
                <w:rFonts w:asciiTheme="minorHAnsi" w:hAnsiTheme="minorHAnsi"/>
                <w:color w:val="808080"/>
                <w:sz w:val="20"/>
              </w:rPr>
            </w:pPr>
            <w:bookmarkStart w:id="13" w:name="Cell08"/>
            <w:bookmarkEnd w:id="13"/>
            <w:r w:rsidRPr="00B22617">
              <w:rPr>
                <w:rFonts w:asciiTheme="minorHAnsi" w:hAnsiTheme="minorHAnsi" w:cs="Arial"/>
                <w:i/>
                <w:color w:val="808080"/>
                <w:sz w:val="20"/>
              </w:rPr>
              <w:t>Provide brief points only</w:t>
            </w:r>
          </w:p>
        </w:tc>
      </w:tr>
      <w:tr w:rsidR="001A1859" w:rsidRPr="00B22617">
        <w:tc>
          <w:tcPr>
            <w:tcW w:w="3524" w:type="dxa"/>
          </w:tcPr>
          <w:p w:rsidR="001A1859" w:rsidRPr="00B22617" w:rsidRDefault="001A1859" w:rsidP="009E28DA">
            <w:pPr>
              <w:pStyle w:val="Heading9"/>
              <w:rPr>
                <w:rFonts w:asciiTheme="minorHAnsi" w:hAnsiTheme="minorHAnsi"/>
                <w:b w:val="0"/>
                <w:color w:val="808080"/>
              </w:rPr>
            </w:pPr>
            <w:r w:rsidRPr="00B22617">
              <w:rPr>
                <w:rFonts w:asciiTheme="minorHAnsi" w:hAnsiTheme="minorHAnsi"/>
                <w:b w:val="0"/>
                <w:color w:val="808080"/>
              </w:rPr>
              <w:t xml:space="preserve">Website for further information:  </w:t>
            </w:r>
          </w:p>
        </w:tc>
        <w:tc>
          <w:tcPr>
            <w:tcW w:w="5387" w:type="dxa"/>
          </w:tcPr>
          <w:p w:rsidR="001A1859" w:rsidRPr="00B22617" w:rsidRDefault="001A1859" w:rsidP="009E28DA">
            <w:pPr>
              <w:pStyle w:val="Heading9"/>
              <w:rPr>
                <w:rFonts w:asciiTheme="minorHAnsi" w:hAnsiTheme="minorHAnsi"/>
                <w:b w:val="0"/>
              </w:rPr>
            </w:pPr>
          </w:p>
        </w:tc>
        <w:tc>
          <w:tcPr>
            <w:tcW w:w="5670" w:type="dxa"/>
          </w:tcPr>
          <w:p w:rsidR="001A1859" w:rsidRPr="00B22617" w:rsidRDefault="001A1859" w:rsidP="009E28DA">
            <w:pPr>
              <w:pStyle w:val="Heading9"/>
              <w:rPr>
                <w:rFonts w:asciiTheme="minorHAnsi" w:hAnsiTheme="minorHAnsi"/>
                <w:b w:val="0"/>
              </w:rPr>
            </w:pPr>
          </w:p>
        </w:tc>
      </w:tr>
      <w:tr w:rsidR="001A1859" w:rsidRPr="00B22617">
        <w:tc>
          <w:tcPr>
            <w:tcW w:w="3524" w:type="dxa"/>
          </w:tcPr>
          <w:p w:rsidR="001A1859" w:rsidRPr="00B22617" w:rsidRDefault="001A1859" w:rsidP="009E28DA">
            <w:pPr>
              <w:pStyle w:val="Heading9"/>
              <w:rPr>
                <w:rFonts w:asciiTheme="minorHAnsi" w:hAnsiTheme="minorHAnsi"/>
                <w:b w:val="0"/>
                <w:color w:val="808080"/>
              </w:rPr>
            </w:pPr>
            <w:r w:rsidRPr="00B22617">
              <w:rPr>
                <w:rFonts w:asciiTheme="minorHAnsi" w:hAnsiTheme="minorHAnsi"/>
                <w:b w:val="0"/>
                <w:color w:val="808080"/>
              </w:rPr>
              <w:t>Contact point for further details:</w:t>
            </w:r>
          </w:p>
        </w:tc>
        <w:tc>
          <w:tcPr>
            <w:tcW w:w="5387" w:type="dxa"/>
          </w:tcPr>
          <w:p w:rsidR="001A1859" w:rsidRPr="00B22617" w:rsidRDefault="001A1859" w:rsidP="009E28DA">
            <w:pPr>
              <w:pStyle w:val="Heading9"/>
              <w:rPr>
                <w:rFonts w:asciiTheme="minorHAnsi" w:hAnsiTheme="minorHAnsi"/>
                <w:b w:val="0"/>
              </w:rPr>
            </w:pPr>
          </w:p>
        </w:tc>
        <w:tc>
          <w:tcPr>
            <w:tcW w:w="5670" w:type="dxa"/>
          </w:tcPr>
          <w:p w:rsidR="001A1859" w:rsidRPr="00B22617" w:rsidRDefault="001A1859" w:rsidP="009E28DA">
            <w:pPr>
              <w:pStyle w:val="Heading9"/>
              <w:rPr>
                <w:rFonts w:asciiTheme="minorHAnsi" w:hAnsiTheme="minorHAnsi"/>
                <w:b w:val="0"/>
              </w:rPr>
            </w:pPr>
          </w:p>
        </w:tc>
      </w:tr>
      <w:tr w:rsidR="001F22A2" w:rsidRPr="00B22617">
        <w:tc>
          <w:tcPr>
            <w:tcW w:w="3524" w:type="dxa"/>
          </w:tcPr>
          <w:p w:rsidR="001F22A2" w:rsidRPr="00B22617" w:rsidRDefault="001F22A2">
            <w:pPr>
              <w:rPr>
                <w:rFonts w:asciiTheme="minorHAnsi" w:hAnsiTheme="minorHAnsi"/>
                <w:b/>
                <w:i/>
                <w:sz w:val="20"/>
              </w:rPr>
            </w:pPr>
            <w:bookmarkStart w:id="14" w:name="Row5"/>
            <w:r w:rsidRPr="00B22617">
              <w:rPr>
                <w:rFonts w:asciiTheme="minorHAnsi" w:hAnsiTheme="minorHAnsi"/>
                <w:b/>
                <w:i/>
                <w:sz w:val="20"/>
              </w:rPr>
              <w:t>Standards and Conformance</w:t>
            </w:r>
            <w:bookmarkEnd w:id="14"/>
          </w:p>
          <w:p w:rsidR="001F22A2" w:rsidRPr="00B22617" w:rsidRDefault="001F22A2">
            <w:pPr>
              <w:rPr>
                <w:rFonts w:asciiTheme="minorHAnsi" w:hAnsiTheme="minorHAnsi"/>
                <w:b/>
                <w:i/>
                <w:sz w:val="20"/>
              </w:rPr>
            </w:pPr>
          </w:p>
        </w:tc>
        <w:tc>
          <w:tcPr>
            <w:tcW w:w="5387" w:type="dxa"/>
          </w:tcPr>
          <w:p w:rsidR="001F22A2" w:rsidRPr="00B22617" w:rsidRDefault="001F22A2">
            <w:pPr>
              <w:rPr>
                <w:rFonts w:asciiTheme="minorHAnsi" w:hAnsiTheme="minorHAnsi"/>
                <w:color w:val="808080"/>
                <w:sz w:val="20"/>
              </w:rPr>
            </w:pPr>
            <w:bookmarkStart w:id="15" w:name="Cell09"/>
            <w:bookmarkEnd w:id="15"/>
            <w:r w:rsidRPr="00B22617">
              <w:rPr>
                <w:rFonts w:asciiTheme="minorHAnsi" w:hAnsiTheme="minorHAnsi" w:cs="Arial"/>
                <w:i/>
                <w:color w:val="808080"/>
                <w:sz w:val="20"/>
              </w:rPr>
              <w:t>Provide brief points only</w:t>
            </w:r>
          </w:p>
        </w:tc>
        <w:tc>
          <w:tcPr>
            <w:tcW w:w="5670" w:type="dxa"/>
          </w:tcPr>
          <w:p w:rsidR="001F22A2" w:rsidRPr="00B22617" w:rsidRDefault="001F22A2">
            <w:pPr>
              <w:rPr>
                <w:rFonts w:asciiTheme="minorHAnsi" w:hAnsiTheme="minorHAnsi"/>
                <w:color w:val="808080"/>
                <w:sz w:val="20"/>
              </w:rPr>
            </w:pPr>
            <w:bookmarkStart w:id="16" w:name="Cell10"/>
            <w:bookmarkEnd w:id="16"/>
            <w:r w:rsidRPr="00B22617">
              <w:rPr>
                <w:rFonts w:asciiTheme="minorHAnsi" w:hAnsiTheme="minorHAnsi" w:cs="Arial"/>
                <w:i/>
                <w:color w:val="808080"/>
                <w:sz w:val="20"/>
              </w:rPr>
              <w:t>Provide brief points only</w:t>
            </w:r>
          </w:p>
        </w:tc>
      </w:tr>
      <w:tr w:rsidR="001A1859" w:rsidRPr="00B22617">
        <w:tc>
          <w:tcPr>
            <w:tcW w:w="3524" w:type="dxa"/>
          </w:tcPr>
          <w:p w:rsidR="001A1859" w:rsidRPr="00B22617" w:rsidRDefault="001A1859" w:rsidP="009E28DA">
            <w:pPr>
              <w:pStyle w:val="Heading9"/>
              <w:rPr>
                <w:rFonts w:asciiTheme="minorHAnsi" w:hAnsiTheme="minorHAnsi"/>
                <w:b w:val="0"/>
                <w:color w:val="808080"/>
              </w:rPr>
            </w:pPr>
            <w:r w:rsidRPr="00B22617">
              <w:rPr>
                <w:rFonts w:asciiTheme="minorHAnsi" w:hAnsiTheme="minorHAnsi"/>
                <w:b w:val="0"/>
                <w:color w:val="808080"/>
              </w:rPr>
              <w:t xml:space="preserve">Website for further information:  </w:t>
            </w:r>
          </w:p>
        </w:tc>
        <w:tc>
          <w:tcPr>
            <w:tcW w:w="5387" w:type="dxa"/>
          </w:tcPr>
          <w:p w:rsidR="001A1859" w:rsidRPr="00B22617" w:rsidRDefault="001A1859" w:rsidP="009E28DA">
            <w:pPr>
              <w:pStyle w:val="Heading9"/>
              <w:rPr>
                <w:rFonts w:asciiTheme="minorHAnsi" w:hAnsiTheme="minorHAnsi"/>
                <w:b w:val="0"/>
              </w:rPr>
            </w:pPr>
          </w:p>
        </w:tc>
        <w:tc>
          <w:tcPr>
            <w:tcW w:w="5670" w:type="dxa"/>
          </w:tcPr>
          <w:p w:rsidR="001A1859" w:rsidRPr="00B22617" w:rsidRDefault="001A1859" w:rsidP="009E28DA">
            <w:pPr>
              <w:pStyle w:val="Heading9"/>
              <w:rPr>
                <w:rFonts w:asciiTheme="minorHAnsi" w:hAnsiTheme="minorHAnsi"/>
                <w:b w:val="0"/>
              </w:rPr>
            </w:pPr>
          </w:p>
        </w:tc>
      </w:tr>
      <w:tr w:rsidR="008F223D" w:rsidRPr="00B22617">
        <w:tc>
          <w:tcPr>
            <w:tcW w:w="3524" w:type="dxa"/>
          </w:tcPr>
          <w:p w:rsidR="001A1859" w:rsidRPr="00B22617" w:rsidRDefault="001A1859" w:rsidP="009E28DA">
            <w:pPr>
              <w:pStyle w:val="Heading9"/>
              <w:rPr>
                <w:rFonts w:asciiTheme="minorHAnsi" w:hAnsiTheme="minorHAnsi"/>
                <w:b w:val="0"/>
                <w:color w:val="808080"/>
              </w:rPr>
            </w:pPr>
            <w:r w:rsidRPr="00B22617">
              <w:rPr>
                <w:rFonts w:asciiTheme="minorHAnsi" w:hAnsiTheme="minorHAnsi"/>
                <w:b w:val="0"/>
                <w:color w:val="808080"/>
              </w:rPr>
              <w:t>Contact point for further details:</w:t>
            </w:r>
          </w:p>
        </w:tc>
        <w:tc>
          <w:tcPr>
            <w:tcW w:w="5387" w:type="dxa"/>
          </w:tcPr>
          <w:p w:rsidR="001A1859" w:rsidRPr="00B22617" w:rsidRDefault="00647304" w:rsidP="009E28DA">
            <w:pPr>
              <w:pStyle w:val="Heading9"/>
              <w:rPr>
                <w:rFonts w:asciiTheme="minorHAnsi" w:hAnsiTheme="minorHAnsi"/>
                <w:b w:val="0"/>
              </w:rPr>
            </w:pPr>
            <w:hyperlink r:id="rId9" w:history="1">
              <w:r w:rsidRPr="00DA1F2A">
                <w:rPr>
                  <w:rStyle w:val="Hyperlink"/>
                  <w:rFonts w:asciiTheme="minorHAnsi" w:hAnsiTheme="minorHAnsi"/>
                  <w:b w:val="0"/>
                </w:rPr>
                <w:t>Jennifer_A_Stradtman@ustr.eop.gov</w:t>
              </w:r>
            </w:hyperlink>
            <w:r>
              <w:rPr>
                <w:rFonts w:asciiTheme="minorHAnsi" w:hAnsiTheme="minorHAnsi"/>
                <w:b w:val="0"/>
              </w:rPr>
              <w:t xml:space="preserve">; </w:t>
            </w:r>
            <w:hyperlink r:id="rId10" w:history="1">
              <w:r w:rsidRPr="00DA1F2A">
                <w:rPr>
                  <w:rStyle w:val="Hyperlink"/>
                  <w:rFonts w:asciiTheme="minorHAnsi" w:hAnsiTheme="minorHAnsi"/>
                  <w:b w:val="0"/>
                </w:rPr>
                <w:t>Edward_Brzytwa@ustr.eop.gov</w:t>
              </w:r>
            </w:hyperlink>
            <w:r>
              <w:rPr>
                <w:rFonts w:asciiTheme="minorHAnsi" w:hAnsiTheme="minorHAnsi"/>
                <w:b w:val="0"/>
              </w:rPr>
              <w:t xml:space="preserve">  </w:t>
            </w:r>
          </w:p>
        </w:tc>
        <w:tc>
          <w:tcPr>
            <w:tcW w:w="5670" w:type="dxa"/>
          </w:tcPr>
          <w:p w:rsidR="001A1859" w:rsidRPr="00B22617" w:rsidRDefault="001A1859" w:rsidP="009E28DA">
            <w:pPr>
              <w:pStyle w:val="Heading9"/>
              <w:rPr>
                <w:rFonts w:asciiTheme="minorHAnsi" w:hAnsiTheme="minorHAnsi"/>
                <w:b w:val="0"/>
              </w:rPr>
            </w:pPr>
          </w:p>
        </w:tc>
      </w:tr>
      <w:tr w:rsidR="001F22A2" w:rsidRPr="00B22617">
        <w:tc>
          <w:tcPr>
            <w:tcW w:w="3524" w:type="dxa"/>
          </w:tcPr>
          <w:p w:rsidR="001F22A2" w:rsidRPr="00B22617" w:rsidRDefault="001F22A2">
            <w:pPr>
              <w:rPr>
                <w:rFonts w:asciiTheme="minorHAnsi" w:hAnsiTheme="minorHAnsi"/>
                <w:b/>
                <w:i/>
                <w:sz w:val="20"/>
              </w:rPr>
            </w:pPr>
            <w:bookmarkStart w:id="17" w:name="Row6"/>
            <w:r w:rsidRPr="00B22617">
              <w:rPr>
                <w:rFonts w:asciiTheme="minorHAnsi" w:hAnsiTheme="minorHAnsi"/>
                <w:b/>
                <w:i/>
                <w:sz w:val="20"/>
              </w:rPr>
              <w:t>Customs Procedures</w:t>
            </w:r>
            <w:bookmarkEnd w:id="17"/>
          </w:p>
          <w:p w:rsidR="001F22A2" w:rsidRPr="00B22617" w:rsidRDefault="001F22A2">
            <w:pPr>
              <w:rPr>
                <w:rFonts w:asciiTheme="minorHAnsi" w:hAnsiTheme="minorHAnsi"/>
                <w:b/>
                <w:i/>
                <w:sz w:val="20"/>
              </w:rPr>
            </w:pPr>
          </w:p>
        </w:tc>
        <w:tc>
          <w:tcPr>
            <w:tcW w:w="5387" w:type="dxa"/>
          </w:tcPr>
          <w:p w:rsidR="00FD5A7E" w:rsidRPr="00B22617" w:rsidRDefault="00FD5A7E" w:rsidP="00FD5A7E">
            <w:pPr>
              <w:rPr>
                <w:rFonts w:asciiTheme="minorHAnsi" w:hAnsiTheme="minorHAnsi" w:cs="Arial"/>
                <w:sz w:val="20"/>
                <w:lang w:val="en-US"/>
              </w:rPr>
            </w:pPr>
            <w:bookmarkStart w:id="18" w:name="Cell11"/>
            <w:bookmarkEnd w:id="18"/>
            <w:r w:rsidRPr="00B22617">
              <w:rPr>
                <w:rFonts w:asciiTheme="minorHAnsi" w:hAnsiTheme="minorHAnsi" w:cs="Arial"/>
                <w:b/>
                <w:sz w:val="20"/>
              </w:rPr>
              <w:lastRenderedPageBreak/>
              <w:t>Single Window:</w:t>
            </w:r>
            <w:r w:rsidRPr="00B22617">
              <w:rPr>
                <w:rFonts w:asciiTheme="minorHAnsi" w:hAnsiTheme="minorHAnsi" w:cs="Arial"/>
                <w:sz w:val="20"/>
              </w:rPr>
              <w:t xml:space="preserve">  The Automated Commercial Environment (ACE) is the commercial trade processing system being developed by the U.S. Customs and Border Protection (CBP) to facilitate trade while strengthening border security.  The ACE Secure Data Portal, essentially a customized web page, connects CBP, the trade community, and participating government agencies by providing a single, centralized, online access point for communications and information related to cargo shipments.  As of February 2014, there are more than 22,600 ACE portal accounts for trade users, including 3,700 importer accounts, 1,435 broker accounts, and 17,500 carrier accounts.  More than $125 billion in duties and fees have been paid through the ACE monthly statement process since the first payment was made in July 2004.</w:t>
            </w:r>
          </w:p>
          <w:p w:rsidR="00FD5A7E" w:rsidRPr="00B22617" w:rsidRDefault="00FD5A7E" w:rsidP="00FD5A7E">
            <w:pPr>
              <w:rPr>
                <w:rFonts w:asciiTheme="minorHAnsi" w:hAnsiTheme="minorHAnsi" w:cs="Arial"/>
                <w:sz w:val="20"/>
              </w:rPr>
            </w:pPr>
          </w:p>
          <w:p w:rsidR="00FD5A7E" w:rsidRPr="00B22617" w:rsidRDefault="00FD5A7E" w:rsidP="00FD5A7E">
            <w:pPr>
              <w:rPr>
                <w:rFonts w:asciiTheme="minorHAnsi" w:hAnsiTheme="minorHAnsi" w:cs="Arial"/>
                <w:sz w:val="20"/>
              </w:rPr>
            </w:pPr>
            <w:r w:rsidRPr="00B22617">
              <w:rPr>
                <w:rFonts w:asciiTheme="minorHAnsi" w:hAnsiTheme="minorHAnsi" w:cs="Arial"/>
                <w:sz w:val="20"/>
              </w:rPr>
              <w:t>The International Trade Data System (ITDS) is a program that is ensuring inter-agency participation in ACE.  Through ITDS efforts, ACE will provide a “single window” for collecting and sharing trade data with agencies that are responsible for ensuring the compliance of imported and exported cargo with U.S. laws.  To date, there are 49 Participating Government Agencies (PGAs) in ITDS. </w:t>
            </w:r>
          </w:p>
          <w:p w:rsidR="00FD5A7E" w:rsidRPr="00B22617" w:rsidRDefault="00FD5A7E" w:rsidP="00FD5A7E">
            <w:pPr>
              <w:rPr>
                <w:rFonts w:asciiTheme="minorHAnsi" w:hAnsiTheme="minorHAnsi" w:cs="Arial"/>
                <w:sz w:val="20"/>
              </w:rPr>
            </w:pPr>
          </w:p>
          <w:p w:rsidR="00FD5A7E" w:rsidRPr="00B22617" w:rsidRDefault="00FD5A7E" w:rsidP="00FD5A7E">
            <w:pPr>
              <w:rPr>
                <w:rFonts w:asciiTheme="minorHAnsi" w:hAnsiTheme="minorHAnsi" w:cs="Arial"/>
                <w:sz w:val="20"/>
              </w:rPr>
            </w:pPr>
            <w:r w:rsidRPr="00B22617">
              <w:rPr>
                <w:rFonts w:asciiTheme="minorHAnsi" w:hAnsiTheme="minorHAnsi" w:cs="Arial"/>
                <w:sz w:val="20"/>
              </w:rPr>
              <w:t xml:space="preserve">An APEC Single Window, as the first milestone of its Single Window Collective Action Plan (CAP), endorsed by APEC in 2011, a regional Single Window Workshop was held in Chinese Taipei in 2011.  A second regional workshop on Single Window was held in Malaysia in October 2012.  However, the discussions at these workshops were preliminary, focusing on identifying the factors that led to success in single window implementation.  Those factors were identified as:  the economy’s situation (economic, political, etc.), strong leading agencies, political will, budget, operational-level leadership, and interoperability.  </w:t>
            </w:r>
          </w:p>
          <w:p w:rsidR="00FD5A7E" w:rsidRPr="00B22617" w:rsidRDefault="00FD5A7E" w:rsidP="00FD5A7E">
            <w:pPr>
              <w:rPr>
                <w:rFonts w:asciiTheme="minorHAnsi" w:hAnsiTheme="minorHAnsi" w:cs="Arial"/>
                <w:sz w:val="20"/>
              </w:rPr>
            </w:pPr>
          </w:p>
          <w:p w:rsidR="00FD5A7E" w:rsidRPr="00B22617" w:rsidRDefault="00FD5A7E" w:rsidP="00FD5A7E">
            <w:pPr>
              <w:rPr>
                <w:rFonts w:asciiTheme="minorHAnsi" w:hAnsiTheme="minorHAnsi" w:cs="Arial"/>
                <w:b/>
                <w:sz w:val="20"/>
              </w:rPr>
            </w:pPr>
            <w:r w:rsidRPr="00B22617">
              <w:rPr>
                <w:rFonts w:asciiTheme="minorHAnsi" w:hAnsiTheme="minorHAnsi" w:cs="Arial"/>
                <w:b/>
                <w:sz w:val="20"/>
              </w:rPr>
              <w:t>Trade Recovery:</w:t>
            </w:r>
          </w:p>
          <w:p w:rsidR="00FD5A7E" w:rsidRPr="00B22617" w:rsidRDefault="00FD5A7E" w:rsidP="00FD5A7E">
            <w:pPr>
              <w:rPr>
                <w:rFonts w:asciiTheme="minorHAnsi" w:hAnsiTheme="minorHAnsi" w:cs="Arial"/>
                <w:sz w:val="20"/>
              </w:rPr>
            </w:pPr>
            <w:r w:rsidRPr="00B22617">
              <w:rPr>
                <w:rFonts w:asciiTheme="minorHAnsi" w:hAnsiTheme="minorHAnsi" w:cs="Arial"/>
                <w:sz w:val="20"/>
              </w:rPr>
              <w:t>The U.S. has been working to promote trade resumption policies and practices that will provide for a coordinated restoration of the movement of goods following a potential disruption by developing and implementing national and global guidelines, standards, policies and programs.”</w:t>
            </w:r>
          </w:p>
          <w:p w:rsidR="00FD5A7E" w:rsidRPr="00B22617" w:rsidRDefault="00FD5A7E" w:rsidP="00FD5A7E">
            <w:pPr>
              <w:rPr>
                <w:rFonts w:asciiTheme="minorHAnsi" w:hAnsiTheme="minorHAnsi" w:cs="Arial"/>
                <w:sz w:val="20"/>
              </w:rPr>
            </w:pPr>
          </w:p>
          <w:p w:rsidR="00FD5A7E" w:rsidRPr="00B22617" w:rsidRDefault="00FD5A7E" w:rsidP="00FD5A7E">
            <w:pPr>
              <w:rPr>
                <w:rFonts w:asciiTheme="minorHAnsi" w:hAnsiTheme="minorHAnsi" w:cs="Arial"/>
                <w:sz w:val="20"/>
              </w:rPr>
            </w:pPr>
            <w:r w:rsidRPr="00B22617">
              <w:rPr>
                <w:rFonts w:asciiTheme="minorHAnsi" w:hAnsiTheme="minorHAnsi" w:cs="Arial"/>
                <w:sz w:val="20"/>
              </w:rPr>
              <w:t>For Background, the Strategy on Trade Recovery was initially outlined in the 2006 Security and Accountability for Every Port (SAFE Port) Act, which required development of a Strategy to Enhance International Supply Chain Security (Section 201 of the Act) that included Trade Resumption Protocols.</w:t>
            </w:r>
          </w:p>
          <w:p w:rsidR="00FD5A7E" w:rsidRPr="00B22617" w:rsidRDefault="00FD5A7E" w:rsidP="00FD5A7E">
            <w:pPr>
              <w:rPr>
                <w:rFonts w:asciiTheme="minorHAnsi" w:hAnsiTheme="minorHAnsi" w:cs="Arial"/>
                <w:sz w:val="20"/>
              </w:rPr>
            </w:pPr>
          </w:p>
          <w:p w:rsidR="00FD5A7E" w:rsidRPr="00B22617" w:rsidRDefault="00FD5A7E" w:rsidP="00FD5A7E">
            <w:pPr>
              <w:rPr>
                <w:rFonts w:asciiTheme="minorHAnsi" w:hAnsiTheme="minorHAnsi" w:cs="Arial"/>
                <w:sz w:val="20"/>
              </w:rPr>
            </w:pPr>
            <w:r w:rsidRPr="00B22617">
              <w:rPr>
                <w:rFonts w:asciiTheme="minorHAnsi" w:hAnsiTheme="minorHAnsi" w:cs="Arial"/>
                <w:sz w:val="20"/>
              </w:rPr>
              <w:t>In parallel with, and informing efforts toward, fulfilling the SAFE Port Act requirements the U.S. engaged with the Asia-Pacific Economic Cooperation (APEC) to create the APEC Trade Recovery Program (TRP). These efforts have been reflected on a global scale by the creation of Trade Recovery Guidelines in the World Customs Organization (WCO) SAFE Framework of Standards package.</w:t>
            </w:r>
          </w:p>
          <w:p w:rsidR="00FD5A7E" w:rsidRPr="00B22617" w:rsidRDefault="00FD5A7E" w:rsidP="00FD5A7E">
            <w:pPr>
              <w:rPr>
                <w:rFonts w:asciiTheme="minorHAnsi" w:hAnsiTheme="minorHAnsi" w:cs="Arial"/>
                <w:sz w:val="20"/>
              </w:rPr>
            </w:pPr>
          </w:p>
          <w:p w:rsidR="00FD5A7E" w:rsidRPr="00B22617" w:rsidRDefault="00FD5A7E" w:rsidP="00FD5A7E">
            <w:pPr>
              <w:rPr>
                <w:rFonts w:asciiTheme="minorHAnsi" w:hAnsiTheme="minorHAnsi" w:cs="Arial"/>
                <w:sz w:val="20"/>
              </w:rPr>
            </w:pPr>
            <w:r w:rsidRPr="00B22617">
              <w:rPr>
                <w:rFonts w:asciiTheme="minorHAnsi" w:hAnsiTheme="minorHAnsi" w:cs="Arial"/>
                <w:sz w:val="20"/>
              </w:rPr>
              <w:t>Most recently, under the Secretary’s Secure Supply Chain Initiative (SSCI), there have been efforts to enhance global trade recovery guidelines and foster the creation of operational communications mechanisms through collaboration with the WCO, APEC, UPU, and the International Maritime Organization (IMO).</w:t>
            </w:r>
          </w:p>
          <w:p w:rsidR="00FD5A7E" w:rsidRPr="00B22617" w:rsidRDefault="00FD5A7E" w:rsidP="00FD5A7E">
            <w:pPr>
              <w:rPr>
                <w:rFonts w:asciiTheme="minorHAnsi" w:hAnsiTheme="minorHAnsi" w:cs="Arial"/>
                <w:sz w:val="20"/>
              </w:rPr>
            </w:pPr>
          </w:p>
          <w:p w:rsidR="00FD5A7E" w:rsidRPr="00B22617" w:rsidRDefault="00FD5A7E" w:rsidP="00FD5A7E">
            <w:pPr>
              <w:rPr>
                <w:rFonts w:asciiTheme="minorHAnsi" w:hAnsiTheme="minorHAnsi" w:cs="Arial"/>
                <w:sz w:val="20"/>
              </w:rPr>
            </w:pPr>
            <w:r w:rsidRPr="00B22617">
              <w:rPr>
                <w:rFonts w:asciiTheme="minorHAnsi" w:hAnsiTheme="minorHAnsi" w:cs="Arial"/>
                <w:sz w:val="20"/>
              </w:rPr>
              <w:t>APEC has served as a pivot point with these efforts, with the United States successfully proposing the adoption of specific information sets for exchange by governments and the private sector to enhance operational decision making. Based on the USCG/CBP protocols and expanded to include all modes of transport through discussions with the private sector at the Secure Trade in the APEC Region (STAR) Conference in San Francisco, APEC adopted these “Essential Elements of Information” at its Sub-Committee on Customs Procedures (SCCP) meeting in September, 2011.</w:t>
            </w:r>
          </w:p>
          <w:p w:rsidR="00FD5A7E" w:rsidRPr="00B22617" w:rsidRDefault="00FD5A7E" w:rsidP="00FD5A7E">
            <w:pPr>
              <w:rPr>
                <w:rFonts w:asciiTheme="minorHAnsi" w:hAnsiTheme="minorHAnsi" w:cs="Arial"/>
                <w:sz w:val="20"/>
              </w:rPr>
            </w:pPr>
          </w:p>
          <w:p w:rsidR="00FD5A7E" w:rsidRPr="00B22617" w:rsidRDefault="00FD5A7E" w:rsidP="00FD5A7E">
            <w:pPr>
              <w:rPr>
                <w:rFonts w:asciiTheme="minorHAnsi" w:hAnsiTheme="minorHAnsi" w:cs="Arial"/>
                <w:sz w:val="20"/>
              </w:rPr>
            </w:pPr>
            <w:r w:rsidRPr="00B22617">
              <w:rPr>
                <w:rFonts w:asciiTheme="minorHAnsi" w:hAnsiTheme="minorHAnsi" w:cs="Arial"/>
                <w:sz w:val="20"/>
              </w:rPr>
              <w:t>The WCO adopted the APEC SCCP information sets at the Policy Commission meeting in December, 2011, creating global guidelines.</w:t>
            </w:r>
          </w:p>
          <w:p w:rsidR="00FD5A7E" w:rsidRPr="00B22617" w:rsidRDefault="00FD5A7E" w:rsidP="00FD5A7E">
            <w:pPr>
              <w:rPr>
                <w:rFonts w:asciiTheme="minorHAnsi" w:hAnsiTheme="minorHAnsi" w:cs="Arial"/>
                <w:sz w:val="20"/>
              </w:rPr>
            </w:pPr>
          </w:p>
          <w:p w:rsidR="00FD5A7E" w:rsidRPr="00B22617" w:rsidRDefault="00FD5A7E" w:rsidP="00FD5A7E">
            <w:pPr>
              <w:rPr>
                <w:rFonts w:asciiTheme="minorHAnsi" w:hAnsiTheme="minorHAnsi" w:cs="Arial"/>
                <w:sz w:val="20"/>
              </w:rPr>
            </w:pPr>
            <w:r w:rsidRPr="00B22617">
              <w:rPr>
                <w:rFonts w:asciiTheme="minorHAnsi" w:hAnsiTheme="minorHAnsi" w:cs="Arial"/>
                <w:sz w:val="20"/>
              </w:rPr>
              <w:t>The United States was also successful in prompting APEC to recognize the importance of an operational trade recovery communications system and setting the stage for future action. At the 19th APEC Economic Leaders’ Meeting in Honolulu, Leaders recognized the significant risks to economic prosperity posed by the succession of natural disasters in the region, and supported the Ministers statement on this effort.</w:t>
            </w:r>
          </w:p>
          <w:p w:rsidR="001F22A2" w:rsidRPr="00B22617" w:rsidRDefault="001F22A2">
            <w:pPr>
              <w:rPr>
                <w:rFonts w:asciiTheme="minorHAnsi" w:hAnsiTheme="minorHAnsi"/>
                <w:color w:val="808080"/>
                <w:sz w:val="20"/>
              </w:rPr>
            </w:pPr>
          </w:p>
        </w:tc>
        <w:tc>
          <w:tcPr>
            <w:tcW w:w="5670" w:type="dxa"/>
          </w:tcPr>
          <w:p w:rsidR="00FD5A7E" w:rsidRPr="00B22617" w:rsidRDefault="00FD5A7E" w:rsidP="00FD5A7E">
            <w:pPr>
              <w:rPr>
                <w:rFonts w:asciiTheme="minorHAnsi" w:hAnsiTheme="minorHAnsi" w:cs="Arial"/>
                <w:sz w:val="20"/>
                <w:lang w:val="en-US"/>
              </w:rPr>
            </w:pPr>
            <w:bookmarkStart w:id="19" w:name="Cell12"/>
            <w:bookmarkEnd w:id="19"/>
            <w:r w:rsidRPr="00B22617">
              <w:rPr>
                <w:rFonts w:asciiTheme="minorHAnsi" w:hAnsiTheme="minorHAnsi" w:cs="Arial"/>
                <w:sz w:val="20"/>
              </w:rPr>
              <w:t xml:space="preserve">Future Automated Commercial Environment (ACE) releases currently planned include:  </w:t>
            </w:r>
          </w:p>
          <w:p w:rsidR="00FD5A7E" w:rsidRPr="00B22617" w:rsidRDefault="00FD5A7E" w:rsidP="00FD5A7E">
            <w:pPr>
              <w:rPr>
                <w:rFonts w:asciiTheme="minorHAnsi" w:hAnsiTheme="minorHAnsi" w:cs="Arial"/>
                <w:sz w:val="20"/>
              </w:rPr>
            </w:pPr>
          </w:p>
          <w:p w:rsidR="00FD5A7E" w:rsidRPr="00B22617" w:rsidRDefault="00FD5A7E" w:rsidP="00FD5A7E">
            <w:pPr>
              <w:rPr>
                <w:rFonts w:asciiTheme="minorHAnsi" w:hAnsiTheme="minorHAnsi" w:cs="Arial"/>
                <w:sz w:val="20"/>
              </w:rPr>
            </w:pPr>
            <w:r w:rsidRPr="00B22617">
              <w:rPr>
                <w:rFonts w:asciiTheme="minorHAnsi" w:hAnsiTheme="minorHAnsi" w:cs="Arial"/>
                <w:sz w:val="20"/>
              </w:rPr>
              <w:t xml:space="preserve">In February 2014, the Administration issued an Executive Order (EO) on 21st Century Trade Facilitation.  The EO established a December 2016 deadline for completion of the U.S. International Trade Data System (ITDS), a single window data submission and processing system for government-wide import and export data requirements.  </w:t>
            </w:r>
          </w:p>
          <w:p w:rsidR="00FD5A7E" w:rsidRPr="00B22617" w:rsidRDefault="00FD5A7E" w:rsidP="00FD5A7E">
            <w:pPr>
              <w:rPr>
                <w:rFonts w:asciiTheme="minorHAnsi" w:hAnsiTheme="minorHAnsi" w:cs="Arial"/>
                <w:sz w:val="20"/>
              </w:rPr>
            </w:pPr>
          </w:p>
          <w:p w:rsidR="00FD5A7E" w:rsidRPr="00B22617" w:rsidRDefault="00FD5A7E" w:rsidP="00FD5A7E">
            <w:pPr>
              <w:rPr>
                <w:rFonts w:asciiTheme="minorHAnsi" w:hAnsiTheme="minorHAnsi" w:cs="Arial"/>
                <w:sz w:val="20"/>
              </w:rPr>
            </w:pPr>
            <w:r w:rsidRPr="00B22617">
              <w:rPr>
                <w:rFonts w:asciiTheme="minorHAnsi" w:hAnsiTheme="minorHAnsi" w:cs="Arial"/>
                <w:sz w:val="20"/>
              </w:rPr>
              <w:t xml:space="preserve">In support of this EO, and in reflection of the significant policy and technical progress made by Customs and Border Protection and Partner Government Agencies on this initiative in the past year, the U.S. updated APEC partners on U.S. single window efforts during the meeting of the Sub-Committee on Customs Procedures (SCCP) on the margins of the APEC Senior Officials Meeting 1, February 15-28, Ningbo, China.  </w:t>
            </w:r>
          </w:p>
          <w:p w:rsidR="00FD5A7E" w:rsidRPr="00B22617" w:rsidRDefault="00FD5A7E" w:rsidP="00FD5A7E">
            <w:pPr>
              <w:rPr>
                <w:rFonts w:asciiTheme="minorHAnsi" w:hAnsiTheme="minorHAnsi" w:cs="Arial"/>
                <w:sz w:val="20"/>
              </w:rPr>
            </w:pPr>
          </w:p>
          <w:p w:rsidR="00FD5A7E" w:rsidRPr="00B22617" w:rsidRDefault="00FD5A7E" w:rsidP="00FD5A7E">
            <w:pPr>
              <w:rPr>
                <w:rFonts w:asciiTheme="minorHAnsi" w:hAnsiTheme="minorHAnsi" w:cs="Arial"/>
                <w:sz w:val="20"/>
              </w:rPr>
            </w:pPr>
            <w:r w:rsidRPr="00B22617">
              <w:rPr>
                <w:rFonts w:asciiTheme="minorHAnsi" w:hAnsiTheme="minorHAnsi" w:cs="Arial"/>
                <w:sz w:val="20"/>
              </w:rPr>
              <w:t xml:space="preserve">At the SCCP, the U.S. is exploring convening a Single Window Workshop for late 2014 or early 2015.  Such a workshop would inform U.S. single window efforts by facilitating the exchange of lessons learned and best practices between APEC economies, many of which have or are also developing single window systems.  </w:t>
            </w:r>
          </w:p>
          <w:p w:rsidR="00FD5A7E" w:rsidRPr="00B22617" w:rsidRDefault="00FD5A7E" w:rsidP="00FD5A7E">
            <w:pPr>
              <w:rPr>
                <w:rFonts w:asciiTheme="minorHAnsi" w:hAnsiTheme="minorHAnsi" w:cs="Arial"/>
                <w:sz w:val="20"/>
              </w:rPr>
            </w:pPr>
          </w:p>
          <w:p w:rsidR="00FD5A7E" w:rsidRPr="00B22617" w:rsidRDefault="00FD5A7E" w:rsidP="00FD5A7E">
            <w:pPr>
              <w:rPr>
                <w:rFonts w:asciiTheme="minorHAnsi" w:hAnsiTheme="minorHAnsi" w:cs="Arial"/>
                <w:sz w:val="20"/>
              </w:rPr>
            </w:pPr>
            <w:r w:rsidRPr="00B22617">
              <w:rPr>
                <w:rFonts w:asciiTheme="minorHAnsi" w:hAnsiTheme="minorHAnsi" w:cs="Arial"/>
                <w:sz w:val="20"/>
              </w:rPr>
              <w:t>Given the significant policy and technical advances the U.S. has made in the past two years in developing its single window system, the ITDS, it is envisioned that an upcoming  APEC meeting and a potential follow-on Single Window Workshop would provide a timely opportunity to ensure continued coordination between APEC economies in the development and deployment of interoperable Single Window systems and reaffirm with our trading partners that we are committed to implementing such a system and making strong progress toward doing so.</w:t>
            </w:r>
          </w:p>
          <w:p w:rsidR="00FD5A7E" w:rsidRPr="00B22617" w:rsidRDefault="00FD5A7E" w:rsidP="00FD5A7E">
            <w:pPr>
              <w:rPr>
                <w:rFonts w:asciiTheme="minorHAnsi" w:hAnsiTheme="minorHAnsi" w:cs="Arial"/>
                <w:sz w:val="20"/>
              </w:rPr>
            </w:pPr>
          </w:p>
          <w:p w:rsidR="00FD5A7E" w:rsidRPr="00B22617" w:rsidRDefault="00FD5A7E" w:rsidP="00FD5A7E">
            <w:pPr>
              <w:rPr>
                <w:rFonts w:asciiTheme="minorHAnsi" w:hAnsiTheme="minorHAnsi" w:cs="Arial"/>
                <w:b/>
                <w:sz w:val="20"/>
              </w:rPr>
            </w:pPr>
            <w:r w:rsidRPr="00B22617">
              <w:rPr>
                <w:rFonts w:asciiTheme="minorHAnsi" w:hAnsiTheme="minorHAnsi" w:cs="Arial"/>
                <w:b/>
                <w:sz w:val="20"/>
              </w:rPr>
              <w:t>Future Work on Trade Recovery:</w:t>
            </w:r>
          </w:p>
          <w:p w:rsidR="00FD5A7E" w:rsidRPr="00B22617" w:rsidRDefault="00FD5A7E" w:rsidP="00FD5A7E">
            <w:pPr>
              <w:rPr>
                <w:rFonts w:asciiTheme="minorHAnsi" w:hAnsiTheme="minorHAnsi" w:cs="Arial"/>
                <w:sz w:val="20"/>
              </w:rPr>
            </w:pPr>
            <w:r w:rsidRPr="00B22617">
              <w:rPr>
                <w:rFonts w:asciiTheme="minorHAnsi" w:hAnsiTheme="minorHAnsi" w:cs="Arial"/>
                <w:sz w:val="20"/>
              </w:rPr>
              <w:t>Collaboration with World Customs Organization (WCO) continues on operationalizing the mechanism by which the TRP will be implemented.</w:t>
            </w:r>
          </w:p>
          <w:p w:rsidR="00FD5A7E" w:rsidRPr="00B22617" w:rsidRDefault="00FD5A7E" w:rsidP="00FD5A7E">
            <w:pPr>
              <w:rPr>
                <w:rFonts w:asciiTheme="minorHAnsi" w:hAnsiTheme="minorHAnsi" w:cs="Arial"/>
                <w:sz w:val="20"/>
              </w:rPr>
            </w:pPr>
          </w:p>
          <w:p w:rsidR="00FD5A7E" w:rsidRPr="00B22617" w:rsidRDefault="00FD5A7E" w:rsidP="00FD5A7E">
            <w:pPr>
              <w:rPr>
                <w:rFonts w:asciiTheme="minorHAnsi" w:hAnsiTheme="minorHAnsi" w:cs="Arial"/>
                <w:sz w:val="20"/>
              </w:rPr>
            </w:pPr>
            <w:r w:rsidRPr="00B22617">
              <w:rPr>
                <w:rFonts w:asciiTheme="minorHAnsi" w:hAnsiTheme="minorHAnsi" w:cs="Arial"/>
                <w:sz w:val="20"/>
              </w:rPr>
              <w:t>The United States is in preliminary discussions with some of our APEC partners to develop bilateral trade recovery protocols as well as received approval for the Global Trade Recovery Information Platform (GTRIP) and the APEC concept note, which will move the operational mechanism for TRP forward for APEC economies.  There has been a lot of support from the other APEC economies as well as WCO members.</w:t>
            </w:r>
          </w:p>
          <w:p w:rsidR="00FD5A7E" w:rsidRPr="00B22617" w:rsidRDefault="00FD5A7E" w:rsidP="00FD5A7E">
            <w:pPr>
              <w:rPr>
                <w:rFonts w:asciiTheme="minorHAnsi" w:hAnsiTheme="minorHAnsi" w:cs="Arial"/>
                <w:sz w:val="20"/>
              </w:rPr>
            </w:pPr>
          </w:p>
          <w:p w:rsidR="00FD5A7E" w:rsidRPr="00B22617" w:rsidRDefault="00FD5A7E" w:rsidP="00FD5A7E">
            <w:pPr>
              <w:rPr>
                <w:rFonts w:asciiTheme="minorHAnsi" w:hAnsiTheme="minorHAnsi" w:cs="Arial"/>
                <w:sz w:val="20"/>
              </w:rPr>
            </w:pPr>
            <w:r w:rsidRPr="00B22617">
              <w:rPr>
                <w:rFonts w:asciiTheme="minorHAnsi" w:hAnsiTheme="minorHAnsi" w:cs="Arial"/>
                <w:sz w:val="20"/>
              </w:rPr>
              <w:t>Following implementation and testing within APEC, use of G-TRIP would be expanded within the Asia-Pacific Region through engagement within ASEAN and then globally through the WCO.</w:t>
            </w:r>
          </w:p>
          <w:p w:rsidR="00FD5A7E" w:rsidRPr="00B22617" w:rsidRDefault="00FD5A7E" w:rsidP="00FD5A7E">
            <w:pPr>
              <w:rPr>
                <w:rFonts w:asciiTheme="minorHAnsi" w:hAnsiTheme="minorHAnsi" w:cs="Arial"/>
                <w:sz w:val="20"/>
              </w:rPr>
            </w:pPr>
          </w:p>
          <w:p w:rsidR="001F22A2" w:rsidRPr="00B22617" w:rsidRDefault="00FD5A7E" w:rsidP="00FD5A7E">
            <w:pPr>
              <w:rPr>
                <w:rFonts w:asciiTheme="minorHAnsi" w:hAnsiTheme="minorHAnsi"/>
                <w:color w:val="808080"/>
                <w:sz w:val="20"/>
              </w:rPr>
            </w:pPr>
            <w:r w:rsidRPr="00B22617">
              <w:rPr>
                <w:rFonts w:asciiTheme="minorHAnsi" w:hAnsiTheme="minorHAnsi" w:cs="Arial"/>
                <w:sz w:val="20"/>
              </w:rPr>
              <w:t xml:space="preserve">Initial efforts would </w:t>
            </w:r>
            <w:proofErr w:type="spellStart"/>
            <w:r w:rsidRPr="00B22617">
              <w:rPr>
                <w:rFonts w:asciiTheme="minorHAnsi" w:hAnsiTheme="minorHAnsi" w:cs="Arial"/>
                <w:sz w:val="20"/>
              </w:rPr>
              <w:t>center</w:t>
            </w:r>
            <w:proofErr w:type="spellEnd"/>
            <w:r w:rsidRPr="00B22617">
              <w:rPr>
                <w:rFonts w:asciiTheme="minorHAnsi" w:hAnsiTheme="minorHAnsi" w:cs="Arial"/>
                <w:sz w:val="20"/>
              </w:rPr>
              <w:t xml:space="preserve"> on developing economies to mitigate the disproportionate impacts of disasters on their less-developed transportation systems.</w:t>
            </w:r>
          </w:p>
        </w:tc>
      </w:tr>
      <w:tr w:rsidR="001A1859" w:rsidRPr="00B22617">
        <w:tc>
          <w:tcPr>
            <w:tcW w:w="3524" w:type="dxa"/>
          </w:tcPr>
          <w:p w:rsidR="001A1859" w:rsidRPr="00B22617" w:rsidRDefault="001A1859" w:rsidP="00FD5A7E">
            <w:pPr>
              <w:pStyle w:val="Heading9"/>
              <w:rPr>
                <w:rFonts w:asciiTheme="minorHAnsi" w:hAnsiTheme="minorHAnsi"/>
                <w:b w:val="0"/>
                <w:color w:val="808080"/>
              </w:rPr>
            </w:pPr>
            <w:r w:rsidRPr="00B22617">
              <w:rPr>
                <w:rFonts w:asciiTheme="minorHAnsi" w:hAnsiTheme="minorHAnsi"/>
                <w:b w:val="0"/>
                <w:color w:val="808080"/>
              </w:rPr>
              <w:lastRenderedPageBreak/>
              <w:t xml:space="preserve">Website for further information:  </w:t>
            </w:r>
          </w:p>
        </w:tc>
        <w:tc>
          <w:tcPr>
            <w:tcW w:w="5387" w:type="dxa"/>
          </w:tcPr>
          <w:p w:rsidR="001A1859" w:rsidRPr="00B22617" w:rsidRDefault="00FD5A7E" w:rsidP="009E28DA">
            <w:pPr>
              <w:pStyle w:val="Heading9"/>
              <w:rPr>
                <w:rFonts w:asciiTheme="minorHAnsi" w:hAnsiTheme="minorHAnsi"/>
                <w:b w:val="0"/>
              </w:rPr>
            </w:pPr>
            <w:hyperlink r:id="rId11" w:history="1">
              <w:r w:rsidRPr="00B22617">
                <w:rPr>
                  <w:rStyle w:val="Hyperlink"/>
                  <w:rFonts w:asciiTheme="minorHAnsi" w:hAnsiTheme="minorHAnsi"/>
                  <w:b w:val="0"/>
                </w:rPr>
                <w:t>www.cbp.gov</w:t>
              </w:r>
            </w:hyperlink>
            <w:r w:rsidRPr="00B22617">
              <w:rPr>
                <w:rFonts w:asciiTheme="minorHAnsi" w:hAnsiTheme="minorHAnsi"/>
                <w:b w:val="0"/>
                <w:color w:val="808080"/>
              </w:rPr>
              <w:t xml:space="preserve">; </w:t>
            </w:r>
            <w:hyperlink r:id="rId12" w:history="1">
              <w:r w:rsidRPr="00B22617">
                <w:rPr>
                  <w:rStyle w:val="Hyperlink"/>
                  <w:rFonts w:asciiTheme="minorHAnsi" w:hAnsiTheme="minorHAnsi"/>
                  <w:b w:val="0"/>
                </w:rPr>
                <w:t>www.itds.gov</w:t>
              </w:r>
            </w:hyperlink>
          </w:p>
        </w:tc>
        <w:tc>
          <w:tcPr>
            <w:tcW w:w="5670" w:type="dxa"/>
          </w:tcPr>
          <w:p w:rsidR="001A1859" w:rsidRPr="00B22617" w:rsidRDefault="001A1859" w:rsidP="009E28DA">
            <w:pPr>
              <w:pStyle w:val="Heading9"/>
              <w:rPr>
                <w:rFonts w:asciiTheme="minorHAnsi" w:hAnsiTheme="minorHAnsi"/>
                <w:b w:val="0"/>
              </w:rPr>
            </w:pPr>
          </w:p>
        </w:tc>
      </w:tr>
      <w:tr w:rsidR="008F223D" w:rsidRPr="00B22617">
        <w:tc>
          <w:tcPr>
            <w:tcW w:w="3524" w:type="dxa"/>
          </w:tcPr>
          <w:p w:rsidR="001A1859" w:rsidRPr="00B22617" w:rsidRDefault="001A1859" w:rsidP="00FD5A7E">
            <w:pPr>
              <w:pStyle w:val="Heading9"/>
              <w:rPr>
                <w:rFonts w:asciiTheme="minorHAnsi" w:hAnsiTheme="minorHAnsi"/>
                <w:b w:val="0"/>
                <w:color w:val="808080"/>
              </w:rPr>
            </w:pPr>
            <w:r w:rsidRPr="00B22617">
              <w:rPr>
                <w:rFonts w:asciiTheme="minorHAnsi" w:hAnsiTheme="minorHAnsi"/>
                <w:b w:val="0"/>
                <w:color w:val="808080"/>
              </w:rPr>
              <w:t>Contact point for further details:</w:t>
            </w:r>
            <w:r w:rsidR="00FD5A7E" w:rsidRPr="00B22617">
              <w:rPr>
                <w:rFonts w:asciiTheme="minorHAnsi" w:hAnsiTheme="minorHAnsi"/>
                <w:b w:val="0"/>
                <w:color w:val="808080"/>
              </w:rPr>
              <w:t xml:space="preserve"> </w:t>
            </w:r>
          </w:p>
        </w:tc>
        <w:tc>
          <w:tcPr>
            <w:tcW w:w="5387" w:type="dxa"/>
          </w:tcPr>
          <w:p w:rsidR="001A1859" w:rsidRPr="00B22617" w:rsidRDefault="00FD5A7E" w:rsidP="00FD5A7E">
            <w:pPr>
              <w:pStyle w:val="Heading9"/>
              <w:rPr>
                <w:rFonts w:asciiTheme="minorHAnsi" w:hAnsiTheme="minorHAnsi"/>
                <w:b w:val="0"/>
              </w:rPr>
            </w:pPr>
            <w:hyperlink r:id="rId13" w:history="1">
              <w:r w:rsidRPr="00B22617">
                <w:rPr>
                  <w:rStyle w:val="Hyperlink"/>
                  <w:rFonts w:asciiTheme="minorHAnsi" w:hAnsiTheme="minorHAnsi"/>
                  <w:b w:val="0"/>
                </w:rPr>
                <w:t>MARGARET.V.WILLIAMSON@CBP.DHS.GOV</w:t>
              </w:r>
            </w:hyperlink>
            <w:proofErr w:type="gramStart"/>
            <w:r w:rsidRPr="00B22617">
              <w:rPr>
                <w:rFonts w:asciiTheme="minorHAnsi" w:hAnsiTheme="minorHAnsi"/>
                <w:b w:val="0"/>
                <w:color w:val="808080"/>
              </w:rPr>
              <w:t xml:space="preserve">;  </w:t>
            </w:r>
            <w:proofErr w:type="gramEnd"/>
            <w:r w:rsidRPr="00B22617">
              <w:rPr>
                <w:rFonts w:asciiTheme="minorHAnsi" w:hAnsiTheme="minorHAnsi"/>
                <w:b w:val="0"/>
                <w:color w:val="808080"/>
              </w:rPr>
              <w:fldChar w:fldCharType="begin"/>
            </w:r>
            <w:r w:rsidRPr="00B22617">
              <w:rPr>
                <w:rFonts w:asciiTheme="minorHAnsi" w:hAnsiTheme="minorHAnsi"/>
                <w:b w:val="0"/>
                <w:color w:val="808080"/>
              </w:rPr>
              <w:instrText xml:space="preserve"> HYPERLINK "mailto:Edward_Brzytwa@ustr.eop.gov" </w:instrText>
            </w:r>
            <w:r w:rsidRPr="00B22617">
              <w:rPr>
                <w:rFonts w:asciiTheme="minorHAnsi" w:hAnsiTheme="minorHAnsi"/>
                <w:b w:val="0"/>
                <w:color w:val="808080"/>
              </w:rPr>
              <w:fldChar w:fldCharType="separate"/>
            </w:r>
            <w:r w:rsidRPr="00B22617">
              <w:rPr>
                <w:rStyle w:val="Hyperlink"/>
                <w:rFonts w:asciiTheme="minorHAnsi" w:hAnsiTheme="minorHAnsi"/>
                <w:b w:val="0"/>
              </w:rPr>
              <w:t>Edward_Brzytwa@ustr.eop.gov</w:t>
            </w:r>
            <w:r w:rsidRPr="00B22617">
              <w:rPr>
                <w:rFonts w:asciiTheme="minorHAnsi" w:hAnsiTheme="minorHAnsi"/>
                <w:b w:val="0"/>
                <w:color w:val="808080"/>
              </w:rPr>
              <w:fldChar w:fldCharType="end"/>
            </w:r>
          </w:p>
        </w:tc>
        <w:tc>
          <w:tcPr>
            <w:tcW w:w="5670" w:type="dxa"/>
          </w:tcPr>
          <w:p w:rsidR="001A1859" w:rsidRPr="00B22617" w:rsidRDefault="001A1859" w:rsidP="009E28DA">
            <w:pPr>
              <w:pStyle w:val="Heading9"/>
              <w:rPr>
                <w:rFonts w:asciiTheme="minorHAnsi" w:hAnsiTheme="minorHAnsi"/>
                <w:b w:val="0"/>
              </w:rPr>
            </w:pPr>
          </w:p>
        </w:tc>
      </w:tr>
      <w:tr w:rsidR="001F22A2" w:rsidRPr="00B22617">
        <w:tc>
          <w:tcPr>
            <w:tcW w:w="3524" w:type="dxa"/>
          </w:tcPr>
          <w:p w:rsidR="001F22A2" w:rsidRPr="00B22617" w:rsidRDefault="001F22A2">
            <w:pPr>
              <w:rPr>
                <w:rFonts w:asciiTheme="minorHAnsi" w:hAnsiTheme="minorHAnsi"/>
                <w:b/>
                <w:i/>
                <w:sz w:val="20"/>
              </w:rPr>
            </w:pPr>
            <w:bookmarkStart w:id="20" w:name="Row7"/>
            <w:r w:rsidRPr="00B22617">
              <w:rPr>
                <w:rFonts w:asciiTheme="minorHAnsi" w:hAnsiTheme="minorHAnsi"/>
                <w:b/>
                <w:i/>
                <w:sz w:val="20"/>
              </w:rPr>
              <w:t>Intellectual Property Rights</w:t>
            </w:r>
            <w:bookmarkEnd w:id="20"/>
          </w:p>
          <w:p w:rsidR="001F22A2" w:rsidRPr="00B22617" w:rsidRDefault="001F22A2">
            <w:pPr>
              <w:rPr>
                <w:rFonts w:asciiTheme="minorHAnsi" w:hAnsiTheme="minorHAnsi"/>
                <w:b/>
                <w:i/>
                <w:sz w:val="20"/>
              </w:rPr>
            </w:pPr>
          </w:p>
        </w:tc>
        <w:tc>
          <w:tcPr>
            <w:tcW w:w="5387" w:type="dxa"/>
          </w:tcPr>
          <w:p w:rsidR="00FD5A7E" w:rsidRPr="00B22617" w:rsidRDefault="00FD5A7E" w:rsidP="00FD5A7E">
            <w:pPr>
              <w:pStyle w:val="ListParagraph"/>
              <w:numPr>
                <w:ilvl w:val="0"/>
                <w:numId w:val="6"/>
              </w:numPr>
              <w:rPr>
                <w:rFonts w:asciiTheme="minorHAnsi" w:hAnsiTheme="minorHAnsi"/>
                <w:sz w:val="20"/>
                <w:szCs w:val="20"/>
              </w:rPr>
            </w:pPr>
            <w:bookmarkStart w:id="21" w:name="Cell13"/>
            <w:bookmarkEnd w:id="21"/>
            <w:r w:rsidRPr="00B22617">
              <w:rPr>
                <w:rFonts w:asciiTheme="minorHAnsi" w:hAnsiTheme="minorHAnsi"/>
                <w:sz w:val="20"/>
                <w:szCs w:val="20"/>
              </w:rPr>
              <w:t>“2013  Joint Strategic Plan for Intellectual Property Enforcement” (June 2013) http://www.whitehouse.gov/sites/default/files/omb/IPEC/2013-us-ipec-joint-strategic-plan.pdf</w:t>
            </w:r>
          </w:p>
          <w:p w:rsidR="00FD5A7E" w:rsidRPr="00B22617" w:rsidRDefault="00FD5A7E" w:rsidP="00FD5A7E">
            <w:pPr>
              <w:pStyle w:val="ListParagraph"/>
              <w:numPr>
                <w:ilvl w:val="0"/>
                <w:numId w:val="6"/>
              </w:numPr>
              <w:rPr>
                <w:rFonts w:asciiTheme="minorHAnsi" w:hAnsiTheme="minorHAnsi"/>
                <w:sz w:val="20"/>
                <w:szCs w:val="20"/>
              </w:rPr>
            </w:pPr>
            <w:r w:rsidRPr="00B22617">
              <w:rPr>
                <w:rFonts w:asciiTheme="minorHAnsi" w:hAnsiTheme="minorHAnsi"/>
                <w:sz w:val="20"/>
                <w:szCs w:val="20"/>
              </w:rPr>
              <w:t xml:space="preserve">Release of “Administration Strategy on Mitigating the Theft of U.S. Trade Secrets” (February 2013) </w:t>
            </w:r>
            <w:hyperlink r:id="rId14" w:history="1">
              <w:r w:rsidRPr="00B22617">
                <w:rPr>
                  <w:rStyle w:val="Hyperlink"/>
                  <w:rFonts w:asciiTheme="minorHAnsi" w:hAnsiTheme="minorHAnsi"/>
                  <w:color w:val="auto"/>
                  <w:sz w:val="20"/>
                  <w:szCs w:val="20"/>
                </w:rPr>
                <w:t>http://www.whitehouse.gov/sites/default/files/omb/IPEC/admin_strategy_on_mitigating_the_theft_of_u.s._trade_secrets.pdf</w:t>
              </w:r>
            </w:hyperlink>
          </w:p>
          <w:p w:rsidR="00FD5A7E" w:rsidRPr="00B22617" w:rsidRDefault="00FD5A7E" w:rsidP="00FD5A7E">
            <w:pPr>
              <w:pStyle w:val="ListParagraph"/>
              <w:numPr>
                <w:ilvl w:val="0"/>
                <w:numId w:val="6"/>
              </w:numPr>
              <w:rPr>
                <w:rFonts w:asciiTheme="minorHAnsi" w:hAnsiTheme="minorHAnsi"/>
                <w:sz w:val="20"/>
                <w:szCs w:val="20"/>
              </w:rPr>
            </w:pPr>
            <w:r w:rsidRPr="00B22617">
              <w:rPr>
                <w:rFonts w:asciiTheme="minorHAnsi" w:hAnsiTheme="minorHAnsi"/>
                <w:sz w:val="20"/>
                <w:szCs w:val="20"/>
              </w:rPr>
              <w:t>As part of international effort, US authorities seized over 1600 websites that were illegally selling counterfeit or misbranded drugs that purported to be brand name pharmaceuticals (June 2013) http://www.fda.gov/newsevents/newsroom/pressannouncements/ucm358794.htm</w:t>
            </w:r>
          </w:p>
          <w:p w:rsidR="001F22A2" w:rsidRPr="00B22617" w:rsidRDefault="001F22A2">
            <w:pPr>
              <w:rPr>
                <w:rFonts w:asciiTheme="minorHAnsi" w:hAnsiTheme="minorHAnsi"/>
                <w:color w:val="808080"/>
                <w:sz w:val="20"/>
              </w:rPr>
            </w:pPr>
          </w:p>
        </w:tc>
        <w:tc>
          <w:tcPr>
            <w:tcW w:w="5670" w:type="dxa"/>
          </w:tcPr>
          <w:p w:rsidR="001F22A2" w:rsidRPr="00B22617" w:rsidRDefault="001F22A2">
            <w:pPr>
              <w:rPr>
                <w:rFonts w:asciiTheme="minorHAnsi" w:hAnsiTheme="minorHAnsi"/>
                <w:color w:val="808080"/>
                <w:sz w:val="20"/>
              </w:rPr>
            </w:pPr>
            <w:bookmarkStart w:id="22" w:name="Cell14"/>
            <w:bookmarkEnd w:id="22"/>
            <w:r w:rsidRPr="00B22617">
              <w:rPr>
                <w:rFonts w:asciiTheme="minorHAnsi" w:hAnsiTheme="minorHAnsi" w:cs="Arial"/>
                <w:i/>
                <w:color w:val="808080"/>
                <w:sz w:val="20"/>
              </w:rPr>
              <w:t>Provide brief points only</w:t>
            </w:r>
          </w:p>
        </w:tc>
      </w:tr>
      <w:tr w:rsidR="0001261C" w:rsidRPr="00B22617">
        <w:tc>
          <w:tcPr>
            <w:tcW w:w="3524" w:type="dxa"/>
          </w:tcPr>
          <w:p w:rsidR="001A1859" w:rsidRPr="00B22617" w:rsidRDefault="001A1859" w:rsidP="009E28DA">
            <w:pPr>
              <w:pStyle w:val="Heading9"/>
              <w:rPr>
                <w:rFonts w:asciiTheme="minorHAnsi" w:hAnsiTheme="minorHAnsi"/>
                <w:b w:val="0"/>
                <w:color w:val="808080"/>
              </w:rPr>
            </w:pPr>
            <w:r w:rsidRPr="00B22617">
              <w:rPr>
                <w:rFonts w:asciiTheme="minorHAnsi" w:hAnsiTheme="minorHAnsi"/>
                <w:b w:val="0"/>
                <w:color w:val="808080"/>
              </w:rPr>
              <w:t xml:space="preserve">Website for further information:  </w:t>
            </w:r>
          </w:p>
        </w:tc>
        <w:tc>
          <w:tcPr>
            <w:tcW w:w="5387" w:type="dxa"/>
          </w:tcPr>
          <w:p w:rsidR="001A1859" w:rsidRPr="00B22617" w:rsidRDefault="00FD5A7E" w:rsidP="009E28DA">
            <w:pPr>
              <w:pStyle w:val="Heading9"/>
              <w:rPr>
                <w:rFonts w:asciiTheme="minorHAnsi" w:hAnsiTheme="minorHAnsi"/>
                <w:b w:val="0"/>
              </w:rPr>
            </w:pPr>
            <w:r w:rsidRPr="00B22617">
              <w:rPr>
                <w:rFonts w:asciiTheme="minorHAnsi" w:hAnsiTheme="minorHAnsi"/>
                <w:b w:val="0"/>
              </w:rPr>
              <w:t>See above</w:t>
            </w:r>
          </w:p>
        </w:tc>
        <w:tc>
          <w:tcPr>
            <w:tcW w:w="5670" w:type="dxa"/>
          </w:tcPr>
          <w:p w:rsidR="001A1859" w:rsidRPr="00B22617" w:rsidRDefault="001A1859" w:rsidP="009E28DA">
            <w:pPr>
              <w:pStyle w:val="Heading9"/>
              <w:rPr>
                <w:rFonts w:asciiTheme="minorHAnsi" w:hAnsiTheme="minorHAnsi"/>
                <w:b w:val="0"/>
              </w:rPr>
            </w:pPr>
          </w:p>
        </w:tc>
      </w:tr>
      <w:tr w:rsidR="0001261C" w:rsidRPr="00B22617">
        <w:tc>
          <w:tcPr>
            <w:tcW w:w="3524" w:type="dxa"/>
          </w:tcPr>
          <w:p w:rsidR="001A1859" w:rsidRPr="00B22617" w:rsidRDefault="001A1859" w:rsidP="00FD5A7E">
            <w:pPr>
              <w:pStyle w:val="Heading9"/>
              <w:rPr>
                <w:rFonts w:asciiTheme="minorHAnsi" w:hAnsiTheme="minorHAnsi"/>
                <w:b w:val="0"/>
                <w:color w:val="808080"/>
              </w:rPr>
            </w:pPr>
            <w:r w:rsidRPr="00B22617">
              <w:rPr>
                <w:rFonts w:asciiTheme="minorHAnsi" w:hAnsiTheme="minorHAnsi"/>
                <w:b w:val="0"/>
                <w:color w:val="808080"/>
              </w:rPr>
              <w:t>Contact point for further details:</w:t>
            </w:r>
            <w:r w:rsidR="00FD5A7E" w:rsidRPr="00B22617">
              <w:rPr>
                <w:rFonts w:asciiTheme="minorHAnsi" w:hAnsiTheme="minorHAnsi"/>
                <w:b w:val="0"/>
                <w:color w:val="808080"/>
              </w:rPr>
              <w:t xml:space="preserve"> </w:t>
            </w:r>
          </w:p>
        </w:tc>
        <w:tc>
          <w:tcPr>
            <w:tcW w:w="5387" w:type="dxa"/>
          </w:tcPr>
          <w:p w:rsidR="001A1859" w:rsidRPr="00B22617" w:rsidRDefault="00FD5A7E" w:rsidP="009E28DA">
            <w:pPr>
              <w:pStyle w:val="Heading9"/>
              <w:rPr>
                <w:rFonts w:asciiTheme="minorHAnsi" w:hAnsiTheme="minorHAnsi"/>
                <w:b w:val="0"/>
              </w:rPr>
            </w:pPr>
            <w:hyperlink r:id="rId15" w:history="1">
              <w:r w:rsidRPr="00B22617">
                <w:rPr>
                  <w:rStyle w:val="Hyperlink"/>
                  <w:rFonts w:asciiTheme="minorHAnsi" w:hAnsiTheme="minorHAnsi"/>
                  <w:b w:val="0"/>
                </w:rPr>
                <w:t>Michael_Diehl@ustr.eop.gov</w:t>
              </w:r>
            </w:hyperlink>
            <w:r w:rsidRPr="00B22617">
              <w:rPr>
                <w:rFonts w:asciiTheme="minorHAnsi" w:hAnsiTheme="minorHAnsi"/>
                <w:b w:val="0"/>
                <w:color w:val="808080"/>
              </w:rPr>
              <w:t xml:space="preserve">; </w:t>
            </w:r>
            <w:hyperlink r:id="rId16" w:history="1">
              <w:r w:rsidRPr="00B22617">
                <w:rPr>
                  <w:rStyle w:val="Hyperlink"/>
                  <w:rFonts w:asciiTheme="minorHAnsi" w:hAnsiTheme="minorHAnsi"/>
                  <w:b w:val="0"/>
                </w:rPr>
                <w:t>Edward_Brzytwa@ustr.eop.gov</w:t>
              </w:r>
            </w:hyperlink>
          </w:p>
        </w:tc>
        <w:tc>
          <w:tcPr>
            <w:tcW w:w="5670" w:type="dxa"/>
          </w:tcPr>
          <w:p w:rsidR="001A1859" w:rsidRPr="00B22617" w:rsidRDefault="001A1859" w:rsidP="009E28DA">
            <w:pPr>
              <w:pStyle w:val="Heading9"/>
              <w:rPr>
                <w:rFonts w:asciiTheme="minorHAnsi" w:hAnsiTheme="minorHAnsi"/>
                <w:b w:val="0"/>
              </w:rPr>
            </w:pPr>
          </w:p>
        </w:tc>
      </w:tr>
      <w:tr w:rsidR="001F22A2" w:rsidRPr="00B22617">
        <w:tc>
          <w:tcPr>
            <w:tcW w:w="3524" w:type="dxa"/>
          </w:tcPr>
          <w:p w:rsidR="001F22A2" w:rsidRPr="00B22617" w:rsidRDefault="001F22A2">
            <w:pPr>
              <w:rPr>
                <w:rFonts w:asciiTheme="minorHAnsi" w:hAnsiTheme="minorHAnsi"/>
                <w:b/>
                <w:i/>
                <w:sz w:val="20"/>
              </w:rPr>
            </w:pPr>
            <w:bookmarkStart w:id="23" w:name="Row8"/>
            <w:bookmarkEnd w:id="23"/>
            <w:r w:rsidRPr="00B22617">
              <w:rPr>
                <w:rFonts w:asciiTheme="minorHAnsi" w:hAnsiTheme="minorHAnsi"/>
                <w:b/>
                <w:i/>
                <w:sz w:val="20"/>
              </w:rPr>
              <w:t>Competition Policy</w:t>
            </w:r>
          </w:p>
          <w:p w:rsidR="001F22A2" w:rsidRPr="00B22617" w:rsidRDefault="001F22A2">
            <w:pPr>
              <w:rPr>
                <w:rFonts w:asciiTheme="minorHAnsi" w:hAnsiTheme="minorHAnsi"/>
                <w:b/>
                <w:i/>
                <w:sz w:val="20"/>
              </w:rPr>
            </w:pPr>
          </w:p>
        </w:tc>
        <w:tc>
          <w:tcPr>
            <w:tcW w:w="5387" w:type="dxa"/>
          </w:tcPr>
          <w:p w:rsidR="00B22617" w:rsidRPr="00B22617" w:rsidRDefault="00B22617" w:rsidP="00B22617">
            <w:pPr>
              <w:rPr>
                <w:rFonts w:asciiTheme="minorHAnsi" w:hAnsiTheme="minorHAnsi"/>
                <w:sz w:val="20"/>
                <w:lang w:val="en-US"/>
              </w:rPr>
            </w:pPr>
            <w:bookmarkStart w:id="24" w:name="Cell15"/>
            <w:bookmarkEnd w:id="24"/>
            <w:r w:rsidRPr="00B22617">
              <w:rPr>
                <w:rFonts w:asciiTheme="minorHAnsi" w:hAnsiTheme="minorHAnsi"/>
                <w:color w:val="221E1F"/>
                <w:sz w:val="20"/>
              </w:rPr>
              <w:t>In March 2014, Federal Trade Commission (FTC) staff issued a policy paper that focused on proposed state-level changes to statutes and rules governing the “scope of practice” of Advanced Practice Registered Nurses (APRNs). Scope of practice rules determine the range of health care procedures and services that various health care professionals are licensed to provide under state law. In the case of APRNs, these rules establish both the range of services APRNs may deliver and the extent to which they are permitted to practice independently, or without direct physician supervision.</w:t>
            </w:r>
          </w:p>
          <w:p w:rsidR="00B22617" w:rsidRPr="00B22617" w:rsidRDefault="00B22617" w:rsidP="00B22617">
            <w:pPr>
              <w:rPr>
                <w:rFonts w:asciiTheme="minorHAnsi" w:hAnsiTheme="minorHAnsi"/>
                <w:sz w:val="20"/>
              </w:rPr>
            </w:pPr>
            <w:hyperlink r:id="rId17" w:history="1">
              <w:r w:rsidRPr="00B22617">
                <w:rPr>
                  <w:rStyle w:val="Hyperlink"/>
                  <w:rFonts w:asciiTheme="minorHAnsi" w:hAnsiTheme="minorHAnsi"/>
                  <w:sz w:val="20"/>
                </w:rPr>
                <w:t>http://www.ftc.gov/reports/policy-perspectives-competition-regulation-advanced-practice-nurses</w:t>
              </w:r>
            </w:hyperlink>
          </w:p>
          <w:p w:rsidR="00B22617" w:rsidRPr="00B22617" w:rsidRDefault="00B22617" w:rsidP="00B22617">
            <w:pPr>
              <w:rPr>
                <w:rFonts w:asciiTheme="minorHAnsi" w:hAnsiTheme="minorHAnsi"/>
                <w:sz w:val="20"/>
              </w:rPr>
            </w:pPr>
          </w:p>
          <w:p w:rsidR="00B22617" w:rsidRPr="00B22617" w:rsidRDefault="00B22617" w:rsidP="00B22617">
            <w:pPr>
              <w:rPr>
                <w:rFonts w:asciiTheme="minorHAnsi" w:hAnsiTheme="minorHAnsi"/>
                <w:sz w:val="20"/>
              </w:rPr>
            </w:pPr>
            <w:r w:rsidRPr="00B22617">
              <w:rPr>
                <w:rFonts w:asciiTheme="minorHAnsi" w:hAnsiTheme="minorHAnsi"/>
                <w:sz w:val="20"/>
              </w:rPr>
              <w:t xml:space="preserve">The Department of Justice (DOJ), FTC and Canadian Competition Bureau, in March 2014, issued a set of “best practices” to make more transparent how they coordinate merger reviews that affect the United States and Canada.  The best practices set forth how effective day-to-day cooperation works between the two U.S. agencies and the Competition Bureau, including how the agencies communicate with each other, benefit from the similarity of their respective merger review timetables, cooperate in the analysis of evidence, use waivers of confidentiality provided by the parties and address remedies and settlements.  The best practices also seek to promote cooperation and coordination between the U.S. and Canadian agencies in order to enhance the likelihood of consistent outcomes when the same merger is reviewed in both countries.  In addition, the best practices acknowledge the contribution that merging parties can make in facilitating cooperation, and provide guidance to firms about how to work with the agencies to coordinate and facilitate the reviews of their proposed transactions.  </w:t>
            </w:r>
          </w:p>
          <w:p w:rsidR="00B22617" w:rsidRPr="00B22617" w:rsidRDefault="00B22617" w:rsidP="00B22617">
            <w:pPr>
              <w:rPr>
                <w:rFonts w:asciiTheme="minorHAnsi" w:hAnsiTheme="minorHAnsi"/>
                <w:sz w:val="20"/>
              </w:rPr>
            </w:pPr>
          </w:p>
          <w:p w:rsidR="00B22617" w:rsidRPr="00B22617" w:rsidRDefault="00B22617" w:rsidP="00B22617">
            <w:pPr>
              <w:rPr>
                <w:rFonts w:asciiTheme="minorHAnsi" w:hAnsiTheme="minorHAnsi"/>
                <w:sz w:val="20"/>
              </w:rPr>
            </w:pPr>
            <w:r w:rsidRPr="00B22617">
              <w:rPr>
                <w:rFonts w:asciiTheme="minorHAnsi" w:hAnsiTheme="minorHAnsi"/>
                <w:sz w:val="20"/>
              </w:rPr>
              <w:t>The “best practices” do not modify existing U.S. or Canadian law, but instead build upon the framework of the 1995 antitrust cooperation agreement between the United States and Canada and the experience gained under that framework.</w:t>
            </w:r>
          </w:p>
          <w:p w:rsidR="00B22617" w:rsidRPr="00B22617" w:rsidRDefault="00B22617" w:rsidP="00B22617">
            <w:pPr>
              <w:rPr>
                <w:rFonts w:asciiTheme="minorHAnsi" w:hAnsiTheme="minorHAnsi"/>
                <w:sz w:val="20"/>
              </w:rPr>
            </w:pPr>
          </w:p>
          <w:p w:rsidR="00B22617" w:rsidRPr="00B22617" w:rsidRDefault="00B22617" w:rsidP="00B22617">
            <w:pPr>
              <w:shd w:val="clear" w:color="auto" w:fill="FFFFFF"/>
              <w:spacing w:after="240"/>
              <w:rPr>
                <w:rFonts w:asciiTheme="minorHAnsi" w:eastAsia="Times New Roman" w:hAnsiTheme="minorHAnsi"/>
                <w:color w:val="323232"/>
                <w:sz w:val="20"/>
              </w:rPr>
            </w:pPr>
            <w:r w:rsidRPr="00B22617">
              <w:rPr>
                <w:rFonts w:asciiTheme="minorHAnsi" w:eastAsia="Times New Roman" w:hAnsiTheme="minorHAnsi"/>
                <w:color w:val="323232"/>
                <w:sz w:val="20"/>
              </w:rPr>
              <w:t>The FTC held a public workshop, “Examining Health Care Competition,” in March 2014, to study certain activities and trends that may affect competition in the evolving health care industry. The workshop explored current developments related to: professional regulation of health care providers; innovations in health care delivery; advancements in health care technology; measuring and assessing health care quality; and price transparency of health care services.</w:t>
            </w:r>
          </w:p>
          <w:p w:rsidR="00B22617" w:rsidRPr="00B22617" w:rsidRDefault="00B22617" w:rsidP="00B22617">
            <w:pPr>
              <w:rPr>
                <w:rFonts w:asciiTheme="minorHAnsi" w:eastAsiaTheme="minorHAnsi" w:hAnsiTheme="minorHAnsi"/>
                <w:color w:val="323232"/>
                <w:sz w:val="20"/>
              </w:rPr>
            </w:pPr>
            <w:r w:rsidRPr="00B22617">
              <w:rPr>
                <w:rFonts w:asciiTheme="minorHAnsi" w:hAnsiTheme="minorHAnsi"/>
                <w:color w:val="323232"/>
                <w:sz w:val="20"/>
              </w:rPr>
              <w:t xml:space="preserve">In February 2014, the FTC held a </w:t>
            </w:r>
            <w:hyperlink r:id="rId18" w:history="1">
              <w:r w:rsidRPr="00B22617">
                <w:rPr>
                  <w:rStyle w:val="Hyperlink"/>
                  <w:rFonts w:asciiTheme="minorHAnsi" w:hAnsiTheme="minorHAnsi"/>
                  <w:color w:val="000000" w:themeColor="text1"/>
                  <w:sz w:val="20"/>
                </w:rPr>
                <w:t>workshop to explore competition issues involving biologic medicines and follow-on biologics</w:t>
              </w:r>
            </w:hyperlink>
            <w:r w:rsidRPr="00B22617">
              <w:rPr>
                <w:rFonts w:asciiTheme="minorHAnsi" w:hAnsiTheme="minorHAnsi"/>
                <w:color w:val="000000" w:themeColor="text1"/>
                <w:sz w:val="20"/>
              </w:rPr>
              <w:t xml:space="preserve">. </w:t>
            </w:r>
            <w:r w:rsidRPr="00B22617">
              <w:rPr>
                <w:rFonts w:asciiTheme="minorHAnsi" w:hAnsiTheme="minorHAnsi"/>
                <w:color w:val="323232"/>
                <w:sz w:val="20"/>
              </w:rPr>
              <w:t xml:space="preserve">Biologic medicines comprise the fastest-growing sector of pharmaceuticals and target such difficult-to-treat diseases as cancer, diabetes, and multiple sclerosis. Workshop presentations were provided by a wide range of experts in the research, development, commercialization and sale of </w:t>
            </w:r>
            <w:proofErr w:type="spellStart"/>
            <w:r w:rsidRPr="00B22617">
              <w:rPr>
                <w:rFonts w:asciiTheme="minorHAnsi" w:hAnsiTheme="minorHAnsi"/>
                <w:color w:val="323232"/>
                <w:sz w:val="20"/>
              </w:rPr>
              <w:t>biosimilar</w:t>
            </w:r>
            <w:proofErr w:type="spellEnd"/>
            <w:r w:rsidRPr="00B22617">
              <w:rPr>
                <w:rFonts w:asciiTheme="minorHAnsi" w:hAnsiTheme="minorHAnsi"/>
                <w:color w:val="323232"/>
                <w:sz w:val="20"/>
              </w:rPr>
              <w:t xml:space="preserve"> and interchangeable follow-on biologic medicines.</w:t>
            </w:r>
          </w:p>
          <w:p w:rsidR="00B22617" w:rsidRPr="00B22617" w:rsidRDefault="00B22617" w:rsidP="00B22617">
            <w:pPr>
              <w:rPr>
                <w:rFonts w:asciiTheme="minorHAnsi" w:hAnsiTheme="minorHAnsi"/>
                <w:sz w:val="20"/>
              </w:rPr>
            </w:pPr>
          </w:p>
          <w:p w:rsidR="00B22617" w:rsidRPr="00B22617" w:rsidRDefault="00B22617" w:rsidP="00B22617">
            <w:pPr>
              <w:rPr>
                <w:rFonts w:asciiTheme="minorHAnsi" w:hAnsiTheme="minorHAnsi"/>
                <w:color w:val="323232"/>
                <w:sz w:val="20"/>
              </w:rPr>
            </w:pPr>
            <w:r w:rsidRPr="00B22617">
              <w:rPr>
                <w:rFonts w:asciiTheme="minorHAnsi" w:hAnsiTheme="minorHAnsi"/>
                <w:sz w:val="20"/>
              </w:rPr>
              <w:t xml:space="preserve">In September 2013, the DOJ and the staff of the FTC issued a joint model waiver of confidentiality for individuals and companies to use in merger and civil non-merger matters involving concurrent review by the DOJ or FTC and non-U.S. competition authorities.  A waiver provides the terms on which an individual or company agrees to waive statutory confidentiality protections that are otherwise available to the agency that originally received the company’s confidential information.  The model waiver is designed to streamline the waiver process thereby significantly reduces the burden on individuals and companies, as well the agencies’ time and resources involved in negotiating waivers.  A waiver allows for the sharing of confidential information only among the competition agencies listed in the waiver.  For additional information on the joint model waiver, </w:t>
            </w:r>
            <w:r w:rsidRPr="00B22617">
              <w:rPr>
                <w:rFonts w:asciiTheme="minorHAnsi" w:hAnsiTheme="minorHAnsi"/>
                <w:i/>
                <w:sz w:val="20"/>
              </w:rPr>
              <w:t>see</w:t>
            </w:r>
            <w:r w:rsidRPr="00B22617">
              <w:rPr>
                <w:rFonts w:asciiTheme="minorHAnsi" w:hAnsiTheme="minorHAnsi"/>
                <w:sz w:val="20"/>
              </w:rPr>
              <w:t xml:space="preserve"> </w:t>
            </w:r>
            <w:hyperlink r:id="rId19" w:history="1">
              <w:r w:rsidRPr="00B22617">
                <w:rPr>
                  <w:rStyle w:val="Hyperlink"/>
                  <w:rFonts w:asciiTheme="minorHAnsi" w:hAnsiTheme="minorHAnsi"/>
                  <w:sz w:val="20"/>
                </w:rPr>
                <w:t>http://www.justice.gov/atr/public/international/index.html</w:t>
              </w:r>
            </w:hyperlink>
            <w:r w:rsidRPr="00B22617">
              <w:rPr>
                <w:rFonts w:asciiTheme="minorHAnsi" w:hAnsiTheme="minorHAnsi"/>
                <w:sz w:val="20"/>
              </w:rPr>
              <w:t xml:space="preserve">; </w:t>
            </w:r>
            <w:hyperlink r:id="rId20" w:history="1">
              <w:r w:rsidRPr="00B22617">
                <w:rPr>
                  <w:rStyle w:val="Hyperlink"/>
                  <w:rFonts w:asciiTheme="minorHAnsi" w:hAnsiTheme="minorHAnsi"/>
                  <w:sz w:val="20"/>
                </w:rPr>
                <w:t>http://www.ftc.gov/sites/default/files/attachments/international-waivers-confidentiality-ftc-antitrust-investigations/model_waiver.pdf</w:t>
              </w:r>
            </w:hyperlink>
          </w:p>
          <w:p w:rsidR="00B22617" w:rsidRPr="00B22617" w:rsidRDefault="00B22617" w:rsidP="00B22617">
            <w:pPr>
              <w:rPr>
                <w:rFonts w:asciiTheme="minorHAnsi" w:hAnsiTheme="minorHAnsi"/>
                <w:color w:val="323232"/>
                <w:sz w:val="20"/>
              </w:rPr>
            </w:pPr>
          </w:p>
          <w:p w:rsidR="00B22617" w:rsidRPr="00B22617" w:rsidRDefault="00B22617" w:rsidP="00B22617">
            <w:pPr>
              <w:rPr>
                <w:rFonts w:asciiTheme="minorHAnsi" w:hAnsiTheme="minorHAnsi"/>
                <w:color w:val="323232"/>
                <w:sz w:val="20"/>
              </w:rPr>
            </w:pPr>
            <w:r w:rsidRPr="00B22617">
              <w:rPr>
                <w:rFonts w:asciiTheme="minorHAnsi" w:hAnsiTheme="minorHAnsi"/>
                <w:sz w:val="20"/>
              </w:rPr>
              <w:t xml:space="preserve">In 2013, the FTC issued </w:t>
            </w:r>
            <w:hyperlink r:id="rId21" w:history="1">
              <w:r w:rsidRPr="00B22617">
                <w:rPr>
                  <w:rStyle w:val="Hyperlink"/>
                  <w:rFonts w:asciiTheme="minorHAnsi" w:hAnsiTheme="minorHAnsi"/>
                  <w:color w:val="000000" w:themeColor="text1"/>
                  <w:sz w:val="20"/>
                </w:rPr>
                <w:t>final changes to the premerger notification rules</w:t>
              </w:r>
            </w:hyperlink>
            <w:r w:rsidRPr="00B22617">
              <w:rPr>
                <w:rFonts w:asciiTheme="minorHAnsi" w:hAnsiTheme="minorHAnsi"/>
                <w:color w:val="000000" w:themeColor="text1"/>
                <w:sz w:val="20"/>
              </w:rPr>
              <w:t xml:space="preserve"> th</w:t>
            </w:r>
            <w:r w:rsidRPr="00B22617">
              <w:rPr>
                <w:rFonts w:asciiTheme="minorHAnsi" w:hAnsiTheme="minorHAnsi"/>
                <w:color w:val="323232"/>
                <w:sz w:val="20"/>
              </w:rPr>
              <w:t xml:space="preserve">at require companies in the pharmaceutical industry to report certain proposed acquisitions of exclusive patent rights to the FTC and the DOJ for </w:t>
            </w:r>
            <w:hyperlink r:id="rId22" w:history="1">
              <w:r w:rsidRPr="00B22617">
                <w:rPr>
                  <w:rStyle w:val="Hyperlink"/>
                  <w:rFonts w:asciiTheme="minorHAnsi" w:hAnsiTheme="minorHAnsi"/>
                  <w:color w:val="000000" w:themeColor="text1"/>
                  <w:sz w:val="20"/>
                </w:rPr>
                <w:t>antitrust review</w:t>
              </w:r>
            </w:hyperlink>
            <w:r w:rsidRPr="00B22617">
              <w:rPr>
                <w:rFonts w:asciiTheme="minorHAnsi" w:hAnsiTheme="minorHAnsi"/>
                <w:color w:val="323232"/>
                <w:sz w:val="20"/>
              </w:rPr>
              <w:t xml:space="preserve">. The revised rules clarify when a transfer of exclusive rights to a patent in the pharmaceutical industry results in a potentially reportable asset acquisition under the Hart Scott </w:t>
            </w:r>
            <w:proofErr w:type="spellStart"/>
            <w:r w:rsidRPr="00B22617">
              <w:rPr>
                <w:rFonts w:asciiTheme="minorHAnsi" w:hAnsiTheme="minorHAnsi"/>
                <w:color w:val="323232"/>
                <w:sz w:val="20"/>
              </w:rPr>
              <w:t>Rodino</w:t>
            </w:r>
            <w:proofErr w:type="spellEnd"/>
            <w:r w:rsidRPr="00B22617">
              <w:rPr>
                <w:rFonts w:asciiTheme="minorHAnsi" w:hAnsiTheme="minorHAnsi"/>
                <w:color w:val="323232"/>
                <w:sz w:val="20"/>
              </w:rPr>
              <w:t xml:space="preserve"> (HSR) Act. It also issued </w:t>
            </w:r>
            <w:hyperlink r:id="rId23" w:history="1">
              <w:r w:rsidRPr="00B22617">
                <w:rPr>
                  <w:rStyle w:val="Hyperlink"/>
                  <w:rFonts w:asciiTheme="minorHAnsi" w:hAnsiTheme="minorHAnsi"/>
                  <w:color w:val="000000" w:themeColor="text1"/>
                  <w:sz w:val="20"/>
                </w:rPr>
                <w:t>final changes to its premerger rules</w:t>
              </w:r>
            </w:hyperlink>
            <w:r w:rsidRPr="00B22617">
              <w:rPr>
                <w:rFonts w:asciiTheme="minorHAnsi" w:hAnsiTheme="minorHAnsi"/>
                <w:sz w:val="20"/>
              </w:rPr>
              <w:t xml:space="preserve"> </w:t>
            </w:r>
            <w:r w:rsidRPr="00B22617">
              <w:rPr>
                <w:rFonts w:asciiTheme="minorHAnsi" w:hAnsiTheme="minorHAnsi"/>
                <w:color w:val="323232"/>
                <w:sz w:val="20"/>
              </w:rPr>
              <w:t xml:space="preserve">to establish procedures for the withdrawal of a Hart Scott </w:t>
            </w:r>
            <w:proofErr w:type="spellStart"/>
            <w:r w:rsidRPr="00B22617">
              <w:rPr>
                <w:rFonts w:asciiTheme="minorHAnsi" w:hAnsiTheme="minorHAnsi"/>
                <w:color w:val="323232"/>
                <w:sz w:val="20"/>
              </w:rPr>
              <w:t>Rodino</w:t>
            </w:r>
            <w:proofErr w:type="spellEnd"/>
            <w:r w:rsidRPr="00B22617">
              <w:rPr>
                <w:rFonts w:asciiTheme="minorHAnsi" w:hAnsiTheme="minorHAnsi"/>
                <w:color w:val="323232"/>
                <w:sz w:val="20"/>
              </w:rPr>
              <w:t xml:space="preserve"> (HSR) premerger notification filing in certain circumstances</w:t>
            </w:r>
          </w:p>
          <w:p w:rsidR="00B22617" w:rsidRPr="00B22617" w:rsidRDefault="00B22617" w:rsidP="00B22617">
            <w:pPr>
              <w:rPr>
                <w:rFonts w:asciiTheme="minorHAnsi" w:hAnsiTheme="minorHAnsi"/>
                <w:color w:val="323232"/>
                <w:sz w:val="20"/>
              </w:rPr>
            </w:pPr>
            <w:hyperlink r:id="rId24" w:history="1">
              <w:r w:rsidRPr="00B22617">
                <w:rPr>
                  <w:rStyle w:val="Hyperlink"/>
                  <w:rFonts w:asciiTheme="minorHAnsi" w:hAnsiTheme="minorHAnsi"/>
                  <w:sz w:val="20"/>
                </w:rPr>
                <w:t>http://www.ftc.gov/policy/federal-register-notices/16-cfr-part-801-premerger-notification-reporting-waiting-period</w:t>
              </w:r>
            </w:hyperlink>
          </w:p>
          <w:p w:rsidR="00B22617" w:rsidRPr="00B22617" w:rsidRDefault="00B22617" w:rsidP="00B22617">
            <w:pPr>
              <w:rPr>
                <w:rFonts w:asciiTheme="minorHAnsi" w:hAnsiTheme="minorHAnsi"/>
                <w:color w:val="323232"/>
                <w:sz w:val="20"/>
              </w:rPr>
            </w:pPr>
            <w:hyperlink r:id="rId25" w:history="1">
              <w:r w:rsidRPr="00B22617">
                <w:rPr>
                  <w:rStyle w:val="Hyperlink"/>
                  <w:rFonts w:asciiTheme="minorHAnsi" w:hAnsiTheme="minorHAnsi"/>
                  <w:sz w:val="20"/>
                </w:rPr>
                <w:t>http://www.ftc.gov/sites/default/files/documents/federal_register_notices/federal-register-notice-16-cfr-parts-801-802-and-803-premerger-notification-reporting-</w:t>
              </w:r>
            </w:hyperlink>
            <w:r w:rsidRPr="00B22617">
              <w:rPr>
                <w:rFonts w:asciiTheme="minorHAnsi" w:hAnsiTheme="minorHAnsi"/>
                <w:sz w:val="20"/>
              </w:rPr>
              <w:t xml:space="preserve"> </w:t>
            </w:r>
          </w:p>
          <w:p w:rsidR="00B22617" w:rsidRDefault="00B22617" w:rsidP="00B22617">
            <w:pPr>
              <w:rPr>
                <w:rFonts w:asciiTheme="minorHAnsi" w:eastAsia="Times New Roman" w:hAnsiTheme="minorHAnsi"/>
                <w:color w:val="323232"/>
                <w:sz w:val="20"/>
              </w:rPr>
            </w:pPr>
          </w:p>
          <w:p w:rsidR="00B22617" w:rsidRDefault="00B22617" w:rsidP="00B22617">
            <w:pPr>
              <w:rPr>
                <w:rFonts w:asciiTheme="minorHAnsi" w:eastAsiaTheme="minorHAnsi" w:hAnsiTheme="minorHAnsi"/>
                <w:sz w:val="20"/>
              </w:rPr>
            </w:pPr>
            <w:r w:rsidRPr="00B22617">
              <w:rPr>
                <w:rFonts w:asciiTheme="minorHAnsi" w:hAnsiTheme="minorHAnsi"/>
                <w:sz w:val="20"/>
              </w:rPr>
              <w:t>In January 2013, the DOJ and the U.S. Patent and Trademark Office released a joint Policy Statement on Remedies for Standards-Essential Patents Subject to Voluntary F/RAND Commitments.  The statement addressed how federal district courts and the U.S. International Trade Commission resolve cases involving standards-essential patents which owners have committed to licensing on fair, reasonable, and non-discriminatory (FRAND) terms.</w:t>
            </w:r>
          </w:p>
          <w:p w:rsidR="00B22617" w:rsidRPr="00B22617" w:rsidRDefault="00B22617" w:rsidP="00B22617">
            <w:pPr>
              <w:rPr>
                <w:rFonts w:asciiTheme="minorHAnsi" w:eastAsiaTheme="minorHAnsi" w:hAnsiTheme="minorHAnsi"/>
                <w:sz w:val="20"/>
              </w:rPr>
            </w:pPr>
          </w:p>
          <w:p w:rsidR="00B22617" w:rsidRPr="00B22617" w:rsidRDefault="00B22617" w:rsidP="00B22617">
            <w:pPr>
              <w:rPr>
                <w:rFonts w:asciiTheme="minorHAnsi" w:eastAsiaTheme="minorHAnsi" w:hAnsiTheme="minorHAnsi"/>
                <w:sz w:val="20"/>
              </w:rPr>
            </w:pPr>
            <w:r w:rsidRPr="00B22617">
              <w:rPr>
                <w:rFonts w:asciiTheme="minorHAnsi" w:hAnsiTheme="minorHAnsi"/>
                <w:color w:val="323232"/>
                <w:sz w:val="20"/>
              </w:rPr>
              <w:t xml:space="preserve">The DOJ and FTC, in December 10, 2012, </w:t>
            </w:r>
            <w:r w:rsidRPr="00B22617">
              <w:rPr>
                <w:rFonts w:asciiTheme="minorHAnsi" w:hAnsiTheme="minorHAnsi"/>
                <w:sz w:val="20"/>
              </w:rPr>
              <w:t xml:space="preserve">hosted a public workshop on patent assertion entity (PAE) </w:t>
            </w:r>
            <w:proofErr w:type="spellStart"/>
            <w:r w:rsidRPr="00B22617">
              <w:rPr>
                <w:rFonts w:asciiTheme="minorHAnsi" w:hAnsiTheme="minorHAnsi"/>
                <w:sz w:val="20"/>
              </w:rPr>
              <w:t>behavior</w:t>
            </w:r>
            <w:proofErr w:type="spellEnd"/>
            <w:r w:rsidRPr="00B22617">
              <w:rPr>
                <w:rFonts w:asciiTheme="minorHAnsi" w:hAnsiTheme="minorHAnsi"/>
                <w:sz w:val="20"/>
              </w:rPr>
              <w:t xml:space="preserve">.  The workshop provided a forum for industry participants, academics, economists, lawyers, and other interested parties to discuss the evolution of economic and legal analyses of PAE </w:t>
            </w:r>
            <w:proofErr w:type="spellStart"/>
            <w:r w:rsidRPr="00B22617">
              <w:rPr>
                <w:rFonts w:asciiTheme="minorHAnsi" w:hAnsiTheme="minorHAnsi"/>
                <w:sz w:val="20"/>
              </w:rPr>
              <w:t>behavior</w:t>
            </w:r>
            <w:proofErr w:type="spellEnd"/>
            <w:r w:rsidRPr="00B22617">
              <w:rPr>
                <w:rFonts w:asciiTheme="minorHAnsi" w:hAnsiTheme="minorHAnsi"/>
                <w:sz w:val="20"/>
              </w:rPr>
              <w:t xml:space="preserve">, including patent acquisition and licensing activity.  The workshop consisted of a series of panels examining, among other topics, PAE </w:t>
            </w:r>
            <w:proofErr w:type="spellStart"/>
            <w:r w:rsidRPr="00B22617">
              <w:rPr>
                <w:rFonts w:asciiTheme="minorHAnsi" w:hAnsiTheme="minorHAnsi"/>
                <w:sz w:val="20"/>
              </w:rPr>
              <w:t>behavior</w:t>
            </w:r>
            <w:proofErr w:type="spellEnd"/>
            <w:r w:rsidRPr="00B22617">
              <w:rPr>
                <w:rFonts w:asciiTheme="minorHAnsi" w:hAnsiTheme="minorHAnsi"/>
                <w:sz w:val="20"/>
              </w:rPr>
              <w:t xml:space="preserve">, the economics of IP licensing, industry experiences with PAE </w:t>
            </w:r>
            <w:proofErr w:type="spellStart"/>
            <w:r w:rsidRPr="00B22617">
              <w:rPr>
                <w:rFonts w:asciiTheme="minorHAnsi" w:hAnsiTheme="minorHAnsi"/>
                <w:sz w:val="20"/>
              </w:rPr>
              <w:t>behavior</w:t>
            </w:r>
            <w:proofErr w:type="spellEnd"/>
            <w:r w:rsidRPr="00B22617">
              <w:rPr>
                <w:rFonts w:asciiTheme="minorHAnsi" w:hAnsiTheme="minorHAnsi"/>
                <w:sz w:val="20"/>
              </w:rPr>
              <w:t xml:space="preserve">, economic and legal theories and empirical work concerning PAE activity, and the potential efficiencies and harms to innovation and competition that this activity may generate.  For additional information on this workshop, </w:t>
            </w:r>
            <w:r w:rsidRPr="00B22617">
              <w:rPr>
                <w:rFonts w:asciiTheme="minorHAnsi" w:hAnsiTheme="minorHAnsi"/>
                <w:i/>
                <w:sz w:val="20"/>
              </w:rPr>
              <w:t>see</w:t>
            </w:r>
            <w:r w:rsidRPr="00B22617">
              <w:rPr>
                <w:rFonts w:asciiTheme="minorHAnsi" w:hAnsiTheme="minorHAnsi"/>
                <w:sz w:val="20"/>
              </w:rPr>
              <w:t xml:space="preserve"> </w:t>
            </w:r>
            <w:hyperlink r:id="rId26" w:history="1">
              <w:r w:rsidRPr="00B22617">
                <w:rPr>
                  <w:rStyle w:val="Hyperlink"/>
                  <w:rFonts w:asciiTheme="minorHAnsi" w:hAnsiTheme="minorHAnsi"/>
                  <w:sz w:val="20"/>
                </w:rPr>
                <w:t>http://www.justice.gov/atr/public/workshops/pae/index.html</w:t>
              </w:r>
            </w:hyperlink>
            <w:r w:rsidRPr="00B22617">
              <w:rPr>
                <w:rFonts w:asciiTheme="minorHAnsi" w:hAnsiTheme="minorHAnsi"/>
                <w:sz w:val="20"/>
              </w:rPr>
              <w:t xml:space="preserve">; </w:t>
            </w:r>
          </w:p>
          <w:p w:rsidR="00B22617" w:rsidRPr="00B22617" w:rsidRDefault="00B22617" w:rsidP="00B22617">
            <w:pPr>
              <w:rPr>
                <w:rFonts w:asciiTheme="minorHAnsi" w:hAnsiTheme="minorHAnsi"/>
                <w:sz w:val="20"/>
              </w:rPr>
            </w:pPr>
            <w:hyperlink r:id="rId27" w:history="1">
              <w:r w:rsidRPr="00B22617">
                <w:rPr>
                  <w:rStyle w:val="Hyperlink"/>
                  <w:rFonts w:asciiTheme="minorHAnsi" w:hAnsiTheme="minorHAnsi"/>
                  <w:sz w:val="20"/>
                </w:rPr>
                <w:t>http://www.ftc.gov/news-events/events-calendar/2012/12/patent-assertion-entity-activities-workshop</w:t>
              </w:r>
            </w:hyperlink>
          </w:p>
          <w:p w:rsidR="00B22617" w:rsidRPr="00B22617" w:rsidRDefault="00B22617" w:rsidP="00B22617">
            <w:pPr>
              <w:rPr>
                <w:rFonts w:asciiTheme="minorHAnsi" w:hAnsiTheme="minorHAnsi"/>
                <w:color w:val="323232"/>
                <w:sz w:val="20"/>
              </w:rPr>
            </w:pPr>
          </w:p>
          <w:p w:rsidR="00B22617" w:rsidRPr="00B22617" w:rsidRDefault="00B22617" w:rsidP="00B22617">
            <w:pPr>
              <w:rPr>
                <w:rFonts w:asciiTheme="minorHAnsi" w:hAnsiTheme="minorHAnsi"/>
                <w:sz w:val="20"/>
              </w:rPr>
            </w:pPr>
            <w:r w:rsidRPr="00B22617">
              <w:rPr>
                <w:rFonts w:asciiTheme="minorHAnsi" w:hAnsiTheme="minorHAnsi"/>
                <w:sz w:val="20"/>
              </w:rPr>
              <w:t>In December 2012, DOJ hosted a senior official from the Japan Fair Trade Commission, as part of the Antitrust Division’s Visiting International Enforcers Program (“VIEP”).  Participants in the VIEP are exposed to all aspects of the Division’s work, consistent with the Division’s confidentiality obligations, and receive training from senior Division officials regarding the Division’s civil and criminal enforcement programs.  Participants also have the opportunity to participate in meetings with Division decision-makers, parties, and third parties in matters under review, and are invited to provide training to the Division on a topic of their choice related to thei</w:t>
            </w:r>
            <w:r>
              <w:rPr>
                <w:rFonts w:asciiTheme="minorHAnsi" w:hAnsiTheme="minorHAnsi"/>
                <w:sz w:val="20"/>
              </w:rPr>
              <w:t>r jurisdiction’s antitrust law.</w:t>
            </w:r>
          </w:p>
          <w:p w:rsidR="00B22617" w:rsidRPr="00B22617" w:rsidRDefault="00B22617" w:rsidP="00B22617">
            <w:pPr>
              <w:rPr>
                <w:rFonts w:asciiTheme="minorHAnsi" w:hAnsiTheme="minorHAnsi"/>
                <w:color w:val="323232"/>
                <w:sz w:val="20"/>
              </w:rPr>
            </w:pPr>
          </w:p>
          <w:p w:rsidR="00B22617" w:rsidRPr="00B22617" w:rsidRDefault="00B22617" w:rsidP="00B22617">
            <w:pPr>
              <w:pStyle w:val="NormalWeb"/>
              <w:shd w:val="clear" w:color="auto" w:fill="FFFFFF"/>
              <w:rPr>
                <w:rFonts w:asciiTheme="minorHAnsi" w:hAnsiTheme="minorHAnsi"/>
                <w:color w:val="323232"/>
                <w:sz w:val="20"/>
                <w:szCs w:val="20"/>
              </w:rPr>
            </w:pPr>
            <w:r w:rsidRPr="00B22617">
              <w:rPr>
                <w:rFonts w:asciiTheme="minorHAnsi" w:hAnsiTheme="minorHAnsi"/>
                <w:color w:val="323232"/>
                <w:sz w:val="20"/>
                <w:szCs w:val="20"/>
              </w:rPr>
              <w:t xml:space="preserve">The FTC issued a staff report finding that in Fiscal Year (FY) 2012 (October 1, 2011 through September 30, 2012), the number of potentially anticompetitive patent dispute settlements between branded and generic drug companies increased significantly compared with FY 2011, jumping from 28 to 40.  The figure is the highest of any year since the FTC began collecting data in 2003. In nearly half of these settlements, branded firms may have used the promise that they would not develop or market an authorized generic (AG) as a payment to stall generic drug firms from marketing a competing product.  Overall, the agreements reached in the latest fiscal year involved 31 different brand-name pharmaceutical products with combined annual U.S. sales of more than $8.3 billion.  </w:t>
            </w:r>
            <w:hyperlink r:id="rId28" w:history="1">
              <w:r w:rsidRPr="00B22617">
                <w:rPr>
                  <w:rStyle w:val="Hyperlink"/>
                  <w:rFonts w:asciiTheme="minorHAnsi" w:hAnsiTheme="minorHAnsi"/>
                  <w:sz w:val="20"/>
                  <w:szCs w:val="20"/>
                </w:rPr>
                <w:t>http://www.ftc.gov/sites/default/files/documents/reports/agreements-filed-federal-trade-commission-under-medicare-prescription-drug-improvement-and/130117mmareport.pdf</w:t>
              </w:r>
            </w:hyperlink>
          </w:p>
          <w:p w:rsidR="00B22617" w:rsidRPr="00B22617" w:rsidRDefault="00B22617" w:rsidP="00B22617">
            <w:pPr>
              <w:rPr>
                <w:rFonts w:asciiTheme="minorHAnsi" w:hAnsiTheme="minorHAnsi"/>
                <w:color w:val="323232"/>
                <w:sz w:val="20"/>
              </w:rPr>
            </w:pPr>
            <w:r w:rsidRPr="00B22617">
              <w:rPr>
                <w:rFonts w:asciiTheme="minorHAnsi" w:hAnsiTheme="minorHAnsi"/>
                <w:color w:val="323232"/>
                <w:sz w:val="20"/>
              </w:rPr>
              <w:t>On September 10, 2012, the FTC and DOJ held a joint public workshop on most-</w:t>
            </w:r>
            <w:proofErr w:type="spellStart"/>
            <w:r w:rsidRPr="00B22617">
              <w:rPr>
                <w:rFonts w:asciiTheme="minorHAnsi" w:hAnsiTheme="minorHAnsi"/>
                <w:color w:val="323232"/>
                <w:sz w:val="20"/>
              </w:rPr>
              <w:t>favored</w:t>
            </w:r>
            <w:proofErr w:type="spellEnd"/>
            <w:r w:rsidRPr="00B22617">
              <w:rPr>
                <w:rFonts w:asciiTheme="minorHAnsi" w:hAnsiTheme="minorHAnsi"/>
                <w:color w:val="323232"/>
                <w:sz w:val="20"/>
              </w:rPr>
              <w:t xml:space="preserve">-nation clauses (MFNs). The workshop provided a forum for discussion of the evolution of economic and legal thinking on MFNs and their implications. The workshop featured panels discussing economic theories concerning MFNs and why they are used, the legal treatment of MFNs, and industry experiences with MFNs, among other topics.  See </w:t>
            </w:r>
            <w:hyperlink r:id="rId29" w:history="1">
              <w:r w:rsidRPr="00B22617">
                <w:rPr>
                  <w:rStyle w:val="Hyperlink"/>
                  <w:rFonts w:asciiTheme="minorHAnsi" w:hAnsiTheme="minorHAnsi"/>
                  <w:sz w:val="20"/>
                </w:rPr>
                <w:t>http://www.justice.gov/atr/public/workshops/mfn/index.html</w:t>
              </w:r>
            </w:hyperlink>
            <w:r>
              <w:rPr>
                <w:rFonts w:asciiTheme="minorHAnsi" w:hAnsiTheme="minorHAnsi"/>
                <w:color w:val="323232"/>
                <w:sz w:val="20"/>
              </w:rPr>
              <w:t xml:space="preserve"> .</w:t>
            </w:r>
          </w:p>
          <w:p w:rsidR="00B22617" w:rsidRPr="00B22617" w:rsidRDefault="00B22617" w:rsidP="00B22617">
            <w:pPr>
              <w:rPr>
                <w:rFonts w:asciiTheme="minorHAnsi" w:hAnsiTheme="minorHAnsi"/>
                <w:sz w:val="20"/>
              </w:rPr>
            </w:pPr>
            <w:r w:rsidRPr="00B22617">
              <w:rPr>
                <w:rFonts w:asciiTheme="minorHAnsi" w:hAnsiTheme="minorHAnsi"/>
                <w:sz w:val="20"/>
              </w:rPr>
              <w:t>Horizontal Merger Investigation Data: Fiscal Years 1996-2011.  In January 2013, to promote transparency in merger enforcement, Federal Trade Commission staff reviewed the horizontal merger investigations that the agency conducted during fiscal years 1996</w:t>
            </w:r>
          </w:p>
          <w:p w:rsidR="00B22617" w:rsidRPr="00B22617" w:rsidRDefault="00B22617" w:rsidP="00B22617">
            <w:pPr>
              <w:rPr>
                <w:rFonts w:asciiTheme="minorHAnsi" w:hAnsiTheme="minorHAnsi"/>
                <w:sz w:val="20"/>
              </w:rPr>
            </w:pPr>
            <w:r w:rsidRPr="00B22617">
              <w:rPr>
                <w:rFonts w:asciiTheme="minorHAnsi" w:hAnsiTheme="minorHAnsi"/>
                <w:sz w:val="20"/>
              </w:rPr>
              <w:t xml:space="preserve">through 2011 and compiled relevant data for public release may be found at: </w:t>
            </w:r>
            <w:hyperlink r:id="rId30" w:history="1">
              <w:r w:rsidRPr="00B22617">
                <w:rPr>
                  <w:rStyle w:val="Hyperlink"/>
                  <w:rFonts w:asciiTheme="minorHAnsi" w:hAnsiTheme="minorHAnsi"/>
                  <w:sz w:val="20"/>
                </w:rPr>
                <w:t>http://www.ftc.gov/sites/default/files/documents/reports/horizontal-merger-investigation-data-fiscal-years-1996-2011/130104horizontalmergerreport.pdf</w:t>
              </w:r>
            </w:hyperlink>
          </w:p>
          <w:p w:rsidR="00B22617" w:rsidRPr="00B22617" w:rsidRDefault="00B22617" w:rsidP="00B22617">
            <w:pPr>
              <w:rPr>
                <w:rFonts w:asciiTheme="minorHAnsi" w:hAnsiTheme="minorHAnsi"/>
                <w:color w:val="323232"/>
                <w:sz w:val="20"/>
              </w:rPr>
            </w:pPr>
          </w:p>
          <w:p w:rsidR="00B22617" w:rsidRPr="00B22617" w:rsidRDefault="00B22617" w:rsidP="00B22617">
            <w:pPr>
              <w:rPr>
                <w:rFonts w:asciiTheme="minorHAnsi" w:hAnsiTheme="minorHAnsi"/>
                <w:color w:val="323232"/>
                <w:sz w:val="20"/>
              </w:rPr>
            </w:pPr>
            <w:r w:rsidRPr="00B22617">
              <w:rPr>
                <w:rFonts w:asciiTheme="minorHAnsi" w:hAnsiTheme="minorHAnsi"/>
                <w:color w:val="323232"/>
                <w:sz w:val="20"/>
              </w:rPr>
              <w:t xml:space="preserve">In September 2012 the DOJ and FTC signed an antitrust memorandum of understanding (MOU) with the Government of India Ministry of Corporate Affairs and the Competition Commission of India (CCI) to promote increased cooperation and communication among competition agencies in both countries.  The MOU is a framework for voluntary cooperation and does not change existing law in either country.  </w:t>
            </w:r>
            <w:hyperlink r:id="rId31" w:history="1">
              <w:r w:rsidRPr="00B22617">
                <w:rPr>
                  <w:rStyle w:val="Hyperlink"/>
                  <w:rFonts w:asciiTheme="minorHAnsi" w:hAnsiTheme="minorHAnsi"/>
                  <w:sz w:val="20"/>
                </w:rPr>
                <w:t>http://www.ftc.gov/system/files/1209indiamou.pdf</w:t>
              </w:r>
            </w:hyperlink>
            <w:r w:rsidRPr="00B22617">
              <w:rPr>
                <w:rFonts w:asciiTheme="minorHAnsi" w:hAnsiTheme="minorHAnsi"/>
                <w:sz w:val="20"/>
              </w:rPr>
              <w:t xml:space="preserve">; </w:t>
            </w:r>
            <w:hyperlink r:id="rId32" w:history="1">
              <w:r w:rsidRPr="00B22617">
                <w:rPr>
                  <w:rStyle w:val="Hyperlink"/>
                  <w:rFonts w:asciiTheme="minorHAnsi" w:hAnsiTheme="minorHAnsi"/>
                  <w:sz w:val="20"/>
                </w:rPr>
                <w:t>http://www.justice.gov/atr/public/press_releases/2012/287457.htm</w:t>
              </w:r>
            </w:hyperlink>
            <w:r w:rsidRPr="00B22617">
              <w:rPr>
                <w:rFonts w:asciiTheme="minorHAnsi" w:hAnsiTheme="minorHAnsi"/>
                <w:sz w:val="20"/>
              </w:rPr>
              <w:t xml:space="preserve">   </w:t>
            </w:r>
          </w:p>
          <w:p w:rsidR="00B22617" w:rsidRPr="00B22617" w:rsidRDefault="00B22617" w:rsidP="00B22617">
            <w:pPr>
              <w:rPr>
                <w:rFonts w:asciiTheme="minorHAnsi" w:hAnsiTheme="minorHAnsi"/>
                <w:color w:val="323232"/>
                <w:sz w:val="20"/>
              </w:rPr>
            </w:pPr>
          </w:p>
          <w:p w:rsidR="00B22617" w:rsidRPr="00B22617" w:rsidRDefault="00B22617" w:rsidP="00B22617">
            <w:pPr>
              <w:pStyle w:val="NormalWeb"/>
              <w:shd w:val="clear" w:color="auto" w:fill="FFFFFF"/>
              <w:rPr>
                <w:rFonts w:asciiTheme="minorHAnsi" w:hAnsiTheme="minorHAnsi"/>
                <w:sz w:val="20"/>
                <w:szCs w:val="20"/>
              </w:rPr>
            </w:pPr>
            <w:r w:rsidRPr="00B22617">
              <w:rPr>
                <w:rFonts w:asciiTheme="minorHAnsi" w:hAnsiTheme="minorHAnsi"/>
                <w:color w:val="323232"/>
                <w:sz w:val="20"/>
                <w:szCs w:val="20"/>
              </w:rPr>
              <w:t xml:space="preserve">On July 31, 2012, the FTC withdrew the </w:t>
            </w:r>
            <w:hyperlink r:id="rId33" w:history="1">
              <w:r w:rsidRPr="00B22617">
                <w:rPr>
                  <w:rStyle w:val="Hyperlink"/>
                  <w:rFonts w:asciiTheme="minorHAnsi" w:hAnsiTheme="minorHAnsi"/>
                  <w:sz w:val="20"/>
                  <w:szCs w:val="20"/>
                </w:rPr>
                <w:t>Policy Statement on Monetary Equitable Remedies in Competition Cases</w:t>
              </w:r>
            </w:hyperlink>
            <w:r w:rsidRPr="00B22617">
              <w:rPr>
                <w:rFonts w:asciiTheme="minorHAnsi" w:hAnsiTheme="minorHAnsi"/>
                <w:sz w:val="20"/>
                <w:szCs w:val="20"/>
              </w:rPr>
              <w:t>. The State</w:t>
            </w:r>
            <w:r w:rsidRPr="00B22617">
              <w:rPr>
                <w:rFonts w:asciiTheme="minorHAnsi" w:hAnsiTheme="minorHAnsi"/>
                <w:color w:val="323232"/>
                <w:sz w:val="20"/>
                <w:szCs w:val="20"/>
              </w:rPr>
              <w:t>ment was issued in 2003 and outlined a framework for determining when the Commission would seek equitable monetary remedies, such as disgorgement of ill-gotten gains, in competition case.  The Commission wrote that, "Although intended to clarify past Commission views on this topic, the practical effect of the Policy Statement was to create an overly restrictive view of the Commission's options for equitable remedies. Accordingly, the Commission withdraws the Policy Statement and will rely instead upon existing law, which provides sufficient guidance on the use of monetary equitable remedies."</w:t>
            </w:r>
            <w:r w:rsidRPr="00B22617">
              <w:rPr>
                <w:rFonts w:asciiTheme="minorHAnsi" w:hAnsiTheme="minorHAnsi"/>
                <w:sz w:val="20"/>
                <w:szCs w:val="20"/>
              </w:rPr>
              <w:t xml:space="preserve">http://www.ftc.gov/policy/federal-register-notices/federal-register-notice-withdrawal-commission-policy-statement  </w:t>
            </w:r>
          </w:p>
          <w:p w:rsidR="00B22617" w:rsidRPr="00B22617" w:rsidRDefault="00B22617" w:rsidP="00B22617">
            <w:pPr>
              <w:pStyle w:val="NormalWeb"/>
              <w:shd w:val="clear" w:color="auto" w:fill="FFFFFF"/>
              <w:rPr>
                <w:rFonts w:asciiTheme="minorHAnsi" w:hAnsiTheme="minorHAnsi"/>
                <w:color w:val="323232"/>
                <w:sz w:val="20"/>
                <w:szCs w:val="20"/>
              </w:rPr>
            </w:pPr>
          </w:p>
          <w:p w:rsidR="00B22617" w:rsidRDefault="00B22617" w:rsidP="00B22617">
            <w:pPr>
              <w:shd w:val="clear" w:color="auto" w:fill="FFFFFF"/>
              <w:rPr>
                <w:rFonts w:asciiTheme="minorHAnsi" w:eastAsia="Times New Roman" w:hAnsiTheme="minorHAnsi" w:cstheme="minorHAnsi"/>
                <w:sz w:val="20"/>
                <w:lang w:bidi="he-IL"/>
              </w:rPr>
            </w:pPr>
            <w:r w:rsidRPr="00B22617">
              <w:rPr>
                <w:rFonts w:asciiTheme="minorHAnsi" w:hAnsiTheme="minorHAnsi"/>
                <w:sz w:val="20"/>
              </w:rPr>
              <w:t xml:space="preserve">The FTC International Fellows Program continues.  It permits counterparts from non-U.S. agencies to spend several months working directly with FTC staff on investigations.  In the first half of FY 14, FTC hosted 5 International Fellows from Argentina, Japan, Chile, and two from the EC.  In FY 13, FTC hosted 10 International Fellows from Argentina, Canada, Colombia, Egypt, Japan, </w:t>
            </w:r>
            <w:proofErr w:type="gramStart"/>
            <w:r w:rsidRPr="00B22617">
              <w:rPr>
                <w:rFonts w:asciiTheme="minorHAnsi" w:hAnsiTheme="minorHAnsi"/>
                <w:sz w:val="20"/>
              </w:rPr>
              <w:t>Lithuania</w:t>
            </w:r>
            <w:proofErr w:type="gramEnd"/>
            <w:r w:rsidRPr="00B22617">
              <w:rPr>
                <w:rFonts w:asciiTheme="minorHAnsi" w:hAnsiTheme="minorHAnsi"/>
                <w:sz w:val="20"/>
              </w:rPr>
              <w:t>, two from South Korea, Switzerland and Nigeria.  The agency also had two outbound exchanges to foreign agencies in Canada and Mexico.</w:t>
            </w:r>
          </w:p>
          <w:p w:rsidR="00B22617" w:rsidRDefault="00B22617" w:rsidP="004F5D5A">
            <w:pPr>
              <w:shd w:val="clear" w:color="auto" w:fill="FFFFFF"/>
              <w:rPr>
                <w:rFonts w:asciiTheme="minorHAnsi" w:eastAsia="Times New Roman" w:hAnsiTheme="minorHAnsi" w:cstheme="minorHAnsi"/>
                <w:sz w:val="20"/>
                <w:lang w:bidi="he-IL"/>
              </w:rPr>
            </w:pPr>
          </w:p>
          <w:p w:rsidR="004F5D5A" w:rsidRPr="00B22617" w:rsidRDefault="004F5D5A" w:rsidP="004F5D5A">
            <w:pPr>
              <w:shd w:val="clear" w:color="auto" w:fill="FFFFFF"/>
              <w:rPr>
                <w:rFonts w:asciiTheme="minorHAnsi" w:eastAsia="Times New Roman" w:hAnsiTheme="minorHAnsi" w:cstheme="minorHAnsi"/>
                <w:sz w:val="20"/>
                <w:lang w:val="en-US" w:bidi="he-IL"/>
              </w:rPr>
            </w:pPr>
            <w:r w:rsidRPr="00B22617">
              <w:rPr>
                <w:rFonts w:asciiTheme="minorHAnsi" w:eastAsia="Times New Roman" w:hAnsiTheme="minorHAnsi" w:cstheme="minorHAnsi"/>
                <w:sz w:val="20"/>
                <w:lang w:bidi="he-IL"/>
              </w:rPr>
              <w:t>On January 13, 2012, the FTC issued proposed changes to its procedures that, if adopted, would expedite its investigatory processes, and update its procedures to keep pace with electronic discovery. The proposed changes, which will be published in the Federal Register and are open for public comment until March 23, 2012, concern the procedures in Parts 2 and 4 of the FTC’s Rules of Practice. They are part of the FTC's effort to periodically review and update its rules to ensure that they are efficient and not unduly burdensome on outside parties.</w:t>
            </w:r>
          </w:p>
          <w:p w:rsidR="004F5D5A" w:rsidRPr="00B22617" w:rsidRDefault="004F5D5A" w:rsidP="004F5D5A">
            <w:pPr>
              <w:shd w:val="clear" w:color="auto" w:fill="FFFFFF"/>
              <w:rPr>
                <w:rFonts w:asciiTheme="minorHAnsi" w:eastAsia="Times New Roman" w:hAnsiTheme="minorHAnsi" w:cstheme="minorHAnsi"/>
                <w:sz w:val="20"/>
                <w:lang w:bidi="he-IL"/>
              </w:rPr>
            </w:pPr>
          </w:p>
          <w:p w:rsidR="004F5D5A" w:rsidRPr="00B22617" w:rsidRDefault="004F5D5A" w:rsidP="004F5D5A">
            <w:pPr>
              <w:shd w:val="clear" w:color="auto" w:fill="FFFFFF"/>
              <w:rPr>
                <w:rFonts w:asciiTheme="minorHAnsi" w:eastAsia="Times New Roman" w:hAnsiTheme="minorHAnsi" w:cstheme="minorHAnsi"/>
                <w:sz w:val="20"/>
                <w:lang w:bidi="he-IL"/>
              </w:rPr>
            </w:pPr>
            <w:r w:rsidRPr="00B22617">
              <w:rPr>
                <w:rFonts w:asciiTheme="minorHAnsi" w:eastAsia="Times New Roman" w:hAnsiTheme="minorHAnsi" w:cstheme="minorHAnsi"/>
                <w:sz w:val="20"/>
                <w:lang w:bidi="he-IL"/>
              </w:rPr>
              <w:t>The proposed changes to Part 2 are designed to expedite Commission investigations and make sure the FTC's investigatory processes continue to keep pace with electronic discovery. For example, the proposed changes require parties to meet and confer with Commission staff on an accelerated basis in order to resolve electronic discovery issues relating to subpoenas and civil investigative demands (CIDs), as well as any other issues.</w:t>
            </w:r>
          </w:p>
          <w:p w:rsidR="004F5D5A" w:rsidRPr="00B22617" w:rsidRDefault="004F5D5A" w:rsidP="004F5D5A">
            <w:pPr>
              <w:pStyle w:val="Heading9"/>
              <w:rPr>
                <w:rFonts w:asciiTheme="minorHAnsi" w:hAnsiTheme="minorHAnsi" w:cstheme="minorHAnsi"/>
                <w:b w:val="0"/>
                <w:i w:val="0"/>
              </w:rPr>
            </w:pPr>
          </w:p>
          <w:p w:rsidR="004F5D5A" w:rsidRPr="00B22617" w:rsidRDefault="004F5D5A" w:rsidP="004F5D5A">
            <w:pPr>
              <w:shd w:val="clear" w:color="auto" w:fill="FFFFFF"/>
              <w:rPr>
                <w:rFonts w:asciiTheme="minorHAnsi" w:eastAsia="Times New Roman" w:hAnsiTheme="minorHAnsi" w:cstheme="minorHAnsi"/>
                <w:sz w:val="20"/>
                <w:lang w:bidi="he-IL"/>
              </w:rPr>
            </w:pPr>
            <w:r w:rsidRPr="00B22617">
              <w:rPr>
                <w:rFonts w:asciiTheme="minorHAnsi" w:eastAsia="Times New Roman" w:hAnsiTheme="minorHAnsi" w:cstheme="minorHAnsi"/>
                <w:sz w:val="20"/>
                <w:lang w:bidi="he-IL"/>
              </w:rPr>
              <w:t>Proposals also include changes to:</w:t>
            </w:r>
          </w:p>
          <w:p w:rsidR="004F5D5A" w:rsidRPr="00B22617" w:rsidRDefault="004F5D5A" w:rsidP="004F5D5A">
            <w:pPr>
              <w:shd w:val="clear" w:color="auto" w:fill="FFFFFF"/>
              <w:rPr>
                <w:rFonts w:asciiTheme="minorHAnsi" w:eastAsia="Times New Roman" w:hAnsiTheme="minorHAnsi" w:cstheme="minorHAnsi"/>
                <w:sz w:val="20"/>
                <w:lang w:bidi="he-IL"/>
              </w:rPr>
            </w:pPr>
          </w:p>
          <w:p w:rsidR="004F5D5A" w:rsidRPr="00B22617" w:rsidRDefault="004F5D5A" w:rsidP="004F5D5A">
            <w:pPr>
              <w:pStyle w:val="ListParagraph"/>
              <w:numPr>
                <w:ilvl w:val="0"/>
                <w:numId w:val="5"/>
              </w:numPr>
              <w:ind w:left="625"/>
              <w:rPr>
                <w:rFonts w:asciiTheme="minorHAnsi" w:hAnsiTheme="minorHAnsi" w:cs="Arial"/>
                <w:sz w:val="20"/>
                <w:szCs w:val="20"/>
              </w:rPr>
            </w:pPr>
            <w:r w:rsidRPr="00B22617">
              <w:rPr>
                <w:rFonts w:asciiTheme="minorHAnsi" w:hAnsiTheme="minorHAnsi" w:cs="Arial"/>
                <w:sz w:val="20"/>
                <w:szCs w:val="20"/>
              </w:rPr>
              <w:t xml:space="preserve">streamline the process for resolving disputes over FTC subpoenas and CIDs, as well as petitions to limit or quash FTC subpoenas and CIDs; </w:t>
            </w:r>
          </w:p>
          <w:p w:rsidR="004F5D5A" w:rsidRPr="00B22617" w:rsidRDefault="004F5D5A" w:rsidP="004F5D5A">
            <w:pPr>
              <w:pStyle w:val="ListParagraph"/>
              <w:ind w:left="625"/>
              <w:rPr>
                <w:rFonts w:asciiTheme="minorHAnsi" w:hAnsiTheme="minorHAnsi" w:cs="Arial"/>
                <w:sz w:val="20"/>
                <w:szCs w:val="20"/>
              </w:rPr>
            </w:pPr>
          </w:p>
          <w:p w:rsidR="004F5D5A" w:rsidRPr="00B22617" w:rsidRDefault="004F5D5A" w:rsidP="004F5D5A">
            <w:pPr>
              <w:pStyle w:val="ListParagraph"/>
              <w:numPr>
                <w:ilvl w:val="0"/>
                <w:numId w:val="5"/>
              </w:numPr>
              <w:ind w:left="625"/>
              <w:rPr>
                <w:rFonts w:asciiTheme="minorHAnsi" w:hAnsiTheme="minorHAnsi" w:cs="Arial"/>
                <w:sz w:val="20"/>
                <w:szCs w:val="20"/>
              </w:rPr>
            </w:pPr>
            <w:r w:rsidRPr="00B22617">
              <w:rPr>
                <w:rFonts w:asciiTheme="minorHAnsi" w:hAnsiTheme="minorHAnsi" w:cs="Arial"/>
                <w:sz w:val="20"/>
                <w:szCs w:val="20"/>
              </w:rPr>
              <w:t>expedite the FTC's pre-merger review process by giving the agency's General Counsel the authority to initiate enforcement proceedings when a party fails to comply with the Hart-Scott-</w:t>
            </w:r>
            <w:proofErr w:type="spellStart"/>
            <w:r w:rsidRPr="00B22617">
              <w:rPr>
                <w:rFonts w:asciiTheme="minorHAnsi" w:hAnsiTheme="minorHAnsi" w:cs="Arial"/>
                <w:sz w:val="20"/>
                <w:szCs w:val="20"/>
              </w:rPr>
              <w:t>Rodino</w:t>
            </w:r>
            <w:proofErr w:type="spellEnd"/>
            <w:r w:rsidRPr="00B22617">
              <w:rPr>
                <w:rFonts w:asciiTheme="minorHAnsi" w:hAnsiTheme="minorHAnsi" w:cs="Arial"/>
                <w:sz w:val="20"/>
                <w:szCs w:val="20"/>
              </w:rPr>
              <w:t xml:space="preserve"> second request process; and </w:t>
            </w:r>
          </w:p>
          <w:p w:rsidR="004F5D5A" w:rsidRPr="00B22617" w:rsidRDefault="004F5D5A" w:rsidP="004F5D5A">
            <w:pPr>
              <w:pStyle w:val="ListParagraph"/>
              <w:ind w:left="625"/>
              <w:rPr>
                <w:rFonts w:asciiTheme="minorHAnsi" w:hAnsiTheme="minorHAnsi" w:cs="Arial"/>
                <w:sz w:val="20"/>
                <w:szCs w:val="20"/>
              </w:rPr>
            </w:pPr>
          </w:p>
          <w:p w:rsidR="004F5D5A" w:rsidRPr="00B22617" w:rsidRDefault="004F5D5A" w:rsidP="004F5D5A">
            <w:pPr>
              <w:pStyle w:val="ListParagraph"/>
              <w:numPr>
                <w:ilvl w:val="0"/>
                <w:numId w:val="5"/>
              </w:numPr>
              <w:ind w:left="625"/>
              <w:rPr>
                <w:rFonts w:asciiTheme="minorHAnsi" w:hAnsiTheme="minorHAnsi" w:cs="Arial"/>
                <w:sz w:val="20"/>
                <w:szCs w:val="20"/>
              </w:rPr>
            </w:pPr>
            <w:proofErr w:type="gramStart"/>
            <w:r w:rsidRPr="00B22617">
              <w:rPr>
                <w:rFonts w:asciiTheme="minorHAnsi" w:hAnsiTheme="minorHAnsi" w:cs="Arial"/>
                <w:sz w:val="20"/>
                <w:szCs w:val="20"/>
              </w:rPr>
              <w:t>relieve</w:t>
            </w:r>
            <w:proofErr w:type="gramEnd"/>
            <w:r w:rsidRPr="00B22617">
              <w:rPr>
                <w:rFonts w:asciiTheme="minorHAnsi" w:hAnsiTheme="minorHAnsi" w:cs="Arial"/>
                <w:sz w:val="20"/>
                <w:szCs w:val="20"/>
              </w:rPr>
              <w:t xml:space="preserve"> parties of their obligations to preserve documents related to an FTC investigation after a year passes with no written communication from the Commission or staff. </w:t>
            </w:r>
          </w:p>
          <w:p w:rsidR="004F5D5A" w:rsidRPr="00B22617" w:rsidRDefault="004F5D5A" w:rsidP="004F5D5A">
            <w:pPr>
              <w:shd w:val="clear" w:color="auto" w:fill="FFFFFF"/>
              <w:rPr>
                <w:rFonts w:asciiTheme="minorHAnsi" w:eastAsia="Times New Roman" w:hAnsiTheme="minorHAnsi" w:cstheme="minorHAnsi"/>
                <w:sz w:val="20"/>
                <w:lang w:bidi="he-IL"/>
              </w:rPr>
            </w:pPr>
          </w:p>
          <w:p w:rsidR="004F5D5A" w:rsidRPr="00B22617" w:rsidRDefault="004F5D5A" w:rsidP="004F5D5A">
            <w:pPr>
              <w:shd w:val="clear" w:color="auto" w:fill="FFFFFF"/>
              <w:rPr>
                <w:rFonts w:asciiTheme="minorHAnsi" w:eastAsia="Times New Roman" w:hAnsiTheme="minorHAnsi" w:cstheme="minorHAnsi"/>
                <w:sz w:val="20"/>
                <w:lang w:bidi="he-IL"/>
              </w:rPr>
            </w:pPr>
            <w:r w:rsidRPr="00B22617">
              <w:rPr>
                <w:rFonts w:asciiTheme="minorHAnsi" w:eastAsia="Times New Roman" w:hAnsiTheme="minorHAnsi" w:cstheme="minorHAnsi"/>
                <w:sz w:val="20"/>
                <w:lang w:bidi="he-IL"/>
              </w:rPr>
              <w:t xml:space="preserve">Additional information is available at </w:t>
            </w:r>
            <w:hyperlink r:id="rId34" w:history="1">
              <w:r w:rsidRPr="00B22617">
                <w:rPr>
                  <w:rStyle w:val="Hyperlink"/>
                  <w:rFonts w:asciiTheme="minorHAnsi" w:eastAsia="Times New Roman" w:hAnsiTheme="minorHAnsi" w:cstheme="minorHAnsi"/>
                  <w:sz w:val="20"/>
                  <w:lang w:bidi="he-IL"/>
                </w:rPr>
                <w:t>http://www.ftc.gov/opa/2012/01/part2rules.shtm</w:t>
              </w:r>
            </w:hyperlink>
            <w:r w:rsidRPr="00B22617">
              <w:rPr>
                <w:rFonts w:asciiTheme="minorHAnsi" w:eastAsia="Times New Roman" w:hAnsiTheme="minorHAnsi" w:cstheme="minorHAnsi"/>
                <w:sz w:val="20"/>
                <w:lang w:bidi="he-IL"/>
              </w:rPr>
              <w:t xml:space="preserve">. </w:t>
            </w:r>
          </w:p>
          <w:p w:rsidR="004F5D5A" w:rsidRPr="00B22617" w:rsidRDefault="004F5D5A" w:rsidP="004F5D5A">
            <w:pPr>
              <w:rPr>
                <w:rFonts w:asciiTheme="minorHAnsi" w:eastAsiaTheme="minorHAnsi" w:hAnsiTheme="minorHAnsi" w:cstheme="minorBidi"/>
                <w:sz w:val="20"/>
              </w:rPr>
            </w:pPr>
          </w:p>
          <w:p w:rsidR="001F22A2" w:rsidRPr="00B22617" w:rsidRDefault="001F22A2" w:rsidP="00B22617">
            <w:pPr>
              <w:rPr>
                <w:rFonts w:asciiTheme="minorHAnsi" w:hAnsiTheme="minorHAnsi"/>
                <w:color w:val="808080"/>
                <w:sz w:val="20"/>
              </w:rPr>
            </w:pPr>
          </w:p>
        </w:tc>
        <w:tc>
          <w:tcPr>
            <w:tcW w:w="5670" w:type="dxa"/>
          </w:tcPr>
          <w:p w:rsidR="004F5D5A" w:rsidRPr="00B22617" w:rsidRDefault="004F5D5A" w:rsidP="004F5D5A">
            <w:pPr>
              <w:pStyle w:val="NormalWeb"/>
              <w:shd w:val="clear" w:color="auto" w:fill="FFFFFF"/>
              <w:rPr>
                <w:rFonts w:asciiTheme="minorHAnsi" w:hAnsiTheme="minorHAnsi"/>
                <w:sz w:val="20"/>
                <w:szCs w:val="20"/>
              </w:rPr>
            </w:pPr>
            <w:bookmarkStart w:id="25" w:name="Cell16"/>
            <w:bookmarkEnd w:id="25"/>
            <w:r w:rsidRPr="00B22617">
              <w:rPr>
                <w:rFonts w:asciiTheme="minorHAnsi" w:hAnsiTheme="minorHAnsi"/>
                <w:sz w:val="20"/>
                <w:szCs w:val="20"/>
              </w:rPr>
              <w:t xml:space="preserve"> </w:t>
            </w:r>
          </w:p>
          <w:p w:rsidR="001F22A2" w:rsidRPr="00B22617" w:rsidRDefault="001F22A2">
            <w:pPr>
              <w:rPr>
                <w:rFonts w:asciiTheme="minorHAnsi" w:hAnsiTheme="minorHAnsi"/>
                <w:color w:val="808080"/>
                <w:sz w:val="20"/>
              </w:rPr>
            </w:pPr>
          </w:p>
        </w:tc>
      </w:tr>
      <w:tr w:rsidR="0001261C" w:rsidRPr="00B22617">
        <w:tc>
          <w:tcPr>
            <w:tcW w:w="3524" w:type="dxa"/>
          </w:tcPr>
          <w:p w:rsidR="001A1859" w:rsidRPr="00B22617" w:rsidRDefault="001A1859" w:rsidP="00FD5A7E">
            <w:pPr>
              <w:pStyle w:val="Heading9"/>
              <w:rPr>
                <w:rFonts w:asciiTheme="minorHAnsi" w:hAnsiTheme="minorHAnsi"/>
                <w:b w:val="0"/>
                <w:color w:val="808080"/>
              </w:rPr>
            </w:pPr>
            <w:r w:rsidRPr="00B22617">
              <w:rPr>
                <w:rFonts w:asciiTheme="minorHAnsi" w:hAnsiTheme="minorHAnsi"/>
                <w:b w:val="0"/>
                <w:color w:val="808080"/>
              </w:rPr>
              <w:t xml:space="preserve">Website for further information:  </w:t>
            </w:r>
          </w:p>
        </w:tc>
        <w:tc>
          <w:tcPr>
            <w:tcW w:w="5387" w:type="dxa"/>
          </w:tcPr>
          <w:p w:rsidR="001A1859" w:rsidRPr="00B22617" w:rsidRDefault="00FD5A7E" w:rsidP="009E28DA">
            <w:pPr>
              <w:pStyle w:val="Heading9"/>
              <w:rPr>
                <w:rFonts w:asciiTheme="minorHAnsi" w:hAnsiTheme="minorHAnsi"/>
                <w:b w:val="0"/>
              </w:rPr>
            </w:pPr>
            <w:hyperlink r:id="rId35" w:history="1">
              <w:r w:rsidRPr="00B22617">
                <w:rPr>
                  <w:rStyle w:val="Hyperlink"/>
                  <w:rFonts w:asciiTheme="minorHAnsi" w:hAnsiTheme="minorHAnsi"/>
                  <w:b w:val="0"/>
                </w:rPr>
                <w:t>www.ftc.gov</w:t>
              </w:r>
            </w:hyperlink>
            <w:r w:rsidRPr="00B22617">
              <w:rPr>
                <w:rFonts w:asciiTheme="minorHAnsi" w:hAnsiTheme="minorHAnsi"/>
                <w:b w:val="0"/>
                <w:color w:val="808080"/>
              </w:rPr>
              <w:t xml:space="preserve">; </w:t>
            </w:r>
            <w:hyperlink r:id="rId36" w:history="1">
              <w:r w:rsidRPr="00B22617">
                <w:rPr>
                  <w:rStyle w:val="Hyperlink"/>
                  <w:rFonts w:asciiTheme="minorHAnsi" w:hAnsiTheme="minorHAnsi"/>
                  <w:b w:val="0"/>
                </w:rPr>
                <w:t>www.justice.gov</w:t>
              </w:r>
            </w:hyperlink>
          </w:p>
        </w:tc>
        <w:tc>
          <w:tcPr>
            <w:tcW w:w="5670" w:type="dxa"/>
          </w:tcPr>
          <w:p w:rsidR="001A1859" w:rsidRPr="00B22617" w:rsidRDefault="001A1859" w:rsidP="009E28DA">
            <w:pPr>
              <w:pStyle w:val="Heading9"/>
              <w:rPr>
                <w:rFonts w:asciiTheme="minorHAnsi" w:hAnsiTheme="minorHAnsi"/>
                <w:b w:val="0"/>
              </w:rPr>
            </w:pPr>
          </w:p>
        </w:tc>
      </w:tr>
      <w:tr w:rsidR="008F223D" w:rsidRPr="00B22617">
        <w:tc>
          <w:tcPr>
            <w:tcW w:w="3524" w:type="dxa"/>
          </w:tcPr>
          <w:p w:rsidR="001A1859" w:rsidRPr="00B22617" w:rsidRDefault="001A1859" w:rsidP="00FD5A7E">
            <w:pPr>
              <w:pStyle w:val="Heading9"/>
              <w:rPr>
                <w:rFonts w:asciiTheme="minorHAnsi" w:hAnsiTheme="minorHAnsi"/>
                <w:b w:val="0"/>
                <w:color w:val="808080"/>
              </w:rPr>
            </w:pPr>
            <w:r w:rsidRPr="00B22617">
              <w:rPr>
                <w:rFonts w:asciiTheme="minorHAnsi" w:hAnsiTheme="minorHAnsi"/>
                <w:b w:val="0"/>
                <w:color w:val="808080"/>
              </w:rPr>
              <w:t>Contact point for further details:</w:t>
            </w:r>
            <w:r w:rsidR="004F5D5A" w:rsidRPr="00B22617">
              <w:rPr>
                <w:rFonts w:asciiTheme="minorHAnsi" w:hAnsiTheme="minorHAnsi"/>
                <w:b w:val="0"/>
                <w:color w:val="808080"/>
              </w:rPr>
              <w:t xml:space="preserve"> </w:t>
            </w:r>
          </w:p>
        </w:tc>
        <w:tc>
          <w:tcPr>
            <w:tcW w:w="5387" w:type="dxa"/>
          </w:tcPr>
          <w:p w:rsidR="001A1859" w:rsidRPr="00B22617" w:rsidRDefault="004F5D5A" w:rsidP="009E28DA">
            <w:pPr>
              <w:pStyle w:val="Heading9"/>
              <w:rPr>
                <w:rFonts w:asciiTheme="minorHAnsi" w:hAnsiTheme="minorHAnsi"/>
                <w:b w:val="0"/>
              </w:rPr>
            </w:pPr>
            <w:r w:rsidRPr="00B22617">
              <w:rPr>
                <w:rFonts w:asciiTheme="minorHAnsi" w:hAnsiTheme="minorHAnsi"/>
                <w:b w:val="0"/>
              </w:rPr>
              <w:t xml:space="preserve"> </w:t>
            </w:r>
            <w:hyperlink r:id="rId37" w:history="1">
              <w:r w:rsidR="00FD5A7E" w:rsidRPr="00B22617">
                <w:rPr>
                  <w:rStyle w:val="Hyperlink"/>
                  <w:rFonts w:asciiTheme="minorHAnsi" w:hAnsiTheme="minorHAnsi"/>
                  <w:b w:val="0"/>
                </w:rPr>
                <w:t>Edward_Brzytwa@ustr.eop.gov</w:t>
              </w:r>
            </w:hyperlink>
          </w:p>
        </w:tc>
        <w:tc>
          <w:tcPr>
            <w:tcW w:w="5670" w:type="dxa"/>
          </w:tcPr>
          <w:p w:rsidR="001A1859" w:rsidRPr="00B22617" w:rsidRDefault="001A1859" w:rsidP="009E28DA">
            <w:pPr>
              <w:pStyle w:val="Heading9"/>
              <w:rPr>
                <w:rFonts w:asciiTheme="minorHAnsi" w:hAnsiTheme="minorHAnsi"/>
                <w:b w:val="0"/>
              </w:rPr>
            </w:pPr>
          </w:p>
        </w:tc>
      </w:tr>
      <w:tr w:rsidR="001F22A2" w:rsidRPr="00B22617">
        <w:tc>
          <w:tcPr>
            <w:tcW w:w="3524" w:type="dxa"/>
          </w:tcPr>
          <w:p w:rsidR="001F22A2" w:rsidRPr="00B22617" w:rsidRDefault="001F22A2">
            <w:pPr>
              <w:rPr>
                <w:rFonts w:asciiTheme="minorHAnsi" w:hAnsiTheme="minorHAnsi"/>
                <w:b/>
                <w:i/>
                <w:sz w:val="20"/>
              </w:rPr>
            </w:pPr>
            <w:bookmarkStart w:id="26" w:name="Row9"/>
            <w:r w:rsidRPr="00B22617">
              <w:rPr>
                <w:rFonts w:asciiTheme="minorHAnsi" w:hAnsiTheme="minorHAnsi"/>
                <w:b/>
                <w:i/>
                <w:sz w:val="20"/>
              </w:rPr>
              <w:t>Government Procurement</w:t>
            </w:r>
            <w:bookmarkEnd w:id="26"/>
          </w:p>
          <w:p w:rsidR="001F22A2" w:rsidRPr="00B22617" w:rsidRDefault="001F22A2">
            <w:pPr>
              <w:rPr>
                <w:rFonts w:asciiTheme="minorHAnsi" w:hAnsiTheme="minorHAnsi"/>
                <w:b/>
                <w:i/>
                <w:sz w:val="20"/>
              </w:rPr>
            </w:pPr>
          </w:p>
        </w:tc>
        <w:tc>
          <w:tcPr>
            <w:tcW w:w="5387" w:type="dxa"/>
          </w:tcPr>
          <w:p w:rsidR="001F22A2" w:rsidRPr="00B22617" w:rsidRDefault="004F5D5A">
            <w:pPr>
              <w:rPr>
                <w:rFonts w:asciiTheme="minorHAnsi" w:hAnsiTheme="minorHAnsi"/>
                <w:color w:val="808080"/>
                <w:sz w:val="20"/>
              </w:rPr>
            </w:pPr>
            <w:bookmarkStart w:id="27" w:name="Cell17"/>
            <w:bookmarkEnd w:id="27"/>
            <w:r w:rsidRPr="00B22617">
              <w:rPr>
                <w:rFonts w:asciiTheme="minorHAnsi" w:hAnsiTheme="minorHAnsi" w:cs="Arial"/>
                <w:sz w:val="20"/>
              </w:rPr>
              <w:t>U.S. FTAs with Korea, Panama, and Colombia entered into force since 2011.  Each of these FTAs contains government procurement chapters.</w:t>
            </w:r>
          </w:p>
        </w:tc>
        <w:tc>
          <w:tcPr>
            <w:tcW w:w="5670" w:type="dxa"/>
          </w:tcPr>
          <w:p w:rsidR="001F22A2" w:rsidRPr="00B22617" w:rsidRDefault="001F22A2">
            <w:pPr>
              <w:rPr>
                <w:rFonts w:asciiTheme="minorHAnsi" w:hAnsiTheme="minorHAnsi"/>
                <w:color w:val="808080"/>
                <w:sz w:val="20"/>
              </w:rPr>
            </w:pPr>
            <w:bookmarkStart w:id="28" w:name="Cell18"/>
            <w:bookmarkEnd w:id="28"/>
            <w:r w:rsidRPr="00B22617">
              <w:rPr>
                <w:rFonts w:asciiTheme="minorHAnsi" w:hAnsiTheme="minorHAnsi" w:cs="Arial"/>
                <w:i/>
                <w:color w:val="808080"/>
                <w:sz w:val="20"/>
              </w:rPr>
              <w:t>Provide brief points only</w:t>
            </w:r>
          </w:p>
        </w:tc>
      </w:tr>
      <w:tr w:rsidR="0001261C" w:rsidRPr="00B22617">
        <w:tc>
          <w:tcPr>
            <w:tcW w:w="3524" w:type="dxa"/>
          </w:tcPr>
          <w:p w:rsidR="001A1859" w:rsidRPr="00B22617" w:rsidRDefault="001A1859" w:rsidP="00FD5A7E">
            <w:pPr>
              <w:pStyle w:val="Heading9"/>
              <w:rPr>
                <w:rFonts w:asciiTheme="minorHAnsi" w:hAnsiTheme="minorHAnsi"/>
                <w:b w:val="0"/>
                <w:color w:val="808080"/>
              </w:rPr>
            </w:pPr>
            <w:r w:rsidRPr="00B22617">
              <w:rPr>
                <w:rFonts w:asciiTheme="minorHAnsi" w:hAnsiTheme="minorHAnsi"/>
                <w:b w:val="0"/>
                <w:color w:val="808080"/>
              </w:rPr>
              <w:t>We</w:t>
            </w:r>
            <w:r w:rsidR="004F5D5A" w:rsidRPr="00B22617">
              <w:rPr>
                <w:rFonts w:asciiTheme="minorHAnsi" w:hAnsiTheme="minorHAnsi"/>
                <w:b w:val="0"/>
                <w:color w:val="808080"/>
              </w:rPr>
              <w:t xml:space="preserve">bsite for further information: </w:t>
            </w:r>
          </w:p>
        </w:tc>
        <w:tc>
          <w:tcPr>
            <w:tcW w:w="5387" w:type="dxa"/>
          </w:tcPr>
          <w:p w:rsidR="001A1859" w:rsidRPr="00B22617" w:rsidRDefault="00FD5A7E" w:rsidP="009E28DA">
            <w:pPr>
              <w:pStyle w:val="Heading9"/>
              <w:rPr>
                <w:rFonts w:asciiTheme="minorHAnsi" w:hAnsiTheme="minorHAnsi"/>
                <w:b w:val="0"/>
                <w:color w:val="808080"/>
              </w:rPr>
            </w:pPr>
            <w:hyperlink r:id="rId38" w:history="1">
              <w:r w:rsidRPr="00B22617">
                <w:rPr>
                  <w:rStyle w:val="Hyperlink"/>
                  <w:rFonts w:asciiTheme="minorHAnsi" w:hAnsiTheme="minorHAnsi"/>
                  <w:b w:val="0"/>
                </w:rPr>
                <w:t>www.ustr.eop.gov</w:t>
              </w:r>
            </w:hyperlink>
          </w:p>
        </w:tc>
        <w:tc>
          <w:tcPr>
            <w:tcW w:w="5670" w:type="dxa"/>
          </w:tcPr>
          <w:p w:rsidR="001A1859" w:rsidRPr="00B22617" w:rsidRDefault="001A1859" w:rsidP="009E28DA">
            <w:pPr>
              <w:pStyle w:val="Heading9"/>
              <w:rPr>
                <w:rFonts w:asciiTheme="minorHAnsi" w:hAnsiTheme="minorHAnsi"/>
                <w:b w:val="0"/>
                <w:color w:val="808080"/>
              </w:rPr>
            </w:pPr>
          </w:p>
        </w:tc>
      </w:tr>
      <w:tr w:rsidR="0001261C" w:rsidRPr="00B22617">
        <w:tc>
          <w:tcPr>
            <w:tcW w:w="3524" w:type="dxa"/>
          </w:tcPr>
          <w:p w:rsidR="001A1859" w:rsidRPr="00B22617" w:rsidRDefault="001A1859" w:rsidP="00FD5A7E">
            <w:pPr>
              <w:pStyle w:val="Heading9"/>
              <w:rPr>
                <w:rFonts w:asciiTheme="minorHAnsi" w:hAnsiTheme="minorHAnsi"/>
                <w:b w:val="0"/>
                <w:color w:val="808080"/>
              </w:rPr>
            </w:pPr>
            <w:r w:rsidRPr="00B22617">
              <w:rPr>
                <w:rFonts w:asciiTheme="minorHAnsi" w:hAnsiTheme="minorHAnsi"/>
                <w:b w:val="0"/>
                <w:color w:val="808080"/>
              </w:rPr>
              <w:t>Contact point for further details:</w:t>
            </w:r>
            <w:r w:rsidR="004F5D5A" w:rsidRPr="00B22617">
              <w:rPr>
                <w:rFonts w:asciiTheme="minorHAnsi" w:hAnsiTheme="minorHAnsi"/>
                <w:b w:val="0"/>
                <w:color w:val="808080"/>
              </w:rPr>
              <w:t xml:space="preserve"> </w:t>
            </w:r>
          </w:p>
        </w:tc>
        <w:tc>
          <w:tcPr>
            <w:tcW w:w="5387" w:type="dxa"/>
          </w:tcPr>
          <w:p w:rsidR="001A1859" w:rsidRPr="00B22617" w:rsidRDefault="00FD5A7E" w:rsidP="009E28DA">
            <w:pPr>
              <w:pStyle w:val="Heading9"/>
              <w:rPr>
                <w:rFonts w:asciiTheme="minorHAnsi" w:hAnsiTheme="minorHAnsi"/>
                <w:b w:val="0"/>
                <w:color w:val="808080"/>
              </w:rPr>
            </w:pPr>
            <w:hyperlink r:id="rId39" w:history="1">
              <w:r w:rsidRPr="00B22617">
                <w:rPr>
                  <w:rStyle w:val="Hyperlink"/>
                  <w:rFonts w:asciiTheme="minorHAnsi" w:hAnsiTheme="minorHAnsi"/>
                  <w:b w:val="0"/>
                </w:rPr>
                <w:t>Edward_Brzytwa@ustr.eop.gov</w:t>
              </w:r>
            </w:hyperlink>
          </w:p>
        </w:tc>
        <w:tc>
          <w:tcPr>
            <w:tcW w:w="5670" w:type="dxa"/>
          </w:tcPr>
          <w:p w:rsidR="001A1859" w:rsidRPr="00B22617" w:rsidRDefault="001A1859" w:rsidP="009E28DA">
            <w:pPr>
              <w:pStyle w:val="Heading9"/>
              <w:rPr>
                <w:rFonts w:asciiTheme="minorHAnsi" w:hAnsiTheme="minorHAnsi"/>
                <w:b w:val="0"/>
                <w:color w:val="808080"/>
              </w:rPr>
            </w:pPr>
          </w:p>
        </w:tc>
      </w:tr>
      <w:tr w:rsidR="001F22A2" w:rsidRPr="00B22617">
        <w:tc>
          <w:tcPr>
            <w:tcW w:w="3524" w:type="dxa"/>
          </w:tcPr>
          <w:p w:rsidR="001F22A2" w:rsidRPr="00B22617" w:rsidRDefault="001F22A2">
            <w:pPr>
              <w:rPr>
                <w:rFonts w:asciiTheme="minorHAnsi" w:hAnsiTheme="minorHAnsi"/>
                <w:b/>
                <w:i/>
                <w:sz w:val="20"/>
              </w:rPr>
            </w:pPr>
            <w:bookmarkStart w:id="29" w:name="Row10"/>
            <w:r w:rsidRPr="00B22617">
              <w:rPr>
                <w:rFonts w:asciiTheme="minorHAnsi" w:hAnsiTheme="minorHAnsi"/>
                <w:b/>
                <w:i/>
                <w:sz w:val="20"/>
              </w:rPr>
              <w:t>Deregulation/Regulatory Review</w:t>
            </w:r>
            <w:bookmarkEnd w:id="29"/>
          </w:p>
          <w:p w:rsidR="001F22A2" w:rsidRPr="00B22617" w:rsidRDefault="001F22A2">
            <w:pPr>
              <w:rPr>
                <w:rFonts w:asciiTheme="minorHAnsi" w:hAnsiTheme="minorHAnsi"/>
                <w:b/>
                <w:i/>
                <w:sz w:val="20"/>
              </w:rPr>
            </w:pPr>
          </w:p>
        </w:tc>
        <w:tc>
          <w:tcPr>
            <w:tcW w:w="5387" w:type="dxa"/>
          </w:tcPr>
          <w:p w:rsidR="00324A1A" w:rsidRPr="00B22617" w:rsidRDefault="00324A1A" w:rsidP="00324A1A">
            <w:pPr>
              <w:rPr>
                <w:rFonts w:asciiTheme="minorHAnsi" w:hAnsiTheme="minorHAnsi" w:cs="Arial"/>
                <w:sz w:val="20"/>
                <w:lang w:val="en-US"/>
              </w:rPr>
            </w:pPr>
            <w:bookmarkStart w:id="30" w:name="Cell19"/>
            <w:bookmarkEnd w:id="30"/>
            <w:r w:rsidRPr="00B22617">
              <w:rPr>
                <w:rFonts w:asciiTheme="minorHAnsi" w:hAnsiTheme="minorHAnsi" w:cs="Arial"/>
                <w:sz w:val="20"/>
              </w:rPr>
              <w:t xml:space="preserve">On May 10, 2012, President Obama issued Executive Order 13610, “Identifying and Reducing Regulatory Burdens,” which institutionalized retrospective review in the U.S.  This Executive Order also emphasized that flexibility and removal of unnecessary burdens are essential elements of the U.S. rulemaking process, as is the improvement of rules already on the books.  A particular focus of this initiative is ensuring regulatory flexibility for SMEs and reducing regulatory burdens for everyone. </w:t>
            </w:r>
          </w:p>
          <w:p w:rsidR="00324A1A" w:rsidRPr="00B22617" w:rsidRDefault="00324A1A" w:rsidP="00324A1A">
            <w:pPr>
              <w:rPr>
                <w:rFonts w:asciiTheme="minorHAnsi" w:hAnsiTheme="minorHAnsi" w:cs="Arial"/>
                <w:sz w:val="20"/>
              </w:rPr>
            </w:pPr>
          </w:p>
          <w:p w:rsidR="00324A1A" w:rsidRPr="00B22617" w:rsidRDefault="00324A1A" w:rsidP="00324A1A">
            <w:pPr>
              <w:rPr>
                <w:rFonts w:asciiTheme="minorHAnsi" w:hAnsiTheme="minorHAnsi" w:cstheme="minorBidi"/>
                <w:sz w:val="20"/>
              </w:rPr>
            </w:pPr>
            <w:r w:rsidRPr="00B22617">
              <w:rPr>
                <w:rFonts w:asciiTheme="minorHAnsi" w:hAnsiTheme="minorHAnsi"/>
                <w:sz w:val="20"/>
              </w:rPr>
              <w:t xml:space="preserve">Executive Order 13610 asks agencies to report regularly on the progress of their retrospective review activities.  In response, agencies have provided updates on their initiatives, many of which are new efforts that agencies have added since their July 2013 listing of look-back plans. These efforts have already saved more than $10 billion in regulatory costs in the near term, with more savings to come. Here are three examples of recent reforms: </w:t>
            </w:r>
          </w:p>
          <w:p w:rsidR="00324A1A" w:rsidRPr="00B22617" w:rsidRDefault="00324A1A" w:rsidP="00324A1A">
            <w:pPr>
              <w:rPr>
                <w:rFonts w:asciiTheme="minorHAnsi" w:hAnsiTheme="minorHAnsi"/>
                <w:sz w:val="20"/>
              </w:rPr>
            </w:pPr>
          </w:p>
          <w:p w:rsidR="00324A1A" w:rsidRPr="00B22617" w:rsidRDefault="00324A1A" w:rsidP="00324A1A">
            <w:pPr>
              <w:rPr>
                <w:rFonts w:asciiTheme="minorHAnsi" w:hAnsiTheme="minorHAnsi"/>
                <w:sz w:val="20"/>
              </w:rPr>
            </w:pPr>
            <w:r w:rsidRPr="00B22617">
              <w:rPr>
                <w:rFonts w:asciiTheme="minorHAnsi" w:hAnsiTheme="minorHAnsi"/>
                <w:sz w:val="20"/>
              </w:rPr>
              <w:t>•</w:t>
            </w:r>
            <w:r w:rsidRPr="00B22617">
              <w:rPr>
                <w:rFonts w:asciiTheme="minorHAnsi" w:hAnsiTheme="minorHAnsi"/>
                <w:sz w:val="20"/>
              </w:rPr>
              <w:tab/>
              <w:t xml:space="preserve">The Department of Transportation has proposed to rescind the requirement that truck drivers submit and retain driver-vehicle inspection reports when the driver has neither found nor been made aware of any vehicle defects or deficiencies. This change would save tens of millions of hours in red tape per year, for approximately $1.5 billion in annual red tape reduction. </w:t>
            </w:r>
          </w:p>
          <w:p w:rsidR="00324A1A" w:rsidRPr="00B22617" w:rsidRDefault="00324A1A" w:rsidP="00324A1A">
            <w:pPr>
              <w:rPr>
                <w:rFonts w:asciiTheme="minorHAnsi" w:hAnsiTheme="minorHAnsi"/>
                <w:sz w:val="20"/>
              </w:rPr>
            </w:pPr>
          </w:p>
          <w:p w:rsidR="00324A1A" w:rsidRPr="00B22617" w:rsidRDefault="00324A1A" w:rsidP="00324A1A">
            <w:pPr>
              <w:rPr>
                <w:rFonts w:asciiTheme="minorHAnsi" w:hAnsiTheme="minorHAnsi"/>
                <w:sz w:val="20"/>
              </w:rPr>
            </w:pPr>
            <w:r w:rsidRPr="00B22617">
              <w:rPr>
                <w:rFonts w:asciiTheme="minorHAnsi" w:hAnsiTheme="minorHAnsi"/>
                <w:sz w:val="20"/>
              </w:rPr>
              <w:t>•</w:t>
            </w:r>
            <w:r w:rsidRPr="00B22617">
              <w:rPr>
                <w:rFonts w:asciiTheme="minorHAnsi" w:hAnsiTheme="minorHAnsi"/>
                <w:sz w:val="20"/>
              </w:rPr>
              <w:tab/>
              <w:t>In the area of export control regulations, streamlined permitting processes have now been finalized for 8 of 15 targeted categories of export controls with more in the works.</w:t>
            </w:r>
          </w:p>
          <w:p w:rsidR="00324A1A" w:rsidRPr="00B22617" w:rsidRDefault="00324A1A" w:rsidP="00324A1A">
            <w:pPr>
              <w:rPr>
                <w:rFonts w:asciiTheme="minorHAnsi" w:hAnsiTheme="minorHAnsi"/>
                <w:sz w:val="20"/>
              </w:rPr>
            </w:pPr>
          </w:p>
          <w:p w:rsidR="001F22A2" w:rsidRPr="00B22617" w:rsidRDefault="00324A1A" w:rsidP="00324A1A">
            <w:pPr>
              <w:rPr>
                <w:rFonts w:asciiTheme="minorHAnsi" w:hAnsiTheme="minorHAnsi"/>
                <w:color w:val="808080"/>
                <w:sz w:val="20"/>
              </w:rPr>
            </w:pPr>
            <w:r w:rsidRPr="00B22617">
              <w:rPr>
                <w:rFonts w:asciiTheme="minorHAnsi" w:hAnsiTheme="minorHAnsi"/>
                <w:sz w:val="20"/>
              </w:rPr>
              <w:t>•</w:t>
            </w:r>
            <w:r w:rsidRPr="00B22617">
              <w:rPr>
                <w:rFonts w:asciiTheme="minorHAnsi" w:hAnsiTheme="minorHAnsi"/>
                <w:sz w:val="20"/>
              </w:rPr>
              <w:tab/>
              <w:t>The Department of Veterans Affairs has issued a proposed rule to reorganize and rewrite its compensation and pension regulations, making it easier and less costly for claimants, beneficiaries, veterans’ representatives, and VA personnel to locate and understand those regulations.</w:t>
            </w:r>
            <w:r w:rsidR="001F22A2" w:rsidRPr="00B22617">
              <w:rPr>
                <w:rFonts w:asciiTheme="minorHAnsi" w:hAnsiTheme="minorHAnsi" w:cs="Arial"/>
                <w:i/>
                <w:color w:val="808080"/>
                <w:sz w:val="20"/>
              </w:rPr>
              <w:t xml:space="preserve"> </w:t>
            </w:r>
          </w:p>
        </w:tc>
        <w:tc>
          <w:tcPr>
            <w:tcW w:w="5670" w:type="dxa"/>
          </w:tcPr>
          <w:p w:rsidR="001F22A2" w:rsidRPr="00B22617" w:rsidRDefault="00324A1A">
            <w:pPr>
              <w:rPr>
                <w:rFonts w:asciiTheme="minorHAnsi" w:hAnsiTheme="minorHAnsi"/>
                <w:color w:val="808080"/>
                <w:sz w:val="20"/>
              </w:rPr>
            </w:pPr>
            <w:bookmarkStart w:id="31" w:name="Cell20"/>
            <w:bookmarkEnd w:id="31"/>
            <w:r w:rsidRPr="00B22617">
              <w:rPr>
                <w:rFonts w:asciiTheme="minorHAnsi" w:hAnsiTheme="minorHAnsi" w:cs="Arial"/>
                <w:sz w:val="20"/>
              </w:rPr>
              <w:t>Moving forward, the Office of Management and Budget plans to work with agencies on several ways to further institutionalize retrospective review as an essential component of U.S. regulatory policy. As part of this effort, the U.S. is considering and developing several components that will make regulatory look-back a more systematic priority for agencies.</w:t>
            </w:r>
          </w:p>
        </w:tc>
      </w:tr>
      <w:tr w:rsidR="0001261C" w:rsidRPr="00B22617">
        <w:tc>
          <w:tcPr>
            <w:tcW w:w="3524" w:type="dxa"/>
          </w:tcPr>
          <w:p w:rsidR="001A1859" w:rsidRPr="00B22617" w:rsidRDefault="001A1859" w:rsidP="00FD5A7E">
            <w:pPr>
              <w:pStyle w:val="Heading9"/>
              <w:rPr>
                <w:rFonts w:asciiTheme="minorHAnsi" w:hAnsiTheme="minorHAnsi"/>
                <w:b w:val="0"/>
                <w:color w:val="808080"/>
              </w:rPr>
            </w:pPr>
            <w:r w:rsidRPr="00B22617">
              <w:rPr>
                <w:rFonts w:asciiTheme="minorHAnsi" w:hAnsiTheme="minorHAnsi"/>
                <w:b w:val="0"/>
                <w:color w:val="808080"/>
              </w:rPr>
              <w:t xml:space="preserve">Website for further information:  </w:t>
            </w:r>
          </w:p>
        </w:tc>
        <w:tc>
          <w:tcPr>
            <w:tcW w:w="5387" w:type="dxa"/>
          </w:tcPr>
          <w:p w:rsidR="001A1859" w:rsidRPr="00B22617" w:rsidRDefault="00FD5A7E" w:rsidP="009E28DA">
            <w:pPr>
              <w:pStyle w:val="Heading9"/>
              <w:rPr>
                <w:rFonts w:asciiTheme="minorHAnsi" w:hAnsiTheme="minorHAnsi"/>
                <w:b w:val="0"/>
              </w:rPr>
            </w:pPr>
            <w:hyperlink r:id="rId40" w:history="1">
              <w:r w:rsidRPr="00B22617">
                <w:rPr>
                  <w:rStyle w:val="Hyperlink"/>
                  <w:rFonts w:asciiTheme="minorHAnsi" w:hAnsiTheme="minorHAnsi"/>
                  <w:b w:val="0"/>
                </w:rPr>
                <w:t>www.reginfo.gov</w:t>
              </w:r>
            </w:hyperlink>
          </w:p>
        </w:tc>
        <w:tc>
          <w:tcPr>
            <w:tcW w:w="5670" w:type="dxa"/>
          </w:tcPr>
          <w:p w:rsidR="001A1859" w:rsidRPr="00B22617" w:rsidRDefault="001A1859" w:rsidP="009E28DA">
            <w:pPr>
              <w:pStyle w:val="Heading9"/>
              <w:rPr>
                <w:rFonts w:asciiTheme="minorHAnsi" w:hAnsiTheme="minorHAnsi"/>
                <w:b w:val="0"/>
              </w:rPr>
            </w:pPr>
          </w:p>
        </w:tc>
      </w:tr>
      <w:tr w:rsidR="008F223D" w:rsidRPr="00B22617">
        <w:tc>
          <w:tcPr>
            <w:tcW w:w="3524" w:type="dxa"/>
          </w:tcPr>
          <w:p w:rsidR="001A1859" w:rsidRPr="00B22617" w:rsidRDefault="001A1859" w:rsidP="009E28DA">
            <w:pPr>
              <w:pStyle w:val="Heading9"/>
              <w:rPr>
                <w:rFonts w:asciiTheme="minorHAnsi" w:hAnsiTheme="minorHAnsi"/>
                <w:b w:val="0"/>
                <w:color w:val="808080"/>
              </w:rPr>
            </w:pPr>
            <w:r w:rsidRPr="00B22617">
              <w:rPr>
                <w:rFonts w:asciiTheme="minorHAnsi" w:hAnsiTheme="minorHAnsi"/>
                <w:b w:val="0"/>
                <w:color w:val="808080"/>
              </w:rPr>
              <w:t>Contact point for further details:</w:t>
            </w:r>
          </w:p>
        </w:tc>
        <w:tc>
          <w:tcPr>
            <w:tcW w:w="5387" w:type="dxa"/>
          </w:tcPr>
          <w:p w:rsidR="001A1859" w:rsidRPr="00B22617" w:rsidRDefault="00A72D63" w:rsidP="009E28DA">
            <w:pPr>
              <w:pStyle w:val="Heading9"/>
              <w:rPr>
                <w:rFonts w:asciiTheme="minorHAnsi" w:hAnsiTheme="minorHAnsi"/>
                <w:b w:val="0"/>
              </w:rPr>
            </w:pPr>
            <w:hyperlink r:id="rId41" w:history="1">
              <w:r w:rsidRPr="00B22617">
                <w:rPr>
                  <w:rStyle w:val="Hyperlink"/>
                  <w:rFonts w:asciiTheme="minorHAnsi" w:hAnsiTheme="minorHAnsi"/>
                  <w:b w:val="0"/>
                </w:rPr>
                <w:t>ahunt@omb.eop.gov</w:t>
              </w:r>
            </w:hyperlink>
            <w:r w:rsidRPr="00B22617">
              <w:rPr>
                <w:rFonts w:asciiTheme="minorHAnsi" w:hAnsiTheme="minorHAnsi"/>
                <w:b w:val="0"/>
              </w:rPr>
              <w:t xml:space="preserve">; </w:t>
            </w:r>
            <w:hyperlink r:id="rId42" w:history="1">
              <w:r w:rsidRPr="00B22617">
                <w:rPr>
                  <w:rStyle w:val="Hyperlink"/>
                  <w:rFonts w:asciiTheme="minorHAnsi" w:hAnsiTheme="minorHAnsi"/>
                  <w:b w:val="0"/>
                </w:rPr>
                <w:t>Edward_Brzytwa@ustr.eop.gov</w:t>
              </w:r>
            </w:hyperlink>
            <w:r w:rsidRPr="00B22617">
              <w:rPr>
                <w:rFonts w:asciiTheme="minorHAnsi" w:hAnsiTheme="minorHAnsi"/>
                <w:b w:val="0"/>
              </w:rPr>
              <w:t xml:space="preserve"> </w:t>
            </w:r>
          </w:p>
        </w:tc>
        <w:tc>
          <w:tcPr>
            <w:tcW w:w="5670" w:type="dxa"/>
          </w:tcPr>
          <w:p w:rsidR="001A1859" w:rsidRPr="00B22617" w:rsidRDefault="001A1859" w:rsidP="009E28DA">
            <w:pPr>
              <w:pStyle w:val="Heading9"/>
              <w:rPr>
                <w:rFonts w:asciiTheme="minorHAnsi" w:hAnsiTheme="minorHAnsi"/>
                <w:b w:val="0"/>
              </w:rPr>
            </w:pPr>
          </w:p>
        </w:tc>
      </w:tr>
      <w:tr w:rsidR="001F22A2" w:rsidRPr="00B22617">
        <w:tc>
          <w:tcPr>
            <w:tcW w:w="3524" w:type="dxa"/>
          </w:tcPr>
          <w:p w:rsidR="001F22A2" w:rsidRPr="00B22617" w:rsidRDefault="001F22A2">
            <w:pPr>
              <w:rPr>
                <w:rFonts w:asciiTheme="minorHAnsi" w:hAnsiTheme="minorHAnsi"/>
                <w:b/>
                <w:i/>
                <w:sz w:val="20"/>
              </w:rPr>
            </w:pPr>
            <w:bookmarkStart w:id="32" w:name="Row11"/>
            <w:r w:rsidRPr="00B22617">
              <w:rPr>
                <w:rFonts w:asciiTheme="minorHAnsi" w:hAnsiTheme="minorHAnsi"/>
                <w:b/>
                <w:i/>
                <w:sz w:val="20"/>
              </w:rPr>
              <w:t>Implementation of WTO Obligations/ROOs</w:t>
            </w:r>
            <w:bookmarkEnd w:id="32"/>
          </w:p>
          <w:p w:rsidR="001F22A2" w:rsidRPr="00B22617" w:rsidRDefault="001F22A2">
            <w:pPr>
              <w:rPr>
                <w:rFonts w:asciiTheme="minorHAnsi" w:hAnsiTheme="minorHAnsi"/>
                <w:b/>
                <w:i/>
                <w:sz w:val="20"/>
              </w:rPr>
            </w:pPr>
          </w:p>
        </w:tc>
        <w:tc>
          <w:tcPr>
            <w:tcW w:w="5387" w:type="dxa"/>
          </w:tcPr>
          <w:p w:rsidR="001F22A2" w:rsidRPr="00647304" w:rsidRDefault="00647304">
            <w:pPr>
              <w:rPr>
                <w:rFonts w:asciiTheme="minorHAnsi" w:hAnsiTheme="minorHAnsi"/>
                <w:b/>
                <w:color w:val="808080"/>
                <w:sz w:val="20"/>
              </w:rPr>
            </w:pPr>
            <w:bookmarkStart w:id="33" w:name="Cell21"/>
            <w:bookmarkEnd w:id="33"/>
            <w:r w:rsidRPr="00647304">
              <w:rPr>
                <w:rFonts w:asciiTheme="minorHAnsi" w:hAnsiTheme="minorHAnsi" w:cs="Arial"/>
                <w:b/>
                <w:sz w:val="20"/>
              </w:rPr>
              <w:t xml:space="preserve">No changes since 2011. </w:t>
            </w:r>
          </w:p>
        </w:tc>
        <w:tc>
          <w:tcPr>
            <w:tcW w:w="5670" w:type="dxa"/>
          </w:tcPr>
          <w:p w:rsidR="001F22A2" w:rsidRPr="00B22617" w:rsidRDefault="001F22A2">
            <w:pPr>
              <w:rPr>
                <w:rFonts w:asciiTheme="minorHAnsi" w:hAnsiTheme="minorHAnsi"/>
                <w:color w:val="808080"/>
                <w:sz w:val="20"/>
              </w:rPr>
            </w:pPr>
            <w:bookmarkStart w:id="34" w:name="Cell22"/>
            <w:bookmarkEnd w:id="34"/>
            <w:r w:rsidRPr="00B22617">
              <w:rPr>
                <w:rFonts w:asciiTheme="minorHAnsi" w:hAnsiTheme="minorHAnsi" w:cs="Arial"/>
                <w:i/>
                <w:color w:val="808080"/>
                <w:sz w:val="20"/>
              </w:rPr>
              <w:t>Provide brief points only</w:t>
            </w:r>
          </w:p>
        </w:tc>
      </w:tr>
      <w:tr w:rsidR="0001261C" w:rsidRPr="00B22617">
        <w:tc>
          <w:tcPr>
            <w:tcW w:w="3524" w:type="dxa"/>
          </w:tcPr>
          <w:p w:rsidR="001A1859" w:rsidRPr="00B22617" w:rsidRDefault="001A1859" w:rsidP="009E28DA">
            <w:pPr>
              <w:pStyle w:val="Heading9"/>
              <w:rPr>
                <w:rFonts w:asciiTheme="minorHAnsi" w:hAnsiTheme="minorHAnsi"/>
                <w:b w:val="0"/>
                <w:color w:val="808080"/>
              </w:rPr>
            </w:pPr>
            <w:r w:rsidRPr="00B22617">
              <w:rPr>
                <w:rFonts w:asciiTheme="minorHAnsi" w:hAnsiTheme="minorHAnsi"/>
                <w:b w:val="0"/>
                <w:color w:val="808080"/>
              </w:rPr>
              <w:t xml:space="preserve">Website for further information:  </w:t>
            </w:r>
          </w:p>
        </w:tc>
        <w:tc>
          <w:tcPr>
            <w:tcW w:w="5387" w:type="dxa"/>
          </w:tcPr>
          <w:p w:rsidR="001A1859" w:rsidRPr="00B22617" w:rsidRDefault="00647304" w:rsidP="009E28DA">
            <w:pPr>
              <w:pStyle w:val="Heading9"/>
              <w:rPr>
                <w:rFonts w:asciiTheme="minorHAnsi" w:hAnsiTheme="minorHAnsi"/>
                <w:b w:val="0"/>
              </w:rPr>
            </w:pPr>
            <w:hyperlink r:id="rId43" w:history="1">
              <w:r w:rsidRPr="00DA1F2A">
                <w:rPr>
                  <w:rStyle w:val="Hyperlink"/>
                  <w:rFonts w:asciiTheme="minorHAnsi" w:hAnsiTheme="minorHAnsi"/>
                  <w:b w:val="0"/>
                </w:rPr>
                <w:t>www.ustr.gov</w:t>
              </w:r>
            </w:hyperlink>
            <w:r>
              <w:rPr>
                <w:rFonts w:asciiTheme="minorHAnsi" w:hAnsiTheme="minorHAnsi"/>
                <w:b w:val="0"/>
              </w:rPr>
              <w:t xml:space="preserve"> </w:t>
            </w:r>
          </w:p>
        </w:tc>
        <w:tc>
          <w:tcPr>
            <w:tcW w:w="5670" w:type="dxa"/>
          </w:tcPr>
          <w:p w:rsidR="001A1859" w:rsidRPr="00B22617" w:rsidRDefault="001A1859" w:rsidP="009E28DA">
            <w:pPr>
              <w:pStyle w:val="Heading9"/>
              <w:rPr>
                <w:rFonts w:asciiTheme="minorHAnsi" w:hAnsiTheme="minorHAnsi"/>
                <w:b w:val="0"/>
              </w:rPr>
            </w:pPr>
          </w:p>
        </w:tc>
      </w:tr>
      <w:tr w:rsidR="0001261C" w:rsidRPr="00B22617">
        <w:tc>
          <w:tcPr>
            <w:tcW w:w="3524" w:type="dxa"/>
          </w:tcPr>
          <w:p w:rsidR="001A1859" w:rsidRPr="00B22617" w:rsidRDefault="001A1859" w:rsidP="009E28DA">
            <w:pPr>
              <w:pStyle w:val="Heading9"/>
              <w:rPr>
                <w:rFonts w:asciiTheme="minorHAnsi" w:hAnsiTheme="minorHAnsi"/>
                <w:b w:val="0"/>
                <w:color w:val="808080"/>
              </w:rPr>
            </w:pPr>
            <w:r w:rsidRPr="00B22617">
              <w:rPr>
                <w:rFonts w:asciiTheme="minorHAnsi" w:hAnsiTheme="minorHAnsi"/>
                <w:b w:val="0"/>
                <w:color w:val="808080"/>
              </w:rPr>
              <w:t>Contact point for further details:</w:t>
            </w:r>
          </w:p>
        </w:tc>
        <w:tc>
          <w:tcPr>
            <w:tcW w:w="5387" w:type="dxa"/>
          </w:tcPr>
          <w:p w:rsidR="001A1859" w:rsidRPr="00B22617" w:rsidRDefault="00647304" w:rsidP="009E28DA">
            <w:pPr>
              <w:pStyle w:val="Heading9"/>
              <w:rPr>
                <w:rFonts w:asciiTheme="minorHAnsi" w:hAnsiTheme="minorHAnsi"/>
                <w:b w:val="0"/>
              </w:rPr>
            </w:pPr>
            <w:hyperlink r:id="rId44" w:history="1">
              <w:r w:rsidRPr="00DA1F2A">
                <w:rPr>
                  <w:rStyle w:val="Hyperlink"/>
                  <w:rFonts w:asciiTheme="minorHAnsi" w:hAnsiTheme="minorHAnsi"/>
                  <w:b w:val="0"/>
                </w:rPr>
                <w:t>Edward_Brzytwa@ustr.eop.gov</w:t>
              </w:r>
            </w:hyperlink>
            <w:r>
              <w:rPr>
                <w:rFonts w:asciiTheme="minorHAnsi" w:hAnsiTheme="minorHAnsi"/>
                <w:b w:val="0"/>
              </w:rPr>
              <w:t xml:space="preserve"> </w:t>
            </w:r>
          </w:p>
        </w:tc>
        <w:tc>
          <w:tcPr>
            <w:tcW w:w="5670" w:type="dxa"/>
          </w:tcPr>
          <w:p w:rsidR="001A1859" w:rsidRPr="00B22617" w:rsidRDefault="001A1859" w:rsidP="009E28DA">
            <w:pPr>
              <w:pStyle w:val="Heading9"/>
              <w:rPr>
                <w:rFonts w:asciiTheme="minorHAnsi" w:hAnsiTheme="minorHAnsi"/>
                <w:b w:val="0"/>
              </w:rPr>
            </w:pPr>
          </w:p>
        </w:tc>
      </w:tr>
      <w:tr w:rsidR="001F22A2" w:rsidRPr="00B22617">
        <w:tc>
          <w:tcPr>
            <w:tcW w:w="3524" w:type="dxa"/>
          </w:tcPr>
          <w:p w:rsidR="001F22A2" w:rsidRPr="00B22617" w:rsidRDefault="001F22A2">
            <w:pPr>
              <w:rPr>
                <w:rFonts w:asciiTheme="minorHAnsi" w:hAnsiTheme="minorHAnsi"/>
                <w:b/>
                <w:i/>
                <w:sz w:val="20"/>
              </w:rPr>
            </w:pPr>
            <w:bookmarkStart w:id="35" w:name="Row12"/>
            <w:r w:rsidRPr="00B22617">
              <w:rPr>
                <w:rFonts w:asciiTheme="minorHAnsi" w:hAnsiTheme="minorHAnsi"/>
                <w:b/>
                <w:i/>
                <w:sz w:val="20"/>
              </w:rPr>
              <w:t>Dispute Mediation</w:t>
            </w:r>
            <w:bookmarkEnd w:id="35"/>
          </w:p>
          <w:p w:rsidR="001F22A2" w:rsidRPr="00B22617" w:rsidRDefault="001F22A2">
            <w:pPr>
              <w:rPr>
                <w:rFonts w:asciiTheme="minorHAnsi" w:hAnsiTheme="minorHAnsi"/>
                <w:b/>
                <w:i/>
                <w:color w:val="808080"/>
                <w:sz w:val="20"/>
              </w:rPr>
            </w:pPr>
          </w:p>
        </w:tc>
        <w:tc>
          <w:tcPr>
            <w:tcW w:w="5387" w:type="dxa"/>
          </w:tcPr>
          <w:p w:rsidR="001F22A2" w:rsidRPr="00B22617" w:rsidRDefault="00647304">
            <w:pPr>
              <w:rPr>
                <w:rFonts w:asciiTheme="minorHAnsi" w:hAnsiTheme="minorHAnsi"/>
                <w:color w:val="808080"/>
                <w:sz w:val="20"/>
              </w:rPr>
            </w:pPr>
            <w:bookmarkStart w:id="36" w:name="Cell23"/>
            <w:bookmarkEnd w:id="36"/>
            <w:r w:rsidRPr="00647304">
              <w:rPr>
                <w:rFonts w:asciiTheme="minorHAnsi" w:hAnsiTheme="minorHAnsi" w:cs="Arial"/>
                <w:b/>
                <w:sz w:val="20"/>
              </w:rPr>
              <w:t>No changes since 2011.</w:t>
            </w:r>
          </w:p>
        </w:tc>
        <w:tc>
          <w:tcPr>
            <w:tcW w:w="5670" w:type="dxa"/>
          </w:tcPr>
          <w:p w:rsidR="001F22A2" w:rsidRPr="00B22617" w:rsidRDefault="001F22A2">
            <w:pPr>
              <w:rPr>
                <w:rFonts w:asciiTheme="minorHAnsi" w:hAnsiTheme="minorHAnsi"/>
                <w:color w:val="808080"/>
                <w:sz w:val="20"/>
              </w:rPr>
            </w:pPr>
            <w:bookmarkStart w:id="37" w:name="Cell24"/>
            <w:bookmarkEnd w:id="37"/>
            <w:r w:rsidRPr="00B22617">
              <w:rPr>
                <w:rFonts w:asciiTheme="minorHAnsi" w:hAnsiTheme="minorHAnsi" w:cs="Arial"/>
                <w:i/>
                <w:color w:val="808080"/>
                <w:sz w:val="20"/>
              </w:rPr>
              <w:t>Provide brief points only</w:t>
            </w:r>
          </w:p>
        </w:tc>
      </w:tr>
      <w:tr w:rsidR="00647304" w:rsidRPr="00B22617">
        <w:tc>
          <w:tcPr>
            <w:tcW w:w="3524" w:type="dxa"/>
          </w:tcPr>
          <w:p w:rsidR="00647304" w:rsidRPr="00B22617" w:rsidRDefault="00647304" w:rsidP="00647304">
            <w:pPr>
              <w:pStyle w:val="Heading9"/>
              <w:rPr>
                <w:rFonts w:asciiTheme="minorHAnsi" w:hAnsiTheme="minorHAnsi"/>
                <w:b w:val="0"/>
                <w:color w:val="808080"/>
              </w:rPr>
            </w:pPr>
            <w:r w:rsidRPr="00B22617">
              <w:rPr>
                <w:rFonts w:asciiTheme="minorHAnsi" w:hAnsiTheme="minorHAnsi"/>
                <w:b w:val="0"/>
                <w:color w:val="808080"/>
              </w:rPr>
              <w:lastRenderedPageBreak/>
              <w:t xml:space="preserve">Website for further information:  </w:t>
            </w:r>
          </w:p>
        </w:tc>
        <w:tc>
          <w:tcPr>
            <w:tcW w:w="5387" w:type="dxa"/>
          </w:tcPr>
          <w:p w:rsidR="00647304" w:rsidRPr="00B22617" w:rsidRDefault="00647304" w:rsidP="00647304">
            <w:pPr>
              <w:pStyle w:val="Heading9"/>
              <w:rPr>
                <w:rFonts w:asciiTheme="minorHAnsi" w:hAnsiTheme="minorHAnsi"/>
                <w:b w:val="0"/>
              </w:rPr>
            </w:pPr>
            <w:hyperlink r:id="rId45" w:history="1">
              <w:r w:rsidRPr="00DA1F2A">
                <w:rPr>
                  <w:rStyle w:val="Hyperlink"/>
                  <w:rFonts w:asciiTheme="minorHAnsi" w:hAnsiTheme="minorHAnsi"/>
                  <w:b w:val="0"/>
                </w:rPr>
                <w:t>www.ustr.gov</w:t>
              </w:r>
            </w:hyperlink>
            <w:r>
              <w:rPr>
                <w:rFonts w:asciiTheme="minorHAnsi" w:hAnsiTheme="minorHAnsi"/>
                <w:b w:val="0"/>
              </w:rPr>
              <w:t xml:space="preserve"> </w:t>
            </w:r>
          </w:p>
        </w:tc>
        <w:tc>
          <w:tcPr>
            <w:tcW w:w="5670" w:type="dxa"/>
          </w:tcPr>
          <w:p w:rsidR="00647304" w:rsidRPr="00B22617" w:rsidRDefault="00647304" w:rsidP="00647304">
            <w:pPr>
              <w:pStyle w:val="Heading9"/>
              <w:rPr>
                <w:rFonts w:asciiTheme="minorHAnsi" w:hAnsiTheme="minorHAnsi"/>
                <w:b w:val="0"/>
              </w:rPr>
            </w:pPr>
          </w:p>
        </w:tc>
      </w:tr>
      <w:tr w:rsidR="00647304" w:rsidRPr="00B22617">
        <w:tc>
          <w:tcPr>
            <w:tcW w:w="3524" w:type="dxa"/>
          </w:tcPr>
          <w:p w:rsidR="00647304" w:rsidRPr="00B22617" w:rsidRDefault="00647304" w:rsidP="00647304">
            <w:pPr>
              <w:pStyle w:val="Heading9"/>
              <w:rPr>
                <w:rFonts w:asciiTheme="minorHAnsi" w:hAnsiTheme="minorHAnsi"/>
                <w:b w:val="0"/>
                <w:color w:val="808080"/>
              </w:rPr>
            </w:pPr>
            <w:r w:rsidRPr="00B22617">
              <w:rPr>
                <w:rFonts w:asciiTheme="minorHAnsi" w:hAnsiTheme="minorHAnsi"/>
                <w:b w:val="0"/>
                <w:color w:val="808080"/>
              </w:rPr>
              <w:t>Contact point for further details:</w:t>
            </w:r>
          </w:p>
        </w:tc>
        <w:tc>
          <w:tcPr>
            <w:tcW w:w="5387" w:type="dxa"/>
          </w:tcPr>
          <w:p w:rsidR="00647304" w:rsidRPr="00B22617" w:rsidRDefault="00647304" w:rsidP="00647304">
            <w:pPr>
              <w:pStyle w:val="Heading9"/>
              <w:rPr>
                <w:rFonts w:asciiTheme="minorHAnsi" w:hAnsiTheme="minorHAnsi"/>
                <w:b w:val="0"/>
              </w:rPr>
            </w:pPr>
            <w:hyperlink r:id="rId46" w:history="1">
              <w:r w:rsidRPr="00DA1F2A">
                <w:rPr>
                  <w:rStyle w:val="Hyperlink"/>
                  <w:rFonts w:asciiTheme="minorHAnsi" w:hAnsiTheme="minorHAnsi"/>
                  <w:b w:val="0"/>
                </w:rPr>
                <w:t>Edward_Brzytwa@ustr.eop.gov</w:t>
              </w:r>
            </w:hyperlink>
            <w:r>
              <w:rPr>
                <w:rFonts w:asciiTheme="minorHAnsi" w:hAnsiTheme="minorHAnsi"/>
                <w:b w:val="0"/>
              </w:rPr>
              <w:t xml:space="preserve"> </w:t>
            </w:r>
          </w:p>
        </w:tc>
        <w:tc>
          <w:tcPr>
            <w:tcW w:w="5670" w:type="dxa"/>
          </w:tcPr>
          <w:p w:rsidR="00647304" w:rsidRPr="00B22617" w:rsidRDefault="00647304" w:rsidP="00647304">
            <w:pPr>
              <w:pStyle w:val="Heading9"/>
              <w:rPr>
                <w:rFonts w:asciiTheme="minorHAnsi" w:hAnsiTheme="minorHAnsi"/>
                <w:b w:val="0"/>
              </w:rPr>
            </w:pPr>
          </w:p>
        </w:tc>
      </w:tr>
      <w:tr w:rsidR="00647304" w:rsidRPr="00B22617">
        <w:tc>
          <w:tcPr>
            <w:tcW w:w="3524" w:type="dxa"/>
          </w:tcPr>
          <w:p w:rsidR="00647304" w:rsidRPr="00B22617" w:rsidRDefault="00647304" w:rsidP="00647304">
            <w:pPr>
              <w:pStyle w:val="Heading5"/>
              <w:spacing w:after="0"/>
              <w:rPr>
                <w:rFonts w:asciiTheme="minorHAnsi" w:hAnsiTheme="minorHAnsi"/>
                <w:i/>
              </w:rPr>
            </w:pPr>
            <w:bookmarkStart w:id="38" w:name="Row13"/>
            <w:r w:rsidRPr="00B22617">
              <w:rPr>
                <w:rFonts w:asciiTheme="minorHAnsi" w:hAnsiTheme="minorHAnsi"/>
                <w:i/>
              </w:rPr>
              <w:t>Mobility of Business People</w:t>
            </w:r>
            <w:bookmarkEnd w:id="38"/>
          </w:p>
          <w:p w:rsidR="00647304" w:rsidRPr="00B22617" w:rsidRDefault="00647304" w:rsidP="00647304">
            <w:pPr>
              <w:rPr>
                <w:rFonts w:asciiTheme="minorHAnsi" w:hAnsiTheme="minorHAnsi"/>
                <w:sz w:val="20"/>
              </w:rPr>
            </w:pPr>
          </w:p>
        </w:tc>
        <w:tc>
          <w:tcPr>
            <w:tcW w:w="5387" w:type="dxa"/>
          </w:tcPr>
          <w:p w:rsidR="00647304" w:rsidRPr="00B22617" w:rsidRDefault="00647304" w:rsidP="00647304">
            <w:pPr>
              <w:pStyle w:val="Heading9"/>
              <w:rPr>
                <w:rFonts w:asciiTheme="minorHAnsi" w:hAnsiTheme="minorHAnsi"/>
                <w:b w:val="0"/>
                <w:i w:val="0"/>
              </w:rPr>
            </w:pPr>
            <w:bookmarkStart w:id="39" w:name="Cell25"/>
            <w:bookmarkEnd w:id="39"/>
            <w:r w:rsidRPr="00B22617">
              <w:rPr>
                <w:rFonts w:asciiTheme="minorHAnsi" w:hAnsiTheme="minorHAnsi"/>
                <w:i w:val="0"/>
              </w:rPr>
              <w:t>Visas.</w:t>
            </w:r>
            <w:r w:rsidRPr="00B22617">
              <w:rPr>
                <w:rFonts w:asciiTheme="minorHAnsi" w:hAnsiTheme="minorHAnsi"/>
                <w:b w:val="0"/>
                <w:i w:val="0"/>
              </w:rPr>
              <w:t xml:space="preserve">  The United States has improved wait times and capacity for visa applicants, exceeding the President’s goal of 80 percent of visa applicants worldwide to be interviewed within three weeks of submitting their applications (met the goal in August 2012 and have not looked back) and increasing visa capacity by 40 percent in China and Brazil in FY 2012 and maintaining such capacity in FY 2013.</w:t>
            </w:r>
          </w:p>
          <w:p w:rsidR="00647304" w:rsidRPr="00B22617" w:rsidRDefault="00647304" w:rsidP="00647304">
            <w:pPr>
              <w:rPr>
                <w:rFonts w:asciiTheme="minorHAnsi" w:hAnsiTheme="minorHAnsi"/>
                <w:sz w:val="20"/>
              </w:rPr>
            </w:pPr>
          </w:p>
          <w:p w:rsidR="00647304" w:rsidRPr="00B22617" w:rsidRDefault="00647304" w:rsidP="00647304">
            <w:pPr>
              <w:rPr>
                <w:rFonts w:asciiTheme="minorHAnsi" w:hAnsiTheme="minorHAnsi"/>
                <w:sz w:val="20"/>
              </w:rPr>
            </w:pPr>
            <w:r w:rsidRPr="00B22617">
              <w:rPr>
                <w:rFonts w:asciiTheme="minorHAnsi" w:hAnsiTheme="minorHAnsi"/>
                <w:b/>
                <w:sz w:val="20"/>
              </w:rPr>
              <w:t xml:space="preserve">Visa Waiver Program. </w:t>
            </w:r>
            <w:r w:rsidRPr="00B22617">
              <w:rPr>
                <w:rFonts w:asciiTheme="minorHAnsi" w:hAnsiTheme="minorHAnsi"/>
                <w:sz w:val="20"/>
              </w:rPr>
              <w:t>The Department of Homeland Security designated Chinese Taipei to the Visa Waiver Program in 2012, and added Chile in 2014.  Meanwhile, the Department of Homeland Security is working with other Federal government agencies within the National Tourism Strategy to increase the number of travellers from VWP countries.</w:t>
            </w:r>
          </w:p>
          <w:p w:rsidR="00647304" w:rsidRPr="00B22617" w:rsidRDefault="00647304" w:rsidP="00647304">
            <w:pPr>
              <w:rPr>
                <w:rFonts w:asciiTheme="minorHAnsi" w:hAnsiTheme="minorHAnsi"/>
                <w:sz w:val="20"/>
              </w:rPr>
            </w:pPr>
          </w:p>
          <w:p w:rsidR="00647304" w:rsidRPr="00B22617" w:rsidRDefault="00647304" w:rsidP="00647304">
            <w:pPr>
              <w:rPr>
                <w:rFonts w:asciiTheme="minorHAnsi" w:hAnsiTheme="minorHAnsi" w:cs="Arial"/>
                <w:b/>
                <w:sz w:val="20"/>
              </w:rPr>
            </w:pPr>
            <w:r w:rsidRPr="00B22617">
              <w:rPr>
                <w:rFonts w:asciiTheme="minorHAnsi" w:hAnsiTheme="minorHAnsi"/>
                <w:b/>
                <w:sz w:val="20"/>
              </w:rPr>
              <w:t xml:space="preserve">Trusted </w:t>
            </w:r>
            <w:proofErr w:type="spellStart"/>
            <w:r w:rsidRPr="00B22617">
              <w:rPr>
                <w:rFonts w:asciiTheme="minorHAnsi" w:hAnsiTheme="minorHAnsi"/>
                <w:b/>
                <w:sz w:val="20"/>
              </w:rPr>
              <w:t>Traveler</w:t>
            </w:r>
            <w:proofErr w:type="spellEnd"/>
            <w:r w:rsidRPr="00B22617">
              <w:rPr>
                <w:rFonts w:asciiTheme="minorHAnsi" w:hAnsiTheme="minorHAnsi"/>
                <w:b/>
                <w:sz w:val="20"/>
              </w:rPr>
              <w:t xml:space="preserve"> Programs.  </w:t>
            </w:r>
            <w:r w:rsidRPr="00B22617">
              <w:rPr>
                <w:rFonts w:asciiTheme="minorHAnsi" w:hAnsiTheme="minorHAnsi"/>
                <w:sz w:val="20"/>
              </w:rPr>
              <w:t xml:space="preserve">The United States continues to expand its trusted </w:t>
            </w:r>
            <w:proofErr w:type="spellStart"/>
            <w:r w:rsidRPr="00B22617">
              <w:rPr>
                <w:rFonts w:asciiTheme="minorHAnsi" w:hAnsiTheme="minorHAnsi"/>
                <w:sz w:val="20"/>
              </w:rPr>
              <w:t>traveler</w:t>
            </w:r>
            <w:proofErr w:type="spellEnd"/>
            <w:r w:rsidRPr="00B22617">
              <w:rPr>
                <w:rFonts w:asciiTheme="minorHAnsi" w:hAnsiTheme="minorHAnsi"/>
                <w:sz w:val="20"/>
              </w:rPr>
              <w:t xml:space="preserve"> program. These programs </w:t>
            </w:r>
            <w:proofErr w:type="gramStart"/>
            <w:r w:rsidRPr="00B22617">
              <w:rPr>
                <w:rFonts w:asciiTheme="minorHAnsi" w:hAnsiTheme="minorHAnsi"/>
                <w:sz w:val="20"/>
              </w:rPr>
              <w:t>are  voluntary</w:t>
            </w:r>
            <w:proofErr w:type="gramEnd"/>
            <w:r w:rsidRPr="00B22617">
              <w:rPr>
                <w:rFonts w:asciiTheme="minorHAnsi" w:hAnsiTheme="minorHAnsi"/>
                <w:sz w:val="20"/>
              </w:rPr>
              <w:t xml:space="preserve"> and applicants undergo an extensive background check to determine their eligibility as low-risk, trusted </w:t>
            </w:r>
            <w:proofErr w:type="spellStart"/>
            <w:r w:rsidRPr="00B22617">
              <w:rPr>
                <w:rFonts w:asciiTheme="minorHAnsi" w:hAnsiTheme="minorHAnsi"/>
                <w:sz w:val="20"/>
              </w:rPr>
              <w:t>travelers</w:t>
            </w:r>
            <w:proofErr w:type="spellEnd"/>
            <w:r w:rsidRPr="00B22617">
              <w:rPr>
                <w:rFonts w:asciiTheme="minorHAnsi" w:hAnsiTheme="minorHAnsi"/>
                <w:sz w:val="20"/>
              </w:rPr>
              <w:t xml:space="preserve">.  At airports, trusted </w:t>
            </w:r>
            <w:proofErr w:type="spellStart"/>
            <w:r w:rsidRPr="00B22617">
              <w:rPr>
                <w:rFonts w:asciiTheme="minorHAnsi" w:hAnsiTheme="minorHAnsi"/>
                <w:sz w:val="20"/>
              </w:rPr>
              <w:t>travelers</w:t>
            </w:r>
            <w:proofErr w:type="spellEnd"/>
            <w:r w:rsidRPr="00B22617">
              <w:rPr>
                <w:rFonts w:asciiTheme="minorHAnsi" w:hAnsiTheme="minorHAnsi"/>
                <w:sz w:val="20"/>
              </w:rPr>
              <w:t xml:space="preserve"> have access to the Global Entry kiosks to complete their immigration processing.</w:t>
            </w:r>
            <w:r w:rsidRPr="00B22617">
              <w:rPr>
                <w:rFonts w:asciiTheme="minorHAnsi" w:hAnsiTheme="minorHAnsi" w:cs="Arial"/>
                <w:b/>
                <w:sz w:val="20"/>
              </w:rPr>
              <w:t xml:space="preserve"> </w:t>
            </w:r>
          </w:p>
          <w:p w:rsidR="00647304" w:rsidRPr="00B22617" w:rsidRDefault="00647304" w:rsidP="00647304">
            <w:pPr>
              <w:rPr>
                <w:rFonts w:asciiTheme="minorHAnsi" w:hAnsiTheme="minorHAnsi"/>
                <w:color w:val="808080"/>
                <w:sz w:val="20"/>
              </w:rPr>
            </w:pPr>
          </w:p>
        </w:tc>
        <w:tc>
          <w:tcPr>
            <w:tcW w:w="5670" w:type="dxa"/>
          </w:tcPr>
          <w:p w:rsidR="00647304" w:rsidRPr="00B22617" w:rsidRDefault="00647304" w:rsidP="00647304">
            <w:pPr>
              <w:rPr>
                <w:rFonts w:asciiTheme="minorHAnsi" w:hAnsiTheme="minorHAnsi"/>
                <w:i/>
                <w:sz w:val="20"/>
              </w:rPr>
            </w:pPr>
            <w:bookmarkStart w:id="40" w:name="Cell26"/>
            <w:bookmarkEnd w:id="40"/>
            <w:r w:rsidRPr="00B22617">
              <w:rPr>
                <w:rFonts w:asciiTheme="minorHAnsi" w:hAnsiTheme="minorHAnsi" w:cs="Arial"/>
                <w:b/>
                <w:sz w:val="20"/>
              </w:rPr>
              <w:t xml:space="preserve">Automated Passport Control. </w:t>
            </w:r>
            <w:r w:rsidRPr="00B22617">
              <w:rPr>
                <w:rFonts w:asciiTheme="minorHAnsi" w:hAnsiTheme="minorHAnsi"/>
                <w:color w:val="000000"/>
                <w:sz w:val="20"/>
              </w:rPr>
              <w:t xml:space="preserve">The Automated Passport Control program (APC) is a public/private business transformation initiative that dramatically reduces inspection time while allowing the officer to focus on performing core law enforcement responsibilities, with the added benefit of serving as a force multiplier and reducing wait times.   The </w:t>
            </w:r>
            <w:proofErr w:type="spellStart"/>
            <w:r w:rsidRPr="00B22617">
              <w:rPr>
                <w:rFonts w:asciiTheme="minorHAnsi" w:hAnsiTheme="minorHAnsi"/>
                <w:color w:val="000000"/>
                <w:sz w:val="20"/>
              </w:rPr>
              <w:t>traveler</w:t>
            </w:r>
            <w:proofErr w:type="spellEnd"/>
            <w:r w:rsidRPr="00B22617">
              <w:rPr>
                <w:rFonts w:asciiTheme="minorHAnsi" w:hAnsiTheme="minorHAnsi"/>
                <w:color w:val="000000"/>
                <w:sz w:val="20"/>
              </w:rPr>
              <w:t xml:space="preserve"> performs the administrative function of providing passport information and biometrics (for applicable </w:t>
            </w:r>
            <w:proofErr w:type="spellStart"/>
            <w:r w:rsidRPr="00B22617">
              <w:rPr>
                <w:rFonts w:asciiTheme="minorHAnsi" w:hAnsiTheme="minorHAnsi"/>
                <w:color w:val="000000"/>
                <w:sz w:val="20"/>
              </w:rPr>
              <w:t>travelers</w:t>
            </w:r>
            <w:proofErr w:type="spellEnd"/>
            <w:r w:rsidRPr="00B22617">
              <w:rPr>
                <w:rFonts w:asciiTheme="minorHAnsi" w:hAnsiTheme="minorHAnsi"/>
                <w:color w:val="000000"/>
                <w:sz w:val="20"/>
              </w:rPr>
              <w:t xml:space="preserve">) as part of the queuing process, prior to presenting themselves for inspection by an officer.  </w:t>
            </w:r>
            <w:r w:rsidRPr="00B22617">
              <w:rPr>
                <w:rFonts w:asciiTheme="minorHAnsi" w:hAnsiTheme="minorHAnsi" w:cs="Arial"/>
                <w:sz w:val="20"/>
              </w:rPr>
              <w:t xml:space="preserve">Since the launch of the APC program in August 2013, the program has expanded to a total of 12 sites. For Fiscal Year 2014, CBP anticipates adding 10 additional sites.  </w:t>
            </w:r>
            <w:r w:rsidRPr="00B22617">
              <w:rPr>
                <w:rFonts w:asciiTheme="minorHAnsi" w:hAnsiTheme="minorHAnsi"/>
                <w:i/>
                <w:sz w:val="20"/>
              </w:rPr>
              <w:t xml:space="preserve"> </w:t>
            </w:r>
          </w:p>
          <w:p w:rsidR="00647304" w:rsidRPr="00B22617" w:rsidRDefault="00647304" w:rsidP="00647304">
            <w:pPr>
              <w:rPr>
                <w:rFonts w:asciiTheme="minorHAnsi" w:hAnsiTheme="minorHAnsi"/>
                <w:i/>
                <w:sz w:val="20"/>
              </w:rPr>
            </w:pPr>
          </w:p>
          <w:p w:rsidR="00647304" w:rsidRPr="00B22617" w:rsidRDefault="00647304" w:rsidP="00647304">
            <w:pPr>
              <w:rPr>
                <w:rFonts w:asciiTheme="minorHAnsi" w:eastAsiaTheme="minorHAnsi" w:hAnsiTheme="minorHAnsi" w:cs="Arial"/>
                <w:b/>
                <w:sz w:val="20"/>
                <w:lang w:val="en-US"/>
              </w:rPr>
            </w:pPr>
            <w:r w:rsidRPr="00B22617">
              <w:rPr>
                <w:rFonts w:asciiTheme="minorHAnsi" w:hAnsiTheme="minorHAnsi"/>
                <w:b/>
                <w:sz w:val="20"/>
              </w:rPr>
              <w:t>Visas</w:t>
            </w:r>
            <w:r w:rsidRPr="00B22617">
              <w:rPr>
                <w:rFonts w:asciiTheme="minorHAnsi" w:hAnsiTheme="minorHAnsi"/>
                <w:sz w:val="20"/>
              </w:rPr>
              <w:t xml:space="preserve">.  The United States is examining the concept of a paperless visa process that will enhance security and ease of application/travel for business </w:t>
            </w:r>
            <w:proofErr w:type="spellStart"/>
            <w:r w:rsidRPr="00B22617">
              <w:rPr>
                <w:rFonts w:asciiTheme="minorHAnsi" w:hAnsiTheme="minorHAnsi"/>
                <w:sz w:val="20"/>
              </w:rPr>
              <w:t>travelers</w:t>
            </w:r>
            <w:proofErr w:type="spellEnd"/>
            <w:r w:rsidRPr="00B22617">
              <w:rPr>
                <w:rFonts w:asciiTheme="minorHAnsi" w:hAnsiTheme="minorHAnsi"/>
                <w:sz w:val="20"/>
              </w:rPr>
              <w:t xml:space="preserve"> and tourists. </w:t>
            </w:r>
          </w:p>
          <w:p w:rsidR="00647304" w:rsidRPr="00B22617" w:rsidRDefault="00647304" w:rsidP="00647304">
            <w:pPr>
              <w:rPr>
                <w:rFonts w:asciiTheme="minorHAnsi" w:hAnsiTheme="minorHAnsi"/>
                <w:color w:val="808080"/>
                <w:sz w:val="20"/>
              </w:rPr>
            </w:pPr>
          </w:p>
        </w:tc>
      </w:tr>
      <w:tr w:rsidR="00647304" w:rsidRPr="00B22617">
        <w:tc>
          <w:tcPr>
            <w:tcW w:w="3524" w:type="dxa"/>
          </w:tcPr>
          <w:p w:rsidR="00647304" w:rsidRPr="00B22617" w:rsidRDefault="00647304" w:rsidP="00647304">
            <w:pPr>
              <w:pStyle w:val="Heading5"/>
              <w:spacing w:after="0"/>
              <w:rPr>
                <w:rFonts w:asciiTheme="minorHAnsi" w:hAnsiTheme="minorHAnsi"/>
                <w:i/>
                <w:color w:val="808080"/>
              </w:rPr>
            </w:pPr>
            <w:r w:rsidRPr="00B22617">
              <w:rPr>
                <w:rFonts w:asciiTheme="minorHAnsi" w:hAnsiTheme="minorHAnsi"/>
                <w:b w:val="0"/>
                <w:i/>
                <w:color w:val="808080"/>
              </w:rPr>
              <w:t xml:space="preserve">Website for further information:  </w:t>
            </w:r>
          </w:p>
        </w:tc>
        <w:tc>
          <w:tcPr>
            <w:tcW w:w="5387" w:type="dxa"/>
          </w:tcPr>
          <w:p w:rsidR="00647304" w:rsidRPr="00B22617" w:rsidRDefault="00647304" w:rsidP="00647304">
            <w:pPr>
              <w:rPr>
                <w:rFonts w:asciiTheme="minorHAnsi" w:hAnsiTheme="minorHAnsi" w:cs="Arial"/>
                <w:sz w:val="20"/>
              </w:rPr>
            </w:pPr>
            <w:hyperlink r:id="rId47" w:history="1">
              <w:r w:rsidRPr="00DA1F2A">
                <w:rPr>
                  <w:rStyle w:val="Hyperlink"/>
                  <w:rFonts w:asciiTheme="minorHAnsi" w:hAnsiTheme="minorHAnsi" w:cs="Arial"/>
                  <w:sz w:val="20"/>
                </w:rPr>
                <w:t>www.uscis.gov</w:t>
              </w:r>
            </w:hyperlink>
            <w:r>
              <w:rPr>
                <w:rFonts w:asciiTheme="minorHAnsi" w:hAnsiTheme="minorHAnsi" w:cs="Arial"/>
                <w:sz w:val="20"/>
              </w:rPr>
              <w:t xml:space="preserve">; </w:t>
            </w:r>
            <w:hyperlink r:id="rId48" w:history="1">
              <w:r w:rsidRPr="00DA1F2A">
                <w:rPr>
                  <w:rStyle w:val="Hyperlink"/>
                  <w:rFonts w:asciiTheme="minorHAnsi" w:hAnsiTheme="minorHAnsi" w:cs="Arial"/>
                  <w:sz w:val="20"/>
                </w:rPr>
                <w:t>www.cpb.gov</w:t>
              </w:r>
            </w:hyperlink>
            <w:r>
              <w:rPr>
                <w:rFonts w:asciiTheme="minorHAnsi" w:hAnsiTheme="minorHAnsi" w:cs="Arial"/>
                <w:sz w:val="20"/>
              </w:rPr>
              <w:t xml:space="preserve">; </w:t>
            </w:r>
            <w:hyperlink r:id="rId49" w:history="1">
              <w:r w:rsidRPr="00DA1F2A">
                <w:rPr>
                  <w:rStyle w:val="Hyperlink"/>
                  <w:rFonts w:asciiTheme="minorHAnsi" w:hAnsiTheme="minorHAnsi" w:cs="Arial"/>
                  <w:sz w:val="20"/>
                </w:rPr>
                <w:t>www.travel.state.gov</w:t>
              </w:r>
            </w:hyperlink>
            <w:r>
              <w:rPr>
                <w:rFonts w:asciiTheme="minorHAnsi" w:hAnsiTheme="minorHAnsi" w:cs="Arial"/>
                <w:sz w:val="20"/>
              </w:rPr>
              <w:t xml:space="preserve"> </w:t>
            </w:r>
            <w:r w:rsidRPr="00B22617">
              <w:rPr>
                <w:rFonts w:asciiTheme="minorHAnsi" w:hAnsiTheme="minorHAnsi" w:cs="Arial"/>
                <w:sz w:val="20"/>
              </w:rPr>
              <w:t xml:space="preserve"> </w:t>
            </w:r>
          </w:p>
        </w:tc>
        <w:tc>
          <w:tcPr>
            <w:tcW w:w="5670" w:type="dxa"/>
          </w:tcPr>
          <w:p w:rsidR="00647304" w:rsidRPr="00B22617" w:rsidRDefault="00647304" w:rsidP="00647304">
            <w:pPr>
              <w:rPr>
                <w:rFonts w:asciiTheme="minorHAnsi" w:hAnsiTheme="minorHAnsi" w:cs="Arial"/>
                <w:sz w:val="20"/>
              </w:rPr>
            </w:pPr>
          </w:p>
        </w:tc>
      </w:tr>
      <w:tr w:rsidR="00647304" w:rsidRPr="00B22617">
        <w:tc>
          <w:tcPr>
            <w:tcW w:w="3524" w:type="dxa"/>
          </w:tcPr>
          <w:p w:rsidR="00647304" w:rsidRPr="00B22617" w:rsidRDefault="00647304" w:rsidP="00647304">
            <w:pPr>
              <w:pStyle w:val="Heading5"/>
              <w:spacing w:after="0"/>
              <w:rPr>
                <w:rFonts w:asciiTheme="minorHAnsi" w:hAnsiTheme="minorHAnsi"/>
                <w:i/>
                <w:color w:val="808080"/>
              </w:rPr>
            </w:pPr>
            <w:r w:rsidRPr="00B22617">
              <w:rPr>
                <w:rFonts w:asciiTheme="minorHAnsi" w:hAnsiTheme="minorHAnsi"/>
                <w:b w:val="0"/>
                <w:i/>
                <w:color w:val="808080"/>
              </w:rPr>
              <w:t>Contact point for further details:</w:t>
            </w:r>
          </w:p>
        </w:tc>
        <w:tc>
          <w:tcPr>
            <w:tcW w:w="5387" w:type="dxa"/>
          </w:tcPr>
          <w:p w:rsidR="00647304" w:rsidRPr="00B22617" w:rsidRDefault="00647304" w:rsidP="00647304">
            <w:pPr>
              <w:rPr>
                <w:rFonts w:asciiTheme="minorHAnsi" w:hAnsiTheme="minorHAnsi" w:cs="Arial"/>
                <w:sz w:val="20"/>
              </w:rPr>
            </w:pPr>
            <w:hyperlink r:id="rId50" w:history="1">
              <w:r w:rsidRPr="00B22617">
                <w:rPr>
                  <w:rStyle w:val="Hyperlink"/>
                  <w:rFonts w:asciiTheme="minorHAnsi" w:hAnsiTheme="minorHAnsi" w:cs="Arial"/>
                  <w:sz w:val="20"/>
                </w:rPr>
                <w:t>STEPHANIE.A.WOOD@CBP.DHS.GOV</w:t>
              </w:r>
            </w:hyperlink>
            <w:r w:rsidRPr="00B22617">
              <w:rPr>
                <w:rFonts w:asciiTheme="minorHAnsi" w:hAnsiTheme="minorHAnsi" w:cs="Arial"/>
                <w:sz w:val="20"/>
              </w:rPr>
              <w:t xml:space="preserve">; </w:t>
            </w:r>
            <w:hyperlink r:id="rId51" w:history="1">
              <w:r w:rsidRPr="00B22617">
                <w:rPr>
                  <w:rStyle w:val="Hyperlink"/>
                  <w:rFonts w:asciiTheme="minorHAnsi" w:hAnsiTheme="minorHAnsi" w:cs="Arial"/>
                  <w:sz w:val="20"/>
                </w:rPr>
                <w:t>BednarzJA@state.gov</w:t>
              </w:r>
            </w:hyperlink>
            <w:r w:rsidRPr="00B22617">
              <w:rPr>
                <w:rFonts w:asciiTheme="minorHAnsi" w:hAnsiTheme="minorHAnsi" w:cs="Arial"/>
                <w:sz w:val="20"/>
              </w:rPr>
              <w:t xml:space="preserve">; </w:t>
            </w:r>
            <w:hyperlink r:id="rId52" w:history="1">
              <w:r w:rsidRPr="00B22617">
                <w:rPr>
                  <w:rStyle w:val="Hyperlink"/>
                  <w:rFonts w:asciiTheme="minorHAnsi" w:hAnsiTheme="minorHAnsi" w:cs="Arial"/>
                  <w:sz w:val="20"/>
                </w:rPr>
                <w:t>Edward_Brzytwa@ustr.eop.gov</w:t>
              </w:r>
            </w:hyperlink>
            <w:r w:rsidRPr="00B22617">
              <w:rPr>
                <w:rFonts w:asciiTheme="minorHAnsi" w:hAnsiTheme="minorHAnsi" w:cs="Arial"/>
                <w:sz w:val="20"/>
              </w:rPr>
              <w:t xml:space="preserve">; </w:t>
            </w:r>
            <w:hyperlink r:id="rId53" w:history="1">
              <w:r w:rsidRPr="00B22617">
                <w:rPr>
                  <w:rStyle w:val="Hyperlink"/>
                  <w:rFonts w:asciiTheme="minorHAnsi" w:hAnsiTheme="minorHAnsi" w:cs="Arial"/>
                  <w:sz w:val="20"/>
                </w:rPr>
                <w:t>Jai_Motwane@ustr.eop.gov</w:t>
              </w:r>
            </w:hyperlink>
            <w:r w:rsidRPr="00B22617">
              <w:rPr>
                <w:rFonts w:asciiTheme="minorHAnsi" w:hAnsiTheme="minorHAnsi" w:cs="Arial"/>
                <w:sz w:val="20"/>
              </w:rPr>
              <w:t xml:space="preserve">  </w:t>
            </w:r>
          </w:p>
        </w:tc>
        <w:tc>
          <w:tcPr>
            <w:tcW w:w="5670" w:type="dxa"/>
          </w:tcPr>
          <w:p w:rsidR="00647304" w:rsidRPr="00B22617" w:rsidRDefault="00647304" w:rsidP="00647304">
            <w:pPr>
              <w:rPr>
                <w:rFonts w:asciiTheme="minorHAnsi" w:hAnsiTheme="minorHAnsi" w:cs="Arial"/>
                <w:sz w:val="20"/>
              </w:rPr>
            </w:pPr>
          </w:p>
        </w:tc>
      </w:tr>
      <w:tr w:rsidR="00647304" w:rsidRPr="00B22617">
        <w:tc>
          <w:tcPr>
            <w:tcW w:w="3524" w:type="dxa"/>
          </w:tcPr>
          <w:p w:rsidR="00647304" w:rsidRPr="00B22617" w:rsidRDefault="00647304" w:rsidP="00647304">
            <w:pPr>
              <w:pStyle w:val="Heading5"/>
              <w:spacing w:after="0"/>
              <w:rPr>
                <w:rFonts w:asciiTheme="minorHAnsi" w:hAnsiTheme="minorHAnsi"/>
                <w:i/>
              </w:rPr>
            </w:pPr>
            <w:r w:rsidRPr="00B22617">
              <w:rPr>
                <w:rFonts w:asciiTheme="minorHAnsi" w:hAnsiTheme="minorHAnsi"/>
                <w:i/>
              </w:rPr>
              <w:t>Official websites that gather economies’ information</w:t>
            </w:r>
          </w:p>
          <w:p w:rsidR="00647304" w:rsidRPr="00B22617" w:rsidRDefault="00647304" w:rsidP="00647304">
            <w:pPr>
              <w:rPr>
                <w:rFonts w:asciiTheme="minorHAnsi" w:hAnsiTheme="minorHAnsi"/>
                <w:b/>
                <w:i/>
                <w:sz w:val="20"/>
              </w:rPr>
            </w:pPr>
          </w:p>
        </w:tc>
        <w:tc>
          <w:tcPr>
            <w:tcW w:w="5387" w:type="dxa"/>
          </w:tcPr>
          <w:p w:rsidR="00647304" w:rsidRPr="00B22617" w:rsidRDefault="00647304" w:rsidP="00647304">
            <w:pPr>
              <w:rPr>
                <w:rFonts w:asciiTheme="minorHAnsi" w:hAnsiTheme="minorHAnsi"/>
                <w:color w:val="808080"/>
                <w:sz w:val="20"/>
              </w:rPr>
            </w:pPr>
            <w:bookmarkStart w:id="41" w:name="Cell27"/>
            <w:bookmarkEnd w:id="41"/>
            <w:r w:rsidRPr="00B22617">
              <w:rPr>
                <w:rFonts w:asciiTheme="minorHAnsi" w:hAnsiTheme="minorHAnsi" w:cs="Arial"/>
                <w:i/>
                <w:color w:val="808080"/>
                <w:sz w:val="20"/>
              </w:rPr>
              <w:t xml:space="preserve">No changes since 2011 update. </w:t>
            </w:r>
          </w:p>
        </w:tc>
        <w:tc>
          <w:tcPr>
            <w:tcW w:w="5670" w:type="dxa"/>
          </w:tcPr>
          <w:p w:rsidR="00647304" w:rsidRPr="00B22617" w:rsidRDefault="00647304" w:rsidP="00647304">
            <w:pPr>
              <w:rPr>
                <w:rFonts w:asciiTheme="minorHAnsi" w:hAnsiTheme="minorHAnsi"/>
                <w:color w:val="808080"/>
                <w:sz w:val="20"/>
              </w:rPr>
            </w:pPr>
            <w:bookmarkStart w:id="42" w:name="Cell28"/>
            <w:bookmarkEnd w:id="42"/>
            <w:r w:rsidRPr="00B22617">
              <w:rPr>
                <w:rFonts w:asciiTheme="minorHAnsi" w:hAnsiTheme="minorHAnsi" w:cs="Arial"/>
                <w:i/>
                <w:color w:val="808080"/>
                <w:sz w:val="20"/>
              </w:rPr>
              <w:t>Provide brief points only</w:t>
            </w:r>
          </w:p>
        </w:tc>
      </w:tr>
      <w:tr w:rsidR="00647304" w:rsidRPr="00B22617">
        <w:tc>
          <w:tcPr>
            <w:tcW w:w="3524" w:type="dxa"/>
          </w:tcPr>
          <w:p w:rsidR="00647304" w:rsidRPr="00B22617" w:rsidRDefault="00647304" w:rsidP="00647304">
            <w:pPr>
              <w:pStyle w:val="Heading9"/>
              <w:rPr>
                <w:rFonts w:asciiTheme="minorHAnsi" w:hAnsiTheme="minorHAnsi"/>
                <w:b w:val="0"/>
                <w:color w:val="808080"/>
              </w:rPr>
            </w:pPr>
            <w:r w:rsidRPr="00B22617">
              <w:rPr>
                <w:rFonts w:asciiTheme="minorHAnsi" w:hAnsiTheme="minorHAnsi"/>
                <w:b w:val="0"/>
                <w:color w:val="808080"/>
              </w:rPr>
              <w:t xml:space="preserve">Website for further information:  </w:t>
            </w:r>
          </w:p>
        </w:tc>
        <w:tc>
          <w:tcPr>
            <w:tcW w:w="5387" w:type="dxa"/>
          </w:tcPr>
          <w:p w:rsidR="00647304" w:rsidRPr="00B22617" w:rsidRDefault="00647304" w:rsidP="00647304">
            <w:pPr>
              <w:pStyle w:val="Heading9"/>
              <w:rPr>
                <w:rFonts w:asciiTheme="minorHAnsi" w:hAnsiTheme="minorHAnsi"/>
                <w:b w:val="0"/>
              </w:rPr>
            </w:pPr>
          </w:p>
        </w:tc>
        <w:tc>
          <w:tcPr>
            <w:tcW w:w="5670" w:type="dxa"/>
          </w:tcPr>
          <w:p w:rsidR="00647304" w:rsidRPr="00B22617" w:rsidRDefault="00647304" w:rsidP="00647304">
            <w:pPr>
              <w:pStyle w:val="Heading9"/>
              <w:rPr>
                <w:rFonts w:asciiTheme="minorHAnsi" w:hAnsiTheme="minorHAnsi"/>
                <w:b w:val="0"/>
              </w:rPr>
            </w:pPr>
          </w:p>
        </w:tc>
      </w:tr>
      <w:tr w:rsidR="00647304" w:rsidRPr="00B22617">
        <w:tc>
          <w:tcPr>
            <w:tcW w:w="3524" w:type="dxa"/>
          </w:tcPr>
          <w:p w:rsidR="00647304" w:rsidRPr="00B22617" w:rsidRDefault="00647304" w:rsidP="00647304">
            <w:pPr>
              <w:pStyle w:val="Heading9"/>
              <w:rPr>
                <w:rFonts w:asciiTheme="minorHAnsi" w:hAnsiTheme="minorHAnsi"/>
                <w:b w:val="0"/>
                <w:color w:val="808080"/>
              </w:rPr>
            </w:pPr>
            <w:r w:rsidRPr="00B22617">
              <w:rPr>
                <w:rFonts w:asciiTheme="minorHAnsi" w:hAnsiTheme="minorHAnsi"/>
                <w:b w:val="0"/>
                <w:color w:val="808080"/>
              </w:rPr>
              <w:t>Contact point for further details:</w:t>
            </w:r>
          </w:p>
        </w:tc>
        <w:tc>
          <w:tcPr>
            <w:tcW w:w="5387" w:type="dxa"/>
          </w:tcPr>
          <w:p w:rsidR="00647304" w:rsidRPr="00B22617" w:rsidRDefault="00647304" w:rsidP="00647304">
            <w:pPr>
              <w:pStyle w:val="Heading9"/>
              <w:rPr>
                <w:rFonts w:asciiTheme="minorHAnsi" w:hAnsiTheme="minorHAnsi"/>
                <w:b w:val="0"/>
              </w:rPr>
            </w:pPr>
          </w:p>
        </w:tc>
        <w:tc>
          <w:tcPr>
            <w:tcW w:w="5670" w:type="dxa"/>
          </w:tcPr>
          <w:p w:rsidR="00647304" w:rsidRPr="00B22617" w:rsidRDefault="00647304" w:rsidP="00647304">
            <w:pPr>
              <w:pStyle w:val="Heading9"/>
              <w:rPr>
                <w:rFonts w:asciiTheme="minorHAnsi" w:hAnsiTheme="minorHAnsi"/>
                <w:b w:val="0"/>
              </w:rPr>
            </w:pPr>
          </w:p>
        </w:tc>
      </w:tr>
      <w:tr w:rsidR="00647304" w:rsidRPr="00B22617">
        <w:tc>
          <w:tcPr>
            <w:tcW w:w="3524" w:type="dxa"/>
          </w:tcPr>
          <w:p w:rsidR="00647304" w:rsidRPr="00B22617" w:rsidRDefault="00647304" w:rsidP="00647304">
            <w:pPr>
              <w:rPr>
                <w:rFonts w:asciiTheme="minorHAnsi" w:hAnsiTheme="minorHAnsi"/>
                <w:b/>
                <w:i/>
                <w:sz w:val="20"/>
              </w:rPr>
            </w:pPr>
            <w:bookmarkStart w:id="43" w:name="Row16"/>
            <w:r w:rsidRPr="00B22617">
              <w:rPr>
                <w:rFonts w:asciiTheme="minorHAnsi" w:hAnsiTheme="minorHAnsi"/>
                <w:b/>
                <w:i/>
                <w:sz w:val="20"/>
              </w:rPr>
              <w:t>Transparency</w:t>
            </w:r>
            <w:bookmarkEnd w:id="43"/>
          </w:p>
          <w:p w:rsidR="00647304" w:rsidRPr="00B22617" w:rsidRDefault="00647304" w:rsidP="00647304">
            <w:pPr>
              <w:rPr>
                <w:rFonts w:asciiTheme="minorHAnsi" w:hAnsiTheme="minorHAnsi"/>
                <w:b/>
                <w:i/>
                <w:sz w:val="20"/>
              </w:rPr>
            </w:pPr>
          </w:p>
        </w:tc>
        <w:tc>
          <w:tcPr>
            <w:tcW w:w="5387" w:type="dxa"/>
          </w:tcPr>
          <w:p w:rsidR="00647304" w:rsidRPr="00B22617" w:rsidRDefault="00647304" w:rsidP="00647304">
            <w:pPr>
              <w:rPr>
                <w:rFonts w:asciiTheme="minorHAnsi" w:hAnsiTheme="minorHAnsi"/>
                <w:color w:val="808080"/>
                <w:sz w:val="20"/>
              </w:rPr>
            </w:pPr>
            <w:bookmarkStart w:id="44" w:name="Cell31"/>
            <w:bookmarkEnd w:id="44"/>
            <w:r w:rsidRPr="00B22617">
              <w:rPr>
                <w:rFonts w:asciiTheme="minorHAnsi" w:hAnsiTheme="minorHAnsi" w:cs="Arial"/>
                <w:i/>
                <w:color w:val="808080"/>
                <w:sz w:val="20"/>
              </w:rPr>
              <w:t>No changes since 2011 update.</w:t>
            </w:r>
          </w:p>
        </w:tc>
        <w:tc>
          <w:tcPr>
            <w:tcW w:w="5670" w:type="dxa"/>
          </w:tcPr>
          <w:p w:rsidR="00647304" w:rsidRPr="00B22617" w:rsidRDefault="00647304" w:rsidP="00647304">
            <w:pPr>
              <w:rPr>
                <w:rFonts w:asciiTheme="minorHAnsi" w:hAnsiTheme="minorHAnsi"/>
                <w:color w:val="808080"/>
                <w:sz w:val="20"/>
              </w:rPr>
            </w:pPr>
            <w:bookmarkStart w:id="45" w:name="Cell32"/>
            <w:bookmarkEnd w:id="45"/>
            <w:r w:rsidRPr="00B22617">
              <w:rPr>
                <w:rFonts w:asciiTheme="minorHAnsi" w:hAnsiTheme="minorHAnsi" w:cs="Arial"/>
                <w:i/>
                <w:color w:val="808080"/>
                <w:sz w:val="20"/>
              </w:rPr>
              <w:t>Provide brief points only</w:t>
            </w:r>
          </w:p>
        </w:tc>
      </w:tr>
      <w:tr w:rsidR="00647304" w:rsidRPr="00B22617">
        <w:tc>
          <w:tcPr>
            <w:tcW w:w="3524" w:type="dxa"/>
          </w:tcPr>
          <w:p w:rsidR="00647304" w:rsidRPr="00B22617" w:rsidRDefault="00647304" w:rsidP="00647304">
            <w:pPr>
              <w:pStyle w:val="Heading9"/>
              <w:rPr>
                <w:rFonts w:asciiTheme="minorHAnsi" w:hAnsiTheme="minorHAnsi"/>
                <w:b w:val="0"/>
                <w:color w:val="808080"/>
              </w:rPr>
            </w:pPr>
            <w:r w:rsidRPr="00B22617">
              <w:rPr>
                <w:rFonts w:asciiTheme="minorHAnsi" w:hAnsiTheme="minorHAnsi"/>
                <w:b w:val="0"/>
                <w:color w:val="808080"/>
              </w:rPr>
              <w:t xml:space="preserve">Website for further information:  </w:t>
            </w:r>
          </w:p>
        </w:tc>
        <w:tc>
          <w:tcPr>
            <w:tcW w:w="5387" w:type="dxa"/>
          </w:tcPr>
          <w:p w:rsidR="00647304" w:rsidRPr="00B22617" w:rsidRDefault="00647304" w:rsidP="00647304">
            <w:pPr>
              <w:pStyle w:val="Heading9"/>
              <w:rPr>
                <w:rFonts w:asciiTheme="minorHAnsi" w:hAnsiTheme="minorHAnsi"/>
                <w:b w:val="0"/>
              </w:rPr>
            </w:pPr>
          </w:p>
        </w:tc>
        <w:tc>
          <w:tcPr>
            <w:tcW w:w="5670" w:type="dxa"/>
          </w:tcPr>
          <w:p w:rsidR="00647304" w:rsidRPr="00B22617" w:rsidRDefault="00647304" w:rsidP="00647304">
            <w:pPr>
              <w:pStyle w:val="Heading9"/>
              <w:rPr>
                <w:rFonts w:asciiTheme="minorHAnsi" w:hAnsiTheme="minorHAnsi"/>
                <w:b w:val="0"/>
              </w:rPr>
            </w:pPr>
          </w:p>
        </w:tc>
      </w:tr>
      <w:tr w:rsidR="00647304" w:rsidRPr="00B22617">
        <w:tc>
          <w:tcPr>
            <w:tcW w:w="3524" w:type="dxa"/>
          </w:tcPr>
          <w:p w:rsidR="00647304" w:rsidRPr="00B22617" w:rsidRDefault="00647304" w:rsidP="00647304">
            <w:pPr>
              <w:pStyle w:val="Heading9"/>
              <w:rPr>
                <w:rFonts w:asciiTheme="minorHAnsi" w:hAnsiTheme="minorHAnsi"/>
                <w:b w:val="0"/>
                <w:color w:val="808080"/>
              </w:rPr>
            </w:pPr>
            <w:r w:rsidRPr="00B22617">
              <w:rPr>
                <w:rFonts w:asciiTheme="minorHAnsi" w:hAnsiTheme="minorHAnsi"/>
                <w:b w:val="0"/>
                <w:color w:val="808080"/>
              </w:rPr>
              <w:t>Contact point for further details:</w:t>
            </w:r>
          </w:p>
        </w:tc>
        <w:tc>
          <w:tcPr>
            <w:tcW w:w="5387" w:type="dxa"/>
          </w:tcPr>
          <w:p w:rsidR="00647304" w:rsidRPr="00B22617" w:rsidRDefault="00647304" w:rsidP="00647304">
            <w:pPr>
              <w:pStyle w:val="Heading9"/>
              <w:rPr>
                <w:rFonts w:asciiTheme="minorHAnsi" w:hAnsiTheme="minorHAnsi"/>
                <w:b w:val="0"/>
              </w:rPr>
            </w:pPr>
          </w:p>
        </w:tc>
        <w:tc>
          <w:tcPr>
            <w:tcW w:w="5670" w:type="dxa"/>
          </w:tcPr>
          <w:p w:rsidR="00647304" w:rsidRPr="00B22617" w:rsidRDefault="00647304" w:rsidP="00647304">
            <w:pPr>
              <w:pStyle w:val="Heading9"/>
              <w:rPr>
                <w:rFonts w:asciiTheme="minorHAnsi" w:hAnsiTheme="minorHAnsi"/>
                <w:b w:val="0"/>
              </w:rPr>
            </w:pPr>
          </w:p>
        </w:tc>
      </w:tr>
    </w:tbl>
    <w:p w:rsidR="00CB6A57" w:rsidRPr="00B22617" w:rsidRDefault="00CB6A57">
      <w:pPr>
        <w:rPr>
          <w:rFonts w:asciiTheme="minorHAnsi" w:hAnsiTheme="minorHAnsi"/>
          <w:sz w:val="20"/>
        </w:rPr>
      </w:pPr>
    </w:p>
    <w:tbl>
      <w:tblPr>
        <w:tblW w:w="14581" w:type="dxa"/>
        <w:tblInd w:w="-1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64"/>
        <w:gridCol w:w="2760"/>
        <w:gridCol w:w="11040"/>
        <w:gridCol w:w="17"/>
      </w:tblGrid>
      <w:tr w:rsidR="00CB6A57" w:rsidRPr="00B22617" w:rsidTr="000A33A0">
        <w:trPr>
          <w:cantSplit/>
        </w:trPr>
        <w:tc>
          <w:tcPr>
            <w:tcW w:w="14581" w:type="dxa"/>
            <w:gridSpan w:val="4"/>
            <w:shd w:val="clear" w:color="auto" w:fill="DBE5F1" w:themeFill="accent1" w:themeFillTint="33"/>
          </w:tcPr>
          <w:p w:rsidR="00CB6A57" w:rsidRPr="00B22617" w:rsidRDefault="00CB6A57">
            <w:pPr>
              <w:rPr>
                <w:rFonts w:asciiTheme="minorHAnsi" w:hAnsiTheme="minorHAnsi"/>
                <w:b/>
                <w:sz w:val="20"/>
              </w:rPr>
            </w:pPr>
          </w:p>
          <w:p w:rsidR="00CB6A57" w:rsidRPr="00B22617" w:rsidRDefault="00CB6A57">
            <w:pPr>
              <w:rPr>
                <w:rFonts w:asciiTheme="minorHAnsi" w:hAnsiTheme="minorHAnsi"/>
                <w:b/>
                <w:sz w:val="20"/>
                <w:vertAlign w:val="superscript"/>
                <w:lang w:eastAsia="zh-TW"/>
              </w:rPr>
            </w:pPr>
            <w:r w:rsidRPr="00B22617">
              <w:rPr>
                <w:rFonts w:asciiTheme="minorHAnsi" w:hAnsiTheme="minorHAnsi"/>
                <w:b/>
                <w:sz w:val="20"/>
              </w:rPr>
              <w:t xml:space="preserve">RTAs/FTAs </w:t>
            </w:r>
            <w:r w:rsidR="008F223D" w:rsidRPr="00B22617">
              <w:rPr>
                <w:rFonts w:asciiTheme="minorHAnsi" w:hAnsiTheme="minorHAnsi"/>
                <w:b/>
                <w:sz w:val="20"/>
                <w:vertAlign w:val="superscript"/>
                <w:lang w:eastAsia="zh-TW"/>
              </w:rPr>
              <w:t xml:space="preserve"> </w:t>
            </w:r>
          </w:p>
          <w:p w:rsidR="00CB6A57" w:rsidRPr="00B22617" w:rsidRDefault="00CB6A57">
            <w:pPr>
              <w:rPr>
                <w:rFonts w:asciiTheme="minorHAnsi" w:hAnsiTheme="minorHAnsi"/>
                <w:sz w:val="20"/>
                <w:lang w:val="en-US"/>
              </w:rPr>
            </w:pPr>
          </w:p>
        </w:tc>
      </w:tr>
      <w:tr w:rsidR="00CB6A57" w:rsidRPr="00B22617">
        <w:trPr>
          <w:gridAfter w:val="1"/>
          <w:wAfter w:w="17" w:type="dxa"/>
          <w:cantSplit/>
        </w:trPr>
        <w:tc>
          <w:tcPr>
            <w:tcW w:w="3524" w:type="dxa"/>
            <w:gridSpan w:val="2"/>
          </w:tcPr>
          <w:p w:rsidR="00CB6A57" w:rsidRPr="00B22617" w:rsidRDefault="00CB6A57" w:rsidP="00BF37B1">
            <w:pPr>
              <w:spacing w:before="120" w:after="120"/>
              <w:rPr>
                <w:rFonts w:asciiTheme="minorHAnsi" w:hAnsiTheme="minorHAnsi"/>
                <w:b/>
                <w:i/>
                <w:sz w:val="20"/>
              </w:rPr>
            </w:pPr>
            <w:r w:rsidRPr="00B22617">
              <w:rPr>
                <w:rFonts w:asciiTheme="minorHAnsi" w:hAnsiTheme="minorHAnsi"/>
                <w:b/>
                <w:i/>
                <w:sz w:val="20"/>
              </w:rPr>
              <w:t xml:space="preserve">- </w:t>
            </w:r>
            <w:bookmarkStart w:id="46" w:name="Row17"/>
            <w:r w:rsidRPr="00B22617">
              <w:rPr>
                <w:rFonts w:asciiTheme="minorHAnsi" w:hAnsiTheme="minorHAnsi"/>
                <w:b/>
                <w:i/>
                <w:sz w:val="20"/>
              </w:rPr>
              <w:t>Description of current   agreements</w:t>
            </w:r>
            <w:bookmarkEnd w:id="46"/>
          </w:p>
        </w:tc>
        <w:tc>
          <w:tcPr>
            <w:tcW w:w="11040" w:type="dxa"/>
          </w:tcPr>
          <w:p w:rsidR="00CB6A57" w:rsidRPr="00B22617" w:rsidRDefault="00CB6A57" w:rsidP="00BF37B1">
            <w:pPr>
              <w:spacing w:before="120" w:after="120"/>
              <w:rPr>
                <w:rFonts w:asciiTheme="minorHAnsi" w:hAnsiTheme="minorHAnsi"/>
                <w:i/>
                <w:sz w:val="20"/>
              </w:rPr>
            </w:pPr>
            <w:bookmarkStart w:id="47" w:name="Cell33"/>
            <w:bookmarkEnd w:id="47"/>
            <w:r w:rsidRPr="00B22617">
              <w:rPr>
                <w:rFonts w:asciiTheme="minorHAnsi" w:hAnsiTheme="minorHAnsi"/>
                <w:i/>
                <w:sz w:val="20"/>
              </w:rPr>
              <w:t xml:space="preserve">Please use Part 1 of the RTA/FTA reporting template to provide a short description or hyperlinks to any new agreements and to report improvements to existing agreements.  </w:t>
            </w:r>
          </w:p>
          <w:p w:rsidR="00A72D63" w:rsidRPr="00B22617" w:rsidRDefault="00A72D63" w:rsidP="00C55D54">
            <w:pPr>
              <w:spacing w:before="120" w:after="120"/>
              <w:rPr>
                <w:rFonts w:asciiTheme="minorHAnsi" w:hAnsiTheme="minorHAnsi"/>
                <w:b/>
                <w:sz w:val="20"/>
              </w:rPr>
            </w:pPr>
            <w:r w:rsidRPr="00B22617">
              <w:rPr>
                <w:rFonts w:asciiTheme="minorHAnsi" w:hAnsiTheme="minorHAnsi"/>
                <w:b/>
                <w:sz w:val="20"/>
              </w:rPr>
              <w:t>United States – Korea Free Trade</w:t>
            </w:r>
            <w:r w:rsidR="00C55D54" w:rsidRPr="00B22617">
              <w:rPr>
                <w:rFonts w:asciiTheme="minorHAnsi" w:hAnsiTheme="minorHAnsi"/>
                <w:b/>
                <w:sz w:val="20"/>
              </w:rPr>
              <w:t xml:space="preserve"> Agreement</w:t>
            </w:r>
          </w:p>
          <w:p w:rsidR="00C55D54" w:rsidRPr="00B22617" w:rsidRDefault="00C55D54" w:rsidP="00C55D54">
            <w:pPr>
              <w:pStyle w:val="ListParagraph"/>
              <w:numPr>
                <w:ilvl w:val="0"/>
                <w:numId w:val="7"/>
              </w:numPr>
              <w:spacing w:before="120" w:after="120"/>
              <w:rPr>
                <w:rFonts w:asciiTheme="minorHAnsi" w:hAnsiTheme="minorHAnsi"/>
                <w:sz w:val="20"/>
                <w:szCs w:val="20"/>
              </w:rPr>
            </w:pPr>
            <w:r w:rsidRPr="00B22617">
              <w:rPr>
                <w:rFonts w:asciiTheme="minorHAnsi" w:hAnsiTheme="minorHAnsi"/>
                <w:sz w:val="20"/>
                <w:szCs w:val="20"/>
              </w:rPr>
              <w:t>Date of entry into force: 15 March 2012</w:t>
            </w:r>
          </w:p>
          <w:p w:rsidR="00C55D54" w:rsidRPr="00B22617" w:rsidRDefault="00C55D54" w:rsidP="00C55D54">
            <w:pPr>
              <w:pStyle w:val="ListParagraph"/>
              <w:numPr>
                <w:ilvl w:val="0"/>
                <w:numId w:val="7"/>
              </w:numPr>
              <w:spacing w:before="120" w:after="120"/>
              <w:rPr>
                <w:rFonts w:asciiTheme="minorHAnsi" w:hAnsiTheme="minorHAnsi"/>
                <w:sz w:val="20"/>
                <w:szCs w:val="20"/>
              </w:rPr>
            </w:pPr>
            <w:r w:rsidRPr="00B22617">
              <w:rPr>
                <w:rFonts w:asciiTheme="minorHAnsi" w:hAnsiTheme="minorHAnsi"/>
                <w:sz w:val="20"/>
                <w:szCs w:val="20"/>
              </w:rPr>
              <w:t>Notification to the WTO: 15 March 2012</w:t>
            </w:r>
          </w:p>
          <w:p w:rsidR="00C55D54" w:rsidRPr="00B22617" w:rsidRDefault="00C55D54" w:rsidP="00C55D54">
            <w:pPr>
              <w:pStyle w:val="ListParagraph"/>
              <w:numPr>
                <w:ilvl w:val="0"/>
                <w:numId w:val="7"/>
              </w:numPr>
              <w:spacing w:before="120" w:after="120"/>
              <w:rPr>
                <w:rFonts w:asciiTheme="minorHAnsi" w:hAnsiTheme="minorHAnsi"/>
                <w:sz w:val="20"/>
                <w:szCs w:val="20"/>
              </w:rPr>
            </w:pPr>
            <w:r w:rsidRPr="00B22617">
              <w:rPr>
                <w:rFonts w:asciiTheme="minorHAnsi" w:hAnsiTheme="minorHAnsi"/>
                <w:sz w:val="20"/>
                <w:szCs w:val="20"/>
              </w:rPr>
              <w:t xml:space="preserve">For more information: </w:t>
            </w:r>
            <w:hyperlink r:id="rId54" w:history="1">
              <w:r w:rsidRPr="00B22617">
                <w:rPr>
                  <w:rStyle w:val="Hyperlink"/>
                  <w:rFonts w:asciiTheme="minorHAnsi" w:hAnsiTheme="minorHAnsi"/>
                  <w:sz w:val="20"/>
                  <w:szCs w:val="20"/>
                </w:rPr>
                <w:t>http://www.ustr.gov/trade-agreements/free-trade-agreements/korus-fta</w:t>
              </w:r>
            </w:hyperlink>
          </w:p>
          <w:p w:rsidR="00C55D54" w:rsidRPr="00B22617" w:rsidRDefault="00C55D54" w:rsidP="00C55D54">
            <w:pPr>
              <w:spacing w:before="120" w:after="120"/>
              <w:rPr>
                <w:rFonts w:asciiTheme="minorHAnsi" w:hAnsiTheme="minorHAnsi"/>
                <w:b/>
                <w:sz w:val="20"/>
              </w:rPr>
            </w:pPr>
            <w:r w:rsidRPr="00B22617">
              <w:rPr>
                <w:rFonts w:asciiTheme="minorHAnsi" w:hAnsiTheme="minorHAnsi"/>
                <w:b/>
                <w:sz w:val="20"/>
              </w:rPr>
              <w:t>United States – Colombia Free Trade Agreement</w:t>
            </w:r>
          </w:p>
          <w:p w:rsidR="00C55D54" w:rsidRPr="00B22617" w:rsidRDefault="00C55D54" w:rsidP="00C55D54">
            <w:pPr>
              <w:pStyle w:val="ListParagraph"/>
              <w:numPr>
                <w:ilvl w:val="0"/>
                <w:numId w:val="7"/>
              </w:numPr>
              <w:spacing w:before="120" w:after="120"/>
              <w:rPr>
                <w:rFonts w:asciiTheme="minorHAnsi" w:hAnsiTheme="minorHAnsi"/>
                <w:sz w:val="20"/>
                <w:szCs w:val="20"/>
              </w:rPr>
            </w:pPr>
            <w:r w:rsidRPr="00B22617">
              <w:rPr>
                <w:rFonts w:asciiTheme="minorHAnsi" w:hAnsiTheme="minorHAnsi"/>
                <w:sz w:val="20"/>
                <w:szCs w:val="20"/>
              </w:rPr>
              <w:t>Date of entry into force:</w:t>
            </w:r>
            <w:r w:rsidRPr="00B22617">
              <w:rPr>
                <w:rFonts w:asciiTheme="minorHAnsi" w:hAnsiTheme="minorHAnsi"/>
                <w:sz w:val="20"/>
                <w:szCs w:val="20"/>
              </w:rPr>
              <w:t xml:space="preserve"> 15 May 2012</w:t>
            </w:r>
          </w:p>
          <w:p w:rsidR="00C55D54" w:rsidRPr="00B22617" w:rsidRDefault="00C55D54" w:rsidP="00C55D54">
            <w:pPr>
              <w:pStyle w:val="ListParagraph"/>
              <w:numPr>
                <w:ilvl w:val="0"/>
                <w:numId w:val="7"/>
              </w:numPr>
              <w:spacing w:before="120" w:after="120"/>
              <w:rPr>
                <w:rFonts w:asciiTheme="minorHAnsi" w:hAnsiTheme="minorHAnsi"/>
                <w:sz w:val="20"/>
                <w:szCs w:val="20"/>
              </w:rPr>
            </w:pPr>
            <w:r w:rsidRPr="00B22617">
              <w:rPr>
                <w:rFonts w:asciiTheme="minorHAnsi" w:hAnsiTheme="minorHAnsi"/>
                <w:sz w:val="20"/>
                <w:szCs w:val="20"/>
              </w:rPr>
              <w:t>Notification to the WTO:</w:t>
            </w:r>
            <w:r w:rsidRPr="00B22617">
              <w:rPr>
                <w:rFonts w:asciiTheme="minorHAnsi" w:hAnsiTheme="minorHAnsi"/>
                <w:sz w:val="20"/>
                <w:szCs w:val="20"/>
              </w:rPr>
              <w:t xml:space="preserve"> 8 May 2012</w:t>
            </w:r>
          </w:p>
          <w:p w:rsidR="00C55D54" w:rsidRPr="00B22617" w:rsidRDefault="00C55D54" w:rsidP="00C55D54">
            <w:pPr>
              <w:pStyle w:val="ListParagraph"/>
              <w:numPr>
                <w:ilvl w:val="0"/>
                <w:numId w:val="7"/>
              </w:numPr>
              <w:spacing w:before="120" w:after="120"/>
              <w:rPr>
                <w:rFonts w:asciiTheme="minorHAnsi" w:hAnsiTheme="minorHAnsi"/>
                <w:sz w:val="20"/>
                <w:szCs w:val="20"/>
              </w:rPr>
            </w:pPr>
            <w:r w:rsidRPr="00B22617">
              <w:rPr>
                <w:rFonts w:asciiTheme="minorHAnsi" w:hAnsiTheme="minorHAnsi"/>
                <w:sz w:val="20"/>
                <w:szCs w:val="20"/>
              </w:rPr>
              <w:t>For more information:</w:t>
            </w:r>
            <w:r w:rsidRPr="00B22617">
              <w:rPr>
                <w:rFonts w:asciiTheme="minorHAnsi" w:hAnsiTheme="minorHAnsi"/>
                <w:sz w:val="20"/>
                <w:szCs w:val="20"/>
              </w:rPr>
              <w:t xml:space="preserve"> </w:t>
            </w:r>
            <w:hyperlink r:id="rId55" w:history="1">
              <w:r w:rsidRPr="00B22617">
                <w:rPr>
                  <w:rStyle w:val="Hyperlink"/>
                  <w:rFonts w:asciiTheme="minorHAnsi" w:hAnsiTheme="minorHAnsi"/>
                  <w:sz w:val="20"/>
                  <w:szCs w:val="20"/>
                </w:rPr>
                <w:t>http://www.ustr.gov/uscolombiatpa</w:t>
              </w:r>
            </w:hyperlink>
            <w:r w:rsidRPr="00B22617">
              <w:rPr>
                <w:rFonts w:asciiTheme="minorHAnsi" w:hAnsiTheme="minorHAnsi"/>
                <w:sz w:val="20"/>
                <w:szCs w:val="20"/>
              </w:rPr>
              <w:t xml:space="preserve"> </w:t>
            </w:r>
          </w:p>
          <w:p w:rsidR="00C55D54" w:rsidRPr="00B22617" w:rsidRDefault="00C55D54" w:rsidP="00C55D54">
            <w:pPr>
              <w:spacing w:before="120" w:after="120"/>
              <w:rPr>
                <w:rFonts w:asciiTheme="minorHAnsi" w:hAnsiTheme="minorHAnsi"/>
                <w:b/>
                <w:sz w:val="20"/>
              </w:rPr>
            </w:pPr>
            <w:r w:rsidRPr="00B22617">
              <w:rPr>
                <w:rFonts w:asciiTheme="minorHAnsi" w:hAnsiTheme="minorHAnsi"/>
                <w:b/>
                <w:sz w:val="20"/>
              </w:rPr>
              <w:t>United States – Panama Free Trade Agreement</w:t>
            </w:r>
          </w:p>
          <w:p w:rsidR="00C55D54" w:rsidRPr="00B22617" w:rsidRDefault="00C55D54" w:rsidP="00C55D54">
            <w:pPr>
              <w:pStyle w:val="ListParagraph"/>
              <w:numPr>
                <w:ilvl w:val="0"/>
                <w:numId w:val="7"/>
              </w:numPr>
              <w:spacing w:before="120" w:after="120"/>
              <w:rPr>
                <w:rFonts w:asciiTheme="minorHAnsi" w:hAnsiTheme="minorHAnsi"/>
                <w:sz w:val="20"/>
                <w:szCs w:val="20"/>
              </w:rPr>
            </w:pPr>
            <w:r w:rsidRPr="00B22617">
              <w:rPr>
                <w:rFonts w:asciiTheme="minorHAnsi" w:hAnsiTheme="minorHAnsi"/>
                <w:sz w:val="20"/>
                <w:szCs w:val="20"/>
              </w:rPr>
              <w:t xml:space="preserve">Date of entry into force: </w:t>
            </w:r>
            <w:r w:rsidRPr="00B22617">
              <w:rPr>
                <w:rFonts w:asciiTheme="minorHAnsi" w:hAnsiTheme="minorHAnsi"/>
                <w:sz w:val="20"/>
                <w:szCs w:val="20"/>
              </w:rPr>
              <w:t>31 October</w:t>
            </w:r>
            <w:r w:rsidRPr="00B22617">
              <w:rPr>
                <w:rFonts w:asciiTheme="minorHAnsi" w:hAnsiTheme="minorHAnsi"/>
                <w:sz w:val="20"/>
                <w:szCs w:val="20"/>
              </w:rPr>
              <w:t xml:space="preserve"> 2012</w:t>
            </w:r>
          </w:p>
          <w:p w:rsidR="00C55D54" w:rsidRPr="00B22617" w:rsidRDefault="00C55D54" w:rsidP="00C55D54">
            <w:pPr>
              <w:pStyle w:val="ListParagraph"/>
              <w:numPr>
                <w:ilvl w:val="0"/>
                <w:numId w:val="7"/>
              </w:numPr>
              <w:spacing w:before="120" w:after="120"/>
              <w:rPr>
                <w:rFonts w:asciiTheme="minorHAnsi" w:hAnsiTheme="minorHAnsi"/>
                <w:sz w:val="20"/>
                <w:szCs w:val="20"/>
              </w:rPr>
            </w:pPr>
            <w:r w:rsidRPr="00B22617">
              <w:rPr>
                <w:rFonts w:asciiTheme="minorHAnsi" w:hAnsiTheme="minorHAnsi"/>
                <w:sz w:val="20"/>
                <w:szCs w:val="20"/>
              </w:rPr>
              <w:t xml:space="preserve">Notification to the WTO: </w:t>
            </w:r>
            <w:r w:rsidRPr="00B22617">
              <w:rPr>
                <w:rFonts w:asciiTheme="minorHAnsi" w:hAnsiTheme="minorHAnsi"/>
                <w:sz w:val="20"/>
                <w:szCs w:val="20"/>
              </w:rPr>
              <w:t>29 October</w:t>
            </w:r>
            <w:r w:rsidRPr="00B22617">
              <w:rPr>
                <w:rFonts w:asciiTheme="minorHAnsi" w:hAnsiTheme="minorHAnsi"/>
                <w:sz w:val="20"/>
                <w:szCs w:val="20"/>
              </w:rPr>
              <w:t xml:space="preserve"> 2012</w:t>
            </w:r>
          </w:p>
          <w:p w:rsidR="00C55D54" w:rsidRPr="00B22617" w:rsidRDefault="00C55D54" w:rsidP="00C55D54">
            <w:pPr>
              <w:pStyle w:val="ListParagraph"/>
              <w:numPr>
                <w:ilvl w:val="0"/>
                <w:numId w:val="7"/>
              </w:numPr>
              <w:spacing w:before="120" w:after="120"/>
              <w:rPr>
                <w:rFonts w:asciiTheme="minorHAnsi" w:hAnsiTheme="minorHAnsi"/>
                <w:sz w:val="20"/>
                <w:szCs w:val="20"/>
              </w:rPr>
            </w:pPr>
            <w:r w:rsidRPr="00B22617">
              <w:rPr>
                <w:rFonts w:asciiTheme="minorHAnsi" w:hAnsiTheme="minorHAnsi"/>
                <w:sz w:val="20"/>
                <w:szCs w:val="20"/>
              </w:rPr>
              <w:t xml:space="preserve">For more information: </w:t>
            </w:r>
            <w:hyperlink r:id="rId56" w:history="1">
              <w:r w:rsidRPr="00B22617">
                <w:rPr>
                  <w:rStyle w:val="Hyperlink"/>
                  <w:rFonts w:asciiTheme="minorHAnsi" w:hAnsiTheme="minorHAnsi"/>
                  <w:sz w:val="20"/>
                  <w:szCs w:val="20"/>
                </w:rPr>
                <w:t>http://www.ustr.gov/trade-agreements/free-trade-agreements/panama-tpa</w:t>
              </w:r>
            </w:hyperlink>
            <w:r w:rsidRPr="00B22617">
              <w:rPr>
                <w:rFonts w:asciiTheme="minorHAnsi" w:hAnsiTheme="minorHAnsi"/>
                <w:sz w:val="20"/>
                <w:szCs w:val="20"/>
              </w:rPr>
              <w:t xml:space="preserve"> </w:t>
            </w:r>
          </w:p>
          <w:p w:rsidR="00C55D54" w:rsidRPr="00B22617" w:rsidRDefault="00C55D54" w:rsidP="00C55D54">
            <w:pPr>
              <w:spacing w:before="120" w:after="120"/>
              <w:rPr>
                <w:rFonts w:asciiTheme="minorHAnsi" w:hAnsiTheme="minorHAnsi"/>
                <w:sz w:val="20"/>
              </w:rPr>
            </w:pPr>
          </w:p>
        </w:tc>
      </w:tr>
      <w:tr w:rsidR="00CB6A57" w:rsidRPr="00B22617">
        <w:trPr>
          <w:gridAfter w:val="1"/>
          <w:wAfter w:w="17" w:type="dxa"/>
          <w:cantSplit/>
        </w:trPr>
        <w:tc>
          <w:tcPr>
            <w:tcW w:w="3524" w:type="dxa"/>
            <w:gridSpan w:val="2"/>
          </w:tcPr>
          <w:p w:rsidR="00CB6A57" w:rsidRPr="00B22617" w:rsidRDefault="00CB6A57" w:rsidP="00BF37B1">
            <w:pPr>
              <w:spacing w:before="120" w:after="120"/>
              <w:rPr>
                <w:rFonts w:asciiTheme="minorHAnsi" w:hAnsiTheme="minorHAnsi"/>
                <w:b/>
                <w:i/>
                <w:sz w:val="20"/>
              </w:rPr>
            </w:pPr>
            <w:r w:rsidRPr="00B22617">
              <w:rPr>
                <w:rFonts w:asciiTheme="minorHAnsi" w:hAnsiTheme="minorHAnsi"/>
                <w:b/>
                <w:i/>
                <w:sz w:val="20"/>
              </w:rPr>
              <w:t>- Agreements under negotiation</w:t>
            </w:r>
          </w:p>
          <w:p w:rsidR="00CB6A57" w:rsidRPr="00B22617" w:rsidRDefault="00CB6A57" w:rsidP="00BF37B1">
            <w:pPr>
              <w:spacing w:before="120" w:after="120"/>
              <w:rPr>
                <w:rFonts w:asciiTheme="minorHAnsi" w:hAnsiTheme="minorHAnsi"/>
                <w:b/>
                <w:i/>
                <w:sz w:val="20"/>
              </w:rPr>
            </w:pPr>
          </w:p>
        </w:tc>
        <w:tc>
          <w:tcPr>
            <w:tcW w:w="11040" w:type="dxa"/>
          </w:tcPr>
          <w:p w:rsidR="00CB6A57" w:rsidRPr="00B22617" w:rsidRDefault="00CB6A57" w:rsidP="00BF37B1">
            <w:pPr>
              <w:spacing w:before="120" w:after="120"/>
              <w:rPr>
                <w:rFonts w:asciiTheme="minorHAnsi" w:hAnsiTheme="minorHAnsi"/>
                <w:i/>
                <w:sz w:val="20"/>
              </w:rPr>
            </w:pPr>
            <w:r w:rsidRPr="00B22617">
              <w:rPr>
                <w:rFonts w:asciiTheme="minorHAnsi" w:hAnsiTheme="minorHAnsi"/>
                <w:i/>
                <w:sz w:val="20"/>
              </w:rPr>
              <w:t xml:space="preserve">Please provide information on agreements that are currently under negotiation eg issues being covered in the negotiation and the status of the negotiation. </w:t>
            </w:r>
          </w:p>
          <w:p w:rsidR="00C55D54" w:rsidRPr="00B22617" w:rsidRDefault="00C55D54" w:rsidP="00BF37B1">
            <w:pPr>
              <w:spacing w:before="120" w:after="120"/>
              <w:rPr>
                <w:rFonts w:asciiTheme="minorHAnsi" w:hAnsiTheme="minorHAnsi"/>
                <w:b/>
                <w:sz w:val="20"/>
              </w:rPr>
            </w:pPr>
            <w:r w:rsidRPr="00B22617">
              <w:rPr>
                <w:rFonts w:asciiTheme="minorHAnsi" w:hAnsiTheme="minorHAnsi"/>
                <w:b/>
                <w:sz w:val="20"/>
              </w:rPr>
              <w:t xml:space="preserve">Trans-Pacific Partnership </w:t>
            </w:r>
            <w:r w:rsidR="00894C71" w:rsidRPr="00B22617">
              <w:rPr>
                <w:rFonts w:asciiTheme="minorHAnsi" w:hAnsiTheme="minorHAnsi"/>
                <w:b/>
                <w:sz w:val="20"/>
              </w:rPr>
              <w:t xml:space="preserve">(TPP) </w:t>
            </w:r>
            <w:r w:rsidR="00894C71" w:rsidRPr="00B22617">
              <w:rPr>
                <w:rFonts w:asciiTheme="minorHAnsi" w:hAnsiTheme="minorHAnsi"/>
                <w:b/>
                <w:sz w:val="20"/>
              </w:rPr>
              <w:t>Negotiations</w:t>
            </w:r>
          </w:p>
          <w:p w:rsidR="00C55D54" w:rsidRPr="00B22617" w:rsidRDefault="00C55D54" w:rsidP="00BF37B1">
            <w:pPr>
              <w:spacing w:before="120" w:after="120"/>
              <w:rPr>
                <w:rFonts w:asciiTheme="minorHAnsi" w:hAnsiTheme="minorHAnsi"/>
                <w:sz w:val="20"/>
              </w:rPr>
            </w:pPr>
            <w:r w:rsidRPr="00B22617">
              <w:rPr>
                <w:rFonts w:asciiTheme="minorHAnsi" w:hAnsiTheme="minorHAnsi"/>
                <w:sz w:val="20"/>
              </w:rPr>
              <w:t>On November 12, 2011, the Leaders of the nine Trans-Pacific Partnership countries – Australia, Brunei Darussalam, Chile, Malaysia, New Zealand, Peru, Singapore, Vietnam, and the United States – announced the achievement of the broad outlines of an ambitious, 21st-century Trans-Pacific Partnership (TPP) agreement that will enhance trade and investment among the TPP partner countries, promote innovation, economic growth and development, and support the creation and retention of jobs.</w:t>
            </w:r>
          </w:p>
          <w:p w:rsidR="00894C71" w:rsidRPr="00B22617" w:rsidRDefault="00894C71" w:rsidP="00BF37B1">
            <w:pPr>
              <w:spacing w:before="120" w:after="120"/>
              <w:rPr>
                <w:rFonts w:asciiTheme="minorHAnsi" w:hAnsiTheme="minorHAnsi"/>
                <w:sz w:val="20"/>
              </w:rPr>
            </w:pPr>
            <w:r w:rsidRPr="00B22617">
              <w:rPr>
                <w:rFonts w:asciiTheme="minorHAnsi" w:hAnsiTheme="minorHAnsi"/>
                <w:sz w:val="20"/>
              </w:rPr>
              <w:t>President Obama announced in November 2009 the United States’ intention to participate in the Trans-Pacific Partnership (TPP) negotiations to conclude an ambitious, next-generation, Asia-Pacific trade agreement that reflects U.S. economic priorities and values. Through this agreement, the Obama Administration is seeking to boost U.S. economic growth and support the creation and retention of high-quality American jobs by increasing exports in a region that includes some of the world’s most robust economies and that represents more than 40 percent of global trade. The Obama Administration, working in close partnership with Congress and with a wide range of stakeholders, is seeking to conclude a strong agreement that addresses the issues that U.S. businesses and workers are facing in the 21st century.</w:t>
            </w:r>
          </w:p>
          <w:p w:rsidR="00894C71" w:rsidRPr="00B22617" w:rsidRDefault="00894C71" w:rsidP="00BF37B1">
            <w:pPr>
              <w:spacing w:before="120" w:after="120"/>
              <w:rPr>
                <w:rFonts w:asciiTheme="minorHAnsi" w:hAnsiTheme="minorHAnsi"/>
                <w:sz w:val="20"/>
              </w:rPr>
            </w:pPr>
            <w:r w:rsidRPr="00B22617">
              <w:rPr>
                <w:rFonts w:asciiTheme="minorHAnsi" w:hAnsiTheme="minorHAnsi"/>
                <w:sz w:val="20"/>
              </w:rPr>
              <w:t>The United States is currently negotiating the TPP with eleven other like-minded countries (Australia, Brunei Darussalam, Canada, Chile, Japan, Malaysia, Mexico, New Zealand, Peru, Singapore, and Vietnam) that share a commitment to concluding a high-standard, ambitious agreement and to expanding the initial group to include additional countries throughout the Asia-Pacific region. On April 24, 2013, the United States Trade Representative notified Congress of its intent to include Japan, the world’s third largest economy, in the TPP negotiations, pending the successful conclusion of the domestic procedures of each of the current members. Japan’s entry further distinguishes TPP as the most credible pathway to broader Asia-Pacific regional economic integration.</w:t>
            </w:r>
          </w:p>
          <w:p w:rsidR="00894C71" w:rsidRPr="00B22617" w:rsidRDefault="00894C71" w:rsidP="00BF37B1">
            <w:pPr>
              <w:spacing w:before="120" w:after="120"/>
              <w:rPr>
                <w:rFonts w:asciiTheme="minorHAnsi" w:hAnsiTheme="minorHAnsi"/>
                <w:sz w:val="20"/>
              </w:rPr>
            </w:pPr>
            <w:r w:rsidRPr="00B22617">
              <w:rPr>
                <w:rFonts w:asciiTheme="minorHAnsi" w:hAnsiTheme="minorHAnsi"/>
                <w:sz w:val="20"/>
              </w:rPr>
              <w:t xml:space="preserve">For more information: </w:t>
            </w:r>
            <w:hyperlink r:id="rId57" w:history="1">
              <w:r w:rsidRPr="00B22617">
                <w:rPr>
                  <w:rStyle w:val="Hyperlink"/>
                  <w:rFonts w:asciiTheme="minorHAnsi" w:hAnsiTheme="minorHAnsi"/>
                  <w:sz w:val="20"/>
                </w:rPr>
                <w:t>http://www.ustr.gov/tpp</w:t>
              </w:r>
            </w:hyperlink>
          </w:p>
          <w:p w:rsidR="00894C71" w:rsidRPr="00B22617" w:rsidRDefault="00894C71" w:rsidP="00BF37B1">
            <w:pPr>
              <w:spacing w:before="120" w:after="120"/>
              <w:rPr>
                <w:rFonts w:asciiTheme="minorHAnsi" w:hAnsiTheme="minorHAnsi"/>
                <w:b/>
                <w:sz w:val="20"/>
              </w:rPr>
            </w:pPr>
            <w:r w:rsidRPr="00B22617">
              <w:rPr>
                <w:rFonts w:asciiTheme="minorHAnsi" w:hAnsiTheme="minorHAnsi"/>
                <w:b/>
                <w:sz w:val="20"/>
              </w:rPr>
              <w:t>Transatlantic Trade and Investment Partnership (T-TIP) Negotiations</w:t>
            </w:r>
          </w:p>
          <w:p w:rsidR="00894C71" w:rsidRPr="00B22617" w:rsidRDefault="00894C71" w:rsidP="00BF37B1">
            <w:pPr>
              <w:spacing w:before="120" w:after="120"/>
              <w:rPr>
                <w:rFonts w:asciiTheme="minorHAnsi" w:hAnsiTheme="minorHAnsi"/>
                <w:sz w:val="20"/>
              </w:rPr>
            </w:pPr>
            <w:r w:rsidRPr="00B22617">
              <w:rPr>
                <w:rFonts w:asciiTheme="minorHAnsi" w:hAnsiTheme="minorHAnsi"/>
                <w:sz w:val="20"/>
              </w:rPr>
              <w:t xml:space="preserve">On June 17, 2013, President Obama, together with European Council President Van Rompuy, European Commission President </w:t>
            </w:r>
            <w:proofErr w:type="spellStart"/>
            <w:r w:rsidRPr="00B22617">
              <w:rPr>
                <w:rFonts w:asciiTheme="minorHAnsi" w:hAnsiTheme="minorHAnsi"/>
                <w:sz w:val="20"/>
              </w:rPr>
              <w:t>Barroso</w:t>
            </w:r>
            <w:proofErr w:type="spellEnd"/>
            <w:r w:rsidRPr="00B22617">
              <w:rPr>
                <w:rFonts w:asciiTheme="minorHAnsi" w:hAnsiTheme="minorHAnsi"/>
                <w:sz w:val="20"/>
              </w:rPr>
              <w:t xml:space="preserve">, and Prime Minister Cameron, announced that the United States and the European Union (EU) will launch negotiations on a Transatlantic Trade and Investment Partnership (T-TIP) agreement. T-TIP will be an ambitious, comprehensive, and high-standard trade and investment agreement that offers significant benefits in terms of promoting U.S. international competitiveness, jobs, and growth. This ambitious trade and investment agreement will aim to boost economic growth in the United States and the EU and add to the more than 13 million American and EU jobs already supported by transatlantic trade and investment.  </w:t>
            </w:r>
          </w:p>
          <w:p w:rsidR="00894C71" w:rsidRPr="00B22617" w:rsidRDefault="00894C71" w:rsidP="00BF37B1">
            <w:pPr>
              <w:spacing w:before="120" w:after="120"/>
              <w:rPr>
                <w:rFonts w:asciiTheme="minorHAnsi" w:hAnsiTheme="minorHAnsi"/>
                <w:sz w:val="20"/>
              </w:rPr>
            </w:pPr>
            <w:r w:rsidRPr="00B22617">
              <w:rPr>
                <w:rFonts w:asciiTheme="minorHAnsi" w:hAnsiTheme="minorHAnsi"/>
                <w:sz w:val="20"/>
              </w:rPr>
              <w:t xml:space="preserve">For more information: </w:t>
            </w:r>
            <w:hyperlink r:id="rId58" w:history="1">
              <w:r w:rsidRPr="00B22617">
                <w:rPr>
                  <w:rStyle w:val="Hyperlink"/>
                  <w:rFonts w:asciiTheme="minorHAnsi" w:hAnsiTheme="minorHAnsi"/>
                  <w:sz w:val="20"/>
                </w:rPr>
                <w:t>http://www.ustr.gov/ttip</w:t>
              </w:r>
            </w:hyperlink>
            <w:r w:rsidRPr="00B22617">
              <w:rPr>
                <w:rFonts w:asciiTheme="minorHAnsi" w:hAnsiTheme="minorHAnsi"/>
                <w:sz w:val="20"/>
              </w:rPr>
              <w:t xml:space="preserve"> </w:t>
            </w:r>
          </w:p>
        </w:tc>
      </w:tr>
      <w:tr w:rsidR="00CB6A57" w:rsidRPr="00B22617">
        <w:trPr>
          <w:gridAfter w:val="1"/>
          <w:wAfter w:w="17" w:type="dxa"/>
          <w:cantSplit/>
        </w:trPr>
        <w:tc>
          <w:tcPr>
            <w:tcW w:w="764" w:type="dxa"/>
            <w:vMerge w:val="restart"/>
          </w:tcPr>
          <w:p w:rsidR="00CB6A57" w:rsidRPr="00B22617" w:rsidRDefault="00CB6A57">
            <w:pPr>
              <w:rPr>
                <w:rFonts w:asciiTheme="minorHAnsi" w:hAnsiTheme="minorHAnsi"/>
                <w:b/>
                <w:i/>
                <w:sz w:val="20"/>
              </w:rPr>
            </w:pPr>
          </w:p>
        </w:tc>
        <w:tc>
          <w:tcPr>
            <w:tcW w:w="2760" w:type="dxa"/>
          </w:tcPr>
          <w:p w:rsidR="00CB6A57" w:rsidRPr="00B22617" w:rsidRDefault="00CB6A57">
            <w:pPr>
              <w:rPr>
                <w:rFonts w:asciiTheme="minorHAnsi" w:hAnsiTheme="minorHAnsi"/>
                <w:b/>
                <w:i/>
                <w:sz w:val="20"/>
              </w:rPr>
            </w:pPr>
            <w:bookmarkStart w:id="48" w:name="Agreement01"/>
          </w:p>
          <w:p w:rsidR="00CB6A57" w:rsidRPr="00B22617" w:rsidRDefault="00CB6A57">
            <w:pPr>
              <w:rPr>
                <w:rFonts w:asciiTheme="minorHAnsi" w:hAnsiTheme="minorHAnsi"/>
                <w:b/>
                <w:i/>
                <w:sz w:val="20"/>
              </w:rPr>
            </w:pPr>
            <w:r w:rsidRPr="00B22617">
              <w:rPr>
                <w:rFonts w:asciiTheme="minorHAnsi" w:hAnsiTheme="minorHAnsi"/>
                <w:b/>
                <w:i/>
                <w:sz w:val="20"/>
              </w:rPr>
              <w:t>Agreement #1</w:t>
            </w:r>
            <w:bookmarkEnd w:id="48"/>
          </w:p>
          <w:p w:rsidR="00CB6A57" w:rsidRPr="00B22617" w:rsidRDefault="00CB6A57">
            <w:pPr>
              <w:rPr>
                <w:rFonts w:asciiTheme="minorHAnsi" w:hAnsiTheme="minorHAnsi"/>
                <w:b/>
                <w:i/>
                <w:sz w:val="20"/>
              </w:rPr>
            </w:pPr>
          </w:p>
        </w:tc>
        <w:tc>
          <w:tcPr>
            <w:tcW w:w="11040" w:type="dxa"/>
          </w:tcPr>
          <w:p w:rsidR="00CB6A57" w:rsidRPr="00B22617" w:rsidRDefault="00CB6A57">
            <w:pPr>
              <w:rPr>
                <w:rFonts w:asciiTheme="minorHAnsi" w:hAnsiTheme="minorHAnsi"/>
                <w:sz w:val="20"/>
              </w:rPr>
            </w:pPr>
            <w:bookmarkStart w:id="49" w:name="A01"/>
            <w:bookmarkEnd w:id="49"/>
          </w:p>
          <w:p w:rsidR="00CB6A57" w:rsidRPr="00B22617" w:rsidRDefault="00CB6A57">
            <w:pPr>
              <w:rPr>
                <w:rFonts w:asciiTheme="minorHAnsi" w:hAnsiTheme="minorHAnsi"/>
                <w:sz w:val="20"/>
              </w:rPr>
            </w:pPr>
          </w:p>
        </w:tc>
      </w:tr>
      <w:tr w:rsidR="00CB6A57" w:rsidRPr="00B22617">
        <w:trPr>
          <w:gridAfter w:val="1"/>
          <w:wAfter w:w="17" w:type="dxa"/>
          <w:cantSplit/>
        </w:trPr>
        <w:tc>
          <w:tcPr>
            <w:tcW w:w="764" w:type="dxa"/>
            <w:vMerge/>
          </w:tcPr>
          <w:p w:rsidR="00CB6A57" w:rsidRPr="00B22617" w:rsidRDefault="00CB6A57">
            <w:pPr>
              <w:rPr>
                <w:rFonts w:asciiTheme="minorHAnsi" w:hAnsiTheme="minorHAnsi"/>
                <w:b/>
                <w:i/>
                <w:sz w:val="20"/>
              </w:rPr>
            </w:pPr>
          </w:p>
        </w:tc>
        <w:tc>
          <w:tcPr>
            <w:tcW w:w="2760" w:type="dxa"/>
          </w:tcPr>
          <w:p w:rsidR="00CB6A57" w:rsidRPr="00B22617" w:rsidRDefault="00CB6A57">
            <w:pPr>
              <w:rPr>
                <w:rFonts w:asciiTheme="minorHAnsi" w:hAnsiTheme="minorHAnsi"/>
                <w:b/>
                <w:i/>
                <w:sz w:val="20"/>
              </w:rPr>
            </w:pPr>
            <w:bookmarkStart w:id="50" w:name="Agreement02"/>
          </w:p>
          <w:p w:rsidR="00CB6A57" w:rsidRPr="00B22617" w:rsidRDefault="00CB6A57">
            <w:pPr>
              <w:rPr>
                <w:rFonts w:asciiTheme="minorHAnsi" w:hAnsiTheme="minorHAnsi"/>
                <w:b/>
                <w:i/>
                <w:sz w:val="20"/>
              </w:rPr>
            </w:pPr>
            <w:r w:rsidRPr="00B22617">
              <w:rPr>
                <w:rFonts w:asciiTheme="minorHAnsi" w:hAnsiTheme="minorHAnsi"/>
                <w:b/>
                <w:i/>
                <w:sz w:val="20"/>
              </w:rPr>
              <w:t>Agreement #2</w:t>
            </w:r>
            <w:bookmarkEnd w:id="50"/>
          </w:p>
          <w:p w:rsidR="00CB6A57" w:rsidRPr="00B22617" w:rsidRDefault="00CB6A57">
            <w:pPr>
              <w:rPr>
                <w:rFonts w:asciiTheme="minorHAnsi" w:hAnsiTheme="minorHAnsi"/>
                <w:b/>
                <w:i/>
                <w:sz w:val="20"/>
              </w:rPr>
            </w:pPr>
          </w:p>
        </w:tc>
        <w:tc>
          <w:tcPr>
            <w:tcW w:w="11040" w:type="dxa"/>
          </w:tcPr>
          <w:p w:rsidR="00CB6A57" w:rsidRPr="00B22617" w:rsidRDefault="00CB6A57">
            <w:pPr>
              <w:rPr>
                <w:rFonts w:asciiTheme="minorHAnsi" w:hAnsiTheme="minorHAnsi"/>
                <w:sz w:val="20"/>
              </w:rPr>
            </w:pPr>
            <w:bookmarkStart w:id="51" w:name="A02"/>
            <w:bookmarkEnd w:id="51"/>
          </w:p>
          <w:p w:rsidR="00CB6A57" w:rsidRPr="00B22617" w:rsidRDefault="00CB6A57">
            <w:pPr>
              <w:rPr>
                <w:rFonts w:asciiTheme="minorHAnsi" w:hAnsiTheme="minorHAnsi"/>
                <w:sz w:val="20"/>
              </w:rPr>
            </w:pPr>
          </w:p>
        </w:tc>
      </w:tr>
      <w:tr w:rsidR="00CB6A57" w:rsidRPr="00B22617">
        <w:trPr>
          <w:gridAfter w:val="1"/>
          <w:wAfter w:w="17" w:type="dxa"/>
          <w:cantSplit/>
        </w:trPr>
        <w:tc>
          <w:tcPr>
            <w:tcW w:w="764" w:type="dxa"/>
            <w:vMerge/>
          </w:tcPr>
          <w:p w:rsidR="00CB6A57" w:rsidRPr="00B22617" w:rsidRDefault="00CB6A57">
            <w:pPr>
              <w:rPr>
                <w:rFonts w:asciiTheme="minorHAnsi" w:hAnsiTheme="minorHAnsi"/>
                <w:b/>
                <w:i/>
                <w:sz w:val="20"/>
              </w:rPr>
            </w:pPr>
          </w:p>
        </w:tc>
        <w:tc>
          <w:tcPr>
            <w:tcW w:w="2760" w:type="dxa"/>
          </w:tcPr>
          <w:p w:rsidR="00CB6A57" w:rsidRPr="00B22617" w:rsidRDefault="00CB6A57">
            <w:pPr>
              <w:rPr>
                <w:rFonts w:asciiTheme="minorHAnsi" w:hAnsiTheme="minorHAnsi"/>
                <w:b/>
                <w:i/>
                <w:sz w:val="20"/>
              </w:rPr>
            </w:pPr>
            <w:bookmarkStart w:id="52" w:name="Agreement03"/>
          </w:p>
          <w:p w:rsidR="00CB6A57" w:rsidRPr="00B22617" w:rsidRDefault="00CB6A57">
            <w:pPr>
              <w:rPr>
                <w:rFonts w:asciiTheme="minorHAnsi" w:hAnsiTheme="minorHAnsi"/>
                <w:b/>
                <w:i/>
                <w:sz w:val="20"/>
              </w:rPr>
            </w:pPr>
            <w:r w:rsidRPr="00B22617">
              <w:rPr>
                <w:rFonts w:asciiTheme="minorHAnsi" w:hAnsiTheme="minorHAnsi"/>
                <w:b/>
                <w:i/>
                <w:sz w:val="20"/>
              </w:rPr>
              <w:t>Agreement #3</w:t>
            </w:r>
            <w:bookmarkEnd w:id="52"/>
          </w:p>
          <w:p w:rsidR="00CB6A57" w:rsidRPr="00B22617" w:rsidRDefault="00CB6A57">
            <w:pPr>
              <w:rPr>
                <w:rFonts w:asciiTheme="minorHAnsi" w:hAnsiTheme="minorHAnsi"/>
                <w:b/>
                <w:i/>
                <w:sz w:val="20"/>
              </w:rPr>
            </w:pPr>
          </w:p>
        </w:tc>
        <w:tc>
          <w:tcPr>
            <w:tcW w:w="11040" w:type="dxa"/>
          </w:tcPr>
          <w:p w:rsidR="00CB6A57" w:rsidRPr="00B22617" w:rsidRDefault="00CB6A57">
            <w:pPr>
              <w:rPr>
                <w:rFonts w:asciiTheme="minorHAnsi" w:hAnsiTheme="minorHAnsi"/>
                <w:sz w:val="20"/>
              </w:rPr>
            </w:pPr>
            <w:bookmarkStart w:id="53" w:name="A03"/>
            <w:bookmarkEnd w:id="53"/>
          </w:p>
          <w:p w:rsidR="00CB6A57" w:rsidRPr="00B22617" w:rsidRDefault="00CB6A57">
            <w:pPr>
              <w:rPr>
                <w:rFonts w:asciiTheme="minorHAnsi" w:hAnsiTheme="minorHAnsi"/>
                <w:sz w:val="20"/>
              </w:rPr>
            </w:pPr>
          </w:p>
        </w:tc>
      </w:tr>
      <w:tr w:rsidR="00CB6A57" w:rsidRPr="00B22617">
        <w:trPr>
          <w:gridAfter w:val="1"/>
          <w:wAfter w:w="17" w:type="dxa"/>
          <w:cantSplit/>
        </w:trPr>
        <w:tc>
          <w:tcPr>
            <w:tcW w:w="764" w:type="dxa"/>
            <w:vMerge/>
          </w:tcPr>
          <w:p w:rsidR="00CB6A57" w:rsidRPr="00B22617" w:rsidRDefault="00CB6A57">
            <w:pPr>
              <w:rPr>
                <w:rFonts w:asciiTheme="minorHAnsi" w:hAnsiTheme="minorHAnsi"/>
                <w:b/>
                <w:i/>
                <w:sz w:val="20"/>
              </w:rPr>
            </w:pPr>
          </w:p>
        </w:tc>
        <w:tc>
          <w:tcPr>
            <w:tcW w:w="2760" w:type="dxa"/>
          </w:tcPr>
          <w:p w:rsidR="00CB6A57" w:rsidRPr="00B22617" w:rsidRDefault="00CB6A57">
            <w:pPr>
              <w:rPr>
                <w:rFonts w:asciiTheme="minorHAnsi" w:hAnsiTheme="minorHAnsi"/>
                <w:b/>
                <w:i/>
                <w:sz w:val="20"/>
              </w:rPr>
            </w:pPr>
            <w:bookmarkStart w:id="54" w:name="Agreement04"/>
          </w:p>
          <w:p w:rsidR="00CB6A57" w:rsidRPr="00B22617" w:rsidRDefault="00CB6A57">
            <w:pPr>
              <w:rPr>
                <w:rFonts w:asciiTheme="minorHAnsi" w:hAnsiTheme="minorHAnsi"/>
                <w:b/>
                <w:i/>
                <w:sz w:val="20"/>
              </w:rPr>
            </w:pPr>
            <w:r w:rsidRPr="00B22617">
              <w:rPr>
                <w:rFonts w:asciiTheme="minorHAnsi" w:hAnsiTheme="minorHAnsi"/>
                <w:b/>
                <w:i/>
                <w:sz w:val="20"/>
              </w:rPr>
              <w:t>Agreement #4</w:t>
            </w:r>
            <w:bookmarkEnd w:id="54"/>
          </w:p>
          <w:p w:rsidR="00CB6A57" w:rsidRPr="00B22617" w:rsidRDefault="00CB6A57">
            <w:pPr>
              <w:rPr>
                <w:rFonts w:asciiTheme="minorHAnsi" w:hAnsiTheme="minorHAnsi"/>
                <w:b/>
                <w:i/>
                <w:sz w:val="20"/>
              </w:rPr>
            </w:pPr>
          </w:p>
        </w:tc>
        <w:tc>
          <w:tcPr>
            <w:tcW w:w="11040" w:type="dxa"/>
          </w:tcPr>
          <w:p w:rsidR="00CB6A57" w:rsidRPr="00B22617" w:rsidRDefault="00CB6A57">
            <w:pPr>
              <w:rPr>
                <w:rFonts w:asciiTheme="minorHAnsi" w:hAnsiTheme="minorHAnsi"/>
                <w:sz w:val="20"/>
              </w:rPr>
            </w:pPr>
            <w:bookmarkStart w:id="55" w:name="A04"/>
            <w:bookmarkEnd w:id="55"/>
          </w:p>
          <w:p w:rsidR="00CB6A57" w:rsidRPr="00B22617" w:rsidRDefault="00CB6A57">
            <w:pPr>
              <w:rPr>
                <w:rFonts w:asciiTheme="minorHAnsi" w:hAnsiTheme="minorHAnsi"/>
                <w:sz w:val="20"/>
              </w:rPr>
            </w:pPr>
          </w:p>
        </w:tc>
      </w:tr>
      <w:tr w:rsidR="00CB6A57" w:rsidRPr="00B22617">
        <w:trPr>
          <w:gridAfter w:val="1"/>
          <w:wAfter w:w="17" w:type="dxa"/>
          <w:cantSplit/>
        </w:trPr>
        <w:tc>
          <w:tcPr>
            <w:tcW w:w="764" w:type="dxa"/>
            <w:vMerge/>
          </w:tcPr>
          <w:p w:rsidR="00CB6A57" w:rsidRPr="00B22617" w:rsidRDefault="00CB6A57">
            <w:pPr>
              <w:rPr>
                <w:rFonts w:asciiTheme="minorHAnsi" w:hAnsiTheme="minorHAnsi"/>
                <w:b/>
                <w:i/>
                <w:sz w:val="20"/>
              </w:rPr>
            </w:pPr>
          </w:p>
        </w:tc>
        <w:tc>
          <w:tcPr>
            <w:tcW w:w="2760" w:type="dxa"/>
          </w:tcPr>
          <w:p w:rsidR="00CB6A57" w:rsidRPr="00B22617" w:rsidRDefault="00CB6A57">
            <w:pPr>
              <w:rPr>
                <w:rFonts w:asciiTheme="minorHAnsi" w:hAnsiTheme="minorHAnsi"/>
                <w:b/>
                <w:i/>
                <w:sz w:val="20"/>
              </w:rPr>
            </w:pPr>
            <w:bookmarkStart w:id="56" w:name="Agreement05"/>
          </w:p>
          <w:p w:rsidR="00CB6A57" w:rsidRPr="00B22617" w:rsidRDefault="00CB6A57">
            <w:pPr>
              <w:rPr>
                <w:rFonts w:asciiTheme="minorHAnsi" w:hAnsiTheme="minorHAnsi"/>
                <w:b/>
                <w:i/>
                <w:sz w:val="20"/>
              </w:rPr>
            </w:pPr>
            <w:r w:rsidRPr="00B22617">
              <w:rPr>
                <w:rFonts w:asciiTheme="minorHAnsi" w:hAnsiTheme="minorHAnsi"/>
                <w:b/>
                <w:i/>
                <w:sz w:val="20"/>
              </w:rPr>
              <w:t>Agreement #5</w:t>
            </w:r>
            <w:bookmarkEnd w:id="56"/>
          </w:p>
          <w:p w:rsidR="00CB6A57" w:rsidRPr="00B22617" w:rsidRDefault="00CB6A57">
            <w:pPr>
              <w:rPr>
                <w:rFonts w:asciiTheme="minorHAnsi" w:hAnsiTheme="minorHAnsi"/>
                <w:b/>
                <w:i/>
                <w:sz w:val="20"/>
              </w:rPr>
            </w:pPr>
          </w:p>
        </w:tc>
        <w:tc>
          <w:tcPr>
            <w:tcW w:w="11040" w:type="dxa"/>
          </w:tcPr>
          <w:p w:rsidR="00CB6A57" w:rsidRPr="00B22617" w:rsidRDefault="00CB6A57">
            <w:pPr>
              <w:rPr>
                <w:rFonts w:asciiTheme="minorHAnsi" w:hAnsiTheme="minorHAnsi"/>
                <w:sz w:val="20"/>
              </w:rPr>
            </w:pPr>
            <w:bookmarkStart w:id="57" w:name="A05"/>
            <w:bookmarkEnd w:id="57"/>
          </w:p>
          <w:p w:rsidR="00CB6A57" w:rsidRPr="00B22617" w:rsidRDefault="00CB6A57">
            <w:pPr>
              <w:rPr>
                <w:rFonts w:asciiTheme="minorHAnsi" w:hAnsiTheme="minorHAnsi"/>
                <w:sz w:val="20"/>
              </w:rPr>
            </w:pPr>
          </w:p>
        </w:tc>
      </w:tr>
      <w:tr w:rsidR="00CB6A57" w:rsidRPr="00B22617">
        <w:trPr>
          <w:gridAfter w:val="1"/>
          <w:wAfter w:w="17" w:type="dxa"/>
          <w:cantSplit/>
        </w:trPr>
        <w:tc>
          <w:tcPr>
            <w:tcW w:w="764" w:type="dxa"/>
            <w:vMerge/>
          </w:tcPr>
          <w:p w:rsidR="00CB6A57" w:rsidRPr="00B22617" w:rsidRDefault="00CB6A57">
            <w:pPr>
              <w:rPr>
                <w:rFonts w:asciiTheme="minorHAnsi" w:hAnsiTheme="minorHAnsi"/>
                <w:b/>
                <w:i/>
                <w:sz w:val="20"/>
              </w:rPr>
            </w:pPr>
          </w:p>
        </w:tc>
        <w:tc>
          <w:tcPr>
            <w:tcW w:w="2760" w:type="dxa"/>
          </w:tcPr>
          <w:p w:rsidR="00CB6A57" w:rsidRPr="00B22617" w:rsidRDefault="00CB6A57">
            <w:pPr>
              <w:rPr>
                <w:rFonts w:asciiTheme="minorHAnsi" w:hAnsiTheme="minorHAnsi"/>
                <w:b/>
                <w:i/>
                <w:sz w:val="20"/>
              </w:rPr>
            </w:pPr>
            <w:bookmarkStart w:id="58" w:name="Agreement06"/>
          </w:p>
          <w:p w:rsidR="00CB6A57" w:rsidRPr="00B22617" w:rsidRDefault="00CB6A57">
            <w:pPr>
              <w:rPr>
                <w:rFonts w:asciiTheme="minorHAnsi" w:hAnsiTheme="minorHAnsi"/>
                <w:b/>
                <w:i/>
                <w:sz w:val="20"/>
              </w:rPr>
            </w:pPr>
            <w:r w:rsidRPr="00B22617">
              <w:rPr>
                <w:rFonts w:asciiTheme="minorHAnsi" w:hAnsiTheme="minorHAnsi"/>
                <w:b/>
                <w:i/>
                <w:sz w:val="20"/>
              </w:rPr>
              <w:t>Agreement #6</w:t>
            </w:r>
            <w:bookmarkEnd w:id="58"/>
          </w:p>
          <w:p w:rsidR="00CB6A57" w:rsidRPr="00B22617" w:rsidRDefault="00CB6A57">
            <w:pPr>
              <w:rPr>
                <w:rFonts w:asciiTheme="minorHAnsi" w:hAnsiTheme="minorHAnsi"/>
                <w:b/>
                <w:i/>
                <w:sz w:val="20"/>
              </w:rPr>
            </w:pPr>
          </w:p>
        </w:tc>
        <w:tc>
          <w:tcPr>
            <w:tcW w:w="11040" w:type="dxa"/>
          </w:tcPr>
          <w:p w:rsidR="00CB6A57" w:rsidRPr="00B22617" w:rsidRDefault="00CB6A57">
            <w:pPr>
              <w:rPr>
                <w:rFonts w:asciiTheme="minorHAnsi" w:hAnsiTheme="minorHAnsi"/>
                <w:sz w:val="20"/>
              </w:rPr>
            </w:pPr>
            <w:bookmarkStart w:id="59" w:name="A06"/>
            <w:bookmarkEnd w:id="59"/>
          </w:p>
          <w:p w:rsidR="00CB6A57" w:rsidRPr="00B22617" w:rsidRDefault="00CB6A57">
            <w:pPr>
              <w:rPr>
                <w:rFonts w:asciiTheme="minorHAnsi" w:hAnsiTheme="minorHAnsi"/>
                <w:sz w:val="20"/>
              </w:rPr>
            </w:pPr>
          </w:p>
        </w:tc>
      </w:tr>
      <w:tr w:rsidR="00CB6A57" w:rsidRPr="00B22617">
        <w:trPr>
          <w:gridAfter w:val="1"/>
          <w:wAfter w:w="17" w:type="dxa"/>
          <w:cantSplit/>
        </w:trPr>
        <w:tc>
          <w:tcPr>
            <w:tcW w:w="764" w:type="dxa"/>
            <w:vMerge/>
          </w:tcPr>
          <w:p w:rsidR="00CB6A57" w:rsidRPr="00B22617" w:rsidRDefault="00CB6A57">
            <w:pPr>
              <w:rPr>
                <w:rFonts w:asciiTheme="minorHAnsi" w:hAnsiTheme="minorHAnsi"/>
                <w:b/>
                <w:i/>
                <w:sz w:val="20"/>
              </w:rPr>
            </w:pPr>
          </w:p>
        </w:tc>
        <w:tc>
          <w:tcPr>
            <w:tcW w:w="2760" w:type="dxa"/>
          </w:tcPr>
          <w:p w:rsidR="00CB6A57" w:rsidRPr="00B22617" w:rsidRDefault="00CB6A57">
            <w:pPr>
              <w:rPr>
                <w:rFonts w:asciiTheme="minorHAnsi" w:hAnsiTheme="minorHAnsi"/>
                <w:b/>
                <w:i/>
                <w:sz w:val="20"/>
              </w:rPr>
            </w:pPr>
            <w:bookmarkStart w:id="60" w:name="Agreement07"/>
          </w:p>
          <w:p w:rsidR="00CB6A57" w:rsidRPr="00B22617" w:rsidRDefault="00CB6A57">
            <w:pPr>
              <w:rPr>
                <w:rFonts w:asciiTheme="minorHAnsi" w:hAnsiTheme="minorHAnsi"/>
                <w:b/>
                <w:i/>
                <w:sz w:val="20"/>
              </w:rPr>
            </w:pPr>
            <w:r w:rsidRPr="00B22617">
              <w:rPr>
                <w:rFonts w:asciiTheme="minorHAnsi" w:hAnsiTheme="minorHAnsi"/>
                <w:b/>
                <w:i/>
                <w:sz w:val="20"/>
              </w:rPr>
              <w:t>Agreement #7</w:t>
            </w:r>
            <w:bookmarkEnd w:id="60"/>
          </w:p>
          <w:p w:rsidR="00CB6A57" w:rsidRPr="00B22617" w:rsidRDefault="00CB6A57">
            <w:pPr>
              <w:rPr>
                <w:rFonts w:asciiTheme="minorHAnsi" w:hAnsiTheme="minorHAnsi"/>
                <w:b/>
                <w:i/>
                <w:sz w:val="20"/>
              </w:rPr>
            </w:pPr>
          </w:p>
        </w:tc>
        <w:tc>
          <w:tcPr>
            <w:tcW w:w="11040" w:type="dxa"/>
          </w:tcPr>
          <w:p w:rsidR="00CB6A57" w:rsidRPr="00B22617" w:rsidRDefault="00CB6A57">
            <w:pPr>
              <w:rPr>
                <w:rFonts w:asciiTheme="minorHAnsi" w:hAnsiTheme="minorHAnsi"/>
                <w:sz w:val="20"/>
              </w:rPr>
            </w:pPr>
            <w:bookmarkStart w:id="61" w:name="A07"/>
            <w:bookmarkEnd w:id="61"/>
          </w:p>
          <w:p w:rsidR="00CB6A57" w:rsidRPr="00B22617" w:rsidRDefault="00CB6A57">
            <w:pPr>
              <w:rPr>
                <w:rFonts w:asciiTheme="minorHAnsi" w:hAnsiTheme="minorHAnsi"/>
                <w:sz w:val="20"/>
              </w:rPr>
            </w:pPr>
          </w:p>
        </w:tc>
      </w:tr>
      <w:tr w:rsidR="00CB6A57" w:rsidRPr="00B22617">
        <w:trPr>
          <w:gridAfter w:val="1"/>
          <w:wAfter w:w="17" w:type="dxa"/>
          <w:cantSplit/>
        </w:trPr>
        <w:tc>
          <w:tcPr>
            <w:tcW w:w="764" w:type="dxa"/>
            <w:vMerge/>
          </w:tcPr>
          <w:p w:rsidR="00CB6A57" w:rsidRPr="00B22617" w:rsidRDefault="00CB6A57">
            <w:pPr>
              <w:rPr>
                <w:rFonts w:asciiTheme="minorHAnsi" w:hAnsiTheme="minorHAnsi"/>
                <w:b/>
                <w:i/>
                <w:sz w:val="20"/>
              </w:rPr>
            </w:pPr>
          </w:p>
        </w:tc>
        <w:tc>
          <w:tcPr>
            <w:tcW w:w="2760" w:type="dxa"/>
          </w:tcPr>
          <w:p w:rsidR="00CB6A57" w:rsidRPr="00B22617" w:rsidRDefault="00CB6A57">
            <w:pPr>
              <w:rPr>
                <w:rFonts w:asciiTheme="minorHAnsi" w:hAnsiTheme="minorHAnsi"/>
                <w:b/>
                <w:i/>
                <w:sz w:val="20"/>
              </w:rPr>
            </w:pPr>
            <w:bookmarkStart w:id="62" w:name="Agreement08"/>
          </w:p>
          <w:p w:rsidR="00CB6A57" w:rsidRPr="00B22617" w:rsidRDefault="00CB6A57">
            <w:pPr>
              <w:rPr>
                <w:rFonts w:asciiTheme="minorHAnsi" w:hAnsiTheme="minorHAnsi"/>
                <w:b/>
                <w:i/>
                <w:sz w:val="20"/>
              </w:rPr>
            </w:pPr>
            <w:r w:rsidRPr="00B22617">
              <w:rPr>
                <w:rFonts w:asciiTheme="minorHAnsi" w:hAnsiTheme="minorHAnsi"/>
                <w:b/>
                <w:i/>
                <w:sz w:val="20"/>
              </w:rPr>
              <w:t>Agreement #8</w:t>
            </w:r>
            <w:bookmarkEnd w:id="62"/>
          </w:p>
          <w:p w:rsidR="00CB6A57" w:rsidRPr="00B22617" w:rsidRDefault="00CB6A57">
            <w:pPr>
              <w:rPr>
                <w:rFonts w:asciiTheme="minorHAnsi" w:hAnsiTheme="minorHAnsi"/>
                <w:b/>
                <w:i/>
                <w:sz w:val="20"/>
              </w:rPr>
            </w:pPr>
          </w:p>
        </w:tc>
        <w:tc>
          <w:tcPr>
            <w:tcW w:w="11040" w:type="dxa"/>
          </w:tcPr>
          <w:p w:rsidR="00CB6A57" w:rsidRPr="00B22617" w:rsidRDefault="00CB6A57">
            <w:pPr>
              <w:rPr>
                <w:rFonts w:asciiTheme="minorHAnsi" w:hAnsiTheme="minorHAnsi"/>
                <w:sz w:val="20"/>
              </w:rPr>
            </w:pPr>
            <w:bookmarkStart w:id="63" w:name="A08"/>
            <w:bookmarkEnd w:id="63"/>
          </w:p>
          <w:p w:rsidR="00CB6A57" w:rsidRPr="00B22617" w:rsidRDefault="00CB6A57">
            <w:pPr>
              <w:rPr>
                <w:rFonts w:asciiTheme="minorHAnsi" w:hAnsiTheme="minorHAnsi"/>
                <w:sz w:val="20"/>
              </w:rPr>
            </w:pPr>
          </w:p>
        </w:tc>
      </w:tr>
      <w:tr w:rsidR="00CB6A57" w:rsidRPr="00B22617">
        <w:trPr>
          <w:gridAfter w:val="1"/>
          <w:wAfter w:w="17" w:type="dxa"/>
          <w:cantSplit/>
        </w:trPr>
        <w:tc>
          <w:tcPr>
            <w:tcW w:w="764" w:type="dxa"/>
            <w:vMerge/>
          </w:tcPr>
          <w:p w:rsidR="00CB6A57" w:rsidRPr="00B22617" w:rsidRDefault="00CB6A57">
            <w:pPr>
              <w:rPr>
                <w:rFonts w:asciiTheme="minorHAnsi" w:hAnsiTheme="minorHAnsi"/>
                <w:b/>
                <w:i/>
                <w:sz w:val="20"/>
              </w:rPr>
            </w:pPr>
          </w:p>
        </w:tc>
        <w:tc>
          <w:tcPr>
            <w:tcW w:w="2760" w:type="dxa"/>
          </w:tcPr>
          <w:p w:rsidR="00CB6A57" w:rsidRPr="00B22617" w:rsidRDefault="00CB6A57">
            <w:pPr>
              <w:rPr>
                <w:rFonts w:asciiTheme="minorHAnsi" w:hAnsiTheme="minorHAnsi"/>
                <w:b/>
                <w:i/>
                <w:sz w:val="20"/>
              </w:rPr>
            </w:pPr>
            <w:bookmarkStart w:id="64" w:name="Agreement09"/>
          </w:p>
          <w:p w:rsidR="00CB6A57" w:rsidRPr="00B22617" w:rsidRDefault="00CB6A57">
            <w:pPr>
              <w:rPr>
                <w:rFonts w:asciiTheme="minorHAnsi" w:hAnsiTheme="minorHAnsi"/>
                <w:b/>
                <w:i/>
                <w:sz w:val="20"/>
              </w:rPr>
            </w:pPr>
            <w:r w:rsidRPr="00B22617">
              <w:rPr>
                <w:rFonts w:asciiTheme="minorHAnsi" w:hAnsiTheme="minorHAnsi"/>
                <w:b/>
                <w:i/>
                <w:sz w:val="20"/>
              </w:rPr>
              <w:t>Agreement #9</w:t>
            </w:r>
            <w:bookmarkEnd w:id="64"/>
          </w:p>
          <w:p w:rsidR="00CB6A57" w:rsidRPr="00B22617" w:rsidRDefault="00CB6A57">
            <w:pPr>
              <w:rPr>
                <w:rFonts w:asciiTheme="minorHAnsi" w:hAnsiTheme="minorHAnsi"/>
                <w:b/>
                <w:i/>
                <w:sz w:val="20"/>
              </w:rPr>
            </w:pPr>
          </w:p>
        </w:tc>
        <w:tc>
          <w:tcPr>
            <w:tcW w:w="11040" w:type="dxa"/>
          </w:tcPr>
          <w:p w:rsidR="00CB6A57" w:rsidRPr="00B22617" w:rsidRDefault="00CB6A57">
            <w:pPr>
              <w:rPr>
                <w:rFonts w:asciiTheme="minorHAnsi" w:hAnsiTheme="minorHAnsi"/>
                <w:sz w:val="20"/>
              </w:rPr>
            </w:pPr>
            <w:bookmarkStart w:id="65" w:name="A09"/>
            <w:bookmarkEnd w:id="65"/>
          </w:p>
          <w:p w:rsidR="00CB6A57" w:rsidRPr="00B22617" w:rsidRDefault="00CB6A57">
            <w:pPr>
              <w:rPr>
                <w:rFonts w:asciiTheme="minorHAnsi" w:hAnsiTheme="minorHAnsi"/>
                <w:sz w:val="20"/>
              </w:rPr>
            </w:pPr>
          </w:p>
        </w:tc>
      </w:tr>
      <w:tr w:rsidR="00CB6A57" w:rsidRPr="00B22617">
        <w:trPr>
          <w:gridAfter w:val="1"/>
          <w:wAfter w:w="17" w:type="dxa"/>
          <w:cantSplit/>
        </w:trPr>
        <w:tc>
          <w:tcPr>
            <w:tcW w:w="764" w:type="dxa"/>
            <w:vMerge/>
          </w:tcPr>
          <w:p w:rsidR="00CB6A57" w:rsidRPr="00B22617" w:rsidRDefault="00CB6A57">
            <w:pPr>
              <w:rPr>
                <w:rFonts w:asciiTheme="minorHAnsi" w:hAnsiTheme="minorHAnsi"/>
                <w:b/>
                <w:i/>
                <w:sz w:val="20"/>
              </w:rPr>
            </w:pPr>
          </w:p>
        </w:tc>
        <w:tc>
          <w:tcPr>
            <w:tcW w:w="2760" w:type="dxa"/>
          </w:tcPr>
          <w:p w:rsidR="00CB6A57" w:rsidRPr="00B22617" w:rsidRDefault="00CB6A57">
            <w:pPr>
              <w:rPr>
                <w:rFonts w:asciiTheme="minorHAnsi" w:hAnsiTheme="minorHAnsi"/>
                <w:b/>
                <w:i/>
                <w:sz w:val="20"/>
              </w:rPr>
            </w:pPr>
            <w:bookmarkStart w:id="66" w:name="Agreement10"/>
          </w:p>
          <w:p w:rsidR="00CB6A57" w:rsidRPr="00B22617" w:rsidRDefault="00CB6A57">
            <w:pPr>
              <w:rPr>
                <w:rFonts w:asciiTheme="minorHAnsi" w:hAnsiTheme="minorHAnsi"/>
                <w:b/>
                <w:i/>
                <w:sz w:val="20"/>
              </w:rPr>
            </w:pPr>
            <w:r w:rsidRPr="00B22617">
              <w:rPr>
                <w:rFonts w:asciiTheme="minorHAnsi" w:hAnsiTheme="minorHAnsi"/>
                <w:b/>
                <w:i/>
                <w:sz w:val="20"/>
              </w:rPr>
              <w:t>Agreement #10</w:t>
            </w:r>
            <w:bookmarkEnd w:id="66"/>
          </w:p>
          <w:p w:rsidR="00CB6A57" w:rsidRPr="00B22617" w:rsidRDefault="00CB6A57">
            <w:pPr>
              <w:rPr>
                <w:rFonts w:asciiTheme="minorHAnsi" w:hAnsiTheme="minorHAnsi"/>
                <w:b/>
                <w:i/>
                <w:sz w:val="20"/>
              </w:rPr>
            </w:pPr>
          </w:p>
        </w:tc>
        <w:tc>
          <w:tcPr>
            <w:tcW w:w="11040" w:type="dxa"/>
          </w:tcPr>
          <w:p w:rsidR="00CB6A57" w:rsidRPr="00B22617" w:rsidRDefault="00CB6A57">
            <w:pPr>
              <w:rPr>
                <w:rFonts w:asciiTheme="minorHAnsi" w:hAnsiTheme="minorHAnsi"/>
                <w:sz w:val="20"/>
              </w:rPr>
            </w:pPr>
            <w:bookmarkStart w:id="67" w:name="A10"/>
            <w:bookmarkEnd w:id="67"/>
          </w:p>
          <w:p w:rsidR="00CB6A57" w:rsidRPr="00B22617" w:rsidRDefault="00CB6A57">
            <w:pPr>
              <w:rPr>
                <w:rFonts w:asciiTheme="minorHAnsi" w:hAnsiTheme="minorHAnsi"/>
                <w:sz w:val="20"/>
              </w:rPr>
            </w:pPr>
          </w:p>
        </w:tc>
      </w:tr>
      <w:tr w:rsidR="00CB6A57" w:rsidRPr="00B22617">
        <w:trPr>
          <w:gridAfter w:val="1"/>
          <w:wAfter w:w="17" w:type="dxa"/>
          <w:cantSplit/>
        </w:trPr>
        <w:tc>
          <w:tcPr>
            <w:tcW w:w="764" w:type="dxa"/>
            <w:vMerge/>
          </w:tcPr>
          <w:p w:rsidR="00CB6A57" w:rsidRPr="00B22617" w:rsidRDefault="00CB6A57">
            <w:pPr>
              <w:rPr>
                <w:rFonts w:asciiTheme="minorHAnsi" w:hAnsiTheme="minorHAnsi"/>
                <w:b/>
                <w:i/>
                <w:sz w:val="20"/>
              </w:rPr>
            </w:pPr>
          </w:p>
        </w:tc>
        <w:tc>
          <w:tcPr>
            <w:tcW w:w="2760" w:type="dxa"/>
          </w:tcPr>
          <w:p w:rsidR="00CB6A57" w:rsidRPr="00B22617" w:rsidRDefault="00CB6A57">
            <w:pPr>
              <w:rPr>
                <w:rFonts w:asciiTheme="minorHAnsi" w:hAnsiTheme="minorHAnsi"/>
                <w:b/>
                <w:i/>
                <w:sz w:val="20"/>
              </w:rPr>
            </w:pPr>
            <w:bookmarkStart w:id="68" w:name="Agreement11"/>
          </w:p>
          <w:p w:rsidR="00CB6A57" w:rsidRPr="00B22617" w:rsidRDefault="00CB6A57">
            <w:pPr>
              <w:rPr>
                <w:rFonts w:asciiTheme="minorHAnsi" w:hAnsiTheme="minorHAnsi"/>
                <w:b/>
                <w:i/>
                <w:sz w:val="20"/>
              </w:rPr>
            </w:pPr>
            <w:r w:rsidRPr="00B22617">
              <w:rPr>
                <w:rFonts w:asciiTheme="minorHAnsi" w:hAnsiTheme="minorHAnsi"/>
                <w:b/>
                <w:i/>
                <w:sz w:val="20"/>
              </w:rPr>
              <w:t>Agreement #11</w:t>
            </w:r>
            <w:bookmarkEnd w:id="68"/>
          </w:p>
          <w:p w:rsidR="00CB6A57" w:rsidRPr="00B22617" w:rsidRDefault="00CB6A57">
            <w:pPr>
              <w:rPr>
                <w:rFonts w:asciiTheme="minorHAnsi" w:hAnsiTheme="minorHAnsi"/>
                <w:b/>
                <w:i/>
                <w:sz w:val="20"/>
              </w:rPr>
            </w:pPr>
          </w:p>
        </w:tc>
        <w:tc>
          <w:tcPr>
            <w:tcW w:w="11040" w:type="dxa"/>
          </w:tcPr>
          <w:p w:rsidR="00CB6A57" w:rsidRPr="00B22617" w:rsidRDefault="00CB6A57">
            <w:pPr>
              <w:rPr>
                <w:rFonts w:asciiTheme="minorHAnsi" w:hAnsiTheme="minorHAnsi"/>
                <w:sz w:val="20"/>
              </w:rPr>
            </w:pPr>
            <w:bookmarkStart w:id="69" w:name="A11"/>
            <w:bookmarkEnd w:id="69"/>
          </w:p>
          <w:p w:rsidR="00CB6A57" w:rsidRPr="00B22617" w:rsidRDefault="00CB6A57">
            <w:pPr>
              <w:rPr>
                <w:rFonts w:asciiTheme="minorHAnsi" w:hAnsiTheme="minorHAnsi"/>
                <w:sz w:val="20"/>
              </w:rPr>
            </w:pPr>
          </w:p>
        </w:tc>
      </w:tr>
      <w:tr w:rsidR="00CB6A57" w:rsidRPr="00B22617">
        <w:trPr>
          <w:gridAfter w:val="1"/>
          <w:wAfter w:w="17" w:type="dxa"/>
          <w:cantSplit/>
        </w:trPr>
        <w:tc>
          <w:tcPr>
            <w:tcW w:w="764" w:type="dxa"/>
            <w:vMerge/>
          </w:tcPr>
          <w:p w:rsidR="00CB6A57" w:rsidRPr="00B22617" w:rsidRDefault="00CB6A57">
            <w:pPr>
              <w:rPr>
                <w:rFonts w:asciiTheme="minorHAnsi" w:hAnsiTheme="minorHAnsi"/>
                <w:b/>
                <w:i/>
                <w:sz w:val="20"/>
              </w:rPr>
            </w:pPr>
          </w:p>
        </w:tc>
        <w:tc>
          <w:tcPr>
            <w:tcW w:w="2760" w:type="dxa"/>
          </w:tcPr>
          <w:p w:rsidR="00CB6A57" w:rsidRPr="00B22617" w:rsidRDefault="00CB6A57">
            <w:pPr>
              <w:rPr>
                <w:rFonts w:asciiTheme="minorHAnsi" w:hAnsiTheme="minorHAnsi"/>
                <w:b/>
                <w:i/>
                <w:sz w:val="20"/>
              </w:rPr>
            </w:pPr>
            <w:bookmarkStart w:id="70" w:name="Agreement12"/>
          </w:p>
          <w:p w:rsidR="00CB6A57" w:rsidRPr="00B22617" w:rsidRDefault="00CB6A57">
            <w:pPr>
              <w:rPr>
                <w:rFonts w:asciiTheme="minorHAnsi" w:hAnsiTheme="minorHAnsi"/>
                <w:b/>
                <w:i/>
                <w:sz w:val="20"/>
              </w:rPr>
            </w:pPr>
            <w:r w:rsidRPr="00B22617">
              <w:rPr>
                <w:rFonts w:asciiTheme="minorHAnsi" w:hAnsiTheme="minorHAnsi"/>
                <w:b/>
                <w:i/>
                <w:sz w:val="20"/>
              </w:rPr>
              <w:t>Agreement #12</w:t>
            </w:r>
            <w:bookmarkEnd w:id="70"/>
          </w:p>
          <w:p w:rsidR="00CB6A57" w:rsidRPr="00B22617" w:rsidRDefault="00CB6A57">
            <w:pPr>
              <w:rPr>
                <w:rFonts w:asciiTheme="minorHAnsi" w:hAnsiTheme="minorHAnsi"/>
                <w:b/>
                <w:i/>
                <w:sz w:val="20"/>
              </w:rPr>
            </w:pPr>
          </w:p>
        </w:tc>
        <w:tc>
          <w:tcPr>
            <w:tcW w:w="11040" w:type="dxa"/>
          </w:tcPr>
          <w:p w:rsidR="00CB6A57" w:rsidRPr="00B22617" w:rsidRDefault="00CB6A57">
            <w:pPr>
              <w:rPr>
                <w:rFonts w:asciiTheme="minorHAnsi" w:hAnsiTheme="minorHAnsi"/>
                <w:sz w:val="20"/>
              </w:rPr>
            </w:pPr>
            <w:bookmarkStart w:id="71" w:name="A12"/>
            <w:bookmarkEnd w:id="71"/>
          </w:p>
          <w:p w:rsidR="00CB6A57" w:rsidRPr="00B22617" w:rsidRDefault="00CB6A57">
            <w:pPr>
              <w:rPr>
                <w:rFonts w:asciiTheme="minorHAnsi" w:hAnsiTheme="minorHAnsi"/>
                <w:sz w:val="20"/>
              </w:rPr>
            </w:pPr>
          </w:p>
        </w:tc>
      </w:tr>
      <w:tr w:rsidR="00CB6A57" w:rsidRPr="00B22617">
        <w:trPr>
          <w:gridAfter w:val="1"/>
          <w:wAfter w:w="17" w:type="dxa"/>
          <w:cantSplit/>
        </w:trPr>
        <w:tc>
          <w:tcPr>
            <w:tcW w:w="764" w:type="dxa"/>
            <w:vMerge/>
          </w:tcPr>
          <w:p w:rsidR="00CB6A57" w:rsidRPr="00B22617" w:rsidRDefault="00CB6A57">
            <w:pPr>
              <w:rPr>
                <w:rFonts w:asciiTheme="minorHAnsi" w:hAnsiTheme="minorHAnsi"/>
                <w:b/>
                <w:i/>
                <w:sz w:val="20"/>
              </w:rPr>
            </w:pPr>
          </w:p>
        </w:tc>
        <w:tc>
          <w:tcPr>
            <w:tcW w:w="2760" w:type="dxa"/>
          </w:tcPr>
          <w:p w:rsidR="00CB6A57" w:rsidRPr="00B22617" w:rsidRDefault="00CB6A57">
            <w:pPr>
              <w:rPr>
                <w:rFonts w:asciiTheme="minorHAnsi" w:hAnsiTheme="minorHAnsi"/>
                <w:b/>
                <w:i/>
                <w:sz w:val="20"/>
              </w:rPr>
            </w:pPr>
            <w:bookmarkStart w:id="72" w:name="Agreement13"/>
          </w:p>
          <w:p w:rsidR="00CB6A57" w:rsidRPr="00B22617" w:rsidRDefault="00CB6A57">
            <w:pPr>
              <w:rPr>
                <w:rFonts w:asciiTheme="minorHAnsi" w:hAnsiTheme="minorHAnsi"/>
                <w:b/>
                <w:i/>
                <w:sz w:val="20"/>
              </w:rPr>
            </w:pPr>
            <w:r w:rsidRPr="00B22617">
              <w:rPr>
                <w:rFonts w:asciiTheme="minorHAnsi" w:hAnsiTheme="minorHAnsi"/>
                <w:b/>
                <w:i/>
                <w:sz w:val="20"/>
              </w:rPr>
              <w:t>Agreement #13</w:t>
            </w:r>
            <w:bookmarkEnd w:id="72"/>
          </w:p>
          <w:p w:rsidR="00CB6A57" w:rsidRPr="00B22617" w:rsidRDefault="00CB6A57">
            <w:pPr>
              <w:rPr>
                <w:rFonts w:asciiTheme="minorHAnsi" w:hAnsiTheme="minorHAnsi"/>
                <w:b/>
                <w:i/>
                <w:sz w:val="20"/>
              </w:rPr>
            </w:pPr>
          </w:p>
        </w:tc>
        <w:tc>
          <w:tcPr>
            <w:tcW w:w="11040" w:type="dxa"/>
          </w:tcPr>
          <w:p w:rsidR="00CB6A57" w:rsidRPr="00B22617" w:rsidRDefault="00CB6A57">
            <w:pPr>
              <w:rPr>
                <w:rFonts w:asciiTheme="minorHAnsi" w:hAnsiTheme="minorHAnsi"/>
                <w:sz w:val="20"/>
              </w:rPr>
            </w:pPr>
            <w:bookmarkStart w:id="73" w:name="A13"/>
            <w:bookmarkEnd w:id="73"/>
          </w:p>
          <w:p w:rsidR="00CB6A57" w:rsidRPr="00B22617" w:rsidRDefault="00CB6A57">
            <w:pPr>
              <w:rPr>
                <w:rFonts w:asciiTheme="minorHAnsi" w:hAnsiTheme="minorHAnsi"/>
                <w:sz w:val="20"/>
              </w:rPr>
            </w:pPr>
          </w:p>
        </w:tc>
      </w:tr>
      <w:tr w:rsidR="00CB6A57" w:rsidRPr="00B22617">
        <w:trPr>
          <w:gridAfter w:val="1"/>
          <w:wAfter w:w="17" w:type="dxa"/>
          <w:cantSplit/>
        </w:trPr>
        <w:tc>
          <w:tcPr>
            <w:tcW w:w="764" w:type="dxa"/>
            <w:vMerge/>
          </w:tcPr>
          <w:p w:rsidR="00CB6A57" w:rsidRPr="00B22617" w:rsidRDefault="00CB6A57">
            <w:pPr>
              <w:rPr>
                <w:rFonts w:asciiTheme="minorHAnsi" w:hAnsiTheme="minorHAnsi"/>
                <w:b/>
                <w:i/>
                <w:sz w:val="20"/>
              </w:rPr>
            </w:pPr>
          </w:p>
        </w:tc>
        <w:tc>
          <w:tcPr>
            <w:tcW w:w="2760" w:type="dxa"/>
          </w:tcPr>
          <w:p w:rsidR="00CB6A57" w:rsidRPr="00B22617" w:rsidRDefault="00CB6A57">
            <w:pPr>
              <w:rPr>
                <w:rFonts w:asciiTheme="minorHAnsi" w:hAnsiTheme="minorHAnsi"/>
                <w:b/>
                <w:i/>
                <w:sz w:val="20"/>
              </w:rPr>
            </w:pPr>
            <w:bookmarkStart w:id="74" w:name="Agreement14"/>
          </w:p>
          <w:p w:rsidR="00CB6A57" w:rsidRPr="00B22617" w:rsidRDefault="00CB6A57">
            <w:pPr>
              <w:rPr>
                <w:rFonts w:asciiTheme="minorHAnsi" w:hAnsiTheme="minorHAnsi"/>
                <w:b/>
                <w:i/>
                <w:sz w:val="20"/>
              </w:rPr>
            </w:pPr>
            <w:r w:rsidRPr="00B22617">
              <w:rPr>
                <w:rFonts w:asciiTheme="minorHAnsi" w:hAnsiTheme="minorHAnsi"/>
                <w:b/>
                <w:i/>
                <w:sz w:val="20"/>
              </w:rPr>
              <w:t>Agreement #14</w:t>
            </w:r>
            <w:bookmarkEnd w:id="74"/>
          </w:p>
          <w:p w:rsidR="00CB6A57" w:rsidRPr="00B22617" w:rsidRDefault="00CB6A57">
            <w:pPr>
              <w:rPr>
                <w:rFonts w:asciiTheme="minorHAnsi" w:hAnsiTheme="minorHAnsi"/>
                <w:b/>
                <w:i/>
                <w:sz w:val="20"/>
              </w:rPr>
            </w:pPr>
          </w:p>
        </w:tc>
        <w:tc>
          <w:tcPr>
            <w:tcW w:w="11040" w:type="dxa"/>
          </w:tcPr>
          <w:p w:rsidR="00CB6A57" w:rsidRPr="00B22617" w:rsidRDefault="00CB6A57">
            <w:pPr>
              <w:rPr>
                <w:rFonts w:asciiTheme="minorHAnsi" w:hAnsiTheme="minorHAnsi"/>
                <w:sz w:val="20"/>
              </w:rPr>
            </w:pPr>
            <w:bookmarkStart w:id="75" w:name="A14"/>
            <w:bookmarkEnd w:id="75"/>
          </w:p>
          <w:p w:rsidR="00CB6A57" w:rsidRPr="00B22617" w:rsidRDefault="00CB6A57">
            <w:pPr>
              <w:rPr>
                <w:rFonts w:asciiTheme="minorHAnsi" w:hAnsiTheme="minorHAnsi"/>
                <w:sz w:val="20"/>
              </w:rPr>
            </w:pPr>
          </w:p>
        </w:tc>
      </w:tr>
      <w:tr w:rsidR="00CB6A57" w:rsidRPr="00B22617">
        <w:trPr>
          <w:gridAfter w:val="1"/>
          <w:wAfter w:w="17" w:type="dxa"/>
          <w:cantSplit/>
        </w:trPr>
        <w:tc>
          <w:tcPr>
            <w:tcW w:w="764" w:type="dxa"/>
            <w:vMerge/>
          </w:tcPr>
          <w:p w:rsidR="00CB6A57" w:rsidRPr="00B22617" w:rsidRDefault="00CB6A57">
            <w:pPr>
              <w:rPr>
                <w:rFonts w:asciiTheme="minorHAnsi" w:hAnsiTheme="minorHAnsi"/>
                <w:b/>
                <w:i/>
                <w:sz w:val="20"/>
              </w:rPr>
            </w:pPr>
          </w:p>
        </w:tc>
        <w:tc>
          <w:tcPr>
            <w:tcW w:w="2760" w:type="dxa"/>
          </w:tcPr>
          <w:p w:rsidR="00CB6A57" w:rsidRPr="00B22617" w:rsidRDefault="00CB6A57">
            <w:pPr>
              <w:rPr>
                <w:rFonts w:asciiTheme="minorHAnsi" w:hAnsiTheme="minorHAnsi"/>
                <w:b/>
                <w:i/>
                <w:sz w:val="20"/>
              </w:rPr>
            </w:pPr>
            <w:bookmarkStart w:id="76" w:name="Agreement15"/>
          </w:p>
          <w:p w:rsidR="00CB6A57" w:rsidRPr="00B22617" w:rsidRDefault="00CB6A57">
            <w:pPr>
              <w:rPr>
                <w:rFonts w:asciiTheme="minorHAnsi" w:hAnsiTheme="minorHAnsi"/>
                <w:b/>
                <w:i/>
                <w:sz w:val="20"/>
              </w:rPr>
            </w:pPr>
            <w:r w:rsidRPr="00B22617">
              <w:rPr>
                <w:rFonts w:asciiTheme="minorHAnsi" w:hAnsiTheme="minorHAnsi"/>
                <w:b/>
                <w:i/>
                <w:sz w:val="20"/>
              </w:rPr>
              <w:t>Agreement #15</w:t>
            </w:r>
            <w:bookmarkEnd w:id="76"/>
          </w:p>
          <w:p w:rsidR="00CB6A57" w:rsidRPr="00B22617" w:rsidRDefault="00CB6A57">
            <w:pPr>
              <w:rPr>
                <w:rFonts w:asciiTheme="minorHAnsi" w:hAnsiTheme="minorHAnsi"/>
                <w:b/>
                <w:i/>
                <w:sz w:val="20"/>
              </w:rPr>
            </w:pPr>
          </w:p>
        </w:tc>
        <w:tc>
          <w:tcPr>
            <w:tcW w:w="11040" w:type="dxa"/>
          </w:tcPr>
          <w:p w:rsidR="00CB6A57" w:rsidRPr="00B22617" w:rsidRDefault="00CB6A57">
            <w:pPr>
              <w:rPr>
                <w:rFonts w:asciiTheme="minorHAnsi" w:hAnsiTheme="minorHAnsi"/>
                <w:sz w:val="20"/>
              </w:rPr>
            </w:pPr>
            <w:bookmarkStart w:id="77" w:name="A15"/>
            <w:bookmarkEnd w:id="77"/>
          </w:p>
          <w:p w:rsidR="00CB6A57" w:rsidRPr="00B22617" w:rsidRDefault="00CB6A57">
            <w:pPr>
              <w:rPr>
                <w:rFonts w:asciiTheme="minorHAnsi" w:hAnsiTheme="minorHAnsi"/>
                <w:sz w:val="20"/>
              </w:rPr>
            </w:pPr>
          </w:p>
        </w:tc>
      </w:tr>
      <w:tr w:rsidR="00CB6A57" w:rsidRPr="00B22617">
        <w:trPr>
          <w:gridAfter w:val="1"/>
          <w:wAfter w:w="17" w:type="dxa"/>
          <w:cantSplit/>
        </w:trPr>
        <w:tc>
          <w:tcPr>
            <w:tcW w:w="764" w:type="dxa"/>
            <w:vMerge/>
          </w:tcPr>
          <w:p w:rsidR="00CB6A57" w:rsidRPr="00B22617" w:rsidRDefault="00CB6A57">
            <w:pPr>
              <w:rPr>
                <w:rFonts w:asciiTheme="minorHAnsi" w:hAnsiTheme="minorHAnsi"/>
                <w:b/>
                <w:i/>
                <w:sz w:val="20"/>
              </w:rPr>
            </w:pPr>
          </w:p>
        </w:tc>
        <w:tc>
          <w:tcPr>
            <w:tcW w:w="2760" w:type="dxa"/>
          </w:tcPr>
          <w:p w:rsidR="00CB6A57" w:rsidRPr="00B22617" w:rsidRDefault="00CB6A57">
            <w:pPr>
              <w:rPr>
                <w:rFonts w:asciiTheme="minorHAnsi" w:hAnsiTheme="minorHAnsi"/>
                <w:b/>
                <w:i/>
                <w:sz w:val="20"/>
              </w:rPr>
            </w:pPr>
            <w:bookmarkStart w:id="78" w:name="Agreement16"/>
          </w:p>
          <w:p w:rsidR="00CB6A57" w:rsidRPr="00B22617" w:rsidRDefault="00CB6A57">
            <w:pPr>
              <w:rPr>
                <w:rFonts w:asciiTheme="minorHAnsi" w:hAnsiTheme="minorHAnsi"/>
                <w:b/>
                <w:i/>
                <w:sz w:val="20"/>
              </w:rPr>
            </w:pPr>
            <w:r w:rsidRPr="00B22617">
              <w:rPr>
                <w:rFonts w:asciiTheme="minorHAnsi" w:hAnsiTheme="minorHAnsi"/>
                <w:b/>
                <w:i/>
                <w:sz w:val="20"/>
              </w:rPr>
              <w:t>Agreement #16</w:t>
            </w:r>
            <w:bookmarkEnd w:id="78"/>
          </w:p>
          <w:p w:rsidR="00CB6A57" w:rsidRPr="00B22617" w:rsidRDefault="00CB6A57">
            <w:pPr>
              <w:rPr>
                <w:rFonts w:asciiTheme="minorHAnsi" w:hAnsiTheme="minorHAnsi"/>
                <w:b/>
                <w:i/>
                <w:sz w:val="20"/>
              </w:rPr>
            </w:pPr>
          </w:p>
        </w:tc>
        <w:tc>
          <w:tcPr>
            <w:tcW w:w="11040" w:type="dxa"/>
          </w:tcPr>
          <w:p w:rsidR="00CB6A57" w:rsidRPr="00B22617" w:rsidRDefault="00CB6A57">
            <w:pPr>
              <w:rPr>
                <w:rFonts w:asciiTheme="minorHAnsi" w:hAnsiTheme="minorHAnsi"/>
                <w:sz w:val="20"/>
              </w:rPr>
            </w:pPr>
            <w:bookmarkStart w:id="79" w:name="A16"/>
            <w:bookmarkEnd w:id="79"/>
          </w:p>
          <w:p w:rsidR="00CB6A57" w:rsidRPr="00B22617" w:rsidRDefault="00CB6A57">
            <w:pPr>
              <w:rPr>
                <w:rFonts w:asciiTheme="minorHAnsi" w:hAnsiTheme="minorHAnsi"/>
                <w:sz w:val="20"/>
              </w:rPr>
            </w:pPr>
          </w:p>
        </w:tc>
      </w:tr>
      <w:tr w:rsidR="00CB6A57" w:rsidRPr="00B22617">
        <w:trPr>
          <w:gridAfter w:val="1"/>
          <w:wAfter w:w="17" w:type="dxa"/>
          <w:cantSplit/>
        </w:trPr>
        <w:tc>
          <w:tcPr>
            <w:tcW w:w="764" w:type="dxa"/>
            <w:vMerge/>
          </w:tcPr>
          <w:p w:rsidR="00CB6A57" w:rsidRPr="00B22617" w:rsidRDefault="00CB6A57">
            <w:pPr>
              <w:rPr>
                <w:rFonts w:asciiTheme="minorHAnsi" w:hAnsiTheme="minorHAnsi"/>
                <w:b/>
                <w:i/>
                <w:sz w:val="20"/>
              </w:rPr>
            </w:pPr>
          </w:p>
        </w:tc>
        <w:tc>
          <w:tcPr>
            <w:tcW w:w="2760" w:type="dxa"/>
          </w:tcPr>
          <w:p w:rsidR="00CB6A57" w:rsidRPr="00B22617" w:rsidRDefault="00CB6A57">
            <w:pPr>
              <w:rPr>
                <w:rFonts w:asciiTheme="minorHAnsi" w:hAnsiTheme="minorHAnsi"/>
                <w:b/>
                <w:i/>
                <w:sz w:val="20"/>
              </w:rPr>
            </w:pPr>
            <w:bookmarkStart w:id="80" w:name="Agreement17"/>
          </w:p>
          <w:p w:rsidR="00CB6A57" w:rsidRPr="00B22617" w:rsidRDefault="00CB6A57">
            <w:pPr>
              <w:rPr>
                <w:rFonts w:asciiTheme="minorHAnsi" w:hAnsiTheme="minorHAnsi"/>
                <w:b/>
                <w:i/>
                <w:sz w:val="20"/>
              </w:rPr>
            </w:pPr>
            <w:r w:rsidRPr="00B22617">
              <w:rPr>
                <w:rFonts w:asciiTheme="minorHAnsi" w:hAnsiTheme="minorHAnsi"/>
                <w:b/>
                <w:i/>
                <w:sz w:val="20"/>
              </w:rPr>
              <w:t>Agreement #17</w:t>
            </w:r>
            <w:bookmarkEnd w:id="80"/>
          </w:p>
          <w:p w:rsidR="00CB6A57" w:rsidRPr="00B22617" w:rsidRDefault="00CB6A57">
            <w:pPr>
              <w:rPr>
                <w:rFonts w:asciiTheme="minorHAnsi" w:hAnsiTheme="minorHAnsi"/>
                <w:b/>
                <w:i/>
                <w:sz w:val="20"/>
              </w:rPr>
            </w:pPr>
          </w:p>
        </w:tc>
        <w:tc>
          <w:tcPr>
            <w:tcW w:w="11040" w:type="dxa"/>
          </w:tcPr>
          <w:p w:rsidR="00CB6A57" w:rsidRPr="00B22617" w:rsidRDefault="00CB6A57">
            <w:pPr>
              <w:rPr>
                <w:rFonts w:asciiTheme="minorHAnsi" w:hAnsiTheme="minorHAnsi"/>
                <w:sz w:val="20"/>
              </w:rPr>
            </w:pPr>
            <w:bookmarkStart w:id="81" w:name="A17"/>
            <w:bookmarkEnd w:id="81"/>
          </w:p>
          <w:p w:rsidR="00CB6A57" w:rsidRPr="00B22617" w:rsidRDefault="00CB6A57">
            <w:pPr>
              <w:rPr>
                <w:rFonts w:asciiTheme="minorHAnsi" w:hAnsiTheme="minorHAnsi"/>
                <w:sz w:val="20"/>
              </w:rPr>
            </w:pPr>
          </w:p>
        </w:tc>
      </w:tr>
      <w:tr w:rsidR="00CB6A57" w:rsidRPr="00B22617">
        <w:trPr>
          <w:gridAfter w:val="1"/>
          <w:wAfter w:w="17" w:type="dxa"/>
          <w:cantSplit/>
        </w:trPr>
        <w:tc>
          <w:tcPr>
            <w:tcW w:w="764" w:type="dxa"/>
            <w:vMerge/>
          </w:tcPr>
          <w:p w:rsidR="00CB6A57" w:rsidRPr="00B22617" w:rsidRDefault="00CB6A57">
            <w:pPr>
              <w:rPr>
                <w:rFonts w:asciiTheme="minorHAnsi" w:hAnsiTheme="minorHAnsi"/>
                <w:b/>
                <w:i/>
                <w:sz w:val="20"/>
              </w:rPr>
            </w:pPr>
          </w:p>
        </w:tc>
        <w:tc>
          <w:tcPr>
            <w:tcW w:w="2760" w:type="dxa"/>
          </w:tcPr>
          <w:p w:rsidR="00CB6A57" w:rsidRPr="00B22617" w:rsidRDefault="00CB6A57">
            <w:pPr>
              <w:rPr>
                <w:rFonts w:asciiTheme="minorHAnsi" w:hAnsiTheme="minorHAnsi"/>
                <w:b/>
                <w:i/>
                <w:sz w:val="20"/>
              </w:rPr>
            </w:pPr>
            <w:bookmarkStart w:id="82" w:name="Agreement18"/>
          </w:p>
          <w:p w:rsidR="00CB6A57" w:rsidRPr="00B22617" w:rsidRDefault="00CB6A57">
            <w:pPr>
              <w:rPr>
                <w:rFonts w:asciiTheme="minorHAnsi" w:hAnsiTheme="minorHAnsi"/>
                <w:b/>
                <w:i/>
                <w:sz w:val="20"/>
              </w:rPr>
            </w:pPr>
            <w:r w:rsidRPr="00B22617">
              <w:rPr>
                <w:rFonts w:asciiTheme="minorHAnsi" w:hAnsiTheme="minorHAnsi"/>
                <w:b/>
                <w:i/>
                <w:sz w:val="20"/>
              </w:rPr>
              <w:t>Agreement #18</w:t>
            </w:r>
            <w:bookmarkEnd w:id="82"/>
          </w:p>
          <w:p w:rsidR="00CB6A57" w:rsidRPr="00B22617" w:rsidRDefault="00CB6A57">
            <w:pPr>
              <w:rPr>
                <w:rFonts w:asciiTheme="minorHAnsi" w:hAnsiTheme="minorHAnsi"/>
                <w:b/>
                <w:i/>
                <w:sz w:val="20"/>
              </w:rPr>
            </w:pPr>
          </w:p>
        </w:tc>
        <w:tc>
          <w:tcPr>
            <w:tcW w:w="11040" w:type="dxa"/>
          </w:tcPr>
          <w:p w:rsidR="00CB6A57" w:rsidRPr="00B22617" w:rsidRDefault="00CB6A57">
            <w:pPr>
              <w:rPr>
                <w:rFonts w:asciiTheme="minorHAnsi" w:hAnsiTheme="minorHAnsi"/>
                <w:sz w:val="20"/>
              </w:rPr>
            </w:pPr>
            <w:bookmarkStart w:id="83" w:name="A18"/>
            <w:bookmarkEnd w:id="83"/>
          </w:p>
          <w:p w:rsidR="00CB6A57" w:rsidRPr="00B22617" w:rsidRDefault="00CB6A57">
            <w:pPr>
              <w:rPr>
                <w:rFonts w:asciiTheme="minorHAnsi" w:hAnsiTheme="minorHAnsi"/>
                <w:sz w:val="20"/>
              </w:rPr>
            </w:pPr>
          </w:p>
        </w:tc>
      </w:tr>
      <w:tr w:rsidR="00CB6A57" w:rsidRPr="00B22617">
        <w:trPr>
          <w:gridAfter w:val="1"/>
          <w:wAfter w:w="17" w:type="dxa"/>
          <w:cantSplit/>
        </w:trPr>
        <w:tc>
          <w:tcPr>
            <w:tcW w:w="764" w:type="dxa"/>
            <w:vMerge/>
          </w:tcPr>
          <w:p w:rsidR="00CB6A57" w:rsidRPr="00B22617" w:rsidRDefault="00CB6A57">
            <w:pPr>
              <w:rPr>
                <w:rFonts w:asciiTheme="minorHAnsi" w:hAnsiTheme="minorHAnsi"/>
                <w:b/>
                <w:i/>
                <w:sz w:val="20"/>
              </w:rPr>
            </w:pPr>
          </w:p>
        </w:tc>
        <w:tc>
          <w:tcPr>
            <w:tcW w:w="2760" w:type="dxa"/>
          </w:tcPr>
          <w:p w:rsidR="00CB6A57" w:rsidRPr="00B22617" w:rsidRDefault="00CB6A57">
            <w:pPr>
              <w:rPr>
                <w:rFonts w:asciiTheme="minorHAnsi" w:hAnsiTheme="minorHAnsi"/>
                <w:b/>
                <w:i/>
                <w:sz w:val="20"/>
              </w:rPr>
            </w:pPr>
            <w:bookmarkStart w:id="84" w:name="Agreement19"/>
          </w:p>
          <w:p w:rsidR="00CB6A57" w:rsidRPr="00B22617" w:rsidRDefault="00CB6A57">
            <w:pPr>
              <w:rPr>
                <w:rFonts w:asciiTheme="minorHAnsi" w:hAnsiTheme="minorHAnsi"/>
                <w:b/>
                <w:i/>
                <w:sz w:val="20"/>
              </w:rPr>
            </w:pPr>
            <w:r w:rsidRPr="00B22617">
              <w:rPr>
                <w:rFonts w:asciiTheme="minorHAnsi" w:hAnsiTheme="minorHAnsi"/>
                <w:b/>
                <w:i/>
                <w:sz w:val="20"/>
              </w:rPr>
              <w:t>Agreement #19</w:t>
            </w:r>
            <w:bookmarkEnd w:id="84"/>
          </w:p>
          <w:p w:rsidR="00CB6A57" w:rsidRPr="00B22617" w:rsidRDefault="00CB6A57">
            <w:pPr>
              <w:rPr>
                <w:rFonts w:asciiTheme="minorHAnsi" w:hAnsiTheme="minorHAnsi"/>
                <w:b/>
                <w:i/>
                <w:sz w:val="20"/>
              </w:rPr>
            </w:pPr>
          </w:p>
        </w:tc>
        <w:tc>
          <w:tcPr>
            <w:tcW w:w="11040" w:type="dxa"/>
          </w:tcPr>
          <w:p w:rsidR="00CB6A57" w:rsidRPr="00B22617" w:rsidRDefault="00CB6A57">
            <w:pPr>
              <w:rPr>
                <w:rFonts w:asciiTheme="minorHAnsi" w:hAnsiTheme="minorHAnsi"/>
                <w:sz w:val="20"/>
              </w:rPr>
            </w:pPr>
            <w:bookmarkStart w:id="85" w:name="A19"/>
            <w:bookmarkEnd w:id="85"/>
          </w:p>
          <w:p w:rsidR="00CB6A57" w:rsidRPr="00B22617" w:rsidRDefault="00CB6A57">
            <w:pPr>
              <w:rPr>
                <w:rFonts w:asciiTheme="minorHAnsi" w:hAnsiTheme="minorHAnsi"/>
                <w:sz w:val="20"/>
              </w:rPr>
            </w:pPr>
          </w:p>
        </w:tc>
      </w:tr>
      <w:tr w:rsidR="00CB6A57" w:rsidRPr="00B22617">
        <w:trPr>
          <w:gridAfter w:val="1"/>
          <w:wAfter w:w="17" w:type="dxa"/>
          <w:cantSplit/>
        </w:trPr>
        <w:tc>
          <w:tcPr>
            <w:tcW w:w="764" w:type="dxa"/>
            <w:vMerge/>
          </w:tcPr>
          <w:p w:rsidR="00CB6A57" w:rsidRPr="00B22617" w:rsidRDefault="00CB6A57">
            <w:pPr>
              <w:rPr>
                <w:rFonts w:asciiTheme="minorHAnsi" w:hAnsiTheme="minorHAnsi"/>
                <w:b/>
                <w:i/>
                <w:sz w:val="20"/>
              </w:rPr>
            </w:pPr>
          </w:p>
        </w:tc>
        <w:tc>
          <w:tcPr>
            <w:tcW w:w="2760" w:type="dxa"/>
          </w:tcPr>
          <w:p w:rsidR="00CB6A57" w:rsidRPr="00B22617" w:rsidRDefault="00CB6A57">
            <w:pPr>
              <w:rPr>
                <w:rFonts w:asciiTheme="minorHAnsi" w:hAnsiTheme="minorHAnsi"/>
                <w:b/>
                <w:i/>
                <w:sz w:val="20"/>
              </w:rPr>
            </w:pPr>
            <w:bookmarkStart w:id="86" w:name="Agreement20"/>
          </w:p>
          <w:p w:rsidR="00CB6A57" w:rsidRPr="00B22617" w:rsidRDefault="00CB6A57">
            <w:pPr>
              <w:rPr>
                <w:rFonts w:asciiTheme="minorHAnsi" w:hAnsiTheme="minorHAnsi"/>
                <w:b/>
                <w:i/>
                <w:sz w:val="20"/>
              </w:rPr>
            </w:pPr>
            <w:r w:rsidRPr="00B22617">
              <w:rPr>
                <w:rFonts w:asciiTheme="minorHAnsi" w:hAnsiTheme="minorHAnsi"/>
                <w:b/>
                <w:i/>
                <w:sz w:val="20"/>
              </w:rPr>
              <w:t>Agreement #20</w:t>
            </w:r>
            <w:bookmarkEnd w:id="86"/>
          </w:p>
          <w:p w:rsidR="00CB6A57" w:rsidRPr="00B22617" w:rsidRDefault="00CB6A57">
            <w:pPr>
              <w:rPr>
                <w:rFonts w:asciiTheme="minorHAnsi" w:hAnsiTheme="minorHAnsi"/>
                <w:b/>
                <w:i/>
                <w:sz w:val="20"/>
              </w:rPr>
            </w:pPr>
          </w:p>
        </w:tc>
        <w:tc>
          <w:tcPr>
            <w:tcW w:w="11040" w:type="dxa"/>
          </w:tcPr>
          <w:p w:rsidR="00CB6A57" w:rsidRPr="00B22617" w:rsidRDefault="00CB6A57">
            <w:pPr>
              <w:rPr>
                <w:rFonts w:asciiTheme="minorHAnsi" w:hAnsiTheme="minorHAnsi"/>
                <w:sz w:val="20"/>
              </w:rPr>
            </w:pPr>
            <w:bookmarkStart w:id="87" w:name="A20"/>
            <w:bookmarkEnd w:id="87"/>
          </w:p>
          <w:p w:rsidR="00CB6A57" w:rsidRPr="00B22617" w:rsidRDefault="00CB6A57">
            <w:pPr>
              <w:rPr>
                <w:rFonts w:asciiTheme="minorHAnsi" w:hAnsiTheme="minorHAnsi"/>
                <w:sz w:val="20"/>
              </w:rPr>
            </w:pPr>
          </w:p>
        </w:tc>
      </w:tr>
      <w:tr w:rsidR="00CB6A57" w:rsidRPr="00B22617">
        <w:trPr>
          <w:gridAfter w:val="1"/>
          <w:wAfter w:w="17" w:type="dxa"/>
          <w:cantSplit/>
        </w:trPr>
        <w:tc>
          <w:tcPr>
            <w:tcW w:w="3524" w:type="dxa"/>
            <w:gridSpan w:val="2"/>
          </w:tcPr>
          <w:p w:rsidR="00CB6A57" w:rsidRPr="00B22617" w:rsidRDefault="00CB6A57">
            <w:pPr>
              <w:rPr>
                <w:rFonts w:asciiTheme="minorHAnsi" w:hAnsiTheme="minorHAnsi"/>
                <w:b/>
                <w:i/>
                <w:sz w:val="20"/>
              </w:rPr>
            </w:pPr>
          </w:p>
          <w:p w:rsidR="00CB6A57" w:rsidRPr="00B22617" w:rsidRDefault="00CB6A57">
            <w:pPr>
              <w:rPr>
                <w:rFonts w:asciiTheme="minorHAnsi" w:hAnsiTheme="minorHAnsi"/>
                <w:b/>
                <w:i/>
                <w:sz w:val="20"/>
              </w:rPr>
            </w:pPr>
            <w:r w:rsidRPr="00B22617">
              <w:rPr>
                <w:rFonts w:asciiTheme="minorHAnsi" w:hAnsiTheme="minorHAnsi"/>
                <w:b/>
                <w:i/>
                <w:sz w:val="20"/>
              </w:rPr>
              <w:t xml:space="preserve">- </w:t>
            </w:r>
            <w:bookmarkStart w:id="88" w:name="future"/>
            <w:r w:rsidRPr="00B22617">
              <w:rPr>
                <w:rFonts w:asciiTheme="minorHAnsi" w:hAnsiTheme="minorHAnsi"/>
                <w:b/>
                <w:i/>
                <w:sz w:val="20"/>
              </w:rPr>
              <w:t>Future plans</w:t>
            </w:r>
            <w:bookmarkEnd w:id="88"/>
          </w:p>
          <w:p w:rsidR="00CB6A57" w:rsidRPr="00B22617" w:rsidRDefault="00CB6A57">
            <w:pPr>
              <w:rPr>
                <w:rFonts w:asciiTheme="minorHAnsi" w:hAnsiTheme="minorHAnsi"/>
                <w:b/>
                <w:i/>
                <w:sz w:val="20"/>
              </w:rPr>
            </w:pPr>
          </w:p>
        </w:tc>
        <w:tc>
          <w:tcPr>
            <w:tcW w:w="11040" w:type="dxa"/>
          </w:tcPr>
          <w:p w:rsidR="00CB6A57" w:rsidRPr="00B22617" w:rsidRDefault="00CB6A57">
            <w:pPr>
              <w:rPr>
                <w:rFonts w:asciiTheme="minorHAnsi" w:hAnsiTheme="minorHAnsi"/>
                <w:sz w:val="20"/>
              </w:rPr>
            </w:pPr>
            <w:bookmarkStart w:id="89" w:name="cell34"/>
            <w:bookmarkEnd w:id="89"/>
          </w:p>
          <w:p w:rsidR="00CB6A57" w:rsidRPr="00B22617" w:rsidRDefault="00CB6A57">
            <w:pPr>
              <w:rPr>
                <w:rFonts w:asciiTheme="minorHAnsi" w:hAnsiTheme="minorHAnsi"/>
                <w:sz w:val="20"/>
              </w:rPr>
            </w:pPr>
          </w:p>
        </w:tc>
      </w:tr>
      <w:tr w:rsidR="0001261C" w:rsidRPr="00B22617">
        <w:trPr>
          <w:gridAfter w:val="1"/>
          <w:wAfter w:w="17" w:type="dxa"/>
          <w:cantSplit/>
        </w:trPr>
        <w:tc>
          <w:tcPr>
            <w:tcW w:w="3524" w:type="dxa"/>
            <w:gridSpan w:val="2"/>
          </w:tcPr>
          <w:p w:rsidR="001A1859" w:rsidRPr="00B22617" w:rsidRDefault="001A1859" w:rsidP="0001261C">
            <w:pPr>
              <w:pStyle w:val="Heading9"/>
              <w:rPr>
                <w:rFonts w:asciiTheme="minorHAnsi" w:hAnsiTheme="minorHAnsi"/>
                <w:b w:val="0"/>
                <w:color w:val="808080"/>
              </w:rPr>
            </w:pPr>
            <w:r w:rsidRPr="00B22617">
              <w:rPr>
                <w:rFonts w:asciiTheme="minorHAnsi" w:hAnsiTheme="minorHAnsi"/>
                <w:b w:val="0"/>
                <w:color w:val="808080"/>
              </w:rPr>
              <w:t xml:space="preserve">Website for further information:  </w:t>
            </w:r>
          </w:p>
        </w:tc>
        <w:tc>
          <w:tcPr>
            <w:tcW w:w="11040" w:type="dxa"/>
          </w:tcPr>
          <w:p w:rsidR="001A1859" w:rsidRPr="00B22617" w:rsidRDefault="001A1859" w:rsidP="0001261C">
            <w:pPr>
              <w:pStyle w:val="Heading9"/>
              <w:rPr>
                <w:rFonts w:asciiTheme="minorHAnsi" w:hAnsiTheme="minorHAnsi"/>
                <w:b w:val="0"/>
                <w:color w:val="FF0000"/>
              </w:rPr>
            </w:pPr>
          </w:p>
        </w:tc>
      </w:tr>
      <w:tr w:rsidR="0001261C" w:rsidRPr="00B22617">
        <w:trPr>
          <w:gridAfter w:val="1"/>
          <w:wAfter w:w="17" w:type="dxa"/>
          <w:cantSplit/>
        </w:trPr>
        <w:tc>
          <w:tcPr>
            <w:tcW w:w="3524" w:type="dxa"/>
            <w:gridSpan w:val="2"/>
          </w:tcPr>
          <w:p w:rsidR="001A1859" w:rsidRPr="00B22617" w:rsidRDefault="001A1859" w:rsidP="0001261C">
            <w:pPr>
              <w:pStyle w:val="Heading9"/>
              <w:rPr>
                <w:rFonts w:asciiTheme="minorHAnsi" w:hAnsiTheme="minorHAnsi"/>
                <w:b w:val="0"/>
                <w:color w:val="808080"/>
              </w:rPr>
            </w:pPr>
            <w:r w:rsidRPr="00B22617">
              <w:rPr>
                <w:rFonts w:asciiTheme="minorHAnsi" w:hAnsiTheme="minorHAnsi"/>
                <w:b w:val="0"/>
                <w:color w:val="808080"/>
              </w:rPr>
              <w:t>Contact point for further details:</w:t>
            </w:r>
          </w:p>
        </w:tc>
        <w:tc>
          <w:tcPr>
            <w:tcW w:w="11040" w:type="dxa"/>
          </w:tcPr>
          <w:p w:rsidR="001A1859" w:rsidRPr="00B22617" w:rsidRDefault="001A1859" w:rsidP="0001261C">
            <w:pPr>
              <w:pStyle w:val="Heading9"/>
              <w:rPr>
                <w:rFonts w:asciiTheme="minorHAnsi" w:hAnsiTheme="minorHAnsi"/>
                <w:b w:val="0"/>
                <w:color w:val="FF0000"/>
              </w:rPr>
            </w:pPr>
          </w:p>
        </w:tc>
      </w:tr>
    </w:tbl>
    <w:p w:rsidR="00CB6A57" w:rsidRPr="00B22617" w:rsidRDefault="00CB6A57">
      <w:pPr>
        <w:pStyle w:val="Title"/>
        <w:jc w:val="both"/>
        <w:rPr>
          <w:rFonts w:asciiTheme="minorHAnsi" w:hAnsiTheme="minorHAnsi"/>
          <w:sz w:val="20"/>
        </w:rPr>
      </w:pPr>
    </w:p>
    <w:tbl>
      <w:tblPr>
        <w:tblW w:w="14581" w:type="dxa"/>
        <w:tblInd w:w="-1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524"/>
        <w:gridCol w:w="5387"/>
        <w:gridCol w:w="5670"/>
      </w:tblGrid>
      <w:tr w:rsidR="008F223D" w:rsidRPr="00B22617" w:rsidTr="008F223D">
        <w:tc>
          <w:tcPr>
            <w:tcW w:w="3524" w:type="dxa"/>
          </w:tcPr>
          <w:p w:rsidR="008F223D" w:rsidRPr="00B22617" w:rsidRDefault="008F223D" w:rsidP="00B72FF6">
            <w:pPr>
              <w:rPr>
                <w:rFonts w:asciiTheme="minorHAnsi" w:hAnsiTheme="minorHAnsi"/>
                <w:b/>
                <w:i/>
                <w:sz w:val="20"/>
              </w:rPr>
            </w:pPr>
            <w:r w:rsidRPr="00B22617">
              <w:rPr>
                <w:rFonts w:asciiTheme="minorHAnsi" w:hAnsiTheme="minorHAnsi"/>
                <w:b/>
                <w:i/>
                <w:sz w:val="20"/>
              </w:rPr>
              <w:t>Other voluntary reporting areas</w:t>
            </w:r>
          </w:p>
          <w:p w:rsidR="008F223D" w:rsidRPr="00B22617" w:rsidRDefault="008F223D" w:rsidP="00B72FF6">
            <w:pPr>
              <w:rPr>
                <w:rFonts w:asciiTheme="minorHAnsi" w:hAnsiTheme="minorHAnsi"/>
                <w:b/>
                <w:i/>
                <w:sz w:val="20"/>
              </w:rPr>
            </w:pPr>
          </w:p>
        </w:tc>
        <w:tc>
          <w:tcPr>
            <w:tcW w:w="5387" w:type="dxa"/>
          </w:tcPr>
          <w:p w:rsidR="008F223D" w:rsidRPr="00B22617" w:rsidRDefault="008F223D" w:rsidP="00B72FF6">
            <w:pPr>
              <w:rPr>
                <w:rFonts w:asciiTheme="minorHAnsi" w:hAnsiTheme="minorHAnsi"/>
                <w:color w:val="808080"/>
                <w:sz w:val="20"/>
              </w:rPr>
            </w:pPr>
            <w:r w:rsidRPr="00B22617">
              <w:rPr>
                <w:rFonts w:asciiTheme="minorHAnsi" w:hAnsiTheme="minorHAnsi" w:cs="Arial"/>
                <w:i/>
                <w:color w:val="808080"/>
                <w:sz w:val="20"/>
              </w:rPr>
              <w:t>Provide brief points only</w:t>
            </w:r>
          </w:p>
        </w:tc>
        <w:tc>
          <w:tcPr>
            <w:tcW w:w="5670" w:type="dxa"/>
          </w:tcPr>
          <w:p w:rsidR="008F223D" w:rsidRPr="00B22617" w:rsidRDefault="008F223D" w:rsidP="00B72FF6">
            <w:pPr>
              <w:rPr>
                <w:rFonts w:asciiTheme="minorHAnsi" w:hAnsiTheme="minorHAnsi"/>
                <w:color w:val="808080"/>
                <w:sz w:val="20"/>
              </w:rPr>
            </w:pPr>
            <w:r w:rsidRPr="00B22617">
              <w:rPr>
                <w:rFonts w:asciiTheme="minorHAnsi" w:hAnsiTheme="minorHAnsi" w:cs="Arial"/>
                <w:i/>
                <w:color w:val="808080"/>
                <w:sz w:val="20"/>
              </w:rPr>
              <w:t>Provide brief points only</w:t>
            </w:r>
          </w:p>
        </w:tc>
      </w:tr>
      <w:tr w:rsidR="008F223D" w:rsidRPr="00B22617" w:rsidTr="008F223D">
        <w:tc>
          <w:tcPr>
            <w:tcW w:w="3524" w:type="dxa"/>
          </w:tcPr>
          <w:p w:rsidR="008F223D" w:rsidRPr="00B22617" w:rsidRDefault="008F223D" w:rsidP="00B72FF6">
            <w:pPr>
              <w:pStyle w:val="Heading9"/>
              <w:rPr>
                <w:rFonts w:asciiTheme="minorHAnsi" w:hAnsiTheme="minorHAnsi"/>
                <w:b w:val="0"/>
                <w:color w:val="808080"/>
              </w:rPr>
            </w:pPr>
            <w:r w:rsidRPr="00B22617">
              <w:rPr>
                <w:rFonts w:asciiTheme="minorHAnsi" w:hAnsiTheme="minorHAnsi"/>
                <w:b w:val="0"/>
                <w:color w:val="808080"/>
              </w:rPr>
              <w:t xml:space="preserve">Website for further information:  </w:t>
            </w:r>
          </w:p>
        </w:tc>
        <w:tc>
          <w:tcPr>
            <w:tcW w:w="5387" w:type="dxa"/>
          </w:tcPr>
          <w:p w:rsidR="008F223D" w:rsidRPr="00B22617" w:rsidRDefault="008F223D" w:rsidP="00B72FF6">
            <w:pPr>
              <w:pStyle w:val="Heading9"/>
              <w:rPr>
                <w:rFonts w:asciiTheme="minorHAnsi" w:hAnsiTheme="minorHAnsi"/>
                <w:b w:val="0"/>
              </w:rPr>
            </w:pPr>
          </w:p>
        </w:tc>
        <w:tc>
          <w:tcPr>
            <w:tcW w:w="5670" w:type="dxa"/>
          </w:tcPr>
          <w:p w:rsidR="008F223D" w:rsidRPr="00B22617" w:rsidRDefault="008F223D" w:rsidP="00B72FF6">
            <w:pPr>
              <w:pStyle w:val="Heading9"/>
              <w:rPr>
                <w:rFonts w:asciiTheme="minorHAnsi" w:hAnsiTheme="minorHAnsi"/>
                <w:b w:val="0"/>
              </w:rPr>
            </w:pPr>
          </w:p>
        </w:tc>
      </w:tr>
      <w:tr w:rsidR="008F223D" w:rsidRPr="00B22617" w:rsidTr="008F223D">
        <w:tc>
          <w:tcPr>
            <w:tcW w:w="3524" w:type="dxa"/>
          </w:tcPr>
          <w:p w:rsidR="008F223D" w:rsidRPr="00B22617" w:rsidRDefault="008F223D" w:rsidP="00B72FF6">
            <w:pPr>
              <w:pStyle w:val="Heading9"/>
              <w:rPr>
                <w:rFonts w:asciiTheme="minorHAnsi" w:hAnsiTheme="minorHAnsi"/>
                <w:b w:val="0"/>
                <w:color w:val="808080"/>
              </w:rPr>
            </w:pPr>
            <w:r w:rsidRPr="00B22617">
              <w:rPr>
                <w:rFonts w:asciiTheme="minorHAnsi" w:hAnsiTheme="minorHAnsi"/>
                <w:b w:val="0"/>
                <w:color w:val="808080"/>
              </w:rPr>
              <w:t>Contact point for further details:</w:t>
            </w:r>
          </w:p>
        </w:tc>
        <w:tc>
          <w:tcPr>
            <w:tcW w:w="5387" w:type="dxa"/>
          </w:tcPr>
          <w:p w:rsidR="008F223D" w:rsidRPr="00B22617" w:rsidRDefault="008F223D" w:rsidP="00B72FF6">
            <w:pPr>
              <w:pStyle w:val="Heading9"/>
              <w:rPr>
                <w:rFonts w:asciiTheme="minorHAnsi" w:hAnsiTheme="minorHAnsi"/>
                <w:b w:val="0"/>
              </w:rPr>
            </w:pPr>
          </w:p>
        </w:tc>
        <w:tc>
          <w:tcPr>
            <w:tcW w:w="5670" w:type="dxa"/>
          </w:tcPr>
          <w:p w:rsidR="008F223D" w:rsidRPr="00B22617" w:rsidRDefault="008F223D" w:rsidP="00B72FF6">
            <w:pPr>
              <w:pStyle w:val="Heading9"/>
              <w:rPr>
                <w:rFonts w:asciiTheme="minorHAnsi" w:hAnsiTheme="minorHAnsi"/>
                <w:b w:val="0"/>
              </w:rPr>
            </w:pPr>
          </w:p>
        </w:tc>
      </w:tr>
    </w:tbl>
    <w:p w:rsidR="00CB6A57" w:rsidRPr="00B22617" w:rsidRDefault="00CB6A57">
      <w:pPr>
        <w:pStyle w:val="Title"/>
        <w:jc w:val="both"/>
        <w:rPr>
          <w:rFonts w:asciiTheme="minorHAnsi" w:hAnsiTheme="minorHAnsi"/>
          <w:b w:val="0"/>
          <w:i/>
          <w:sz w:val="20"/>
          <w:lang w:val="en-AU"/>
        </w:rPr>
      </w:pPr>
    </w:p>
    <w:sectPr w:rsidR="00CB6A57" w:rsidRPr="00B22617" w:rsidSect="009C1EEE">
      <w:headerReference w:type="even" r:id="rId59"/>
      <w:pgSz w:w="16834" w:h="11909" w:orient="landscape" w:code="9"/>
      <w:pgMar w:top="1440" w:right="1454" w:bottom="1440" w:left="1440" w:header="720" w:footer="720" w:gutter="0"/>
      <w:paperSrc w:first="12337" w:other="12337"/>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D5A7E" w:rsidRDefault="00FD5A7E">
      <w:r>
        <w:separator/>
      </w:r>
    </w:p>
  </w:endnote>
  <w:endnote w:type="continuationSeparator" w:id="0">
    <w:p w:rsidR="00FD5A7E" w:rsidRDefault="00FD5A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 w:name="Dotum">
    <w:altName w:val="돋움"/>
    <w:panose1 w:val="020B0600000101010101"/>
    <w:charset w:val="81"/>
    <w:family w:val="swiss"/>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D5A7E" w:rsidRDefault="00FD5A7E">
      <w:r>
        <w:separator/>
      </w:r>
    </w:p>
  </w:footnote>
  <w:footnote w:type="continuationSeparator" w:id="0">
    <w:p w:rsidR="00FD5A7E" w:rsidRDefault="00FD5A7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5A7E" w:rsidRPr="00D05848" w:rsidRDefault="00FD5A7E" w:rsidP="00750D35">
    <w:pPr>
      <w:pStyle w:val="RptHeader-Calibri"/>
      <w:tabs>
        <w:tab w:val="clear" w:pos="8640"/>
        <w:tab w:val="right" w:pos="13860"/>
      </w:tabs>
    </w:pPr>
    <w:r w:rsidRPr="00193F7C">
      <w:rPr>
        <w:b/>
      </w:rPr>
      <w:fldChar w:fldCharType="begin"/>
    </w:r>
    <w:r w:rsidRPr="00193F7C">
      <w:rPr>
        <w:b/>
      </w:rPr>
      <w:instrText xml:space="preserve"> PAGE   \* MERGEFORMAT </w:instrText>
    </w:r>
    <w:r w:rsidRPr="00193F7C">
      <w:rPr>
        <w:b/>
      </w:rPr>
      <w:fldChar w:fldCharType="separate"/>
    </w:r>
    <w:r w:rsidR="00EE0640">
      <w:rPr>
        <w:b/>
        <w:noProof/>
      </w:rPr>
      <w:t>18</w:t>
    </w:r>
    <w:r w:rsidRPr="00193F7C">
      <w:rPr>
        <w:b/>
      </w:rPr>
      <w:fldChar w:fldCharType="end"/>
    </w:r>
    <w:r>
      <w:rPr>
        <w:b/>
        <w:sz w:val="20"/>
        <w:szCs w:val="20"/>
      </w:rPr>
      <w:t xml:space="preserve"> | </w:t>
    </w:r>
    <w:r w:rsidRPr="00D05848">
      <w:t xml:space="preserve">Appendix </w:t>
    </w:r>
    <w:r>
      <w:t xml:space="preserve">1 </w:t>
    </w:r>
    <w:r>
      <w:rPr>
        <w:b/>
        <w:sz w:val="20"/>
        <w:szCs w:val="20"/>
      </w:rPr>
      <w:tab/>
    </w:r>
    <w:r>
      <w:rPr>
        <w:b/>
        <w:sz w:val="20"/>
        <w:szCs w:val="20"/>
      </w:rPr>
      <w:tab/>
    </w:r>
    <w:r>
      <w:t>2011</w:t>
    </w:r>
    <w:r w:rsidRPr="00D05848">
      <w:t xml:space="preserve"> CTI Report to Ministers</w:t>
    </w:r>
    <w:r w:rsidRPr="00D05848">
      <w:tab/>
    </w:r>
    <w:r>
      <w:tab/>
    </w:r>
  </w:p>
  <w:p w:rsidR="00FD5A7E" w:rsidRDefault="00FD5A7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1F4CF6"/>
    <w:multiLevelType w:val="hybridMultilevel"/>
    <w:tmpl w:val="E236F760"/>
    <w:lvl w:ilvl="0" w:tplc="080A0001">
      <w:start w:val="1"/>
      <w:numFmt w:val="bullet"/>
      <w:lvlText w:val=""/>
      <w:lvlJc w:val="left"/>
      <w:pPr>
        <w:ind w:left="1440" w:hanging="360"/>
      </w:pPr>
      <w:rPr>
        <w:rFonts w:ascii="Symbol" w:hAnsi="Symbol" w:hint="default"/>
      </w:rPr>
    </w:lvl>
    <w:lvl w:ilvl="1" w:tplc="080A0019">
      <w:start w:val="1"/>
      <w:numFmt w:val="lowerLetter"/>
      <w:lvlText w:val="%2."/>
      <w:lvlJc w:val="left"/>
      <w:pPr>
        <w:ind w:left="2160" w:hanging="360"/>
      </w:pPr>
    </w:lvl>
    <w:lvl w:ilvl="2" w:tplc="D498675C">
      <w:start w:val="1"/>
      <w:numFmt w:val="decimal"/>
      <w:lvlText w:val="%3)"/>
      <w:lvlJc w:val="left"/>
      <w:pPr>
        <w:ind w:left="3060" w:hanging="360"/>
      </w:pPr>
      <w:rPr>
        <w:rFonts w:hint="default"/>
      </w:rPr>
    </w:lvl>
    <w:lvl w:ilvl="3" w:tplc="080A000F">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
    <w:nsid w:val="191F74E7"/>
    <w:multiLevelType w:val="hybridMultilevel"/>
    <w:tmpl w:val="2626C3AC"/>
    <w:lvl w:ilvl="0" w:tplc="F252C946">
      <w:start w:val="1"/>
      <w:numFmt w:val="bullet"/>
      <w:lvlText w:val="-"/>
      <w:lvlJc w:val="left"/>
      <w:pPr>
        <w:ind w:left="2160" w:hanging="360"/>
      </w:pPr>
      <w:rPr>
        <w:rFonts w:ascii="Arial" w:hAnsi="Arial" w:hint="default"/>
      </w:rPr>
    </w:lvl>
    <w:lvl w:ilvl="1" w:tplc="040A0019" w:tentative="1">
      <w:start w:val="1"/>
      <w:numFmt w:val="lowerLetter"/>
      <w:lvlText w:val="%2."/>
      <w:lvlJc w:val="left"/>
      <w:pPr>
        <w:ind w:left="2880" w:hanging="360"/>
      </w:pPr>
    </w:lvl>
    <w:lvl w:ilvl="2" w:tplc="040A001B" w:tentative="1">
      <w:start w:val="1"/>
      <w:numFmt w:val="lowerRoman"/>
      <w:lvlText w:val="%3."/>
      <w:lvlJc w:val="right"/>
      <w:pPr>
        <w:ind w:left="3600" w:hanging="180"/>
      </w:pPr>
    </w:lvl>
    <w:lvl w:ilvl="3" w:tplc="040A000F" w:tentative="1">
      <w:start w:val="1"/>
      <w:numFmt w:val="decimal"/>
      <w:lvlText w:val="%4."/>
      <w:lvlJc w:val="left"/>
      <w:pPr>
        <w:ind w:left="4320" w:hanging="360"/>
      </w:pPr>
    </w:lvl>
    <w:lvl w:ilvl="4" w:tplc="040A0019" w:tentative="1">
      <w:start w:val="1"/>
      <w:numFmt w:val="lowerLetter"/>
      <w:lvlText w:val="%5."/>
      <w:lvlJc w:val="left"/>
      <w:pPr>
        <w:ind w:left="5040" w:hanging="360"/>
      </w:pPr>
    </w:lvl>
    <w:lvl w:ilvl="5" w:tplc="040A001B" w:tentative="1">
      <w:start w:val="1"/>
      <w:numFmt w:val="lowerRoman"/>
      <w:lvlText w:val="%6."/>
      <w:lvlJc w:val="right"/>
      <w:pPr>
        <w:ind w:left="5760" w:hanging="180"/>
      </w:pPr>
    </w:lvl>
    <w:lvl w:ilvl="6" w:tplc="040A000F" w:tentative="1">
      <w:start w:val="1"/>
      <w:numFmt w:val="decimal"/>
      <w:lvlText w:val="%7."/>
      <w:lvlJc w:val="left"/>
      <w:pPr>
        <w:ind w:left="6480" w:hanging="360"/>
      </w:pPr>
    </w:lvl>
    <w:lvl w:ilvl="7" w:tplc="040A0019" w:tentative="1">
      <w:start w:val="1"/>
      <w:numFmt w:val="lowerLetter"/>
      <w:lvlText w:val="%8."/>
      <w:lvlJc w:val="left"/>
      <w:pPr>
        <w:ind w:left="7200" w:hanging="360"/>
      </w:pPr>
    </w:lvl>
    <w:lvl w:ilvl="8" w:tplc="040A001B" w:tentative="1">
      <w:start w:val="1"/>
      <w:numFmt w:val="lowerRoman"/>
      <w:lvlText w:val="%9."/>
      <w:lvlJc w:val="right"/>
      <w:pPr>
        <w:ind w:left="7920" w:hanging="180"/>
      </w:pPr>
    </w:lvl>
  </w:abstractNum>
  <w:abstractNum w:abstractNumId="2">
    <w:nsid w:val="23B0459F"/>
    <w:multiLevelType w:val="hybridMultilevel"/>
    <w:tmpl w:val="3D7E96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262761A4"/>
    <w:multiLevelType w:val="hybridMultilevel"/>
    <w:tmpl w:val="28887676"/>
    <w:lvl w:ilvl="0" w:tplc="A4B89B4C">
      <w:start w:val="21"/>
      <w:numFmt w:val="bullet"/>
      <w:lvlText w:val="-"/>
      <w:lvlJc w:val="left"/>
      <w:pPr>
        <w:ind w:left="720" w:hanging="360"/>
      </w:pPr>
      <w:rPr>
        <w:rFonts w:ascii="Calibri" w:eastAsia="PMingLiU" w:hAnsi="Calibri"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FE718AD"/>
    <w:multiLevelType w:val="hybridMultilevel"/>
    <w:tmpl w:val="CAB88D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nsid w:val="5B5066DD"/>
    <w:multiLevelType w:val="hybridMultilevel"/>
    <w:tmpl w:val="09DEE406"/>
    <w:lvl w:ilvl="0" w:tplc="080A0013">
      <w:start w:val="1"/>
      <w:numFmt w:val="upperRoman"/>
      <w:lvlText w:val="%1."/>
      <w:lvlJc w:val="righ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6">
    <w:nsid w:val="61204B8B"/>
    <w:multiLevelType w:val="hybridMultilevel"/>
    <w:tmpl w:val="D884DB9E"/>
    <w:lvl w:ilvl="0" w:tplc="3558CB3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6"/>
  </w:num>
  <w:num w:numId="2">
    <w:abstractNumId w:val="5"/>
  </w:num>
  <w:num w:numId="3">
    <w:abstractNumId w:val="0"/>
  </w:num>
  <w:num w:numId="4">
    <w:abstractNumId w:val="1"/>
  </w:num>
  <w:num w:numId="5">
    <w:abstractNumId w:val="4"/>
    <w:lvlOverride w:ilvl="0"/>
    <w:lvlOverride w:ilvl="1"/>
    <w:lvlOverride w:ilvl="2"/>
    <w:lvlOverride w:ilvl="3"/>
    <w:lvlOverride w:ilvl="4"/>
    <w:lvlOverride w:ilvl="5"/>
    <w:lvlOverride w:ilvl="6"/>
    <w:lvlOverride w:ilvl="7"/>
    <w:lvlOverride w:ilvl="8"/>
  </w:num>
  <w:num w:numId="6">
    <w:abstractNumId w:val="2"/>
    <w:lvlOverride w:ilvl="0"/>
    <w:lvlOverride w:ilvl="1"/>
    <w:lvlOverride w:ilvl="2"/>
    <w:lvlOverride w:ilvl="3"/>
    <w:lvlOverride w:ilvl="4"/>
    <w:lvlOverride w:ilvl="5"/>
    <w:lvlOverride w:ilvl="6"/>
    <w:lvlOverride w:ilvl="7"/>
    <w:lvlOverride w:ilvl="8"/>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hideSpellingErrors/>
  <w:hideGrammaticalErrors/>
  <w:proofState w:spelling="clean" w:grammar="clean"/>
  <w:defaultTabStop w:val="720"/>
  <w:doNotHyphenateCaps/>
  <w:evenAndOddHeaders/>
  <w:drawingGridHorizontalSpacing w:val="120"/>
  <w:drawingGridVerticalSpacing w:val="163"/>
  <w:displayHorizontalDrawingGridEvery w:val="0"/>
  <w:displayVerticalDrawingGridEvery w:val="0"/>
  <w:noPunctuationKerning/>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rintSpacing" w:val=" 0"/>
  </w:docVars>
  <w:rsids>
    <w:rsidRoot w:val="009E7439"/>
    <w:rsid w:val="0001261C"/>
    <w:rsid w:val="00066458"/>
    <w:rsid w:val="00090838"/>
    <w:rsid w:val="000A31A1"/>
    <w:rsid w:val="000A33A0"/>
    <w:rsid w:val="0013401C"/>
    <w:rsid w:val="00193F7C"/>
    <w:rsid w:val="001A1859"/>
    <w:rsid w:val="001D27FF"/>
    <w:rsid w:val="001F22A2"/>
    <w:rsid w:val="002232DA"/>
    <w:rsid w:val="00232A06"/>
    <w:rsid w:val="002400F3"/>
    <w:rsid w:val="002825A0"/>
    <w:rsid w:val="002F7A75"/>
    <w:rsid w:val="00324A1A"/>
    <w:rsid w:val="00362042"/>
    <w:rsid w:val="00371203"/>
    <w:rsid w:val="0043542F"/>
    <w:rsid w:val="004446CF"/>
    <w:rsid w:val="00494D48"/>
    <w:rsid w:val="004E11F1"/>
    <w:rsid w:val="004F5D5A"/>
    <w:rsid w:val="005A6A9A"/>
    <w:rsid w:val="005C5ACF"/>
    <w:rsid w:val="00646C05"/>
    <w:rsid w:val="00647304"/>
    <w:rsid w:val="006C2F68"/>
    <w:rsid w:val="00750D35"/>
    <w:rsid w:val="008024A3"/>
    <w:rsid w:val="00894C71"/>
    <w:rsid w:val="008F223D"/>
    <w:rsid w:val="009044FF"/>
    <w:rsid w:val="00950932"/>
    <w:rsid w:val="00996A66"/>
    <w:rsid w:val="009C1EEE"/>
    <w:rsid w:val="009E1689"/>
    <w:rsid w:val="009E28DA"/>
    <w:rsid w:val="009E7439"/>
    <w:rsid w:val="00A34AD9"/>
    <w:rsid w:val="00A377EB"/>
    <w:rsid w:val="00A72D63"/>
    <w:rsid w:val="00A94F6A"/>
    <w:rsid w:val="00AE50B9"/>
    <w:rsid w:val="00B101B9"/>
    <w:rsid w:val="00B149BF"/>
    <w:rsid w:val="00B22617"/>
    <w:rsid w:val="00B34E82"/>
    <w:rsid w:val="00B72FF6"/>
    <w:rsid w:val="00BB42A4"/>
    <w:rsid w:val="00BF37B1"/>
    <w:rsid w:val="00C52482"/>
    <w:rsid w:val="00C55D54"/>
    <w:rsid w:val="00C6530E"/>
    <w:rsid w:val="00C65AD1"/>
    <w:rsid w:val="00CB6A57"/>
    <w:rsid w:val="00CE0E84"/>
    <w:rsid w:val="00D179F6"/>
    <w:rsid w:val="00D30D82"/>
    <w:rsid w:val="00D51AB9"/>
    <w:rsid w:val="00D555D0"/>
    <w:rsid w:val="00DD3B23"/>
    <w:rsid w:val="00E958BE"/>
    <w:rsid w:val="00EE0640"/>
    <w:rsid w:val="00F2261B"/>
    <w:rsid w:val="00FD5A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64C4B30F-B44D-4B48-90D5-B1D1693C06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PMingLiU"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C1EEE"/>
    <w:rPr>
      <w:sz w:val="24"/>
      <w:lang w:val="en-AU"/>
    </w:rPr>
  </w:style>
  <w:style w:type="paragraph" w:styleId="Heading1">
    <w:name w:val="heading 1"/>
    <w:basedOn w:val="Normal"/>
    <w:next w:val="Normal"/>
    <w:qFormat/>
    <w:rsid w:val="009C1EEE"/>
    <w:pPr>
      <w:keepNext/>
      <w:jc w:val="center"/>
      <w:outlineLvl w:val="0"/>
    </w:pPr>
    <w:rPr>
      <w:rFonts w:ascii="Arial" w:hAnsi="Arial"/>
      <w:b/>
      <w:i/>
      <w:lang w:val="en-US"/>
    </w:rPr>
  </w:style>
  <w:style w:type="paragraph" w:styleId="Heading2">
    <w:name w:val="heading 2"/>
    <w:basedOn w:val="Normal"/>
    <w:next w:val="Normal"/>
    <w:qFormat/>
    <w:rsid w:val="009C1EEE"/>
    <w:pPr>
      <w:keepNext/>
      <w:outlineLvl w:val="1"/>
    </w:pPr>
    <w:rPr>
      <w:rFonts w:ascii="Arial" w:hAnsi="Arial"/>
      <w:b/>
      <w:i/>
      <w:lang w:val="en-US"/>
    </w:rPr>
  </w:style>
  <w:style w:type="paragraph" w:styleId="Heading3">
    <w:name w:val="heading 3"/>
    <w:basedOn w:val="Normal"/>
    <w:next w:val="Normal"/>
    <w:qFormat/>
    <w:rsid w:val="009C1EEE"/>
    <w:pPr>
      <w:keepNext/>
      <w:ind w:left="2160" w:hanging="2160"/>
      <w:jc w:val="center"/>
      <w:outlineLvl w:val="2"/>
    </w:pPr>
    <w:rPr>
      <w:b/>
      <w:i/>
      <w:lang w:val="en-US"/>
    </w:rPr>
  </w:style>
  <w:style w:type="paragraph" w:styleId="Heading4">
    <w:name w:val="heading 4"/>
    <w:basedOn w:val="Normal"/>
    <w:next w:val="Normal"/>
    <w:qFormat/>
    <w:rsid w:val="009C1EEE"/>
    <w:pPr>
      <w:keepNext/>
      <w:tabs>
        <w:tab w:val="left" w:pos="2304"/>
        <w:tab w:val="left" w:pos="8222"/>
      </w:tabs>
      <w:ind w:left="318"/>
      <w:jc w:val="center"/>
      <w:outlineLvl w:val="3"/>
    </w:pPr>
    <w:rPr>
      <w:rFonts w:ascii="Arial" w:hAnsi="Arial"/>
      <w:b/>
    </w:rPr>
  </w:style>
  <w:style w:type="paragraph" w:styleId="Heading5">
    <w:name w:val="heading 5"/>
    <w:basedOn w:val="Normal"/>
    <w:next w:val="Normal"/>
    <w:qFormat/>
    <w:rsid w:val="009C1EEE"/>
    <w:pPr>
      <w:keepNext/>
      <w:spacing w:after="120"/>
      <w:outlineLvl w:val="4"/>
    </w:pPr>
    <w:rPr>
      <w:rFonts w:ascii="Arial" w:hAnsi="Arial"/>
      <w:b/>
      <w:sz w:val="20"/>
    </w:rPr>
  </w:style>
  <w:style w:type="paragraph" w:styleId="Heading6">
    <w:name w:val="heading 6"/>
    <w:basedOn w:val="Normal"/>
    <w:next w:val="Normal"/>
    <w:qFormat/>
    <w:rsid w:val="009C1EEE"/>
    <w:pPr>
      <w:keepNext/>
      <w:jc w:val="center"/>
      <w:outlineLvl w:val="5"/>
    </w:pPr>
    <w:rPr>
      <w:rFonts w:ascii="Arial" w:hAnsi="Arial"/>
      <w:b/>
      <w:i/>
      <w:color w:val="FF0000"/>
      <w:lang w:val="en-US"/>
    </w:rPr>
  </w:style>
  <w:style w:type="paragraph" w:styleId="Heading7">
    <w:name w:val="heading 7"/>
    <w:basedOn w:val="Normal"/>
    <w:next w:val="Normal"/>
    <w:qFormat/>
    <w:rsid w:val="009C1EEE"/>
    <w:pPr>
      <w:keepNext/>
      <w:jc w:val="center"/>
      <w:outlineLvl w:val="6"/>
    </w:pPr>
    <w:rPr>
      <w:rFonts w:ascii="Arial" w:hAnsi="Arial"/>
      <w:i/>
      <w:sz w:val="28"/>
    </w:rPr>
  </w:style>
  <w:style w:type="paragraph" w:styleId="Heading8">
    <w:name w:val="heading 8"/>
    <w:basedOn w:val="Normal"/>
    <w:next w:val="Normal"/>
    <w:qFormat/>
    <w:rsid w:val="009C1EEE"/>
    <w:pPr>
      <w:keepNext/>
      <w:jc w:val="center"/>
      <w:outlineLvl w:val="7"/>
    </w:pPr>
    <w:rPr>
      <w:rFonts w:ascii="Arial" w:hAnsi="Arial"/>
      <w:b/>
      <w:i/>
      <w:sz w:val="20"/>
      <w:lang w:val="en-US"/>
    </w:rPr>
  </w:style>
  <w:style w:type="paragraph" w:styleId="Heading9">
    <w:name w:val="heading 9"/>
    <w:basedOn w:val="Normal"/>
    <w:next w:val="Normal"/>
    <w:link w:val="Heading9Char"/>
    <w:qFormat/>
    <w:rsid w:val="009C1EEE"/>
    <w:pPr>
      <w:keepNext/>
      <w:outlineLvl w:val="8"/>
    </w:pPr>
    <w:rPr>
      <w:rFonts w:ascii="Arial" w:hAnsi="Arial"/>
      <w:b/>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9C1EEE"/>
    <w:pPr>
      <w:jc w:val="center"/>
    </w:pPr>
    <w:rPr>
      <w:b/>
      <w:lang w:val="en-US"/>
    </w:rPr>
  </w:style>
  <w:style w:type="paragraph" w:styleId="Header">
    <w:name w:val="header"/>
    <w:basedOn w:val="Normal"/>
    <w:link w:val="HeaderChar"/>
    <w:semiHidden/>
    <w:rsid w:val="009C1EEE"/>
    <w:pPr>
      <w:tabs>
        <w:tab w:val="center" w:pos="4153"/>
        <w:tab w:val="right" w:pos="8306"/>
      </w:tabs>
    </w:pPr>
  </w:style>
  <w:style w:type="paragraph" w:styleId="Footer">
    <w:name w:val="footer"/>
    <w:basedOn w:val="Normal"/>
    <w:semiHidden/>
    <w:rsid w:val="009C1EEE"/>
    <w:pPr>
      <w:tabs>
        <w:tab w:val="center" w:pos="4153"/>
        <w:tab w:val="right" w:pos="8306"/>
      </w:tabs>
    </w:pPr>
  </w:style>
  <w:style w:type="paragraph" w:styleId="BodyText">
    <w:name w:val="Body Text"/>
    <w:basedOn w:val="Normal"/>
    <w:semiHidden/>
    <w:rsid w:val="009C1EEE"/>
    <w:pPr>
      <w:jc w:val="both"/>
    </w:pPr>
    <w:rPr>
      <w:sz w:val="20"/>
      <w:lang w:val="en-US"/>
    </w:rPr>
  </w:style>
  <w:style w:type="paragraph" w:styleId="Subtitle">
    <w:name w:val="Subtitle"/>
    <w:basedOn w:val="Normal"/>
    <w:qFormat/>
    <w:rsid w:val="009C1EEE"/>
    <w:rPr>
      <w:b/>
      <w:lang w:val="en-US"/>
    </w:rPr>
  </w:style>
  <w:style w:type="paragraph" w:styleId="BodyTextIndent">
    <w:name w:val="Body Text Indent"/>
    <w:basedOn w:val="Normal"/>
    <w:semiHidden/>
    <w:rsid w:val="009C1EEE"/>
    <w:pPr>
      <w:tabs>
        <w:tab w:val="left" w:pos="2304"/>
      </w:tabs>
      <w:ind w:left="567"/>
      <w:jc w:val="center"/>
    </w:pPr>
    <w:rPr>
      <w:rFonts w:ascii="Arial" w:hAnsi="Arial"/>
      <w:b/>
    </w:rPr>
  </w:style>
  <w:style w:type="paragraph" w:styleId="BodyText2">
    <w:name w:val="Body Text 2"/>
    <w:basedOn w:val="Normal"/>
    <w:semiHidden/>
    <w:rsid w:val="009C1EEE"/>
    <w:pPr>
      <w:pBdr>
        <w:top w:val="single" w:sz="6" w:space="1" w:color="auto"/>
        <w:left w:val="single" w:sz="6" w:space="4" w:color="auto"/>
        <w:bottom w:val="single" w:sz="6" w:space="1" w:color="auto"/>
        <w:right w:val="single" w:sz="6" w:space="4" w:color="auto"/>
      </w:pBdr>
    </w:pPr>
    <w:rPr>
      <w:rFonts w:ascii="Arial" w:hAnsi="Arial"/>
      <w:i/>
      <w:lang w:val="en-US"/>
    </w:rPr>
  </w:style>
  <w:style w:type="character" w:styleId="PageNumber">
    <w:name w:val="page number"/>
    <w:basedOn w:val="DefaultParagraphFont"/>
    <w:semiHidden/>
    <w:rsid w:val="009C1EEE"/>
  </w:style>
  <w:style w:type="paragraph" w:styleId="BodyText3">
    <w:name w:val="Body Text 3"/>
    <w:basedOn w:val="Normal"/>
    <w:semiHidden/>
    <w:rsid w:val="009C1EEE"/>
    <w:rPr>
      <w:rFonts w:ascii="Arial" w:hAnsi="Arial"/>
      <w:b/>
      <w:i/>
      <w:sz w:val="20"/>
      <w:lang w:val="en-US"/>
    </w:rPr>
  </w:style>
  <w:style w:type="character" w:styleId="Hyperlink">
    <w:name w:val="Hyperlink"/>
    <w:semiHidden/>
    <w:rsid w:val="009C1EEE"/>
    <w:rPr>
      <w:color w:val="0000FF"/>
      <w:u w:val="single"/>
    </w:rPr>
  </w:style>
  <w:style w:type="paragraph" w:styleId="NormalIndent">
    <w:name w:val="Normal Indent"/>
    <w:basedOn w:val="Normal"/>
    <w:semiHidden/>
    <w:rsid w:val="009C1EEE"/>
    <w:pPr>
      <w:ind w:left="851"/>
    </w:pPr>
    <w:rPr>
      <w:rFonts w:eastAsia="MS Mincho"/>
    </w:rPr>
  </w:style>
  <w:style w:type="paragraph" w:styleId="BlockText">
    <w:name w:val="Block Text"/>
    <w:basedOn w:val="Normal"/>
    <w:semiHidden/>
    <w:rsid w:val="009C1EEE"/>
    <w:pPr>
      <w:tabs>
        <w:tab w:val="left" w:pos="720"/>
      </w:tabs>
      <w:spacing w:before="10" w:after="10"/>
      <w:ind w:left="180" w:right="180"/>
    </w:pPr>
    <w:rPr>
      <w:rFonts w:ascii="Arial" w:eastAsia="MS Mincho" w:hAnsi="Arial"/>
      <w:i/>
      <w:sz w:val="20"/>
    </w:rPr>
  </w:style>
  <w:style w:type="paragraph" w:customStyle="1" w:styleId="Blockquote">
    <w:name w:val="Blockquote"/>
    <w:basedOn w:val="Normal"/>
    <w:rsid w:val="009C1EEE"/>
    <w:pPr>
      <w:spacing w:before="100" w:after="100"/>
      <w:ind w:left="360" w:right="360"/>
    </w:pPr>
    <w:rPr>
      <w:rFonts w:eastAsia="MS Mincho"/>
      <w:snapToGrid w:val="0"/>
    </w:rPr>
  </w:style>
  <w:style w:type="paragraph" w:customStyle="1" w:styleId="ChartMainHeading">
    <w:name w:val="Chart Main Heading"/>
    <w:basedOn w:val="Normal"/>
    <w:next w:val="Normal"/>
    <w:rsid w:val="009C1EEE"/>
    <w:pPr>
      <w:jc w:val="center"/>
    </w:pPr>
    <w:rPr>
      <w:rFonts w:eastAsia="MS Mincho"/>
      <w:b/>
      <w:caps/>
    </w:rPr>
  </w:style>
  <w:style w:type="paragraph" w:styleId="FootnoteText">
    <w:name w:val="footnote text"/>
    <w:basedOn w:val="Normal"/>
    <w:link w:val="FootnoteTextChar"/>
    <w:semiHidden/>
    <w:rsid w:val="009C1EEE"/>
    <w:pPr>
      <w:spacing w:before="100"/>
      <w:ind w:left="113" w:hanging="113"/>
    </w:pPr>
    <w:rPr>
      <w:sz w:val="20"/>
    </w:rPr>
  </w:style>
  <w:style w:type="character" w:styleId="FootnoteReference">
    <w:name w:val="footnote reference"/>
    <w:semiHidden/>
    <w:rsid w:val="009C1EEE"/>
    <w:rPr>
      <w:vertAlign w:val="superscript"/>
    </w:rPr>
  </w:style>
  <w:style w:type="paragraph" w:styleId="BodyTextIndent2">
    <w:name w:val="Body Text Indent 2"/>
    <w:basedOn w:val="Normal"/>
    <w:semiHidden/>
    <w:rsid w:val="009C1EEE"/>
    <w:pPr>
      <w:ind w:left="720" w:hanging="720"/>
    </w:pPr>
    <w:rPr>
      <w:rFonts w:ascii="Arial" w:hAnsi="Arial" w:cs="Arial"/>
      <w:sz w:val="20"/>
    </w:rPr>
  </w:style>
  <w:style w:type="paragraph" w:styleId="BodyTextIndent3">
    <w:name w:val="Body Text Indent 3"/>
    <w:basedOn w:val="Normal"/>
    <w:semiHidden/>
    <w:rsid w:val="009C1EEE"/>
    <w:pPr>
      <w:ind w:left="35"/>
      <w:jc w:val="center"/>
    </w:pPr>
    <w:rPr>
      <w:rFonts w:ascii="Arial" w:hAnsi="Arial" w:cs="Arial"/>
      <w:vertAlign w:val="superscript"/>
      <w:lang w:eastAsia="zh-TW"/>
    </w:rPr>
  </w:style>
  <w:style w:type="paragraph" w:customStyle="1" w:styleId="BulletPoints">
    <w:name w:val="Bullet Points"/>
    <w:basedOn w:val="Normal"/>
    <w:rsid w:val="009C1EEE"/>
    <w:pPr>
      <w:spacing w:after="240"/>
      <w:ind w:left="720" w:hanging="720"/>
      <w:jc w:val="both"/>
    </w:pPr>
    <w:rPr>
      <w:rFonts w:ascii="Arial" w:hAnsi="Arial" w:cs="Arial"/>
      <w:sz w:val="20"/>
      <w:lang w:val="en-US"/>
    </w:rPr>
  </w:style>
  <w:style w:type="paragraph" w:customStyle="1" w:styleId="NormalVerdana">
    <w:name w:val="Normal + Verdana"/>
    <w:basedOn w:val="Normal"/>
    <w:rsid w:val="009C1EEE"/>
    <w:pPr>
      <w:ind w:left="720"/>
    </w:pPr>
    <w:rPr>
      <w:rFonts w:ascii="Verdana" w:hAnsi="Verdana"/>
      <w:sz w:val="20"/>
      <w:lang w:val="en-US"/>
    </w:rPr>
  </w:style>
  <w:style w:type="character" w:customStyle="1" w:styleId="msoins0">
    <w:name w:val="msoins"/>
    <w:rsid w:val="009C1EEE"/>
    <w:rPr>
      <w:u w:val="single"/>
    </w:rPr>
  </w:style>
  <w:style w:type="character" w:styleId="FollowedHyperlink">
    <w:name w:val="FollowedHyperlink"/>
    <w:semiHidden/>
    <w:rsid w:val="009C1EEE"/>
    <w:rPr>
      <w:color w:val="800080"/>
      <w:u w:val="single"/>
    </w:rPr>
  </w:style>
  <w:style w:type="paragraph" w:customStyle="1" w:styleId="BalloonText1">
    <w:name w:val="Balloon Text1"/>
    <w:basedOn w:val="Normal"/>
    <w:semiHidden/>
    <w:rsid w:val="009C1EEE"/>
    <w:rPr>
      <w:rFonts w:ascii="Arial" w:eastAsia="Dotum" w:hAnsi="Arial"/>
      <w:sz w:val="18"/>
      <w:szCs w:val="18"/>
    </w:rPr>
  </w:style>
  <w:style w:type="paragraph" w:styleId="Caption">
    <w:name w:val="caption"/>
    <w:basedOn w:val="Normal"/>
    <w:next w:val="Normal"/>
    <w:qFormat/>
    <w:rsid w:val="009C1EEE"/>
    <w:pPr>
      <w:adjustRightInd w:val="0"/>
      <w:snapToGrid w:val="0"/>
      <w:jc w:val="center"/>
    </w:pPr>
    <w:rPr>
      <w:b/>
      <w:kern w:val="2"/>
      <w:szCs w:val="24"/>
      <w:lang w:val="en-US" w:eastAsia="zh-TW"/>
    </w:rPr>
  </w:style>
  <w:style w:type="paragraph" w:styleId="BalloonText">
    <w:name w:val="Balloon Text"/>
    <w:basedOn w:val="Normal"/>
    <w:link w:val="BalloonTextChar"/>
    <w:uiPriority w:val="99"/>
    <w:semiHidden/>
    <w:unhideWhenUsed/>
    <w:rsid w:val="00C65AD1"/>
    <w:rPr>
      <w:rFonts w:ascii="Tahoma" w:hAnsi="Tahoma"/>
      <w:sz w:val="16"/>
      <w:szCs w:val="16"/>
    </w:rPr>
  </w:style>
  <w:style w:type="character" w:customStyle="1" w:styleId="BalloonTextChar">
    <w:name w:val="Balloon Text Char"/>
    <w:link w:val="BalloonText"/>
    <w:uiPriority w:val="99"/>
    <w:semiHidden/>
    <w:rsid w:val="00C65AD1"/>
    <w:rPr>
      <w:rFonts w:ascii="Tahoma" w:hAnsi="Tahoma" w:cs="Tahoma"/>
      <w:sz w:val="16"/>
      <w:szCs w:val="16"/>
      <w:lang w:val="en-AU" w:eastAsia="en-US"/>
    </w:rPr>
  </w:style>
  <w:style w:type="character" w:customStyle="1" w:styleId="FootnoteTextChar">
    <w:name w:val="Footnote Text Char"/>
    <w:link w:val="FootnoteText"/>
    <w:semiHidden/>
    <w:rsid w:val="00646C05"/>
    <w:rPr>
      <w:rFonts w:eastAsia="PMingLiU"/>
      <w:lang w:val="en-AU" w:eastAsia="en-US" w:bidi="ar-SA"/>
    </w:rPr>
  </w:style>
  <w:style w:type="paragraph" w:customStyle="1" w:styleId="MediumGrid1-Accent22">
    <w:name w:val="Medium Grid 1 - Accent 22"/>
    <w:basedOn w:val="Normal"/>
    <w:qFormat/>
    <w:rsid w:val="00646C05"/>
    <w:pPr>
      <w:ind w:left="720"/>
      <w:contextualSpacing/>
    </w:pPr>
    <w:rPr>
      <w:rFonts w:ascii="Calibri" w:eastAsia="SimSun" w:hAnsi="Calibri"/>
      <w:sz w:val="22"/>
      <w:szCs w:val="22"/>
      <w:lang w:val="en-US" w:eastAsia="zh-CN"/>
    </w:rPr>
  </w:style>
  <w:style w:type="character" w:customStyle="1" w:styleId="HeaderChar">
    <w:name w:val="Header Char"/>
    <w:link w:val="Header"/>
    <w:rsid w:val="00646C05"/>
    <w:rPr>
      <w:rFonts w:eastAsia="PMingLiU"/>
      <w:sz w:val="24"/>
      <w:lang w:val="en-AU" w:eastAsia="en-US" w:bidi="ar-SA"/>
    </w:rPr>
  </w:style>
  <w:style w:type="paragraph" w:styleId="ListParagraph">
    <w:name w:val="List Paragraph"/>
    <w:basedOn w:val="Normal"/>
    <w:qFormat/>
    <w:rsid w:val="00646C05"/>
    <w:pPr>
      <w:ind w:left="708"/>
    </w:pPr>
    <w:rPr>
      <w:rFonts w:ascii="Calibri" w:eastAsia="SimSun" w:hAnsi="Calibri"/>
      <w:sz w:val="22"/>
      <w:szCs w:val="22"/>
      <w:lang w:val="en-US" w:eastAsia="zh-CN"/>
    </w:rPr>
  </w:style>
  <w:style w:type="paragraph" w:customStyle="1" w:styleId="RptHeader-Calibri">
    <w:name w:val="RptHeader-Calibri"/>
    <w:basedOn w:val="Normal"/>
    <w:link w:val="RptHeader-CalibriChar"/>
    <w:qFormat/>
    <w:rsid w:val="00750D35"/>
    <w:pPr>
      <w:tabs>
        <w:tab w:val="center" w:pos="4320"/>
        <w:tab w:val="right" w:pos="8640"/>
      </w:tabs>
    </w:pPr>
    <w:rPr>
      <w:rFonts w:asciiTheme="minorHAnsi" w:eastAsia="MS Mincho" w:hAnsiTheme="minorHAnsi"/>
      <w:smallCaps/>
      <w:spacing w:val="16"/>
      <w:sz w:val="16"/>
      <w:szCs w:val="16"/>
      <w:lang w:val="en-GB" w:eastAsia="ja-JP" w:bidi="th-TH"/>
    </w:rPr>
  </w:style>
  <w:style w:type="character" w:customStyle="1" w:styleId="RptHeader-CalibriChar">
    <w:name w:val="RptHeader-Calibri Char"/>
    <w:basedOn w:val="DefaultParagraphFont"/>
    <w:link w:val="RptHeader-Calibri"/>
    <w:rsid w:val="00750D35"/>
    <w:rPr>
      <w:rFonts w:asciiTheme="minorHAnsi" w:eastAsia="MS Mincho" w:hAnsiTheme="minorHAnsi"/>
      <w:smallCaps/>
      <w:spacing w:val="16"/>
      <w:sz w:val="16"/>
      <w:szCs w:val="16"/>
      <w:lang w:val="en-GB" w:eastAsia="ja-JP" w:bidi="th-TH"/>
    </w:rPr>
  </w:style>
  <w:style w:type="character" w:customStyle="1" w:styleId="Heading9Char">
    <w:name w:val="Heading 9 Char"/>
    <w:basedOn w:val="DefaultParagraphFont"/>
    <w:link w:val="Heading9"/>
    <w:rsid w:val="004F5D5A"/>
    <w:rPr>
      <w:rFonts w:ascii="Arial" w:hAnsi="Arial"/>
      <w:b/>
      <w:i/>
      <w:lang w:val="en-AU"/>
    </w:rPr>
  </w:style>
  <w:style w:type="paragraph" w:styleId="NormalWeb">
    <w:name w:val="Normal (Web)"/>
    <w:basedOn w:val="Normal"/>
    <w:uiPriority w:val="99"/>
    <w:unhideWhenUsed/>
    <w:rsid w:val="004F5D5A"/>
    <w:pPr>
      <w:spacing w:after="240"/>
    </w:pPr>
    <w:rPr>
      <w:rFonts w:eastAsia="Times New Roman"/>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9342393">
      <w:bodyDiv w:val="1"/>
      <w:marLeft w:val="0"/>
      <w:marRight w:val="0"/>
      <w:marTop w:val="0"/>
      <w:marBottom w:val="0"/>
      <w:divBdr>
        <w:top w:val="none" w:sz="0" w:space="0" w:color="auto"/>
        <w:left w:val="none" w:sz="0" w:space="0" w:color="auto"/>
        <w:bottom w:val="none" w:sz="0" w:space="0" w:color="auto"/>
        <w:right w:val="none" w:sz="0" w:space="0" w:color="auto"/>
      </w:divBdr>
    </w:div>
    <w:div w:id="125515778">
      <w:bodyDiv w:val="1"/>
      <w:marLeft w:val="0"/>
      <w:marRight w:val="0"/>
      <w:marTop w:val="0"/>
      <w:marBottom w:val="0"/>
      <w:divBdr>
        <w:top w:val="none" w:sz="0" w:space="0" w:color="auto"/>
        <w:left w:val="none" w:sz="0" w:space="0" w:color="auto"/>
        <w:bottom w:val="none" w:sz="0" w:space="0" w:color="auto"/>
        <w:right w:val="none" w:sz="0" w:space="0" w:color="auto"/>
      </w:divBdr>
    </w:div>
    <w:div w:id="146821624">
      <w:bodyDiv w:val="1"/>
      <w:marLeft w:val="0"/>
      <w:marRight w:val="0"/>
      <w:marTop w:val="0"/>
      <w:marBottom w:val="0"/>
      <w:divBdr>
        <w:top w:val="none" w:sz="0" w:space="0" w:color="auto"/>
        <w:left w:val="none" w:sz="0" w:space="0" w:color="auto"/>
        <w:bottom w:val="none" w:sz="0" w:space="0" w:color="auto"/>
        <w:right w:val="none" w:sz="0" w:space="0" w:color="auto"/>
      </w:divBdr>
    </w:div>
    <w:div w:id="264509432">
      <w:bodyDiv w:val="1"/>
      <w:marLeft w:val="0"/>
      <w:marRight w:val="0"/>
      <w:marTop w:val="0"/>
      <w:marBottom w:val="0"/>
      <w:divBdr>
        <w:top w:val="none" w:sz="0" w:space="0" w:color="auto"/>
        <w:left w:val="none" w:sz="0" w:space="0" w:color="auto"/>
        <w:bottom w:val="none" w:sz="0" w:space="0" w:color="auto"/>
        <w:right w:val="none" w:sz="0" w:space="0" w:color="auto"/>
      </w:divBdr>
    </w:div>
    <w:div w:id="314341050">
      <w:bodyDiv w:val="1"/>
      <w:marLeft w:val="0"/>
      <w:marRight w:val="0"/>
      <w:marTop w:val="0"/>
      <w:marBottom w:val="0"/>
      <w:divBdr>
        <w:top w:val="none" w:sz="0" w:space="0" w:color="auto"/>
        <w:left w:val="none" w:sz="0" w:space="0" w:color="auto"/>
        <w:bottom w:val="none" w:sz="0" w:space="0" w:color="auto"/>
        <w:right w:val="none" w:sz="0" w:space="0" w:color="auto"/>
      </w:divBdr>
    </w:div>
    <w:div w:id="776606756">
      <w:bodyDiv w:val="1"/>
      <w:marLeft w:val="0"/>
      <w:marRight w:val="0"/>
      <w:marTop w:val="0"/>
      <w:marBottom w:val="0"/>
      <w:divBdr>
        <w:top w:val="none" w:sz="0" w:space="0" w:color="auto"/>
        <w:left w:val="none" w:sz="0" w:space="0" w:color="auto"/>
        <w:bottom w:val="none" w:sz="0" w:space="0" w:color="auto"/>
        <w:right w:val="none" w:sz="0" w:space="0" w:color="auto"/>
      </w:divBdr>
    </w:div>
    <w:div w:id="939752526">
      <w:bodyDiv w:val="1"/>
      <w:marLeft w:val="0"/>
      <w:marRight w:val="0"/>
      <w:marTop w:val="0"/>
      <w:marBottom w:val="0"/>
      <w:divBdr>
        <w:top w:val="none" w:sz="0" w:space="0" w:color="auto"/>
        <w:left w:val="none" w:sz="0" w:space="0" w:color="auto"/>
        <w:bottom w:val="none" w:sz="0" w:space="0" w:color="auto"/>
        <w:right w:val="none" w:sz="0" w:space="0" w:color="auto"/>
      </w:divBdr>
    </w:div>
    <w:div w:id="1014191241">
      <w:bodyDiv w:val="1"/>
      <w:marLeft w:val="0"/>
      <w:marRight w:val="0"/>
      <w:marTop w:val="0"/>
      <w:marBottom w:val="0"/>
      <w:divBdr>
        <w:top w:val="none" w:sz="0" w:space="0" w:color="auto"/>
        <w:left w:val="none" w:sz="0" w:space="0" w:color="auto"/>
        <w:bottom w:val="none" w:sz="0" w:space="0" w:color="auto"/>
        <w:right w:val="none" w:sz="0" w:space="0" w:color="auto"/>
      </w:divBdr>
    </w:div>
    <w:div w:id="1041586931">
      <w:bodyDiv w:val="1"/>
      <w:marLeft w:val="0"/>
      <w:marRight w:val="0"/>
      <w:marTop w:val="0"/>
      <w:marBottom w:val="0"/>
      <w:divBdr>
        <w:top w:val="none" w:sz="0" w:space="0" w:color="auto"/>
        <w:left w:val="none" w:sz="0" w:space="0" w:color="auto"/>
        <w:bottom w:val="none" w:sz="0" w:space="0" w:color="auto"/>
        <w:right w:val="none" w:sz="0" w:space="0" w:color="auto"/>
      </w:divBdr>
    </w:div>
    <w:div w:id="1161389014">
      <w:bodyDiv w:val="1"/>
      <w:marLeft w:val="0"/>
      <w:marRight w:val="0"/>
      <w:marTop w:val="0"/>
      <w:marBottom w:val="0"/>
      <w:divBdr>
        <w:top w:val="none" w:sz="0" w:space="0" w:color="auto"/>
        <w:left w:val="none" w:sz="0" w:space="0" w:color="auto"/>
        <w:bottom w:val="none" w:sz="0" w:space="0" w:color="auto"/>
        <w:right w:val="none" w:sz="0" w:space="0" w:color="auto"/>
      </w:divBdr>
    </w:div>
    <w:div w:id="1176916633">
      <w:bodyDiv w:val="1"/>
      <w:marLeft w:val="0"/>
      <w:marRight w:val="0"/>
      <w:marTop w:val="0"/>
      <w:marBottom w:val="0"/>
      <w:divBdr>
        <w:top w:val="none" w:sz="0" w:space="0" w:color="auto"/>
        <w:left w:val="none" w:sz="0" w:space="0" w:color="auto"/>
        <w:bottom w:val="none" w:sz="0" w:space="0" w:color="auto"/>
        <w:right w:val="none" w:sz="0" w:space="0" w:color="auto"/>
      </w:divBdr>
    </w:div>
    <w:div w:id="1332835192">
      <w:bodyDiv w:val="1"/>
      <w:marLeft w:val="0"/>
      <w:marRight w:val="0"/>
      <w:marTop w:val="0"/>
      <w:marBottom w:val="0"/>
      <w:divBdr>
        <w:top w:val="none" w:sz="0" w:space="0" w:color="auto"/>
        <w:left w:val="none" w:sz="0" w:space="0" w:color="auto"/>
        <w:bottom w:val="none" w:sz="0" w:space="0" w:color="auto"/>
        <w:right w:val="none" w:sz="0" w:space="0" w:color="auto"/>
      </w:divBdr>
    </w:div>
    <w:div w:id="1820533327">
      <w:bodyDiv w:val="1"/>
      <w:marLeft w:val="0"/>
      <w:marRight w:val="0"/>
      <w:marTop w:val="0"/>
      <w:marBottom w:val="0"/>
      <w:divBdr>
        <w:top w:val="none" w:sz="0" w:space="0" w:color="auto"/>
        <w:left w:val="none" w:sz="0" w:space="0" w:color="auto"/>
        <w:bottom w:val="none" w:sz="0" w:space="0" w:color="auto"/>
        <w:right w:val="none" w:sz="0" w:space="0" w:color="auto"/>
      </w:divBdr>
    </w:div>
    <w:div w:id="2111195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MARGARET.V.WILLIAMSON@CBP.DHS.GOV" TargetMode="External"/><Relationship Id="rId18" Type="http://schemas.openxmlformats.org/officeDocument/2006/relationships/hyperlink" Target="http://www.ftc.gov/news-events/events-calendar/2014/02/follow-biologics-workshop-impact-recent-legislative-regulatory" TargetMode="External"/><Relationship Id="rId26" Type="http://schemas.openxmlformats.org/officeDocument/2006/relationships/hyperlink" Target="http://www.justice.gov/atr/public/workshops/pae/index.html" TargetMode="External"/><Relationship Id="rId39" Type="http://schemas.openxmlformats.org/officeDocument/2006/relationships/hyperlink" Target="mailto:Edward_Brzytwa@ustr.eop.gov" TargetMode="External"/><Relationship Id="rId21" Type="http://schemas.openxmlformats.org/officeDocument/2006/relationships/hyperlink" Target="http://www.ftc.gov/sites/default/files/documents/federal_register_notices/2013/11/131115premergerfrn.pdf" TargetMode="External"/><Relationship Id="rId34" Type="http://schemas.openxmlformats.org/officeDocument/2006/relationships/hyperlink" Target="http://www.ftc.gov/opa/2012/01/part2rules.shtm" TargetMode="External"/><Relationship Id="rId42" Type="http://schemas.openxmlformats.org/officeDocument/2006/relationships/hyperlink" Target="mailto:Edward_Brzytwa@ustr.eop.gov" TargetMode="External"/><Relationship Id="rId47" Type="http://schemas.openxmlformats.org/officeDocument/2006/relationships/hyperlink" Target="http://www.uscis.gov" TargetMode="External"/><Relationship Id="rId50" Type="http://schemas.openxmlformats.org/officeDocument/2006/relationships/hyperlink" Target="mailto:STEPHANIE.A.WOOD@CBP.DHS.GOV" TargetMode="External"/><Relationship Id="rId55" Type="http://schemas.openxmlformats.org/officeDocument/2006/relationships/hyperlink" Target="http://www.ustr.gov/uscolombiatpa" TargetMode="External"/><Relationship Id="rId7" Type="http://schemas.openxmlformats.org/officeDocument/2006/relationships/hyperlink" Target="http://www.ustr.gov" TargetMode="External"/><Relationship Id="rId2" Type="http://schemas.openxmlformats.org/officeDocument/2006/relationships/styles" Target="styles.xml"/><Relationship Id="rId16" Type="http://schemas.openxmlformats.org/officeDocument/2006/relationships/hyperlink" Target="mailto:Edward_Brzytwa@ustr.eop.gov" TargetMode="External"/><Relationship Id="rId20" Type="http://schemas.openxmlformats.org/officeDocument/2006/relationships/hyperlink" Target="http://www.ftc.gov/sites/default/files/attachments/international-waivers-confidentiality-ftc-antitrust-investigations/model_waiver.pdf" TargetMode="External"/><Relationship Id="rId29" Type="http://schemas.openxmlformats.org/officeDocument/2006/relationships/hyperlink" Target="http://www.justice.gov/atr/public/workshops/mfn/index.html" TargetMode="External"/><Relationship Id="rId41" Type="http://schemas.openxmlformats.org/officeDocument/2006/relationships/hyperlink" Target="mailto:ahunt@omb.eop.gov" TargetMode="External"/><Relationship Id="rId54" Type="http://schemas.openxmlformats.org/officeDocument/2006/relationships/hyperlink" Target="http://www.ustr.gov/trade-agreements/free-trade-agreements/korus-fta"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bp.gov" TargetMode="External"/><Relationship Id="rId24" Type="http://schemas.openxmlformats.org/officeDocument/2006/relationships/hyperlink" Target="http://www.ftc.gov/policy/federal-register-notices/16-cfr-part-801-premerger-notification-reporting-waiting-period" TargetMode="External"/><Relationship Id="rId32" Type="http://schemas.openxmlformats.org/officeDocument/2006/relationships/hyperlink" Target="http://www.justice.gov/atr/public/press_releases/2012/287457.htm" TargetMode="External"/><Relationship Id="rId37" Type="http://schemas.openxmlformats.org/officeDocument/2006/relationships/hyperlink" Target="mailto:Edward_Brzytwa@ustr.eop.gov" TargetMode="External"/><Relationship Id="rId40" Type="http://schemas.openxmlformats.org/officeDocument/2006/relationships/hyperlink" Target="http://www.reginfo.gov" TargetMode="External"/><Relationship Id="rId45" Type="http://schemas.openxmlformats.org/officeDocument/2006/relationships/hyperlink" Target="http://www.ustr.gov" TargetMode="External"/><Relationship Id="rId53" Type="http://schemas.openxmlformats.org/officeDocument/2006/relationships/hyperlink" Target="mailto:Jai_Motwane@ustr.eop.gov" TargetMode="External"/><Relationship Id="rId58" Type="http://schemas.openxmlformats.org/officeDocument/2006/relationships/hyperlink" Target="http://www.ustr.gov/ttip" TargetMode="External"/><Relationship Id="rId5" Type="http://schemas.openxmlformats.org/officeDocument/2006/relationships/footnotes" Target="footnotes.xml"/><Relationship Id="rId15" Type="http://schemas.openxmlformats.org/officeDocument/2006/relationships/hyperlink" Target="mailto:Michael_Diehl@ustr.eop.gov" TargetMode="External"/><Relationship Id="rId23" Type="http://schemas.openxmlformats.org/officeDocument/2006/relationships/hyperlink" Target="http://www.ftc.gov/os/fedreg/2013/06/130628hsrfinalrulefrn.pdf" TargetMode="External"/><Relationship Id="rId28" Type="http://schemas.openxmlformats.org/officeDocument/2006/relationships/hyperlink" Target="http://www.ftc.gov/sites/default/files/documents/reports/agreements-filed-federal-trade-commission-under-medicare-prescription-drug-improvement-and/130117mmareport.pdf" TargetMode="External"/><Relationship Id="rId36" Type="http://schemas.openxmlformats.org/officeDocument/2006/relationships/hyperlink" Target="http://www.justice.gov" TargetMode="External"/><Relationship Id="rId49" Type="http://schemas.openxmlformats.org/officeDocument/2006/relationships/hyperlink" Target="http://www.travel.state.gov" TargetMode="External"/><Relationship Id="rId57" Type="http://schemas.openxmlformats.org/officeDocument/2006/relationships/hyperlink" Target="http://www.ustr.gov/tpp" TargetMode="External"/><Relationship Id="rId61" Type="http://schemas.openxmlformats.org/officeDocument/2006/relationships/theme" Target="theme/theme1.xml"/><Relationship Id="rId10" Type="http://schemas.openxmlformats.org/officeDocument/2006/relationships/hyperlink" Target="mailto:Edward_Brzytwa@ustr.eop.gov" TargetMode="External"/><Relationship Id="rId19" Type="http://schemas.openxmlformats.org/officeDocument/2006/relationships/hyperlink" Target="http://www.justice.gov/atr/public/international/index.html" TargetMode="External"/><Relationship Id="rId31" Type="http://schemas.openxmlformats.org/officeDocument/2006/relationships/hyperlink" Target="http://www.ftc.gov/system/files/1209indiamou.pdf" TargetMode="External"/><Relationship Id="rId44" Type="http://schemas.openxmlformats.org/officeDocument/2006/relationships/hyperlink" Target="mailto:Edward_Brzytwa@ustr.eop.gov" TargetMode="External"/><Relationship Id="rId52" Type="http://schemas.openxmlformats.org/officeDocument/2006/relationships/hyperlink" Target="mailto:Edward_Brzytwa@ustr.eop.gov" TargetMode="External"/><Relationship Id="rId6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Jennifer_A_Stradtman@ustr.eop.gov" TargetMode="External"/><Relationship Id="rId14" Type="http://schemas.openxmlformats.org/officeDocument/2006/relationships/hyperlink" Target="http://www.whitehouse.gov/sites/default/files/omb/IPEC/admin_strategy_on_mitigating_the_theft_of_u.s._trade_secrets.pdf" TargetMode="External"/><Relationship Id="rId22" Type="http://schemas.openxmlformats.org/officeDocument/2006/relationships/hyperlink" Target="http://www.ftc.gov/opa/reporter/competition/mergers.shtml" TargetMode="External"/><Relationship Id="rId27" Type="http://schemas.openxmlformats.org/officeDocument/2006/relationships/hyperlink" Target="http://www.ftc.gov/news-events/events-calendar/2012/12/patent-assertion-entity-activities-workshop" TargetMode="External"/><Relationship Id="rId30" Type="http://schemas.openxmlformats.org/officeDocument/2006/relationships/hyperlink" Target="http://www.ftc.gov/sites/default/files/documents/reports/horizontal-merger-investigation-data-fiscal-years-1996-2011/130104horizontalmergerreport.pdf" TargetMode="External"/><Relationship Id="rId35" Type="http://schemas.openxmlformats.org/officeDocument/2006/relationships/hyperlink" Target="http://www.ftc.gov" TargetMode="External"/><Relationship Id="rId43" Type="http://schemas.openxmlformats.org/officeDocument/2006/relationships/hyperlink" Target="http://www.ustr.gov" TargetMode="External"/><Relationship Id="rId48" Type="http://schemas.openxmlformats.org/officeDocument/2006/relationships/hyperlink" Target="http://www.cpb.gov" TargetMode="External"/><Relationship Id="rId56" Type="http://schemas.openxmlformats.org/officeDocument/2006/relationships/hyperlink" Target="http://www.ustr.gov/trade-agreements/free-trade-agreements/panama-tpa" TargetMode="External"/><Relationship Id="rId8" Type="http://schemas.openxmlformats.org/officeDocument/2006/relationships/hyperlink" Target="mailto:Edward_Brzytwa@ustr.eop.gov" TargetMode="External"/><Relationship Id="rId51" Type="http://schemas.openxmlformats.org/officeDocument/2006/relationships/hyperlink" Target="mailto:BednarzJA@state.gov" TargetMode="External"/><Relationship Id="rId3" Type="http://schemas.openxmlformats.org/officeDocument/2006/relationships/settings" Target="settings.xml"/><Relationship Id="rId12" Type="http://schemas.openxmlformats.org/officeDocument/2006/relationships/hyperlink" Target="http://www.itds.gov" TargetMode="External"/><Relationship Id="rId17" Type="http://schemas.openxmlformats.org/officeDocument/2006/relationships/hyperlink" Target="http://www.ftc.gov/reports/policy-perspectives-competition-regulation-advanced-practice-nurses" TargetMode="External"/><Relationship Id="rId25" Type="http://schemas.openxmlformats.org/officeDocument/2006/relationships/hyperlink" Target="http://www.ftc.gov/sites/default/files/documents/federal_register_notices/federal-register-notice-16-cfr-parts-801-802-and-803-premerger-notification-reporting-" TargetMode="External"/><Relationship Id="rId33" Type="http://schemas.openxmlformats.org/officeDocument/2006/relationships/hyperlink" Target="http://www.ftc.gov/policy/federal-register-notices/policy-statement-monetary-equitable-remedies-competition-cases" TargetMode="External"/><Relationship Id="rId38" Type="http://schemas.openxmlformats.org/officeDocument/2006/relationships/hyperlink" Target="http://www.ustr.eop.gov" TargetMode="External"/><Relationship Id="rId46" Type="http://schemas.openxmlformats.org/officeDocument/2006/relationships/hyperlink" Target="mailto:Edward_Brzytwa@ustr.eop.gov" TargetMode="External"/><Relationship Id="rId5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281</TotalTime>
  <Pages>19</Pages>
  <Words>5491</Words>
  <Characters>31299</Characters>
  <Application>Microsoft Office Word</Application>
  <DocSecurity>0</DocSecurity>
  <Lines>260</Lines>
  <Paragraphs>73</Paragraphs>
  <ScaleCrop>false</ScaleCrop>
  <HeadingPairs>
    <vt:vector size="2" baseType="variant">
      <vt:variant>
        <vt:lpstr>Title</vt:lpstr>
      </vt:variant>
      <vt:variant>
        <vt:i4>1</vt:i4>
      </vt:variant>
    </vt:vector>
  </HeadingPairs>
  <TitlesOfParts>
    <vt:vector size="1" baseType="lpstr">
      <vt:lpstr>IAP Summary</vt:lpstr>
    </vt:vector>
  </TitlesOfParts>
  <Company>DFAT</Company>
  <LinksUpToDate>false</LinksUpToDate>
  <CharactersWithSpaces>36717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IAP Summary</dc:title>
  <dc:subject>1019366 v2</dc:subject>
  <dc:creator>wallac</dc:creator>
  <cp:lastModifiedBy>Brzytwa, Ed</cp:lastModifiedBy>
  <cp:revision>6</cp:revision>
  <cp:lastPrinted>2011-12-09T02:01:00Z</cp:lastPrinted>
  <dcterms:created xsi:type="dcterms:W3CDTF">2014-04-07T16:04:00Z</dcterms:created>
  <dcterms:modified xsi:type="dcterms:W3CDTF">2014-04-07T20:45:00Z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1500914047</vt:i4>
  </property>
  <property fmtid="{D5CDD505-2E9C-101B-9397-08002B2CF9AE}" pid="3" name="_NewReviewCycle">
    <vt:lpwstr/>
  </property>
  <property fmtid="{D5CDD505-2E9C-101B-9397-08002B2CF9AE}" pid="4" name="_EmailSubject">
    <vt:lpwstr>About the United States IAP update</vt:lpwstr>
  </property>
  <property fmtid="{D5CDD505-2E9C-101B-9397-08002B2CF9AE}" pid="5" name="_AuthorEmail">
    <vt:lpwstr>Edward_Brzytwa@ustr.eop.gov</vt:lpwstr>
  </property>
  <property fmtid="{D5CDD505-2E9C-101B-9397-08002B2CF9AE}" pid="6" name="_AuthorEmailDisplayName">
    <vt:lpwstr>Brzytwa, Ed</vt:lpwstr>
  </property>
</Properties>
</file>