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08533B" w:rsidTr="000A33A0">
        <w:trPr>
          <w:tblHeader/>
        </w:trPr>
        <w:tc>
          <w:tcPr>
            <w:tcW w:w="14564" w:type="dxa"/>
            <w:shd w:val="clear" w:color="auto" w:fill="DBE5F1" w:themeFill="accent1" w:themeFillTint="33"/>
          </w:tcPr>
          <w:p w:rsidR="00CB6A57" w:rsidRPr="0008533B" w:rsidRDefault="008F7089" w:rsidP="00624385">
            <w:pPr>
              <w:spacing w:before="120" w:after="120"/>
              <w:jc w:val="center"/>
              <w:rPr>
                <w:b/>
                <w:sz w:val="20"/>
              </w:rPr>
            </w:pPr>
            <w:bookmarkStart w:id="0" w:name="_GoBack"/>
            <w:bookmarkEnd w:id="0"/>
            <w:r>
              <w:rPr>
                <w:b/>
                <w:sz w:val="20"/>
              </w:rPr>
              <w:t xml:space="preserve"> </w:t>
            </w:r>
            <w:r w:rsidR="00CB6A57" w:rsidRPr="0008533B">
              <w:rPr>
                <w:b/>
                <w:sz w:val="20"/>
              </w:rPr>
              <w:t>Individual Action Plan Update for</w:t>
            </w:r>
            <w:r w:rsidR="00624385" w:rsidRPr="0008533B">
              <w:rPr>
                <w:b/>
                <w:sz w:val="20"/>
              </w:rPr>
              <w:t xml:space="preserve"> the Philippines</w:t>
            </w:r>
            <w:r w:rsidR="00CB6A57" w:rsidRPr="0008533B">
              <w:rPr>
                <w:b/>
                <w:sz w:val="20"/>
              </w:rPr>
              <w:t xml:space="preserve"> for </w:t>
            </w:r>
            <w:r w:rsidR="00624385" w:rsidRPr="0008533B">
              <w:rPr>
                <w:b/>
                <w:sz w:val="20"/>
              </w:rPr>
              <w:t>201</w:t>
            </w:r>
            <w:r w:rsidR="00AE3F6D">
              <w:rPr>
                <w:b/>
                <w:sz w:val="20"/>
              </w:rPr>
              <w:t>4</w:t>
            </w:r>
            <w:r w:rsidR="00716E00" w:rsidRPr="0008533B">
              <w:rPr>
                <w:b/>
                <w:sz w:val="20"/>
              </w:rPr>
              <w:fldChar w:fldCharType="begin" w:fldLock="1">
                <w:ffData>
                  <w:name w:val="Text30"/>
                  <w:enabled/>
                  <w:calcOnExit w:val="0"/>
                  <w:textInput>
                    <w:default w:val="{Year}"/>
                  </w:textInput>
                </w:ffData>
              </w:fldChar>
            </w:r>
            <w:r w:rsidR="00CB6A57" w:rsidRPr="0008533B">
              <w:rPr>
                <w:b/>
                <w:sz w:val="20"/>
              </w:rPr>
              <w:instrText xml:space="preserve"> FORMTEXT </w:instrText>
            </w:r>
            <w:r w:rsidR="008D4F45">
              <w:rPr>
                <w:b/>
                <w:sz w:val="20"/>
              </w:rPr>
            </w:r>
            <w:r w:rsidR="008D4F45">
              <w:rPr>
                <w:b/>
                <w:sz w:val="20"/>
              </w:rPr>
              <w:fldChar w:fldCharType="separate"/>
            </w:r>
            <w:r w:rsidR="00716E00" w:rsidRPr="0008533B">
              <w:rPr>
                <w:b/>
                <w:sz w:val="20"/>
              </w:rPr>
              <w:fldChar w:fldCharType="end"/>
            </w:r>
          </w:p>
        </w:tc>
      </w:tr>
      <w:tr w:rsidR="00CB6A57" w:rsidRPr="0008533B">
        <w:trPr>
          <w:tblHeader/>
        </w:trPr>
        <w:tc>
          <w:tcPr>
            <w:tcW w:w="14564" w:type="dxa"/>
          </w:tcPr>
          <w:p w:rsidR="00CB6A57" w:rsidRPr="0008533B" w:rsidRDefault="00CB6A57" w:rsidP="009102DB">
            <w:pPr>
              <w:spacing w:before="120" w:after="120"/>
              <w:jc w:val="both"/>
              <w:rPr>
                <w:b/>
                <w:i/>
                <w:sz w:val="20"/>
              </w:rPr>
            </w:pPr>
            <w:r w:rsidRPr="0008533B">
              <w:rPr>
                <w:b/>
                <w:i/>
                <w:sz w:val="20"/>
              </w:rPr>
              <w:br/>
            </w:r>
            <w:bookmarkStart w:id="1" w:name="Highlights"/>
            <w:bookmarkEnd w:id="1"/>
            <w:r w:rsidRPr="0008533B">
              <w:rPr>
                <w:b/>
                <w:i/>
                <w:sz w:val="20"/>
              </w:rPr>
              <w:t xml:space="preserve">Highlights of recent policy developments which indicate how </w:t>
            </w:r>
            <w:r w:rsidR="009102DB" w:rsidRPr="0008533B">
              <w:rPr>
                <w:b/>
                <w:i/>
                <w:sz w:val="20"/>
              </w:rPr>
              <w:t>the Philippines</w:t>
            </w:r>
            <w:r w:rsidRPr="0008533B">
              <w:rPr>
                <w:b/>
                <w:i/>
                <w:sz w:val="20"/>
              </w:rPr>
              <w:t xml:space="preserve"> is progressing towards the Bogor Goals and key challenges it faces in its efforts to meet the Goals. </w:t>
            </w:r>
          </w:p>
        </w:tc>
      </w:tr>
      <w:tr w:rsidR="00CB6A57" w:rsidRPr="0008533B">
        <w:trPr>
          <w:tblHeader/>
        </w:trPr>
        <w:tc>
          <w:tcPr>
            <w:tcW w:w="14564" w:type="dxa"/>
          </w:tcPr>
          <w:p w:rsidR="00E53688" w:rsidRPr="00E278DD" w:rsidRDefault="00CB6A57" w:rsidP="00A35EFD">
            <w:pPr>
              <w:contextualSpacing/>
              <w:jc w:val="both"/>
              <w:rPr>
                <w:color w:val="000000" w:themeColor="text1"/>
                <w:sz w:val="20"/>
              </w:rPr>
            </w:pPr>
            <w:r w:rsidRPr="00E278DD">
              <w:rPr>
                <w:bCs/>
                <w:i/>
                <w:color w:val="000000" w:themeColor="text1"/>
                <w:sz w:val="20"/>
              </w:rPr>
              <w:br/>
            </w:r>
            <w:r w:rsidR="00A35EFD" w:rsidRPr="00E278DD">
              <w:rPr>
                <w:color w:val="000000" w:themeColor="text1"/>
                <w:sz w:val="20"/>
              </w:rPr>
              <w:t>Lau</w:t>
            </w:r>
            <w:r w:rsidR="00DB480D" w:rsidRPr="00E278DD">
              <w:rPr>
                <w:color w:val="000000" w:themeColor="text1"/>
                <w:sz w:val="20"/>
              </w:rPr>
              <w:t>n</w:t>
            </w:r>
            <w:r w:rsidR="00A35EFD" w:rsidRPr="00E278DD">
              <w:rPr>
                <w:color w:val="000000" w:themeColor="text1"/>
                <w:sz w:val="20"/>
              </w:rPr>
              <w:t xml:space="preserve">ched the Philippine Tariff Finder to improve transparency and to facilitate trade.  </w:t>
            </w:r>
          </w:p>
          <w:p w:rsidR="00DB480D" w:rsidRPr="00E278DD" w:rsidRDefault="00DB480D" w:rsidP="00A35EFD">
            <w:pPr>
              <w:contextualSpacing/>
              <w:jc w:val="both"/>
              <w:rPr>
                <w:color w:val="000000" w:themeColor="text1"/>
                <w:sz w:val="20"/>
              </w:rPr>
            </w:pPr>
          </w:p>
          <w:p w:rsidR="00E977B5" w:rsidRPr="00E278DD" w:rsidRDefault="00555AD8" w:rsidP="00E977B5">
            <w:pPr>
              <w:contextualSpacing/>
              <w:jc w:val="both"/>
              <w:rPr>
                <w:color w:val="000000" w:themeColor="text1"/>
                <w:sz w:val="20"/>
              </w:rPr>
            </w:pPr>
            <w:r>
              <w:rPr>
                <w:color w:val="000000" w:themeColor="text1"/>
                <w:sz w:val="20"/>
              </w:rPr>
              <w:t xml:space="preserve">Further simplified foreign exchange (FX) rules and enhanced the public’s access to FX resources.  </w:t>
            </w:r>
            <w:r w:rsidR="00E977B5" w:rsidRPr="00E278DD">
              <w:rPr>
                <w:color w:val="000000" w:themeColor="text1"/>
                <w:sz w:val="20"/>
              </w:rPr>
              <w:t xml:space="preserve">Allowed </w:t>
            </w:r>
            <w:r>
              <w:rPr>
                <w:color w:val="000000" w:themeColor="text1"/>
                <w:sz w:val="20"/>
              </w:rPr>
              <w:t xml:space="preserve">foreign capital </w:t>
            </w:r>
            <w:r w:rsidR="00E977B5" w:rsidRPr="00E278DD">
              <w:rPr>
                <w:color w:val="000000" w:themeColor="text1"/>
                <w:sz w:val="20"/>
              </w:rPr>
              <w:t xml:space="preserve">infusion </w:t>
            </w:r>
            <w:r>
              <w:rPr>
                <w:color w:val="000000" w:themeColor="text1"/>
                <w:sz w:val="20"/>
              </w:rPr>
              <w:t xml:space="preserve">in </w:t>
            </w:r>
            <w:r w:rsidR="00E278DD" w:rsidRPr="00E278DD">
              <w:rPr>
                <w:color w:val="000000" w:themeColor="text1"/>
                <w:sz w:val="20"/>
              </w:rPr>
              <w:t>r</w:t>
            </w:r>
            <w:r w:rsidR="00E977B5" w:rsidRPr="00E278DD">
              <w:rPr>
                <w:color w:val="000000" w:themeColor="text1"/>
                <w:sz w:val="20"/>
              </w:rPr>
              <w:t xml:space="preserve">ural </w:t>
            </w:r>
            <w:r w:rsidR="00E278DD" w:rsidRPr="00E278DD">
              <w:rPr>
                <w:color w:val="000000" w:themeColor="text1"/>
                <w:sz w:val="20"/>
              </w:rPr>
              <w:t>b</w:t>
            </w:r>
            <w:r w:rsidR="00E977B5" w:rsidRPr="00E278DD">
              <w:rPr>
                <w:color w:val="000000" w:themeColor="text1"/>
                <w:sz w:val="20"/>
              </w:rPr>
              <w:t>anks.</w:t>
            </w:r>
            <w:r>
              <w:rPr>
                <w:color w:val="000000" w:themeColor="text1"/>
                <w:sz w:val="20"/>
              </w:rPr>
              <w:t xml:space="preserve"> Continued participation in international forums and regional dialogues to prepare the domestic financial system for regional integration.</w:t>
            </w:r>
          </w:p>
          <w:p w:rsidR="00E977B5" w:rsidRDefault="00E977B5" w:rsidP="00E977B5">
            <w:pPr>
              <w:contextualSpacing/>
              <w:jc w:val="both"/>
              <w:rPr>
                <w:color w:val="000000" w:themeColor="text1"/>
                <w:sz w:val="20"/>
              </w:rPr>
            </w:pPr>
          </w:p>
          <w:p w:rsidR="00836CCB" w:rsidRDefault="00836CCB" w:rsidP="00836CCB">
            <w:pPr>
              <w:jc w:val="both"/>
              <w:rPr>
                <w:sz w:val="20"/>
              </w:rPr>
            </w:pPr>
            <w:r>
              <w:rPr>
                <w:sz w:val="20"/>
              </w:rPr>
              <w:t>Continued to enhance air services agreements to provide more and better connectivity, particularly in the ASEAN region. Air consultation talks between the Philippines and a number of APEC economies (Australia, Japan, Korea, Thailand</w:t>
            </w:r>
            <w:proofErr w:type="gramStart"/>
            <w:r>
              <w:rPr>
                <w:sz w:val="20"/>
              </w:rPr>
              <w:t>)  and</w:t>
            </w:r>
            <w:proofErr w:type="gramEnd"/>
            <w:r>
              <w:rPr>
                <w:sz w:val="20"/>
              </w:rPr>
              <w:t xml:space="preserve"> other countries  resulted in increased capacity entitlements on passenger and cargo services for both parties.</w:t>
            </w:r>
          </w:p>
          <w:p w:rsidR="00836CCB" w:rsidRPr="00E278DD" w:rsidRDefault="00836CCB" w:rsidP="00E977B5">
            <w:pPr>
              <w:contextualSpacing/>
              <w:jc w:val="both"/>
              <w:rPr>
                <w:color w:val="000000" w:themeColor="text1"/>
                <w:sz w:val="20"/>
              </w:rPr>
            </w:pPr>
          </w:p>
          <w:p w:rsidR="00E278DD" w:rsidRPr="00E278DD" w:rsidRDefault="00E278DD" w:rsidP="00E278DD">
            <w:pPr>
              <w:pStyle w:val="BodyText"/>
              <w:rPr>
                <w:color w:val="000000" w:themeColor="text1"/>
              </w:rPr>
            </w:pPr>
            <w:r w:rsidRPr="00E278DD">
              <w:rPr>
                <w:color w:val="000000" w:themeColor="text1"/>
              </w:rPr>
              <w:t>Created the Investments Servicing Group (ISG) within the Board of Investments to provide investor aftercare services. Under the ISG are the Business One-Stop shop Action Center (BOSSAC) and the Investments Assistance and Services Department (IASD)</w:t>
            </w:r>
          </w:p>
          <w:p w:rsidR="00E977B5" w:rsidRPr="00E278DD" w:rsidRDefault="00E977B5" w:rsidP="00E977B5">
            <w:pPr>
              <w:contextualSpacing/>
              <w:jc w:val="both"/>
              <w:rPr>
                <w:color w:val="000000" w:themeColor="text1"/>
                <w:sz w:val="20"/>
              </w:rPr>
            </w:pPr>
          </w:p>
          <w:p w:rsidR="00E278DD" w:rsidRPr="00E278DD" w:rsidRDefault="00E278DD" w:rsidP="00E278DD">
            <w:pPr>
              <w:pStyle w:val="Default"/>
              <w:jc w:val="both"/>
              <w:rPr>
                <w:rFonts w:ascii="Times New Roman" w:hAnsi="Times New Roman" w:cs="Times New Roman"/>
                <w:color w:val="000000" w:themeColor="text1"/>
                <w:sz w:val="20"/>
                <w:szCs w:val="20"/>
              </w:rPr>
            </w:pPr>
            <w:r w:rsidRPr="00E278DD">
              <w:rPr>
                <w:rFonts w:ascii="Times New Roman" w:hAnsi="Times New Roman" w:cs="Times New Roman"/>
                <w:color w:val="000000" w:themeColor="text1"/>
                <w:sz w:val="20"/>
                <w:szCs w:val="20"/>
              </w:rPr>
              <w:t>Established a Sector Regulators Council (SRC)</w:t>
            </w:r>
            <w:r w:rsidRPr="00E278DD">
              <w:rPr>
                <w:rFonts w:ascii="Times New Roman" w:hAnsi="Times New Roman" w:cs="Times New Roman"/>
                <w:i/>
                <w:color w:val="000000" w:themeColor="text1"/>
                <w:sz w:val="20"/>
                <w:szCs w:val="20"/>
              </w:rPr>
              <w:t xml:space="preserve"> </w:t>
            </w:r>
            <w:r w:rsidRPr="00E278DD">
              <w:rPr>
                <w:rFonts w:ascii="Times New Roman" w:hAnsi="Times New Roman" w:cs="Times New Roman"/>
                <w:color w:val="000000" w:themeColor="text1"/>
                <w:sz w:val="20"/>
                <w:szCs w:val="20"/>
              </w:rPr>
              <w:t>in recognition of the crucial role of sector regulators in developing a comprehensive competition policy and law.  Cooperated with other competition authorities and international organizations to improve the knowledge of competition authorities.</w:t>
            </w:r>
          </w:p>
          <w:p w:rsidR="00E278DD" w:rsidRPr="00E278DD" w:rsidRDefault="00E278DD" w:rsidP="00E278DD">
            <w:pPr>
              <w:contextualSpacing/>
              <w:jc w:val="both"/>
              <w:rPr>
                <w:color w:val="000000" w:themeColor="text1"/>
                <w:sz w:val="20"/>
              </w:rPr>
            </w:pPr>
          </w:p>
          <w:p w:rsidR="00E278DD" w:rsidRPr="00E278DD" w:rsidRDefault="00E278DD" w:rsidP="00E278DD">
            <w:pPr>
              <w:jc w:val="both"/>
              <w:rPr>
                <w:color w:val="000000" w:themeColor="text1"/>
                <w:sz w:val="20"/>
              </w:rPr>
            </w:pPr>
            <w:r w:rsidRPr="00E278DD">
              <w:rPr>
                <w:color w:val="000000" w:themeColor="text1"/>
                <w:sz w:val="20"/>
              </w:rPr>
              <w:t>Approved the Guidelines on E-Bidding and implemented the E-Bidding functionality on a pilot basis in two (2) national government agencies.  Implemented the Virtual Store and E-Payment functionalities.</w:t>
            </w:r>
          </w:p>
          <w:p w:rsidR="00E977B5" w:rsidRPr="00E278DD" w:rsidRDefault="00E977B5" w:rsidP="00E977B5">
            <w:pPr>
              <w:contextualSpacing/>
              <w:jc w:val="both"/>
              <w:rPr>
                <w:color w:val="000000" w:themeColor="text1"/>
                <w:sz w:val="20"/>
              </w:rPr>
            </w:pPr>
          </w:p>
          <w:p w:rsidR="00E977B5" w:rsidRPr="00E278DD" w:rsidRDefault="00E977B5" w:rsidP="00E977B5">
            <w:pPr>
              <w:contextualSpacing/>
              <w:jc w:val="both"/>
              <w:rPr>
                <w:color w:val="000000" w:themeColor="text1"/>
                <w:sz w:val="20"/>
              </w:rPr>
            </w:pPr>
            <w:r w:rsidRPr="00E278DD">
              <w:rPr>
                <w:color w:val="000000" w:themeColor="text1"/>
                <w:sz w:val="20"/>
              </w:rPr>
              <w:t xml:space="preserve">Aligned </w:t>
            </w:r>
            <w:r w:rsidR="004A2C04">
              <w:rPr>
                <w:color w:val="000000" w:themeColor="text1"/>
                <w:sz w:val="20"/>
              </w:rPr>
              <w:t>782</w:t>
            </w:r>
            <w:r w:rsidRPr="00E278DD">
              <w:rPr>
                <w:color w:val="000000" w:themeColor="text1"/>
                <w:sz w:val="20"/>
              </w:rPr>
              <w:t xml:space="preserve"> Philippines National Standards (PNS) with international standards.</w:t>
            </w:r>
            <w:r w:rsidR="00E278DD" w:rsidRPr="00E278DD">
              <w:rPr>
                <w:color w:val="000000" w:themeColor="text1"/>
                <w:sz w:val="20"/>
              </w:rPr>
              <w:t xml:space="preserve">  </w:t>
            </w:r>
          </w:p>
          <w:p w:rsidR="00E24B00" w:rsidRPr="00E278DD" w:rsidRDefault="00E24B00" w:rsidP="005352A2">
            <w:pPr>
              <w:contextualSpacing/>
              <w:jc w:val="both"/>
              <w:rPr>
                <w:color w:val="000000" w:themeColor="text1"/>
                <w:sz w:val="20"/>
              </w:rPr>
            </w:pPr>
          </w:p>
          <w:p w:rsidR="00E278DD" w:rsidRPr="00E278DD" w:rsidRDefault="00E278DD" w:rsidP="00E278DD">
            <w:pPr>
              <w:jc w:val="both"/>
              <w:rPr>
                <w:color w:val="000000" w:themeColor="text1"/>
                <w:sz w:val="20"/>
              </w:rPr>
            </w:pPr>
            <w:r w:rsidRPr="00E278DD">
              <w:rPr>
                <w:color w:val="000000" w:themeColor="text1"/>
                <w:sz w:val="20"/>
              </w:rPr>
              <w:t>Transmitted the Instrument of Accession of the Revised Kyoto Convention (RKC) to the World Customs Organization during the Council Session in Brussels last 25 June 2010. Issued Customs Memorandum Order (CMO) No. 14-2013 on 03 December 2013 establishing rules and regulations for the Authorized Economic Operator (AEO) Program pursuant CAO 1-2012 issued on 26 June 2012 and amending CMO No 11-2012 dated 04 October 2012.</w:t>
            </w:r>
          </w:p>
          <w:p w:rsidR="00E24B00" w:rsidRPr="00E278DD" w:rsidRDefault="00E24B00" w:rsidP="005352A2">
            <w:pPr>
              <w:contextualSpacing/>
              <w:jc w:val="both"/>
              <w:rPr>
                <w:color w:val="000000" w:themeColor="text1"/>
                <w:sz w:val="20"/>
              </w:rPr>
            </w:pPr>
          </w:p>
          <w:p w:rsidR="00E278DD" w:rsidRPr="00E278DD" w:rsidRDefault="00E278DD" w:rsidP="00E278DD">
            <w:pPr>
              <w:jc w:val="both"/>
              <w:rPr>
                <w:color w:val="000000" w:themeColor="text1"/>
                <w:sz w:val="20"/>
                <w:lang w:val="en-US"/>
              </w:rPr>
            </w:pPr>
            <w:r w:rsidRPr="00E278DD">
              <w:rPr>
                <w:color w:val="000000" w:themeColor="text1"/>
                <w:sz w:val="20"/>
                <w:lang w:val="en-US"/>
              </w:rPr>
              <w:t>Implemented the Rules on Mediation which made the referral of pending cases to mediation mandatory.  Implemented the Arbitration Rules consistent with the WIPO Arbitration Rules</w:t>
            </w:r>
            <w:r w:rsidR="004A2C04">
              <w:rPr>
                <w:color w:val="000000" w:themeColor="text1"/>
                <w:sz w:val="20"/>
                <w:lang w:val="en-US"/>
              </w:rPr>
              <w:t>.  T</w:t>
            </w:r>
            <w:r w:rsidRPr="00E278DD">
              <w:rPr>
                <w:color w:val="000000" w:themeColor="text1"/>
                <w:sz w:val="20"/>
                <w:lang w:val="en-US"/>
              </w:rPr>
              <w:t>rain</w:t>
            </w:r>
            <w:r w:rsidR="004A2C04">
              <w:rPr>
                <w:color w:val="000000" w:themeColor="text1"/>
                <w:sz w:val="20"/>
                <w:lang w:val="en-US"/>
              </w:rPr>
              <w:t xml:space="preserve">ed </w:t>
            </w:r>
            <w:r w:rsidRPr="00E278DD">
              <w:rPr>
                <w:color w:val="000000" w:themeColor="text1"/>
                <w:sz w:val="20"/>
                <w:lang w:val="en-US"/>
              </w:rPr>
              <w:t>almost a hundred arbitrators ensued in partnership with the Philippine Dispute Resolution Center (PDRCI).</w:t>
            </w:r>
          </w:p>
          <w:p w:rsidR="00836CCB" w:rsidRPr="00E278DD" w:rsidRDefault="00836CCB" w:rsidP="00B65B42">
            <w:pPr>
              <w:jc w:val="both"/>
              <w:rPr>
                <w:bCs/>
                <w:color w:val="000000" w:themeColor="text1"/>
                <w:sz w:val="20"/>
              </w:rPr>
            </w:pPr>
          </w:p>
        </w:tc>
      </w:tr>
    </w:tbl>
    <w:p w:rsidR="00CB6A57" w:rsidRDefault="00CB6A57">
      <w:pPr>
        <w:rPr>
          <w:sz w:val="20"/>
        </w:rPr>
      </w:pPr>
    </w:p>
    <w:p w:rsidR="00A74C6F" w:rsidRPr="0008533B" w:rsidRDefault="00A74C6F">
      <w:pPr>
        <w:rPr>
          <w:sz w:val="20"/>
        </w:rPr>
      </w:pPr>
    </w:p>
    <w:tbl>
      <w:tblPr>
        <w:tblW w:w="5118" w:type="pct"/>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63"/>
        <w:gridCol w:w="6086"/>
        <w:gridCol w:w="5941"/>
      </w:tblGrid>
      <w:tr w:rsidR="00CB6A57" w:rsidRPr="0008533B" w:rsidTr="00FA15C7">
        <w:trPr>
          <w:tblHeader/>
        </w:trPr>
        <w:tc>
          <w:tcPr>
            <w:tcW w:w="850" w:type="pct"/>
            <w:shd w:val="clear" w:color="auto" w:fill="C6D9F1" w:themeFill="text2" w:themeFillTint="33"/>
          </w:tcPr>
          <w:p w:rsidR="00CB6A57" w:rsidRPr="0008533B" w:rsidRDefault="00CB6A57" w:rsidP="000461AC">
            <w:pPr>
              <w:pStyle w:val="Subtitle"/>
              <w:widowControl w:val="0"/>
              <w:spacing w:before="60" w:after="60"/>
              <w:jc w:val="center"/>
              <w:rPr>
                <w:sz w:val="20"/>
              </w:rPr>
            </w:pPr>
            <w:r w:rsidRPr="0008533B">
              <w:rPr>
                <w:sz w:val="20"/>
              </w:rPr>
              <w:t>IAP Chapter (and Sub-Chapter and Section Heading, if any)</w:t>
            </w:r>
            <w:r w:rsidR="008F223D" w:rsidRPr="0008533B">
              <w:rPr>
                <w:b w:val="0"/>
                <w:sz w:val="20"/>
                <w:vertAlign w:val="superscript"/>
                <w:lang w:eastAsia="zh-TW"/>
              </w:rPr>
              <w:t xml:space="preserve"> </w:t>
            </w:r>
          </w:p>
        </w:tc>
        <w:tc>
          <w:tcPr>
            <w:tcW w:w="2100" w:type="pct"/>
            <w:shd w:val="clear" w:color="auto" w:fill="C6D9F1" w:themeFill="text2" w:themeFillTint="33"/>
          </w:tcPr>
          <w:p w:rsidR="00CB6A57" w:rsidRPr="0008533B" w:rsidRDefault="00CB6A57" w:rsidP="009102DB">
            <w:pPr>
              <w:spacing w:before="60" w:after="60"/>
              <w:jc w:val="center"/>
              <w:rPr>
                <w:b/>
                <w:sz w:val="20"/>
                <w:vertAlign w:val="superscript"/>
                <w:lang w:eastAsia="zh-TW"/>
              </w:rPr>
            </w:pPr>
            <w:r w:rsidRPr="0008533B">
              <w:rPr>
                <w:b/>
                <w:sz w:val="20"/>
              </w:rPr>
              <w:t xml:space="preserve">Improvements made since </w:t>
            </w:r>
            <w:r w:rsidRPr="0008533B">
              <w:rPr>
                <w:b/>
                <w:sz w:val="20"/>
                <w:lang w:eastAsia="zh-TW"/>
              </w:rPr>
              <w:t xml:space="preserve"> </w:t>
            </w:r>
            <w:r w:rsidR="00B741BD">
              <w:rPr>
                <w:b/>
                <w:sz w:val="20"/>
                <w:lang w:eastAsia="zh-TW"/>
              </w:rPr>
              <w:t>2012</w:t>
            </w:r>
            <w:r w:rsidR="009102DB" w:rsidRPr="0008533B">
              <w:rPr>
                <w:b/>
                <w:sz w:val="20"/>
                <w:lang w:eastAsia="zh-TW"/>
              </w:rPr>
              <w:t xml:space="preserve"> </w:t>
            </w:r>
            <w:r w:rsidRPr="0008533B">
              <w:rPr>
                <w:b/>
                <w:sz w:val="20"/>
              </w:rPr>
              <w:t xml:space="preserve">IAP </w:t>
            </w:r>
          </w:p>
        </w:tc>
        <w:tc>
          <w:tcPr>
            <w:tcW w:w="2050" w:type="pct"/>
            <w:shd w:val="clear" w:color="auto" w:fill="C6D9F1" w:themeFill="text2" w:themeFillTint="33"/>
          </w:tcPr>
          <w:p w:rsidR="00CB6A57" w:rsidRPr="000461AC" w:rsidRDefault="00CB6A57" w:rsidP="000461AC">
            <w:pPr>
              <w:spacing w:before="60" w:after="60"/>
              <w:jc w:val="center"/>
              <w:rPr>
                <w:b/>
                <w:sz w:val="20"/>
              </w:rPr>
            </w:pPr>
            <w:r w:rsidRPr="0008533B">
              <w:rPr>
                <w:b/>
                <w:sz w:val="20"/>
              </w:rPr>
              <w:t xml:space="preserve">Further Improvements </w:t>
            </w:r>
            <w:r w:rsidR="000461AC">
              <w:rPr>
                <w:b/>
                <w:sz w:val="20"/>
              </w:rPr>
              <w:t>Planned</w:t>
            </w:r>
          </w:p>
        </w:tc>
      </w:tr>
      <w:tr w:rsidR="00EF5038" w:rsidRPr="0008533B" w:rsidTr="00FA15C7">
        <w:trPr>
          <w:trHeight w:val="648"/>
        </w:trPr>
        <w:tc>
          <w:tcPr>
            <w:tcW w:w="850" w:type="pct"/>
          </w:tcPr>
          <w:p w:rsidR="00EF5038" w:rsidRPr="0008533B" w:rsidRDefault="00EF5038">
            <w:pPr>
              <w:pStyle w:val="Heading9"/>
              <w:rPr>
                <w:rFonts w:ascii="Times New Roman" w:hAnsi="Times New Roman"/>
              </w:rPr>
            </w:pPr>
            <w:bookmarkStart w:id="2" w:name="Row01"/>
            <w:r w:rsidRPr="0008533B">
              <w:rPr>
                <w:rFonts w:ascii="Times New Roman" w:hAnsi="Times New Roman"/>
              </w:rPr>
              <w:lastRenderedPageBreak/>
              <w:t>Tariffs</w:t>
            </w:r>
            <w:bookmarkEnd w:id="2"/>
          </w:p>
        </w:tc>
        <w:tc>
          <w:tcPr>
            <w:tcW w:w="2100" w:type="pct"/>
          </w:tcPr>
          <w:p w:rsidR="00EF5038" w:rsidRDefault="00AE3F6D" w:rsidP="00A74C6F">
            <w:pPr>
              <w:contextualSpacing/>
              <w:jc w:val="both"/>
              <w:rPr>
                <w:sz w:val="20"/>
              </w:rPr>
            </w:pPr>
            <w:bookmarkStart w:id="3" w:name="Cell01"/>
            <w:bookmarkEnd w:id="3"/>
            <w:r>
              <w:rPr>
                <w:sz w:val="20"/>
              </w:rPr>
              <w:t>Lau</w:t>
            </w:r>
            <w:r w:rsidR="000E59F0">
              <w:rPr>
                <w:sz w:val="20"/>
              </w:rPr>
              <w:t>n</w:t>
            </w:r>
            <w:r>
              <w:rPr>
                <w:sz w:val="20"/>
              </w:rPr>
              <w:t>ched the Philippine Tariff Finder (PTF) to improve transparency and to facilitate trade.  The PTF is a free online facility that allows access to all eight existing Philippine tariff schedules. (</w:t>
            </w:r>
            <w:hyperlink r:id="rId9" w:history="1">
              <w:r w:rsidRPr="00313BC5">
                <w:rPr>
                  <w:rStyle w:val="Hyperlink"/>
                  <w:sz w:val="20"/>
                </w:rPr>
                <w:t>http://www.tariffcommission.gov.ph/tariff_finder/</w:t>
              </w:r>
            </w:hyperlink>
            <w:r>
              <w:rPr>
                <w:sz w:val="20"/>
              </w:rPr>
              <w:t>)</w:t>
            </w:r>
          </w:p>
          <w:p w:rsidR="00AE3F6D" w:rsidRDefault="00AE3F6D" w:rsidP="00A74C6F">
            <w:pPr>
              <w:contextualSpacing/>
              <w:jc w:val="both"/>
              <w:rPr>
                <w:sz w:val="20"/>
              </w:rPr>
            </w:pPr>
          </w:p>
          <w:p w:rsidR="00AE3F6D" w:rsidRDefault="00AE3F6D" w:rsidP="00A74C6F">
            <w:pPr>
              <w:contextualSpacing/>
              <w:jc w:val="both"/>
              <w:rPr>
                <w:sz w:val="20"/>
              </w:rPr>
            </w:pPr>
            <w:r>
              <w:rPr>
                <w:sz w:val="20"/>
              </w:rPr>
              <w:t xml:space="preserve">Progressively reduced/eliminated tariffs in accordance with commitments under various FTAs. </w:t>
            </w:r>
          </w:p>
          <w:p w:rsidR="00EF5038" w:rsidRPr="007177C0" w:rsidRDefault="00EF5038" w:rsidP="00BA0237">
            <w:pPr>
              <w:rPr>
                <w:sz w:val="20"/>
              </w:rPr>
            </w:pPr>
          </w:p>
          <w:p w:rsidR="00EF5038" w:rsidRPr="007177C0" w:rsidRDefault="00EF5038" w:rsidP="00BA0237">
            <w:pPr>
              <w:rPr>
                <w:sz w:val="20"/>
              </w:rPr>
            </w:pPr>
            <w:r>
              <w:rPr>
                <w:sz w:val="20"/>
              </w:rPr>
              <w:t>Philippine</w:t>
            </w:r>
            <w:r w:rsidRPr="007177C0">
              <w:rPr>
                <w:sz w:val="20"/>
              </w:rPr>
              <w:t xml:space="preserve"> Tariff Profile Under Various  FTAs</w:t>
            </w:r>
          </w:p>
          <w:tbl>
            <w:tblPr>
              <w:tblW w:w="5521" w:type="dxa"/>
              <w:tblLook w:val="04A0" w:firstRow="1" w:lastRow="0" w:firstColumn="1" w:lastColumn="0" w:noHBand="0" w:noVBand="1"/>
            </w:tblPr>
            <w:tblGrid>
              <w:gridCol w:w="2611"/>
              <w:gridCol w:w="1010"/>
              <w:gridCol w:w="1010"/>
              <w:gridCol w:w="890"/>
            </w:tblGrid>
            <w:tr w:rsidR="00AE3F6D" w:rsidRPr="007177C0" w:rsidTr="00AE3F6D">
              <w:trPr>
                <w:trHeight w:val="300"/>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3F6D" w:rsidRPr="007C2D9E" w:rsidRDefault="00AE3F6D" w:rsidP="00BA0237">
                  <w:pPr>
                    <w:rPr>
                      <w:rFonts w:eastAsia="Times New Roman"/>
                      <w:color w:val="000000"/>
                      <w:sz w:val="18"/>
                      <w:szCs w:val="18"/>
                      <w:lang w:eastAsia="en-PH"/>
                    </w:rPr>
                  </w:pPr>
                </w:p>
              </w:tc>
              <w:tc>
                <w:tcPr>
                  <w:tcW w:w="1010" w:type="dxa"/>
                  <w:tcBorders>
                    <w:top w:val="single" w:sz="4" w:space="0" w:color="auto"/>
                    <w:left w:val="nil"/>
                    <w:bottom w:val="single" w:sz="4" w:space="0" w:color="auto"/>
                    <w:right w:val="single" w:sz="4" w:space="0" w:color="auto"/>
                  </w:tcBorders>
                  <w:shd w:val="clear" w:color="auto" w:fill="FFFFFF" w:themeFill="background1"/>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2011</w:t>
                  </w:r>
                </w:p>
              </w:tc>
              <w:tc>
                <w:tcPr>
                  <w:tcW w:w="1010" w:type="dxa"/>
                  <w:tcBorders>
                    <w:top w:val="single" w:sz="4" w:space="0" w:color="auto"/>
                    <w:left w:val="nil"/>
                    <w:bottom w:val="single" w:sz="4" w:space="0" w:color="auto"/>
                    <w:right w:val="single" w:sz="4" w:space="0" w:color="auto"/>
                  </w:tcBorders>
                  <w:shd w:val="clear" w:color="auto" w:fill="FFFFFF" w:themeFill="background1"/>
                  <w:vAlign w:val="center"/>
                  <w:hideMark/>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201</w:t>
                  </w:r>
                  <w:r>
                    <w:rPr>
                      <w:rFonts w:eastAsia="Times New Roman"/>
                      <w:color w:val="000000"/>
                      <w:sz w:val="18"/>
                      <w:szCs w:val="18"/>
                      <w:lang w:eastAsia="en-PH"/>
                    </w:rPr>
                    <w:t>2</w:t>
                  </w:r>
                </w:p>
              </w:tc>
              <w:tc>
                <w:tcPr>
                  <w:tcW w:w="890" w:type="dxa"/>
                  <w:tcBorders>
                    <w:top w:val="single" w:sz="4" w:space="0" w:color="auto"/>
                    <w:left w:val="nil"/>
                    <w:bottom w:val="single" w:sz="4" w:space="0" w:color="auto"/>
                    <w:right w:val="single" w:sz="4" w:space="0" w:color="auto"/>
                  </w:tcBorders>
                  <w:shd w:val="clear" w:color="auto" w:fill="FFFFFF" w:themeFill="background1"/>
                  <w:vAlign w:val="center"/>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2013</w:t>
                  </w:r>
                </w:p>
              </w:tc>
            </w:tr>
            <w:tr w:rsidR="00AE3F6D" w:rsidRPr="007177C0" w:rsidTr="00AE3F6D">
              <w:trPr>
                <w:trHeight w:val="300"/>
              </w:trPr>
              <w:tc>
                <w:tcPr>
                  <w:tcW w:w="46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3F6D" w:rsidRPr="007C2D9E" w:rsidRDefault="00AE3F6D" w:rsidP="00AE3F6D">
                  <w:pPr>
                    <w:rPr>
                      <w:rFonts w:eastAsia="Times New Roman"/>
                      <w:color w:val="000000"/>
                      <w:sz w:val="18"/>
                      <w:szCs w:val="18"/>
                      <w:lang w:eastAsia="en-PH"/>
                    </w:rPr>
                  </w:pPr>
                  <w:r w:rsidRPr="007C2D9E">
                    <w:rPr>
                      <w:rFonts w:eastAsia="Times New Roman"/>
                      <w:color w:val="000000"/>
                      <w:sz w:val="18"/>
                      <w:szCs w:val="18"/>
                      <w:lang w:eastAsia="en-PH"/>
                    </w:rPr>
                    <w:t>Simple Average Tariff</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3F6D" w:rsidRPr="007C2D9E" w:rsidRDefault="00AE3F6D" w:rsidP="00AE3F6D">
                  <w:pPr>
                    <w:jc w:val="center"/>
                    <w:rPr>
                      <w:rFonts w:eastAsia="Times New Roman"/>
                      <w:color w:val="000000"/>
                      <w:sz w:val="18"/>
                      <w:szCs w:val="18"/>
                      <w:lang w:eastAsia="en-PH"/>
                    </w:rPr>
                  </w:pP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ASEAN/ATIGA</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0.00</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0.00</w:t>
                  </w:r>
                </w:p>
              </w:tc>
              <w:tc>
                <w:tcPr>
                  <w:tcW w:w="890" w:type="dxa"/>
                  <w:tcBorders>
                    <w:top w:val="nil"/>
                    <w:left w:val="nil"/>
                    <w:bottom w:val="single" w:sz="4" w:space="0" w:color="auto"/>
                    <w:right w:val="single" w:sz="4" w:space="0" w:color="auto"/>
                  </w:tcBorders>
                  <w:vAlign w:val="center"/>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0.00</w:t>
                  </w: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ASEAN-China</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0.35</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1.16</w:t>
                  </w:r>
                </w:p>
              </w:tc>
              <w:tc>
                <w:tcPr>
                  <w:tcW w:w="890" w:type="dxa"/>
                  <w:tcBorders>
                    <w:top w:val="nil"/>
                    <w:left w:val="nil"/>
                    <w:bottom w:val="single" w:sz="4" w:space="0" w:color="auto"/>
                    <w:right w:val="single" w:sz="4" w:space="0" w:color="auto"/>
                  </w:tcBorders>
                  <w:vAlign w:val="center"/>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1.16</w:t>
                  </w: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ASEAN-Korea</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0.44</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1.13</w:t>
                  </w:r>
                </w:p>
              </w:tc>
              <w:tc>
                <w:tcPr>
                  <w:tcW w:w="890" w:type="dxa"/>
                  <w:tcBorders>
                    <w:top w:val="nil"/>
                    <w:left w:val="nil"/>
                    <w:bottom w:val="single" w:sz="4" w:space="0" w:color="auto"/>
                    <w:right w:val="single" w:sz="4" w:space="0" w:color="auto"/>
                  </w:tcBorders>
                  <w:vAlign w:val="center"/>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1.12</w:t>
                  </w: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ASEAN-Australia/New Zealand</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1.55</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0.99</w:t>
                  </w:r>
                </w:p>
              </w:tc>
              <w:tc>
                <w:tcPr>
                  <w:tcW w:w="890" w:type="dxa"/>
                  <w:tcBorders>
                    <w:top w:val="nil"/>
                    <w:left w:val="nil"/>
                    <w:bottom w:val="single" w:sz="4" w:space="0" w:color="auto"/>
                    <w:right w:val="single" w:sz="4" w:space="0" w:color="auto"/>
                  </w:tcBorders>
                  <w:vAlign w:val="center"/>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0.63</w:t>
                  </w: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ASEAN-Japan</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3.08</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2.43</w:t>
                  </w:r>
                </w:p>
              </w:tc>
              <w:tc>
                <w:tcPr>
                  <w:tcW w:w="890" w:type="dxa"/>
                  <w:tcBorders>
                    <w:top w:val="nil"/>
                    <w:left w:val="nil"/>
                    <w:bottom w:val="single" w:sz="4" w:space="0" w:color="auto"/>
                    <w:right w:val="single" w:sz="4" w:space="0" w:color="auto"/>
                  </w:tcBorders>
                  <w:vAlign w:val="center"/>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2.07</w:t>
                  </w: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Philippines-Japan</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sidRPr="007C2D9E">
                    <w:rPr>
                      <w:rFonts w:eastAsia="Times New Roman"/>
                      <w:color w:val="000000"/>
                      <w:sz w:val="18"/>
                      <w:szCs w:val="18"/>
                      <w:lang w:eastAsia="en-PH"/>
                    </w:rPr>
                    <w:t>2</w:t>
                  </w:r>
                  <w:r>
                    <w:rPr>
                      <w:rFonts w:eastAsia="Times New Roman"/>
                      <w:color w:val="000000"/>
                      <w:sz w:val="18"/>
                      <w:szCs w:val="18"/>
                      <w:lang w:eastAsia="en-PH"/>
                    </w:rPr>
                    <w:t>.38</w:t>
                  </w:r>
                </w:p>
              </w:tc>
              <w:tc>
                <w:tcPr>
                  <w:tcW w:w="1010" w:type="dxa"/>
                  <w:tcBorders>
                    <w:top w:val="nil"/>
                    <w:left w:val="nil"/>
                    <w:bottom w:val="single" w:sz="4" w:space="0" w:color="auto"/>
                    <w:right w:val="single" w:sz="4" w:space="0" w:color="auto"/>
                  </w:tcBorders>
                  <w:shd w:val="clear" w:color="auto" w:fill="auto"/>
                  <w:vAlign w:val="center"/>
                  <w:hideMark/>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1.93</w:t>
                  </w:r>
                </w:p>
              </w:tc>
              <w:tc>
                <w:tcPr>
                  <w:tcW w:w="890" w:type="dxa"/>
                  <w:tcBorders>
                    <w:top w:val="nil"/>
                    <w:left w:val="nil"/>
                    <w:bottom w:val="single" w:sz="4" w:space="0" w:color="auto"/>
                    <w:right w:val="single" w:sz="4" w:space="0" w:color="auto"/>
                  </w:tcBorders>
                  <w:vAlign w:val="center"/>
                </w:tcPr>
                <w:p w:rsidR="00AE3F6D" w:rsidRPr="007C2D9E" w:rsidRDefault="00AE3F6D" w:rsidP="00AE3F6D">
                  <w:pPr>
                    <w:jc w:val="center"/>
                    <w:rPr>
                      <w:rFonts w:eastAsia="Times New Roman"/>
                      <w:color w:val="000000"/>
                      <w:sz w:val="18"/>
                      <w:szCs w:val="18"/>
                      <w:lang w:eastAsia="en-PH"/>
                    </w:rPr>
                  </w:pPr>
                  <w:r>
                    <w:rPr>
                      <w:rFonts w:eastAsia="Times New Roman"/>
                      <w:color w:val="000000"/>
                      <w:sz w:val="18"/>
                      <w:szCs w:val="18"/>
                      <w:lang w:eastAsia="en-PH"/>
                    </w:rPr>
                    <w:t>1.61</w:t>
                  </w:r>
                </w:p>
              </w:tc>
            </w:tr>
            <w:tr w:rsidR="00AE3F6D"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AE3F6D" w:rsidRPr="007C2D9E" w:rsidRDefault="00AE3F6D" w:rsidP="00BA0237">
                  <w:pPr>
                    <w:rPr>
                      <w:rFonts w:eastAsia="Times New Roman"/>
                      <w:color w:val="000000"/>
                      <w:sz w:val="18"/>
                      <w:szCs w:val="18"/>
                      <w:lang w:eastAsia="en-PH"/>
                    </w:rPr>
                  </w:pPr>
                  <w:r w:rsidRPr="007C2D9E">
                    <w:rPr>
                      <w:rFonts w:eastAsia="Times New Roman"/>
                      <w:color w:val="000000"/>
                      <w:sz w:val="18"/>
                      <w:szCs w:val="18"/>
                      <w:lang w:eastAsia="en-PH"/>
                    </w:rPr>
                    <w:t>ASEAN-India</w:t>
                  </w:r>
                </w:p>
              </w:tc>
              <w:tc>
                <w:tcPr>
                  <w:tcW w:w="1010" w:type="dxa"/>
                  <w:tcBorders>
                    <w:top w:val="nil"/>
                    <w:left w:val="nil"/>
                    <w:bottom w:val="single" w:sz="4" w:space="0" w:color="auto"/>
                    <w:right w:val="single" w:sz="4" w:space="0" w:color="auto"/>
                  </w:tcBorders>
                  <w:shd w:val="clear" w:color="auto" w:fill="auto"/>
                  <w:vAlign w:val="center"/>
                  <w:hideMark/>
                </w:tcPr>
                <w:p w:rsidR="00AE3F6D" w:rsidRPr="00AE3F6D" w:rsidRDefault="00AE3F6D" w:rsidP="00AE3F6D">
                  <w:pPr>
                    <w:jc w:val="center"/>
                    <w:rPr>
                      <w:sz w:val="18"/>
                      <w:szCs w:val="18"/>
                    </w:rPr>
                  </w:pPr>
                  <w:r w:rsidRPr="00AE3F6D">
                    <w:rPr>
                      <w:rFonts w:eastAsia="Times New Roman"/>
                      <w:color w:val="000000"/>
                      <w:sz w:val="18"/>
                      <w:szCs w:val="18"/>
                      <w:lang w:eastAsia="en-PH"/>
                    </w:rPr>
                    <w:t>4.90</w:t>
                  </w:r>
                </w:p>
              </w:tc>
              <w:tc>
                <w:tcPr>
                  <w:tcW w:w="1010" w:type="dxa"/>
                  <w:tcBorders>
                    <w:top w:val="nil"/>
                    <w:left w:val="nil"/>
                    <w:bottom w:val="single" w:sz="4" w:space="0" w:color="auto"/>
                    <w:right w:val="single" w:sz="4" w:space="0" w:color="auto"/>
                  </w:tcBorders>
                  <w:shd w:val="clear" w:color="auto" w:fill="auto"/>
                  <w:vAlign w:val="center"/>
                  <w:hideMark/>
                </w:tcPr>
                <w:p w:rsidR="00AE3F6D" w:rsidRPr="00AE3F6D" w:rsidRDefault="00AE3F6D" w:rsidP="00AE3F6D">
                  <w:pPr>
                    <w:jc w:val="center"/>
                    <w:rPr>
                      <w:sz w:val="18"/>
                      <w:szCs w:val="18"/>
                    </w:rPr>
                  </w:pPr>
                  <w:r w:rsidRPr="00AE3F6D">
                    <w:rPr>
                      <w:sz w:val="18"/>
                      <w:szCs w:val="18"/>
                    </w:rPr>
                    <w:t>4.84</w:t>
                  </w:r>
                </w:p>
              </w:tc>
              <w:tc>
                <w:tcPr>
                  <w:tcW w:w="890" w:type="dxa"/>
                  <w:tcBorders>
                    <w:top w:val="nil"/>
                    <w:left w:val="nil"/>
                    <w:bottom w:val="single" w:sz="4" w:space="0" w:color="auto"/>
                    <w:right w:val="single" w:sz="4" w:space="0" w:color="auto"/>
                  </w:tcBorders>
                  <w:vAlign w:val="center"/>
                </w:tcPr>
                <w:p w:rsidR="00AE3F6D" w:rsidRPr="00AE3F6D" w:rsidRDefault="00AE3F6D" w:rsidP="00AE3F6D">
                  <w:pPr>
                    <w:jc w:val="center"/>
                    <w:rPr>
                      <w:sz w:val="18"/>
                      <w:szCs w:val="18"/>
                    </w:rPr>
                  </w:pPr>
                  <w:r>
                    <w:rPr>
                      <w:sz w:val="18"/>
                      <w:szCs w:val="18"/>
                    </w:rPr>
                    <w:t>4.55</w:t>
                  </w:r>
                </w:p>
              </w:tc>
            </w:tr>
            <w:tr w:rsidR="00AE3F6D" w:rsidRPr="007177C0" w:rsidTr="00AE3F6D">
              <w:trPr>
                <w:trHeight w:val="233"/>
              </w:trPr>
              <w:tc>
                <w:tcPr>
                  <w:tcW w:w="46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3F6D" w:rsidRPr="007C2D9E" w:rsidRDefault="00AE3F6D" w:rsidP="00AE3F6D">
                  <w:pPr>
                    <w:rPr>
                      <w:rFonts w:eastAsia="Times New Roman"/>
                      <w:color w:val="000000"/>
                      <w:sz w:val="18"/>
                      <w:szCs w:val="18"/>
                      <w:lang w:eastAsia="en-PH"/>
                    </w:rPr>
                  </w:pPr>
                </w:p>
              </w:tc>
              <w:tc>
                <w:tcPr>
                  <w:tcW w:w="890" w:type="dxa"/>
                  <w:tcBorders>
                    <w:top w:val="single" w:sz="4" w:space="0" w:color="auto"/>
                    <w:left w:val="single" w:sz="4" w:space="0" w:color="auto"/>
                    <w:bottom w:val="single" w:sz="4" w:space="0" w:color="auto"/>
                    <w:right w:val="single" w:sz="4" w:space="0" w:color="auto"/>
                  </w:tcBorders>
                  <w:vAlign w:val="center"/>
                </w:tcPr>
                <w:p w:rsidR="00AE3F6D" w:rsidRDefault="00AE3F6D" w:rsidP="00AE3F6D">
                  <w:pPr>
                    <w:jc w:val="center"/>
                    <w:rPr>
                      <w:rFonts w:eastAsia="Times New Roman"/>
                      <w:color w:val="000000"/>
                      <w:sz w:val="18"/>
                      <w:szCs w:val="18"/>
                      <w:lang w:eastAsia="en-PH"/>
                    </w:rPr>
                  </w:pPr>
                </w:p>
              </w:tc>
            </w:tr>
            <w:tr w:rsidR="00AE3F6D" w:rsidRPr="007177C0" w:rsidTr="00AE3F6D">
              <w:trPr>
                <w:trHeight w:val="300"/>
              </w:trPr>
              <w:tc>
                <w:tcPr>
                  <w:tcW w:w="46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3F6D" w:rsidRPr="007C2D9E" w:rsidRDefault="00AE3F6D" w:rsidP="00AE3F6D">
                  <w:pPr>
                    <w:rPr>
                      <w:rFonts w:eastAsia="Times New Roman"/>
                      <w:color w:val="000000"/>
                      <w:sz w:val="18"/>
                      <w:szCs w:val="18"/>
                      <w:lang w:eastAsia="en-PH"/>
                    </w:rPr>
                  </w:pPr>
                  <w:r w:rsidRPr="007C2D9E">
                    <w:rPr>
                      <w:rFonts w:eastAsia="Times New Roman"/>
                      <w:color w:val="000000"/>
                      <w:sz w:val="18"/>
                      <w:szCs w:val="18"/>
                      <w:lang w:eastAsia="en-PH"/>
                    </w:rPr>
                    <w:t>% Duty free Tariff Lines to All goods</w:t>
                  </w:r>
                </w:p>
              </w:tc>
              <w:tc>
                <w:tcPr>
                  <w:tcW w:w="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3F6D" w:rsidRPr="007C2D9E" w:rsidRDefault="00AE3F6D" w:rsidP="00AE3F6D">
                  <w:pPr>
                    <w:jc w:val="center"/>
                    <w:rPr>
                      <w:rFonts w:eastAsia="Times New Roman"/>
                      <w:color w:val="000000"/>
                      <w:sz w:val="18"/>
                      <w:szCs w:val="18"/>
                      <w:lang w:eastAsia="en-PH"/>
                    </w:rPr>
                  </w:pP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ASEAN</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sidRPr="007C2D9E">
                    <w:rPr>
                      <w:rFonts w:eastAsia="Times New Roman"/>
                      <w:color w:val="000000"/>
                      <w:sz w:val="18"/>
                      <w:szCs w:val="18"/>
                      <w:lang w:eastAsia="en-PH"/>
                    </w:rPr>
                    <w:t>Approx 100.00</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sidRPr="007C2D9E">
                    <w:rPr>
                      <w:rFonts w:eastAsia="Times New Roman"/>
                      <w:color w:val="000000"/>
                      <w:sz w:val="18"/>
                      <w:szCs w:val="18"/>
                      <w:lang w:eastAsia="en-PH"/>
                    </w:rPr>
                    <w:t>Approx 100.00</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sidRPr="007C2D9E">
                    <w:rPr>
                      <w:rFonts w:eastAsia="Times New Roman"/>
                      <w:color w:val="000000"/>
                      <w:sz w:val="18"/>
                      <w:szCs w:val="18"/>
                      <w:lang w:eastAsia="en-PH"/>
                    </w:rPr>
                    <w:t>Approx 100.00</w:t>
                  </w: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ASEAN-China</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sidRPr="007C2D9E">
                    <w:rPr>
                      <w:rFonts w:eastAsia="Times New Roman"/>
                      <w:color w:val="000000"/>
                      <w:sz w:val="18"/>
                      <w:szCs w:val="18"/>
                      <w:lang w:eastAsia="en-PH"/>
                    </w:rPr>
                    <w:t>92.24</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89.88</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Pr>
                      <w:rFonts w:eastAsia="Times New Roman"/>
                      <w:color w:val="000000"/>
                      <w:sz w:val="18"/>
                      <w:szCs w:val="18"/>
                      <w:lang w:eastAsia="en-PH"/>
                    </w:rPr>
                    <w:t>89.88</w:t>
                  </w: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ASEAN-Korea</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sidRPr="007C2D9E">
                    <w:rPr>
                      <w:rFonts w:eastAsia="Times New Roman"/>
                      <w:color w:val="000000"/>
                      <w:sz w:val="18"/>
                      <w:szCs w:val="18"/>
                      <w:lang w:eastAsia="en-PH"/>
                    </w:rPr>
                    <w:t>89.69</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92.35</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Pr>
                      <w:rFonts w:eastAsia="Times New Roman"/>
                      <w:color w:val="000000"/>
                      <w:sz w:val="18"/>
                      <w:szCs w:val="18"/>
                      <w:lang w:eastAsia="en-PH"/>
                    </w:rPr>
                    <w:t>93.36</w:t>
                  </w: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ASEAN-Australia/New Zealand</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60.76</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80.32</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Pr>
                      <w:rFonts w:eastAsia="Times New Roman"/>
                      <w:color w:val="000000"/>
                      <w:sz w:val="18"/>
                      <w:szCs w:val="18"/>
                      <w:lang w:eastAsia="en-PH"/>
                    </w:rPr>
                    <w:t>90.98</w:t>
                  </w: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ASEAN-Japan</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71.45</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61.80</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Pr>
                      <w:rFonts w:eastAsia="Times New Roman"/>
                      <w:color w:val="000000"/>
                      <w:sz w:val="18"/>
                      <w:szCs w:val="18"/>
                      <w:lang w:eastAsia="en-PH"/>
                    </w:rPr>
                    <w:t>70.24</w:t>
                  </w: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Philippines-Japan</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65.57</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64.15</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Pr>
                      <w:rFonts w:eastAsia="Times New Roman"/>
                      <w:color w:val="000000"/>
                      <w:sz w:val="18"/>
                      <w:szCs w:val="18"/>
                      <w:lang w:eastAsia="en-PH"/>
                    </w:rPr>
                    <w:t>72.64</w:t>
                  </w:r>
                </w:p>
              </w:tc>
            </w:tr>
            <w:tr w:rsidR="00214363" w:rsidRPr="007177C0" w:rsidTr="00AE3F6D">
              <w:trPr>
                <w:trHeight w:val="300"/>
              </w:trPr>
              <w:tc>
                <w:tcPr>
                  <w:tcW w:w="2611" w:type="dxa"/>
                  <w:tcBorders>
                    <w:top w:val="nil"/>
                    <w:left w:val="single" w:sz="4" w:space="0" w:color="auto"/>
                    <w:bottom w:val="single" w:sz="4" w:space="0" w:color="auto"/>
                    <w:right w:val="single" w:sz="4" w:space="0" w:color="auto"/>
                  </w:tcBorders>
                  <w:shd w:val="clear" w:color="auto" w:fill="auto"/>
                  <w:vAlign w:val="center"/>
                  <w:hideMark/>
                </w:tcPr>
                <w:p w:rsidR="00214363" w:rsidRPr="007C2D9E" w:rsidRDefault="00214363" w:rsidP="00BA0237">
                  <w:pPr>
                    <w:rPr>
                      <w:rFonts w:eastAsia="Times New Roman"/>
                      <w:color w:val="000000"/>
                      <w:sz w:val="18"/>
                      <w:szCs w:val="18"/>
                      <w:lang w:eastAsia="en-PH"/>
                    </w:rPr>
                  </w:pPr>
                  <w:r w:rsidRPr="007C2D9E">
                    <w:rPr>
                      <w:rFonts w:eastAsia="Times New Roman"/>
                      <w:color w:val="000000"/>
                      <w:sz w:val="18"/>
                      <w:szCs w:val="18"/>
                      <w:lang w:eastAsia="en-PH"/>
                    </w:rPr>
                    <w:t>ASEAN-India</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4.28</w:t>
                  </w:r>
                </w:p>
              </w:tc>
              <w:tc>
                <w:tcPr>
                  <w:tcW w:w="1010" w:type="dxa"/>
                  <w:tcBorders>
                    <w:top w:val="nil"/>
                    <w:left w:val="nil"/>
                    <w:bottom w:val="single" w:sz="4" w:space="0" w:color="auto"/>
                    <w:right w:val="single" w:sz="4" w:space="0" w:color="auto"/>
                  </w:tcBorders>
                  <w:shd w:val="clear" w:color="auto" w:fill="auto"/>
                  <w:vAlign w:val="center"/>
                  <w:hideMark/>
                </w:tcPr>
                <w:p w:rsidR="00214363" w:rsidRPr="007C2D9E" w:rsidRDefault="00214363" w:rsidP="00AE3F6D">
                  <w:pPr>
                    <w:jc w:val="center"/>
                    <w:rPr>
                      <w:rFonts w:eastAsia="Times New Roman"/>
                      <w:color w:val="000000"/>
                      <w:sz w:val="18"/>
                      <w:szCs w:val="18"/>
                      <w:lang w:eastAsia="en-PH"/>
                    </w:rPr>
                  </w:pPr>
                  <w:r>
                    <w:rPr>
                      <w:rFonts w:eastAsia="Times New Roman"/>
                      <w:color w:val="000000"/>
                      <w:sz w:val="18"/>
                      <w:szCs w:val="18"/>
                      <w:lang w:eastAsia="en-PH"/>
                    </w:rPr>
                    <w:t>4.10</w:t>
                  </w:r>
                </w:p>
              </w:tc>
              <w:tc>
                <w:tcPr>
                  <w:tcW w:w="890" w:type="dxa"/>
                  <w:tcBorders>
                    <w:top w:val="nil"/>
                    <w:left w:val="nil"/>
                    <w:bottom w:val="single" w:sz="4" w:space="0" w:color="auto"/>
                    <w:right w:val="single" w:sz="4" w:space="0" w:color="auto"/>
                  </w:tcBorders>
                  <w:vAlign w:val="center"/>
                </w:tcPr>
                <w:p w:rsidR="00214363" w:rsidRPr="007C2D9E" w:rsidRDefault="00214363" w:rsidP="00AC3F22">
                  <w:pPr>
                    <w:jc w:val="center"/>
                    <w:rPr>
                      <w:rFonts w:eastAsia="Times New Roman"/>
                      <w:color w:val="000000"/>
                      <w:sz w:val="18"/>
                      <w:szCs w:val="18"/>
                      <w:lang w:eastAsia="en-PH"/>
                    </w:rPr>
                  </w:pPr>
                  <w:r>
                    <w:rPr>
                      <w:rFonts w:eastAsia="Times New Roman"/>
                      <w:color w:val="000000"/>
                      <w:sz w:val="18"/>
                      <w:szCs w:val="18"/>
                      <w:lang w:eastAsia="en-PH"/>
                    </w:rPr>
                    <w:t>4.10</w:t>
                  </w:r>
                </w:p>
              </w:tc>
            </w:tr>
          </w:tbl>
          <w:p w:rsidR="00EF5038" w:rsidRDefault="00EF5038" w:rsidP="00BA0237">
            <w:pPr>
              <w:rPr>
                <w:sz w:val="20"/>
              </w:rPr>
            </w:pPr>
          </w:p>
          <w:p w:rsidR="00EC4F01" w:rsidRPr="00EC4F01" w:rsidRDefault="00EC4F01" w:rsidP="00BA0237">
            <w:pPr>
              <w:rPr>
                <w:sz w:val="18"/>
                <w:szCs w:val="18"/>
              </w:rPr>
            </w:pPr>
            <w:r w:rsidRPr="00EC4F01">
              <w:rPr>
                <w:sz w:val="18"/>
                <w:szCs w:val="18"/>
              </w:rPr>
              <w:t>Notes:</w:t>
            </w:r>
          </w:p>
          <w:p w:rsidR="00EC4F01" w:rsidRPr="00EC4F01" w:rsidRDefault="00EC4F01" w:rsidP="00EC4F01">
            <w:pPr>
              <w:pStyle w:val="ListParagraph"/>
              <w:numPr>
                <w:ilvl w:val="0"/>
                <w:numId w:val="39"/>
              </w:numPr>
              <w:rPr>
                <w:rFonts w:ascii="Times New Roman" w:hAnsi="Times New Roman"/>
                <w:sz w:val="18"/>
                <w:szCs w:val="18"/>
              </w:rPr>
            </w:pPr>
            <w:r w:rsidRPr="00EC4F01">
              <w:rPr>
                <w:rFonts w:ascii="Times New Roman" w:hAnsi="Times New Roman"/>
                <w:sz w:val="18"/>
                <w:szCs w:val="18"/>
              </w:rPr>
              <w:lastRenderedPageBreak/>
              <w:t>Figures do not include sensitive agricultural products under Eos 313 and 328 series 1996</w:t>
            </w:r>
          </w:p>
          <w:p w:rsidR="00EC4F01" w:rsidRPr="00EC4F01" w:rsidRDefault="00EC4F01" w:rsidP="00EC4F01">
            <w:pPr>
              <w:pStyle w:val="ListParagraph"/>
              <w:numPr>
                <w:ilvl w:val="0"/>
                <w:numId w:val="39"/>
              </w:numPr>
              <w:rPr>
                <w:rFonts w:ascii="Times New Roman" w:hAnsi="Times New Roman"/>
                <w:sz w:val="18"/>
                <w:szCs w:val="18"/>
              </w:rPr>
            </w:pPr>
            <w:r w:rsidRPr="00EC4F01">
              <w:rPr>
                <w:rFonts w:ascii="Times New Roman" w:hAnsi="Times New Roman"/>
                <w:sz w:val="18"/>
                <w:szCs w:val="18"/>
              </w:rPr>
              <w:t>2011 figures were based on AHTN2007 while AHTN2012 was used for 2012 and 2013</w:t>
            </w:r>
          </w:p>
          <w:p w:rsidR="00EC4F01" w:rsidRPr="00EC4F01" w:rsidRDefault="00EC4F01" w:rsidP="00EC4F01">
            <w:pPr>
              <w:pStyle w:val="ListParagraph"/>
              <w:numPr>
                <w:ilvl w:val="0"/>
                <w:numId w:val="39"/>
              </w:numPr>
              <w:rPr>
                <w:sz w:val="18"/>
                <w:szCs w:val="18"/>
              </w:rPr>
            </w:pPr>
            <w:r w:rsidRPr="00EC4F01">
              <w:rPr>
                <w:rFonts w:ascii="Times New Roman" w:hAnsi="Times New Roman"/>
                <w:sz w:val="18"/>
                <w:szCs w:val="18"/>
              </w:rPr>
              <w:t>Preferential rates of certain sensitive products under AKFTA and ACFTA as per Eos 71, 72, 73 and 74 were incorporated in 2012 and 2013.</w:t>
            </w:r>
          </w:p>
        </w:tc>
        <w:tc>
          <w:tcPr>
            <w:tcW w:w="2050" w:type="pct"/>
          </w:tcPr>
          <w:p w:rsidR="00EF5038" w:rsidRPr="00EF5038" w:rsidRDefault="00EF5038" w:rsidP="00BA0237">
            <w:pPr>
              <w:pStyle w:val="ListParagraph"/>
              <w:ind w:left="0"/>
              <w:rPr>
                <w:rFonts w:ascii="Times New Roman" w:hAnsi="Times New Roman"/>
                <w:sz w:val="20"/>
                <w:szCs w:val="20"/>
              </w:rPr>
            </w:pPr>
            <w:bookmarkStart w:id="4" w:name="Cell02"/>
            <w:bookmarkEnd w:id="4"/>
            <w:r w:rsidRPr="00EF5038">
              <w:rPr>
                <w:rFonts w:ascii="Times New Roman" w:hAnsi="Times New Roman"/>
                <w:sz w:val="20"/>
                <w:szCs w:val="20"/>
              </w:rPr>
              <w:lastRenderedPageBreak/>
              <w:t>Continuing regular review of MFN tariffs to make industries competitive and promote consumer welfare</w:t>
            </w:r>
            <w:r w:rsidR="00702193">
              <w:rPr>
                <w:rFonts w:ascii="Times New Roman" w:hAnsi="Times New Roman"/>
                <w:sz w:val="20"/>
                <w:szCs w:val="20"/>
              </w:rPr>
              <w:t>.</w:t>
            </w:r>
          </w:p>
          <w:p w:rsidR="00EF5038" w:rsidRPr="00EF5038" w:rsidRDefault="00EF5038" w:rsidP="00BA0237">
            <w:pPr>
              <w:pStyle w:val="ListParagraph"/>
              <w:ind w:left="0"/>
              <w:rPr>
                <w:rFonts w:ascii="Times New Roman" w:hAnsi="Times New Roman"/>
                <w:sz w:val="10"/>
                <w:szCs w:val="10"/>
              </w:rPr>
            </w:pPr>
          </w:p>
          <w:p w:rsidR="00EF5038" w:rsidRPr="00EF5038" w:rsidRDefault="00EF5038" w:rsidP="00BA0237">
            <w:pPr>
              <w:pStyle w:val="ListParagraph"/>
              <w:ind w:left="0"/>
              <w:jc w:val="both"/>
              <w:rPr>
                <w:rFonts w:ascii="Times New Roman" w:hAnsi="Times New Roman"/>
                <w:sz w:val="20"/>
                <w:szCs w:val="20"/>
              </w:rPr>
            </w:pPr>
            <w:r w:rsidRPr="00EF5038">
              <w:rPr>
                <w:rFonts w:ascii="Times New Roman" w:hAnsi="Times New Roman"/>
                <w:sz w:val="20"/>
                <w:szCs w:val="20"/>
              </w:rPr>
              <w:t xml:space="preserve">Under the various FTAs, will progressively reduce and/or eliminate preferential </w:t>
            </w:r>
            <w:proofErr w:type="gramStart"/>
            <w:r w:rsidRPr="00EF5038">
              <w:rPr>
                <w:rFonts w:ascii="Times New Roman" w:hAnsi="Times New Roman"/>
                <w:sz w:val="20"/>
                <w:szCs w:val="20"/>
              </w:rPr>
              <w:t>tariffs  with</w:t>
            </w:r>
            <w:proofErr w:type="gramEnd"/>
            <w:r w:rsidRPr="00EF5038">
              <w:rPr>
                <w:rFonts w:ascii="Times New Roman" w:hAnsi="Times New Roman"/>
                <w:sz w:val="20"/>
                <w:szCs w:val="20"/>
              </w:rPr>
              <w:t xml:space="preserve"> the end goal of zero tariffs levied on substantially all goods by the agreed end dates.</w:t>
            </w:r>
          </w:p>
          <w:p w:rsidR="00EF5038" w:rsidRPr="00EF5038" w:rsidRDefault="00EF5038" w:rsidP="00BA0237">
            <w:pPr>
              <w:pStyle w:val="ListParagraph"/>
              <w:ind w:left="0"/>
              <w:rPr>
                <w:rFonts w:ascii="Times New Roman" w:hAnsi="Times New Roman"/>
                <w:sz w:val="20"/>
                <w:szCs w:val="20"/>
              </w:rPr>
            </w:pPr>
          </w:p>
          <w:tbl>
            <w:tblPr>
              <w:tblW w:w="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890"/>
            </w:tblGrid>
            <w:tr w:rsidR="00EF5038" w:rsidRPr="00EF5038" w:rsidTr="000461AC">
              <w:trPr>
                <w:trHeight w:val="300"/>
              </w:trPr>
              <w:tc>
                <w:tcPr>
                  <w:tcW w:w="3590" w:type="dxa"/>
                  <w:shd w:val="clear" w:color="auto" w:fill="FFFFFF" w:themeFill="background1"/>
                  <w:hideMark/>
                </w:tcPr>
                <w:p w:rsidR="00EF5038" w:rsidRPr="007C2D9E" w:rsidRDefault="00EF5038" w:rsidP="00BA0237">
                  <w:pPr>
                    <w:rPr>
                      <w:rFonts w:eastAsia="Times New Roman"/>
                      <w:color w:val="000000"/>
                      <w:sz w:val="18"/>
                      <w:szCs w:val="18"/>
                      <w:lang w:eastAsia="en-PH"/>
                    </w:rPr>
                  </w:pPr>
                </w:p>
              </w:tc>
              <w:tc>
                <w:tcPr>
                  <w:tcW w:w="1890" w:type="dxa"/>
                  <w:shd w:val="clear" w:color="auto" w:fill="FFFFFF" w:themeFill="background1"/>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End Dates</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ASEAN / ATIGA</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2015</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ASEAN-China</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2018</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ASEAN-Korea</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2016</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ASEAN-Australia/New Zealand</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2020</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ASEAN-Japan</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2018</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ASEAN-India</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2022</w:t>
                  </w:r>
                </w:p>
              </w:tc>
            </w:tr>
            <w:tr w:rsidR="00EF5038" w:rsidRPr="00EF5038" w:rsidTr="000461AC">
              <w:trPr>
                <w:trHeight w:val="300"/>
              </w:trPr>
              <w:tc>
                <w:tcPr>
                  <w:tcW w:w="3590" w:type="dxa"/>
                  <w:shd w:val="clear" w:color="auto" w:fill="auto"/>
                  <w:vAlign w:val="center"/>
                  <w:hideMark/>
                </w:tcPr>
                <w:p w:rsidR="00EF5038" w:rsidRPr="007C2D9E" w:rsidRDefault="00EF5038" w:rsidP="00BA0237">
                  <w:pPr>
                    <w:rPr>
                      <w:rFonts w:eastAsia="Times New Roman"/>
                      <w:color w:val="000000"/>
                      <w:sz w:val="18"/>
                      <w:szCs w:val="18"/>
                      <w:lang w:eastAsia="en-PH"/>
                    </w:rPr>
                  </w:pPr>
                  <w:r w:rsidRPr="007C2D9E">
                    <w:rPr>
                      <w:rFonts w:eastAsia="Times New Roman"/>
                      <w:color w:val="000000"/>
                      <w:sz w:val="18"/>
                      <w:szCs w:val="18"/>
                      <w:lang w:eastAsia="en-PH"/>
                    </w:rPr>
                    <w:t>Philippines-Japan</w:t>
                  </w:r>
                </w:p>
              </w:tc>
              <w:tc>
                <w:tcPr>
                  <w:tcW w:w="1890" w:type="dxa"/>
                  <w:shd w:val="clear" w:color="auto" w:fill="auto"/>
                  <w:vAlign w:val="center"/>
                  <w:hideMark/>
                </w:tcPr>
                <w:p w:rsidR="00EF5038" w:rsidRPr="007C2D9E" w:rsidRDefault="00EF5038" w:rsidP="00BA0237">
                  <w:pPr>
                    <w:jc w:val="center"/>
                    <w:rPr>
                      <w:rFonts w:eastAsia="Times New Roman"/>
                      <w:color w:val="000000"/>
                      <w:sz w:val="18"/>
                      <w:szCs w:val="18"/>
                      <w:lang w:eastAsia="en-PH"/>
                    </w:rPr>
                  </w:pPr>
                  <w:r w:rsidRPr="007C2D9E">
                    <w:rPr>
                      <w:rFonts w:eastAsia="Times New Roman"/>
                      <w:color w:val="000000"/>
                      <w:sz w:val="18"/>
                      <w:szCs w:val="18"/>
                      <w:lang w:eastAsia="en-PH"/>
                    </w:rPr>
                    <w:t>2018</w:t>
                  </w:r>
                </w:p>
              </w:tc>
            </w:tr>
          </w:tbl>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P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Default="00EF5038" w:rsidP="00BA0237">
            <w:pPr>
              <w:rPr>
                <w:sz w:val="20"/>
              </w:rPr>
            </w:pPr>
          </w:p>
          <w:p w:rsidR="00EF5038" w:rsidRPr="00EF5038" w:rsidRDefault="00EF5038" w:rsidP="00BA0237">
            <w:pPr>
              <w:rPr>
                <w:sz w:val="20"/>
              </w:rPr>
            </w:pPr>
          </w:p>
        </w:tc>
      </w:tr>
      <w:tr w:rsidR="00EF5038" w:rsidRPr="0008533B" w:rsidTr="00FA15C7">
        <w:trPr>
          <w:trHeight w:val="212"/>
        </w:trPr>
        <w:tc>
          <w:tcPr>
            <w:tcW w:w="850" w:type="pct"/>
          </w:tcPr>
          <w:p w:rsidR="00EF5038" w:rsidRPr="0008533B" w:rsidRDefault="00EF5038">
            <w:pPr>
              <w:pStyle w:val="Heading9"/>
              <w:rPr>
                <w:rFonts w:ascii="Times New Roman" w:hAnsi="Times New Roman"/>
                <w:color w:val="808080"/>
              </w:rPr>
            </w:pPr>
            <w:r w:rsidRPr="0008533B">
              <w:rPr>
                <w:rFonts w:ascii="Times New Roman" w:hAnsi="Times New Roman"/>
                <w:b w:val="0"/>
                <w:color w:val="808080"/>
              </w:rPr>
              <w:lastRenderedPageBreak/>
              <w:t xml:space="preserve">Website for further information:  </w:t>
            </w:r>
          </w:p>
        </w:tc>
        <w:tc>
          <w:tcPr>
            <w:tcW w:w="2100" w:type="pct"/>
          </w:tcPr>
          <w:p w:rsidR="00EF5038" w:rsidRPr="007333BE" w:rsidRDefault="008D4F45" w:rsidP="00051881">
            <w:pPr>
              <w:pStyle w:val="ListParagraph"/>
              <w:ind w:left="0"/>
              <w:rPr>
                <w:rFonts w:ascii="Times New Roman" w:hAnsi="Times New Roman"/>
                <w:sz w:val="20"/>
                <w:szCs w:val="20"/>
              </w:rPr>
            </w:pPr>
            <w:hyperlink r:id="rId10" w:history="1">
              <w:r w:rsidR="00051881" w:rsidRPr="007333BE">
                <w:rPr>
                  <w:rStyle w:val="Hyperlink"/>
                  <w:rFonts w:ascii="Times New Roman" w:hAnsi="Times New Roman"/>
                  <w:sz w:val="20"/>
                  <w:szCs w:val="20"/>
                </w:rPr>
                <w:t>www.tariffcomission.gov.ph</w:t>
              </w:r>
            </w:hyperlink>
            <w:r w:rsidR="007333BE" w:rsidRPr="007333BE">
              <w:rPr>
                <w:rFonts w:ascii="Times New Roman" w:hAnsi="Times New Roman"/>
                <w:sz w:val="20"/>
                <w:szCs w:val="20"/>
              </w:rPr>
              <w:t xml:space="preserve"> – website of the Philippine Tariff Commission</w:t>
            </w:r>
          </w:p>
        </w:tc>
        <w:tc>
          <w:tcPr>
            <w:tcW w:w="2050" w:type="pct"/>
          </w:tcPr>
          <w:p w:rsidR="00EF5038" w:rsidRPr="0008533B" w:rsidRDefault="00EF5038">
            <w:pPr>
              <w:rPr>
                <w:i/>
                <w:sz w:val="20"/>
              </w:rPr>
            </w:pPr>
          </w:p>
        </w:tc>
      </w:tr>
      <w:tr w:rsidR="00EF5038" w:rsidRPr="0008533B" w:rsidTr="00FA15C7">
        <w:trPr>
          <w:trHeight w:val="230"/>
        </w:trPr>
        <w:tc>
          <w:tcPr>
            <w:tcW w:w="850" w:type="pct"/>
          </w:tcPr>
          <w:p w:rsidR="00EF5038" w:rsidRPr="0008533B" w:rsidRDefault="00EF5038">
            <w:pPr>
              <w:pStyle w:val="Heading9"/>
              <w:rPr>
                <w:rFonts w:ascii="Times New Roman" w:hAnsi="Times New Roman"/>
                <w:color w:val="808080"/>
              </w:rPr>
            </w:pPr>
            <w:r w:rsidRPr="0008533B">
              <w:rPr>
                <w:rFonts w:ascii="Times New Roman" w:hAnsi="Times New Roman"/>
                <w:b w:val="0"/>
                <w:color w:val="808080"/>
              </w:rPr>
              <w:t>Contact point for further details:</w:t>
            </w:r>
          </w:p>
        </w:tc>
        <w:tc>
          <w:tcPr>
            <w:tcW w:w="2100" w:type="pct"/>
          </w:tcPr>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The  Chairman</w:t>
            </w:r>
          </w:p>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Tariff Commission</w:t>
            </w:r>
          </w:p>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5</w:t>
            </w:r>
            <w:r w:rsidRPr="00051881">
              <w:rPr>
                <w:rFonts w:ascii="Times New Roman" w:hAnsi="Times New Roman"/>
                <w:sz w:val="20"/>
                <w:szCs w:val="20"/>
                <w:vertAlign w:val="superscript"/>
              </w:rPr>
              <w:t>th</w:t>
            </w:r>
            <w:r w:rsidRPr="00051881">
              <w:rPr>
                <w:rFonts w:ascii="Times New Roman" w:hAnsi="Times New Roman"/>
                <w:sz w:val="20"/>
                <w:szCs w:val="20"/>
              </w:rPr>
              <w:t xml:space="preserve"> </w:t>
            </w:r>
            <w:proofErr w:type="spellStart"/>
            <w:r w:rsidRPr="00051881">
              <w:rPr>
                <w:rFonts w:ascii="Times New Roman" w:hAnsi="Times New Roman"/>
                <w:sz w:val="20"/>
                <w:szCs w:val="20"/>
              </w:rPr>
              <w:t>Flr</w:t>
            </w:r>
            <w:proofErr w:type="spellEnd"/>
            <w:r w:rsidRPr="00051881">
              <w:rPr>
                <w:rFonts w:ascii="Times New Roman" w:hAnsi="Times New Roman"/>
                <w:sz w:val="20"/>
                <w:szCs w:val="20"/>
              </w:rPr>
              <w:t>. Philippine Heart Center Building</w:t>
            </w:r>
          </w:p>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 xml:space="preserve">East Avenue, </w:t>
            </w:r>
            <w:proofErr w:type="spellStart"/>
            <w:r w:rsidRPr="00051881">
              <w:rPr>
                <w:rFonts w:ascii="Times New Roman" w:hAnsi="Times New Roman"/>
                <w:sz w:val="20"/>
                <w:szCs w:val="20"/>
              </w:rPr>
              <w:t>Diliman</w:t>
            </w:r>
            <w:proofErr w:type="spellEnd"/>
          </w:p>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Quezon City, Philippines</w:t>
            </w:r>
          </w:p>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Tel:  (632) 433-5899</w:t>
            </w:r>
          </w:p>
          <w:p w:rsidR="00051881" w:rsidRPr="00051881" w:rsidRDefault="00051881" w:rsidP="00051881">
            <w:pPr>
              <w:pStyle w:val="ListParagraph"/>
              <w:ind w:left="0"/>
              <w:rPr>
                <w:rFonts w:ascii="Times New Roman" w:hAnsi="Times New Roman"/>
                <w:sz w:val="20"/>
                <w:szCs w:val="20"/>
              </w:rPr>
            </w:pPr>
            <w:r w:rsidRPr="00051881">
              <w:rPr>
                <w:rFonts w:ascii="Times New Roman" w:hAnsi="Times New Roman"/>
                <w:sz w:val="20"/>
                <w:szCs w:val="20"/>
              </w:rPr>
              <w:t>Fax: (632) 921-7960</w:t>
            </w:r>
          </w:p>
          <w:p w:rsidR="00051881" w:rsidRDefault="00051881" w:rsidP="00EC4F01">
            <w:pPr>
              <w:pStyle w:val="ListParagraph"/>
              <w:ind w:left="0"/>
              <w:rPr>
                <w:rFonts w:ascii="Times New Roman" w:hAnsi="Times New Roman"/>
                <w:sz w:val="20"/>
                <w:szCs w:val="20"/>
              </w:rPr>
            </w:pPr>
            <w:r w:rsidRPr="00051881">
              <w:rPr>
                <w:rFonts w:ascii="Times New Roman" w:hAnsi="Times New Roman"/>
                <w:sz w:val="20"/>
                <w:szCs w:val="20"/>
              </w:rPr>
              <w:t xml:space="preserve">E-mail: </w:t>
            </w:r>
            <w:r w:rsidR="00EC4F01">
              <w:rPr>
                <w:rFonts w:ascii="Times New Roman" w:hAnsi="Times New Roman"/>
                <w:sz w:val="20"/>
                <w:szCs w:val="20"/>
              </w:rPr>
              <w:t xml:space="preserve"> info@tariffcommission.gov.ph</w:t>
            </w:r>
            <w:r w:rsidRPr="00051881">
              <w:rPr>
                <w:rFonts w:ascii="Times New Roman" w:hAnsi="Times New Roman"/>
                <w:sz w:val="20"/>
                <w:szCs w:val="20"/>
              </w:rPr>
              <w:t xml:space="preserve">  </w:t>
            </w:r>
          </w:p>
          <w:p w:rsidR="000E59F0" w:rsidRDefault="000E59F0" w:rsidP="00EC4F01">
            <w:pPr>
              <w:pStyle w:val="ListParagraph"/>
              <w:ind w:left="0"/>
              <w:rPr>
                <w:rFonts w:ascii="Times New Roman" w:hAnsi="Times New Roman"/>
                <w:sz w:val="20"/>
                <w:szCs w:val="20"/>
              </w:rPr>
            </w:pPr>
          </w:p>
          <w:p w:rsidR="000E59F0" w:rsidRPr="000E59F0" w:rsidRDefault="000E59F0" w:rsidP="000E59F0">
            <w:pPr>
              <w:rPr>
                <w:noProof/>
                <w:sz w:val="20"/>
              </w:rPr>
            </w:pPr>
            <w:r w:rsidRPr="000E59F0">
              <w:rPr>
                <w:noProof/>
                <w:sz w:val="20"/>
              </w:rPr>
              <w:t xml:space="preserve">The Director </w:t>
            </w:r>
          </w:p>
          <w:p w:rsidR="000E59F0" w:rsidRPr="000E59F0" w:rsidRDefault="000E59F0" w:rsidP="000E59F0">
            <w:pPr>
              <w:rPr>
                <w:noProof/>
                <w:sz w:val="20"/>
              </w:rPr>
            </w:pPr>
            <w:smartTag w:uri="urn:schemas-microsoft-com:office:smarttags" w:element="PersonName">
              <w:r w:rsidRPr="000E59F0">
                <w:rPr>
                  <w:noProof/>
                  <w:sz w:val="20"/>
                </w:rPr>
                <w:t>Bureau of International Trade Relations</w:t>
              </w:r>
            </w:smartTag>
          </w:p>
          <w:p w:rsidR="000E59F0" w:rsidRPr="000E59F0" w:rsidRDefault="000E59F0" w:rsidP="000E59F0">
            <w:pPr>
              <w:rPr>
                <w:noProof/>
                <w:sz w:val="20"/>
              </w:rPr>
            </w:pPr>
            <w:r w:rsidRPr="000E59F0">
              <w:rPr>
                <w:noProof/>
                <w:sz w:val="20"/>
              </w:rPr>
              <w:t>Department of Trade and Industry</w:t>
            </w:r>
          </w:p>
          <w:p w:rsidR="000E59F0" w:rsidRPr="000E59F0" w:rsidRDefault="000E59F0" w:rsidP="000E59F0">
            <w:pPr>
              <w:rPr>
                <w:noProof/>
                <w:sz w:val="20"/>
              </w:rPr>
            </w:pPr>
            <w:r w:rsidRPr="000E59F0">
              <w:rPr>
                <w:noProof/>
                <w:sz w:val="20"/>
              </w:rPr>
              <w:t>361 Senator Gil J. Puyat Avenue</w:t>
            </w:r>
          </w:p>
          <w:p w:rsidR="000E59F0" w:rsidRPr="000E59F0" w:rsidRDefault="000E59F0" w:rsidP="000E59F0">
            <w:pPr>
              <w:rPr>
                <w:noProof/>
                <w:sz w:val="20"/>
              </w:rPr>
            </w:pPr>
            <w:r w:rsidRPr="000E59F0">
              <w:rPr>
                <w:noProof/>
                <w:sz w:val="20"/>
              </w:rPr>
              <w:t>Makati City 1200 Philippines</w:t>
            </w:r>
          </w:p>
          <w:p w:rsidR="000E59F0" w:rsidRPr="000E59F0" w:rsidRDefault="000E59F0" w:rsidP="000E59F0">
            <w:pPr>
              <w:rPr>
                <w:noProof/>
                <w:sz w:val="20"/>
              </w:rPr>
            </w:pPr>
            <w:r w:rsidRPr="000E59F0">
              <w:rPr>
                <w:noProof/>
                <w:sz w:val="20"/>
              </w:rPr>
              <w:t>Tel: (632) 465-3300, 465-3356</w:t>
            </w:r>
          </w:p>
          <w:p w:rsidR="000E59F0" w:rsidRPr="00A26A52" w:rsidRDefault="000E59F0" w:rsidP="000E59F0">
            <w:pPr>
              <w:pStyle w:val="ListParagraph"/>
              <w:ind w:left="0"/>
              <w:rPr>
                <w:rFonts w:ascii="Times New Roman" w:hAnsi="Times New Roman"/>
                <w:sz w:val="20"/>
                <w:szCs w:val="20"/>
              </w:rPr>
            </w:pPr>
            <w:r w:rsidRPr="000E59F0">
              <w:rPr>
                <w:rFonts w:ascii="Times New Roman" w:hAnsi="Times New Roman"/>
                <w:noProof/>
                <w:sz w:val="20"/>
              </w:rPr>
              <w:t>Fax: (632) 890-5149</w:t>
            </w:r>
          </w:p>
        </w:tc>
        <w:tc>
          <w:tcPr>
            <w:tcW w:w="2050" w:type="pct"/>
          </w:tcPr>
          <w:p w:rsidR="00EF5038" w:rsidRPr="0008533B" w:rsidRDefault="00EF5038">
            <w:pPr>
              <w:rPr>
                <w:i/>
                <w:sz w:val="20"/>
              </w:rPr>
            </w:pPr>
          </w:p>
        </w:tc>
      </w:tr>
      <w:tr w:rsidR="00EF5038" w:rsidRPr="0008533B" w:rsidTr="00FA15C7">
        <w:trPr>
          <w:trHeight w:val="627"/>
        </w:trPr>
        <w:tc>
          <w:tcPr>
            <w:tcW w:w="850" w:type="pct"/>
          </w:tcPr>
          <w:p w:rsidR="00EF5038" w:rsidRPr="0008533B" w:rsidRDefault="00EF5038">
            <w:pPr>
              <w:rPr>
                <w:b/>
                <w:i/>
                <w:sz w:val="20"/>
              </w:rPr>
            </w:pPr>
            <w:bookmarkStart w:id="5" w:name="Row2"/>
            <w:r w:rsidRPr="0008533B">
              <w:rPr>
                <w:b/>
                <w:i/>
                <w:sz w:val="20"/>
              </w:rPr>
              <w:t>Non-Tariff Measures</w:t>
            </w:r>
            <w:bookmarkEnd w:id="5"/>
          </w:p>
        </w:tc>
        <w:tc>
          <w:tcPr>
            <w:tcW w:w="2100" w:type="pct"/>
          </w:tcPr>
          <w:p w:rsidR="007860AA" w:rsidRDefault="00FE34A5" w:rsidP="0028445C">
            <w:pPr>
              <w:jc w:val="both"/>
              <w:rPr>
                <w:sz w:val="20"/>
              </w:rPr>
            </w:pPr>
            <w:bookmarkStart w:id="6" w:name="Cell03"/>
            <w:bookmarkEnd w:id="6"/>
            <w:r>
              <w:rPr>
                <w:sz w:val="20"/>
              </w:rPr>
              <w:t>No changes in policy in the implementation of the Minimum Access Volume (MAV)</w:t>
            </w:r>
            <w:r w:rsidR="00836CCB">
              <w:rPr>
                <w:sz w:val="20"/>
              </w:rPr>
              <w:t>.  Automated application for the MAV License and MAV Import Certificate has been in operation since 2012.</w:t>
            </w:r>
          </w:p>
          <w:p w:rsidR="00836CCB" w:rsidRPr="0028445C" w:rsidRDefault="00836CCB" w:rsidP="00836CCB">
            <w:pPr>
              <w:jc w:val="both"/>
              <w:rPr>
                <w:sz w:val="20"/>
              </w:rPr>
            </w:pPr>
          </w:p>
        </w:tc>
        <w:tc>
          <w:tcPr>
            <w:tcW w:w="2050" w:type="pct"/>
          </w:tcPr>
          <w:p w:rsidR="00EF5038" w:rsidRPr="0008533B" w:rsidRDefault="00EF5038" w:rsidP="00665428">
            <w:pPr>
              <w:rPr>
                <w:sz w:val="20"/>
              </w:rPr>
            </w:pPr>
            <w:bookmarkStart w:id="7" w:name="Cell04"/>
            <w:bookmarkEnd w:id="7"/>
          </w:p>
        </w:tc>
      </w:tr>
      <w:tr w:rsidR="00EF5038" w:rsidRPr="0008533B" w:rsidTr="00FA15C7">
        <w:trPr>
          <w:trHeight w:val="200"/>
        </w:trPr>
        <w:tc>
          <w:tcPr>
            <w:tcW w:w="850" w:type="pct"/>
          </w:tcPr>
          <w:p w:rsidR="00EF5038" w:rsidRPr="0008533B" w:rsidRDefault="00EF5038"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EF5038" w:rsidRDefault="008D4F45" w:rsidP="0008533B">
            <w:pPr>
              <w:rPr>
                <w:sz w:val="20"/>
              </w:rPr>
            </w:pPr>
            <w:hyperlink r:id="rId11" w:history="1">
              <w:r w:rsidR="00B84D26" w:rsidRPr="004812FD">
                <w:rPr>
                  <w:rStyle w:val="Hyperlink"/>
                  <w:sz w:val="20"/>
                </w:rPr>
                <w:t>www.intercommerce.com.ph</w:t>
              </w:r>
            </w:hyperlink>
            <w:r w:rsidR="0003240C" w:rsidRPr="0003240C">
              <w:rPr>
                <w:sz w:val="20"/>
              </w:rPr>
              <w:t xml:space="preserve"> </w:t>
            </w:r>
            <w:r w:rsidR="00B84D26">
              <w:rPr>
                <w:sz w:val="20"/>
              </w:rPr>
              <w:t>–</w:t>
            </w:r>
            <w:r w:rsidR="0003240C" w:rsidRPr="0003240C">
              <w:rPr>
                <w:sz w:val="20"/>
              </w:rPr>
              <w:t xml:space="preserve"> MAV</w:t>
            </w:r>
          </w:p>
          <w:p w:rsidR="00B84D26" w:rsidRPr="0008533B" w:rsidRDefault="008D4F45" w:rsidP="0008533B">
            <w:pPr>
              <w:rPr>
                <w:sz w:val="20"/>
              </w:rPr>
            </w:pPr>
            <w:hyperlink r:id="rId12" w:history="1">
              <w:r w:rsidR="00B84D26" w:rsidRPr="004812FD">
                <w:rPr>
                  <w:rStyle w:val="Hyperlink"/>
                  <w:sz w:val="20"/>
                </w:rPr>
                <w:t>www.sra.gov.ph</w:t>
              </w:r>
            </w:hyperlink>
            <w:r w:rsidR="00B84D26">
              <w:rPr>
                <w:sz w:val="20"/>
              </w:rPr>
              <w:t xml:space="preserve"> - SRA</w:t>
            </w:r>
          </w:p>
        </w:tc>
        <w:tc>
          <w:tcPr>
            <w:tcW w:w="2050" w:type="pct"/>
          </w:tcPr>
          <w:p w:rsidR="00EF5038" w:rsidRPr="0008533B" w:rsidRDefault="00EF5038" w:rsidP="0008533B">
            <w:pPr>
              <w:rPr>
                <w:sz w:val="20"/>
              </w:rPr>
            </w:pPr>
          </w:p>
        </w:tc>
      </w:tr>
      <w:tr w:rsidR="00EF5038" w:rsidRPr="0008533B" w:rsidTr="00FA15C7">
        <w:trPr>
          <w:trHeight w:val="245"/>
        </w:trPr>
        <w:tc>
          <w:tcPr>
            <w:tcW w:w="850" w:type="pct"/>
          </w:tcPr>
          <w:p w:rsidR="00EF5038" w:rsidRPr="0008533B" w:rsidRDefault="00EF5038" w:rsidP="009E28DA">
            <w:pPr>
              <w:pStyle w:val="Heading9"/>
              <w:rPr>
                <w:rFonts w:ascii="Times New Roman" w:hAnsi="Times New Roman"/>
                <w:b w:val="0"/>
                <w:color w:val="808080"/>
              </w:rPr>
            </w:pPr>
            <w:r w:rsidRPr="0008533B">
              <w:rPr>
                <w:rFonts w:ascii="Times New Roman" w:hAnsi="Times New Roman"/>
                <w:b w:val="0"/>
                <w:color w:val="808080"/>
              </w:rPr>
              <w:t xml:space="preserve">Contact point for further details: </w:t>
            </w:r>
          </w:p>
        </w:tc>
        <w:tc>
          <w:tcPr>
            <w:tcW w:w="2100" w:type="pct"/>
          </w:tcPr>
          <w:p w:rsidR="00EF5038" w:rsidRPr="00410345" w:rsidRDefault="00EF5038" w:rsidP="0008533B">
            <w:pPr>
              <w:rPr>
                <w:sz w:val="20"/>
              </w:rPr>
            </w:pPr>
            <w:r w:rsidRPr="00410345">
              <w:rPr>
                <w:sz w:val="20"/>
              </w:rPr>
              <w:t>The Executive Director</w:t>
            </w:r>
          </w:p>
          <w:p w:rsidR="00EF5038" w:rsidRPr="00410345" w:rsidRDefault="00EF5038" w:rsidP="0008533B">
            <w:pPr>
              <w:rPr>
                <w:sz w:val="20"/>
              </w:rPr>
            </w:pPr>
            <w:r w:rsidRPr="00410345">
              <w:rPr>
                <w:sz w:val="20"/>
              </w:rPr>
              <w:t>MAV Secretariat</w:t>
            </w:r>
          </w:p>
          <w:p w:rsidR="00EF5038" w:rsidRPr="00410345" w:rsidRDefault="00EF5038" w:rsidP="0008533B">
            <w:pPr>
              <w:rPr>
                <w:sz w:val="20"/>
              </w:rPr>
            </w:pPr>
            <w:r w:rsidRPr="00410345">
              <w:rPr>
                <w:sz w:val="20"/>
              </w:rPr>
              <w:t>2/F Yellow Room, ITCAF Bldg.</w:t>
            </w:r>
          </w:p>
          <w:p w:rsidR="00EF5038" w:rsidRPr="00410345" w:rsidRDefault="00EF5038" w:rsidP="0008533B">
            <w:pPr>
              <w:rPr>
                <w:sz w:val="20"/>
              </w:rPr>
            </w:pPr>
            <w:r w:rsidRPr="00410345">
              <w:rPr>
                <w:sz w:val="20"/>
              </w:rPr>
              <w:t>Department of Agriculture, Elliptical Road,</w:t>
            </w:r>
          </w:p>
          <w:p w:rsidR="00EF5038" w:rsidRPr="00410345" w:rsidRDefault="00EF5038" w:rsidP="0008533B">
            <w:pPr>
              <w:rPr>
                <w:sz w:val="20"/>
              </w:rPr>
            </w:pPr>
            <w:proofErr w:type="spellStart"/>
            <w:r w:rsidRPr="00410345">
              <w:rPr>
                <w:sz w:val="20"/>
              </w:rPr>
              <w:t>Diliman</w:t>
            </w:r>
            <w:proofErr w:type="spellEnd"/>
            <w:r w:rsidRPr="00410345">
              <w:rPr>
                <w:sz w:val="20"/>
              </w:rPr>
              <w:t>, Quezon City</w:t>
            </w:r>
          </w:p>
          <w:p w:rsidR="00EF5038" w:rsidRPr="00410345" w:rsidRDefault="00EF5038" w:rsidP="0008533B">
            <w:pPr>
              <w:rPr>
                <w:sz w:val="20"/>
              </w:rPr>
            </w:pPr>
            <w:r w:rsidRPr="00410345">
              <w:rPr>
                <w:sz w:val="20"/>
              </w:rPr>
              <w:t xml:space="preserve">Tel: </w:t>
            </w:r>
            <w:r w:rsidR="005071A6" w:rsidRPr="00410345">
              <w:rPr>
                <w:sz w:val="20"/>
              </w:rPr>
              <w:t>(</w:t>
            </w:r>
            <w:r w:rsidRPr="00410345">
              <w:rPr>
                <w:sz w:val="20"/>
              </w:rPr>
              <w:t>632</w:t>
            </w:r>
            <w:r w:rsidR="005071A6" w:rsidRPr="00410345">
              <w:rPr>
                <w:sz w:val="20"/>
              </w:rPr>
              <w:t xml:space="preserve">) </w:t>
            </w:r>
            <w:r w:rsidRPr="00410345">
              <w:rPr>
                <w:sz w:val="20"/>
              </w:rPr>
              <w:t>920</w:t>
            </w:r>
            <w:r w:rsidR="005071A6" w:rsidRPr="00410345">
              <w:rPr>
                <w:sz w:val="20"/>
              </w:rPr>
              <w:t>-</w:t>
            </w:r>
            <w:r w:rsidRPr="00410345">
              <w:rPr>
                <w:sz w:val="20"/>
              </w:rPr>
              <w:t>1786</w:t>
            </w:r>
          </w:p>
          <w:p w:rsidR="00EF5038" w:rsidRPr="00410345" w:rsidRDefault="008D4F45" w:rsidP="0008533B">
            <w:pPr>
              <w:rPr>
                <w:sz w:val="20"/>
              </w:rPr>
            </w:pPr>
            <w:hyperlink r:id="rId13" w:history="1">
              <w:r w:rsidR="00F419C0" w:rsidRPr="00410345">
                <w:rPr>
                  <w:rStyle w:val="Hyperlink"/>
                  <w:sz w:val="20"/>
                </w:rPr>
                <w:t>vero.librojo@yahoo.com</w:t>
              </w:r>
            </w:hyperlink>
          </w:p>
          <w:p w:rsidR="00F419C0" w:rsidRPr="00410345" w:rsidRDefault="00F419C0" w:rsidP="0008533B">
            <w:pPr>
              <w:rPr>
                <w:sz w:val="20"/>
              </w:rPr>
            </w:pPr>
          </w:p>
          <w:p w:rsidR="00F419C0" w:rsidRPr="00410345" w:rsidRDefault="00F419C0" w:rsidP="00F419C0">
            <w:pPr>
              <w:rPr>
                <w:sz w:val="20"/>
              </w:rPr>
            </w:pPr>
            <w:r w:rsidRPr="00410345">
              <w:rPr>
                <w:sz w:val="20"/>
              </w:rPr>
              <w:t>Philippine National SPS Enquiry Point</w:t>
            </w:r>
          </w:p>
          <w:p w:rsidR="00F419C0" w:rsidRPr="00410345" w:rsidRDefault="00F419C0" w:rsidP="00F419C0">
            <w:pPr>
              <w:rPr>
                <w:sz w:val="20"/>
              </w:rPr>
            </w:pPr>
            <w:r w:rsidRPr="00410345">
              <w:rPr>
                <w:sz w:val="20"/>
              </w:rPr>
              <w:t>Office of the Director</w:t>
            </w:r>
          </w:p>
          <w:p w:rsidR="00F419C0" w:rsidRPr="00410345" w:rsidRDefault="00F419C0" w:rsidP="00F419C0">
            <w:pPr>
              <w:rPr>
                <w:sz w:val="20"/>
              </w:rPr>
            </w:pPr>
            <w:r w:rsidRPr="00410345">
              <w:rPr>
                <w:sz w:val="20"/>
              </w:rPr>
              <w:t>Policy Research Service</w:t>
            </w:r>
          </w:p>
          <w:p w:rsidR="00F419C0" w:rsidRPr="00410345" w:rsidRDefault="00F419C0" w:rsidP="00F419C0">
            <w:pPr>
              <w:rPr>
                <w:sz w:val="20"/>
              </w:rPr>
            </w:pPr>
            <w:r w:rsidRPr="00410345">
              <w:rPr>
                <w:sz w:val="20"/>
              </w:rPr>
              <w:t>Department of Agriculture</w:t>
            </w:r>
          </w:p>
          <w:p w:rsidR="00F419C0" w:rsidRPr="00410345" w:rsidRDefault="00F419C0" w:rsidP="00F419C0">
            <w:pPr>
              <w:rPr>
                <w:sz w:val="20"/>
              </w:rPr>
            </w:pPr>
            <w:r w:rsidRPr="00410345">
              <w:rPr>
                <w:sz w:val="20"/>
              </w:rPr>
              <w:t>3rd Floor, DA Building, Elliptical Road</w:t>
            </w:r>
          </w:p>
          <w:p w:rsidR="00F419C0" w:rsidRPr="00410345" w:rsidRDefault="00F419C0" w:rsidP="00F419C0">
            <w:pPr>
              <w:rPr>
                <w:sz w:val="20"/>
              </w:rPr>
            </w:pPr>
            <w:proofErr w:type="spellStart"/>
            <w:r w:rsidRPr="00410345">
              <w:rPr>
                <w:sz w:val="20"/>
              </w:rPr>
              <w:t>Diliman</w:t>
            </w:r>
            <w:proofErr w:type="spellEnd"/>
            <w:r w:rsidRPr="00410345">
              <w:rPr>
                <w:sz w:val="20"/>
              </w:rPr>
              <w:t>, Quezon City, Philippines</w:t>
            </w:r>
          </w:p>
          <w:p w:rsidR="00F419C0" w:rsidRPr="00410345" w:rsidRDefault="00410345" w:rsidP="00F419C0">
            <w:pPr>
              <w:rPr>
                <w:sz w:val="20"/>
              </w:rPr>
            </w:pPr>
            <w:r>
              <w:rPr>
                <w:sz w:val="20"/>
              </w:rPr>
              <w:t xml:space="preserve">Tel:  </w:t>
            </w:r>
            <w:r w:rsidR="00F419C0" w:rsidRPr="00410345">
              <w:rPr>
                <w:sz w:val="20"/>
              </w:rPr>
              <w:t>(632) 9267439</w:t>
            </w:r>
          </w:p>
          <w:p w:rsidR="00F419C0" w:rsidRPr="00410345" w:rsidRDefault="00F419C0" w:rsidP="00F419C0">
            <w:pPr>
              <w:rPr>
                <w:sz w:val="20"/>
              </w:rPr>
            </w:pPr>
            <w:r w:rsidRPr="00410345">
              <w:rPr>
                <w:sz w:val="20"/>
              </w:rPr>
              <w:t>Fax:</w:t>
            </w:r>
            <w:r w:rsidR="00410345">
              <w:rPr>
                <w:sz w:val="20"/>
              </w:rPr>
              <w:t xml:space="preserve">  </w:t>
            </w:r>
            <w:r w:rsidRPr="00410345">
              <w:rPr>
                <w:sz w:val="20"/>
              </w:rPr>
              <w:t>(632) 9280590</w:t>
            </w:r>
          </w:p>
          <w:p w:rsidR="00F419C0" w:rsidRPr="00410345" w:rsidRDefault="00F419C0" w:rsidP="0008533B">
            <w:pPr>
              <w:rPr>
                <w:sz w:val="20"/>
              </w:rPr>
            </w:pPr>
            <w:r w:rsidRPr="00410345">
              <w:rPr>
                <w:sz w:val="20"/>
              </w:rPr>
              <w:t xml:space="preserve">E-mail:  </w:t>
            </w:r>
            <w:hyperlink r:id="rId14" w:history="1">
              <w:r w:rsidRPr="00410345">
                <w:rPr>
                  <w:rStyle w:val="Hyperlink"/>
                  <w:sz w:val="20"/>
                </w:rPr>
                <w:t>epad.polreser@lycos.com</w:t>
              </w:r>
            </w:hyperlink>
          </w:p>
          <w:p w:rsidR="00410345" w:rsidRPr="00410345" w:rsidRDefault="00410345" w:rsidP="0008533B">
            <w:pPr>
              <w:rPr>
                <w:sz w:val="20"/>
              </w:rPr>
            </w:pPr>
          </w:p>
          <w:p w:rsidR="00410345" w:rsidRPr="00410345" w:rsidRDefault="00410345" w:rsidP="0008533B">
            <w:pPr>
              <w:rPr>
                <w:sz w:val="20"/>
              </w:rPr>
            </w:pPr>
            <w:r w:rsidRPr="00410345">
              <w:rPr>
                <w:sz w:val="20"/>
              </w:rPr>
              <w:t>The Administrator</w:t>
            </w:r>
          </w:p>
          <w:p w:rsidR="00410345" w:rsidRDefault="00410345" w:rsidP="0008533B">
            <w:pPr>
              <w:rPr>
                <w:sz w:val="20"/>
              </w:rPr>
            </w:pPr>
            <w:r w:rsidRPr="00410345">
              <w:rPr>
                <w:sz w:val="20"/>
              </w:rPr>
              <w:t>Sugar Regulatory Administration</w:t>
            </w:r>
          </w:p>
          <w:p w:rsidR="00410345" w:rsidRDefault="00410345" w:rsidP="0008533B">
            <w:pPr>
              <w:rPr>
                <w:sz w:val="20"/>
              </w:rPr>
            </w:pPr>
            <w:r>
              <w:rPr>
                <w:sz w:val="20"/>
              </w:rPr>
              <w:t>Sugar Center Building</w:t>
            </w:r>
          </w:p>
          <w:p w:rsidR="00410345" w:rsidRDefault="00410345" w:rsidP="0008533B">
            <w:pPr>
              <w:rPr>
                <w:sz w:val="20"/>
              </w:rPr>
            </w:pPr>
            <w:r>
              <w:rPr>
                <w:sz w:val="20"/>
              </w:rPr>
              <w:t xml:space="preserve">North Avenue, </w:t>
            </w:r>
            <w:proofErr w:type="spellStart"/>
            <w:r>
              <w:rPr>
                <w:sz w:val="20"/>
              </w:rPr>
              <w:t>Diliman</w:t>
            </w:r>
            <w:proofErr w:type="spellEnd"/>
            <w:r>
              <w:rPr>
                <w:sz w:val="20"/>
              </w:rPr>
              <w:t>, Quezon City</w:t>
            </w:r>
          </w:p>
          <w:p w:rsidR="00410345" w:rsidRDefault="00410345" w:rsidP="0008533B">
            <w:pPr>
              <w:rPr>
                <w:sz w:val="20"/>
              </w:rPr>
            </w:pPr>
            <w:r>
              <w:rPr>
                <w:sz w:val="20"/>
              </w:rPr>
              <w:t>Tel:  (632) 929-3633; 920-4357</w:t>
            </w:r>
          </w:p>
          <w:p w:rsidR="00410345" w:rsidRDefault="00410345" w:rsidP="0008533B">
            <w:pPr>
              <w:rPr>
                <w:sz w:val="20"/>
              </w:rPr>
            </w:pPr>
            <w:r>
              <w:rPr>
                <w:sz w:val="20"/>
              </w:rPr>
              <w:t>Fax:  (632) 455-3376</w:t>
            </w:r>
          </w:p>
          <w:p w:rsidR="00410345" w:rsidRPr="00410345" w:rsidRDefault="00410345" w:rsidP="00410345">
            <w:pPr>
              <w:rPr>
                <w:sz w:val="20"/>
              </w:rPr>
            </w:pPr>
            <w:r>
              <w:rPr>
                <w:sz w:val="20"/>
              </w:rPr>
              <w:t xml:space="preserve">E-mail:  </w:t>
            </w:r>
            <w:hyperlink r:id="rId15" w:history="1">
              <w:r w:rsidRPr="008A0C05">
                <w:rPr>
                  <w:rStyle w:val="Hyperlink"/>
                  <w:sz w:val="20"/>
                </w:rPr>
                <w:t>srahead@sra.gov.ph</w:t>
              </w:r>
            </w:hyperlink>
            <w:r>
              <w:rPr>
                <w:sz w:val="20"/>
              </w:rPr>
              <w:t xml:space="preserve"> </w:t>
            </w:r>
          </w:p>
        </w:tc>
        <w:tc>
          <w:tcPr>
            <w:tcW w:w="2050" w:type="pct"/>
          </w:tcPr>
          <w:p w:rsidR="00EF5038" w:rsidRPr="0008533B" w:rsidRDefault="00EF5038" w:rsidP="0008533B">
            <w:pPr>
              <w:rPr>
                <w:sz w:val="20"/>
              </w:rPr>
            </w:pPr>
          </w:p>
        </w:tc>
      </w:tr>
      <w:tr w:rsidR="00EF5038" w:rsidRPr="0008533B" w:rsidTr="00FA15C7">
        <w:tc>
          <w:tcPr>
            <w:tcW w:w="850" w:type="pct"/>
          </w:tcPr>
          <w:p w:rsidR="00EF5038" w:rsidRPr="0008533B" w:rsidRDefault="00EF5038">
            <w:pPr>
              <w:rPr>
                <w:b/>
                <w:i/>
                <w:sz w:val="20"/>
              </w:rPr>
            </w:pPr>
            <w:bookmarkStart w:id="8" w:name="Row3"/>
            <w:r w:rsidRPr="0008533B">
              <w:rPr>
                <w:b/>
                <w:i/>
                <w:sz w:val="20"/>
              </w:rPr>
              <w:t>Services</w:t>
            </w:r>
            <w:bookmarkEnd w:id="8"/>
          </w:p>
          <w:p w:rsidR="00EF5038" w:rsidRDefault="00EF5038">
            <w:pPr>
              <w:rPr>
                <w:b/>
                <w:i/>
                <w:sz w:val="20"/>
              </w:rPr>
            </w:pPr>
          </w:p>
          <w:p w:rsidR="00035E6B" w:rsidRPr="00035E6B" w:rsidRDefault="00035E6B" w:rsidP="00035E6B">
            <w:pPr>
              <w:jc w:val="both"/>
              <w:rPr>
                <w:b/>
                <w:i/>
                <w:color w:val="000000" w:themeColor="text1"/>
                <w:sz w:val="20"/>
              </w:rPr>
            </w:pPr>
            <w:r w:rsidRPr="00035E6B">
              <w:rPr>
                <w:b/>
                <w:i/>
                <w:color w:val="000000" w:themeColor="text1"/>
                <w:sz w:val="20"/>
              </w:rPr>
              <w:t>Financial Services</w:t>
            </w:r>
          </w:p>
          <w:p w:rsidR="00035E6B" w:rsidRPr="0008533B" w:rsidRDefault="00035E6B">
            <w:pPr>
              <w:rPr>
                <w:b/>
                <w:i/>
                <w:sz w:val="20"/>
              </w:rPr>
            </w:pPr>
          </w:p>
        </w:tc>
        <w:tc>
          <w:tcPr>
            <w:tcW w:w="2100" w:type="pct"/>
          </w:tcPr>
          <w:p w:rsidR="00C97A76" w:rsidRPr="00C97A76" w:rsidRDefault="00555AD8" w:rsidP="00C97A76">
            <w:pPr>
              <w:jc w:val="both"/>
              <w:rPr>
                <w:color w:val="000000" w:themeColor="text1"/>
                <w:sz w:val="20"/>
              </w:rPr>
            </w:pPr>
            <w:bookmarkStart w:id="9" w:name="Cell05"/>
            <w:bookmarkEnd w:id="9"/>
            <w:r>
              <w:rPr>
                <w:color w:val="000000" w:themeColor="text1"/>
                <w:sz w:val="20"/>
              </w:rPr>
              <w:t xml:space="preserve">The </w:t>
            </w:r>
            <w:proofErr w:type="spellStart"/>
            <w:r w:rsidRPr="00C97A76">
              <w:rPr>
                <w:i/>
                <w:color w:val="000000" w:themeColor="text1"/>
                <w:sz w:val="20"/>
              </w:rPr>
              <w:t>Bangko</w:t>
            </w:r>
            <w:proofErr w:type="spellEnd"/>
            <w:r w:rsidRPr="00C97A76">
              <w:rPr>
                <w:i/>
                <w:color w:val="000000" w:themeColor="text1"/>
                <w:sz w:val="20"/>
              </w:rPr>
              <w:t xml:space="preserve"> </w:t>
            </w:r>
            <w:proofErr w:type="spellStart"/>
            <w:r w:rsidRPr="00C97A76">
              <w:rPr>
                <w:i/>
                <w:color w:val="000000" w:themeColor="text1"/>
                <w:sz w:val="20"/>
              </w:rPr>
              <w:t>Sentral</w:t>
            </w:r>
            <w:proofErr w:type="spellEnd"/>
            <w:r w:rsidRPr="00C97A76">
              <w:rPr>
                <w:i/>
                <w:color w:val="000000" w:themeColor="text1"/>
                <w:sz w:val="20"/>
              </w:rPr>
              <w:t xml:space="preserve"> ng </w:t>
            </w:r>
            <w:proofErr w:type="spellStart"/>
            <w:r w:rsidRPr="00C97A76">
              <w:rPr>
                <w:i/>
                <w:color w:val="000000" w:themeColor="text1"/>
                <w:sz w:val="20"/>
              </w:rPr>
              <w:t>Pilipinas</w:t>
            </w:r>
            <w:proofErr w:type="spellEnd"/>
            <w:r w:rsidRPr="00C97A76">
              <w:rPr>
                <w:i/>
                <w:color w:val="000000" w:themeColor="text1"/>
                <w:sz w:val="20"/>
              </w:rPr>
              <w:t>’</w:t>
            </w:r>
            <w:r w:rsidRPr="00C97A76">
              <w:rPr>
                <w:color w:val="000000" w:themeColor="text1"/>
                <w:sz w:val="20"/>
              </w:rPr>
              <w:t xml:space="preserve"> </w:t>
            </w:r>
            <w:r>
              <w:rPr>
                <w:color w:val="000000" w:themeColor="text1"/>
                <w:sz w:val="20"/>
              </w:rPr>
              <w:t>a</w:t>
            </w:r>
            <w:r w:rsidR="00C97A76" w:rsidRPr="00C97A76">
              <w:rPr>
                <w:color w:val="000000" w:themeColor="text1"/>
                <w:sz w:val="20"/>
              </w:rPr>
              <w:t xml:space="preserve">ctively pursued </w:t>
            </w:r>
            <w:r>
              <w:rPr>
                <w:color w:val="000000" w:themeColor="text1"/>
                <w:sz w:val="20"/>
              </w:rPr>
              <w:t xml:space="preserve">its </w:t>
            </w:r>
            <w:r w:rsidR="00C97A76" w:rsidRPr="00C97A76">
              <w:rPr>
                <w:color w:val="000000" w:themeColor="text1"/>
                <w:sz w:val="20"/>
              </w:rPr>
              <w:t>thrust to fine tune and liberalize, where appropriate, foreign exchange (FX) regulations through the issuance of the following circulars which amended the Manual of Regulations on Foreign Exchange Transactions issued under Circular No. 645 dated 13 February 2009:</w:t>
            </w:r>
          </w:p>
          <w:p w:rsidR="00C97A76" w:rsidRPr="00C97A76" w:rsidRDefault="00C97A76" w:rsidP="00C97A76">
            <w:pPr>
              <w:jc w:val="both"/>
              <w:rPr>
                <w:color w:val="000000" w:themeColor="text1"/>
                <w:sz w:val="20"/>
              </w:rPr>
            </w:pPr>
          </w:p>
          <w:p w:rsidR="00C97A76" w:rsidRPr="00C97A76" w:rsidRDefault="00C97A76" w:rsidP="00C97A76">
            <w:pPr>
              <w:numPr>
                <w:ilvl w:val="0"/>
                <w:numId w:val="40"/>
              </w:numPr>
              <w:jc w:val="both"/>
              <w:rPr>
                <w:color w:val="000000" w:themeColor="text1"/>
                <w:sz w:val="20"/>
              </w:rPr>
            </w:pPr>
            <w:r w:rsidRPr="00C97A76">
              <w:rPr>
                <w:color w:val="000000" w:themeColor="text1"/>
                <w:sz w:val="20"/>
              </w:rPr>
              <w:t>Circular No. 742 dated 21 November 2011;</w:t>
            </w:r>
          </w:p>
          <w:p w:rsidR="00C97A76" w:rsidRPr="00C97A76" w:rsidRDefault="00C97A76" w:rsidP="00C97A76">
            <w:pPr>
              <w:numPr>
                <w:ilvl w:val="0"/>
                <w:numId w:val="40"/>
              </w:numPr>
              <w:jc w:val="both"/>
              <w:rPr>
                <w:color w:val="000000" w:themeColor="text1"/>
                <w:sz w:val="20"/>
              </w:rPr>
            </w:pPr>
            <w:r w:rsidRPr="00C97A76">
              <w:rPr>
                <w:color w:val="000000" w:themeColor="text1"/>
                <w:sz w:val="20"/>
              </w:rPr>
              <w:t>Circular No. 794dated 18 April 2013;</w:t>
            </w:r>
          </w:p>
          <w:p w:rsidR="00C97A76" w:rsidRPr="00C97A76" w:rsidRDefault="00C97A76" w:rsidP="00C97A76">
            <w:pPr>
              <w:numPr>
                <w:ilvl w:val="0"/>
                <w:numId w:val="40"/>
              </w:numPr>
              <w:jc w:val="both"/>
              <w:rPr>
                <w:color w:val="000000" w:themeColor="text1"/>
                <w:sz w:val="20"/>
              </w:rPr>
            </w:pPr>
            <w:r w:rsidRPr="00C97A76">
              <w:rPr>
                <w:color w:val="000000" w:themeColor="text1"/>
                <w:sz w:val="20"/>
              </w:rPr>
              <w:lastRenderedPageBreak/>
              <w:t>Circular No. 815 dated 18 October 2013; and</w:t>
            </w:r>
          </w:p>
          <w:p w:rsidR="00C97A76" w:rsidRPr="00C97A76" w:rsidRDefault="00C97A76" w:rsidP="00C97A76">
            <w:pPr>
              <w:numPr>
                <w:ilvl w:val="0"/>
                <w:numId w:val="40"/>
              </w:numPr>
              <w:jc w:val="both"/>
              <w:rPr>
                <w:color w:val="000000" w:themeColor="text1"/>
                <w:sz w:val="20"/>
              </w:rPr>
            </w:pPr>
            <w:r w:rsidRPr="00C97A76">
              <w:rPr>
                <w:color w:val="000000" w:themeColor="text1"/>
                <w:sz w:val="20"/>
              </w:rPr>
              <w:t>Circular No. 818 dated 06 November 2013.</w:t>
            </w:r>
          </w:p>
          <w:p w:rsidR="00C97A76" w:rsidRPr="00C97A76" w:rsidRDefault="00C97A76" w:rsidP="00C97A76">
            <w:pPr>
              <w:jc w:val="both"/>
              <w:rPr>
                <w:color w:val="000000" w:themeColor="text1"/>
                <w:sz w:val="20"/>
              </w:rPr>
            </w:pPr>
          </w:p>
          <w:p w:rsidR="00C97A76" w:rsidRPr="00C97A76" w:rsidRDefault="00C97A76" w:rsidP="00C97A76">
            <w:pPr>
              <w:jc w:val="both"/>
              <w:rPr>
                <w:color w:val="000000" w:themeColor="text1"/>
                <w:sz w:val="20"/>
              </w:rPr>
            </w:pPr>
            <w:r w:rsidRPr="00C97A76">
              <w:rPr>
                <w:color w:val="000000" w:themeColor="text1"/>
                <w:sz w:val="20"/>
              </w:rPr>
              <w:t xml:space="preserve">These Circulars further simplified rules, enhanced and further </w:t>
            </w:r>
            <w:proofErr w:type="spellStart"/>
            <w:r w:rsidRPr="00C97A76">
              <w:rPr>
                <w:color w:val="000000" w:themeColor="text1"/>
                <w:sz w:val="20"/>
              </w:rPr>
              <w:t>facilated</w:t>
            </w:r>
            <w:proofErr w:type="spellEnd"/>
            <w:r w:rsidRPr="00C97A76">
              <w:rPr>
                <w:color w:val="000000" w:themeColor="text1"/>
                <w:sz w:val="20"/>
              </w:rPr>
              <w:t xml:space="preserve"> </w:t>
            </w:r>
            <w:proofErr w:type="gramStart"/>
            <w:r w:rsidRPr="00C97A76">
              <w:rPr>
                <w:color w:val="000000" w:themeColor="text1"/>
                <w:sz w:val="20"/>
              </w:rPr>
              <w:t>access  by</w:t>
            </w:r>
            <w:proofErr w:type="gramEnd"/>
            <w:r w:rsidRPr="00C97A76">
              <w:rPr>
                <w:color w:val="000000" w:themeColor="text1"/>
                <w:sz w:val="20"/>
              </w:rPr>
              <w:t xml:space="preserve"> the general public to FX resources of the banking system to cover legitimate transactions. The measures also aim to induce a shift of FX transactions from the parallel to the formal FX market</w:t>
            </w:r>
            <w:r>
              <w:rPr>
                <w:color w:val="000000" w:themeColor="text1"/>
                <w:sz w:val="20"/>
              </w:rPr>
              <w:t xml:space="preserve"> </w:t>
            </w:r>
            <w:r w:rsidRPr="00C97A76">
              <w:rPr>
                <w:color w:val="000000" w:themeColor="text1"/>
                <w:sz w:val="20"/>
              </w:rPr>
              <w:t xml:space="preserve">to further improve data capture on these transactions for statistics, analysis and policy review. Transactions of non-residents were also facilitated with: (a) more options for funding their onshore peso requirements; (b) ability to reconvert onshore peso funds to </w:t>
            </w:r>
            <w:proofErr w:type="spellStart"/>
            <w:r w:rsidRPr="00C97A76">
              <w:rPr>
                <w:color w:val="000000" w:themeColor="text1"/>
                <w:sz w:val="20"/>
              </w:rPr>
              <w:t>to</w:t>
            </w:r>
            <w:proofErr w:type="spellEnd"/>
            <w:r w:rsidRPr="00C97A76">
              <w:rPr>
                <w:color w:val="000000" w:themeColor="text1"/>
                <w:sz w:val="20"/>
              </w:rPr>
              <w:t xml:space="preserve"> FX without prior BSP approval under certain instances; and (c) inclusion of investment in the Philippine Stock Exchange (PSE)-listed equity securities issued by non-residents as registered investments. </w:t>
            </w:r>
          </w:p>
          <w:p w:rsidR="00C97A76" w:rsidRPr="00C97A76" w:rsidRDefault="00C97A76" w:rsidP="00C97A76">
            <w:pPr>
              <w:jc w:val="both"/>
              <w:rPr>
                <w:color w:val="000000" w:themeColor="text1"/>
                <w:sz w:val="20"/>
              </w:rPr>
            </w:pPr>
          </w:p>
          <w:p w:rsidR="00281606" w:rsidRPr="00C97A76" w:rsidRDefault="00C97A76" w:rsidP="00C97A76">
            <w:pPr>
              <w:jc w:val="both"/>
              <w:rPr>
                <w:color w:val="000000" w:themeColor="text1"/>
                <w:sz w:val="20"/>
              </w:rPr>
            </w:pPr>
            <w:r w:rsidRPr="00C97A76">
              <w:rPr>
                <w:color w:val="000000" w:themeColor="text1"/>
                <w:sz w:val="20"/>
              </w:rPr>
              <w:t>Issu</w:t>
            </w:r>
            <w:r>
              <w:rPr>
                <w:color w:val="000000" w:themeColor="text1"/>
                <w:sz w:val="20"/>
              </w:rPr>
              <w:t xml:space="preserve">ed </w:t>
            </w:r>
            <w:r w:rsidRPr="00C97A76">
              <w:rPr>
                <w:color w:val="000000" w:themeColor="text1"/>
                <w:sz w:val="20"/>
              </w:rPr>
              <w:t>Republic Act (RA) No. 10574, “An Act Allowing the Infusion of Foreign Equity in the Capital of Rural Banks” , allowing foreigners to own, acquire or purchase up to 60 percent of the voting stock of a rural bank (RB). Non-Filipino citizens may become members of the Board of Directors of a rural bank to the extent of the foreign participation in the equity of said bank.</w:t>
            </w:r>
          </w:p>
        </w:tc>
        <w:tc>
          <w:tcPr>
            <w:tcW w:w="2050" w:type="pct"/>
          </w:tcPr>
          <w:p w:rsidR="00A01AA4" w:rsidRPr="00A01AA4" w:rsidRDefault="00A01AA4" w:rsidP="00A01AA4">
            <w:pPr>
              <w:jc w:val="both"/>
              <w:rPr>
                <w:sz w:val="20"/>
              </w:rPr>
            </w:pPr>
            <w:bookmarkStart w:id="10" w:name="Cell06"/>
            <w:bookmarkEnd w:id="10"/>
            <w:r w:rsidRPr="00A01AA4">
              <w:rPr>
                <w:sz w:val="20"/>
              </w:rPr>
              <w:lastRenderedPageBreak/>
              <w:t>Continuous review and</w:t>
            </w:r>
            <w:r>
              <w:rPr>
                <w:sz w:val="20"/>
              </w:rPr>
              <w:t xml:space="preserve"> </w:t>
            </w:r>
            <w:r w:rsidRPr="00A01AA4">
              <w:rPr>
                <w:sz w:val="20"/>
              </w:rPr>
              <w:t>updating of FX regulatory framework to</w:t>
            </w:r>
            <w:r>
              <w:rPr>
                <w:sz w:val="20"/>
              </w:rPr>
              <w:t xml:space="preserve"> </w:t>
            </w:r>
            <w:r w:rsidRPr="00A01AA4">
              <w:rPr>
                <w:sz w:val="20"/>
              </w:rPr>
              <w:t>maintain an appropriate policy environment</w:t>
            </w:r>
            <w:r>
              <w:rPr>
                <w:sz w:val="20"/>
              </w:rPr>
              <w:t xml:space="preserve"> </w:t>
            </w:r>
            <w:r w:rsidRPr="00A01AA4">
              <w:rPr>
                <w:sz w:val="20"/>
              </w:rPr>
              <w:t>attuned with current economic conditions.</w:t>
            </w:r>
            <w:r>
              <w:rPr>
                <w:sz w:val="20"/>
              </w:rPr>
              <w:t xml:space="preserve"> </w:t>
            </w:r>
          </w:p>
          <w:p w:rsidR="00A01AA4" w:rsidRPr="00A01AA4" w:rsidRDefault="00A01AA4" w:rsidP="00A01AA4">
            <w:pPr>
              <w:jc w:val="both"/>
              <w:rPr>
                <w:sz w:val="20"/>
              </w:rPr>
            </w:pPr>
            <w:r w:rsidRPr="00A01AA4">
              <w:rPr>
                <w:sz w:val="20"/>
              </w:rPr>
              <w:t xml:space="preserve"> </w:t>
            </w:r>
          </w:p>
          <w:p w:rsidR="00A01AA4" w:rsidRPr="00A01AA4" w:rsidRDefault="00A01AA4" w:rsidP="00A01AA4">
            <w:pPr>
              <w:jc w:val="both"/>
              <w:rPr>
                <w:sz w:val="20"/>
              </w:rPr>
            </w:pPr>
            <w:r w:rsidRPr="00A01AA4">
              <w:rPr>
                <w:sz w:val="20"/>
              </w:rPr>
              <w:t>Review existing banking</w:t>
            </w:r>
            <w:r>
              <w:rPr>
                <w:sz w:val="20"/>
              </w:rPr>
              <w:t xml:space="preserve"> </w:t>
            </w:r>
            <w:r w:rsidRPr="00A01AA4">
              <w:rPr>
                <w:sz w:val="20"/>
              </w:rPr>
              <w:t>laws/ reforms with a view to further liberalize</w:t>
            </w:r>
          </w:p>
          <w:p w:rsidR="005303E5" w:rsidRPr="00A01AA4" w:rsidRDefault="00A01AA4" w:rsidP="00A01AA4">
            <w:pPr>
              <w:jc w:val="both"/>
              <w:rPr>
                <w:sz w:val="20"/>
              </w:rPr>
            </w:pPr>
            <w:proofErr w:type="gramStart"/>
            <w:r w:rsidRPr="00A01AA4">
              <w:rPr>
                <w:sz w:val="20"/>
              </w:rPr>
              <w:t>the</w:t>
            </w:r>
            <w:proofErr w:type="gramEnd"/>
            <w:r w:rsidRPr="00A01AA4">
              <w:rPr>
                <w:sz w:val="20"/>
              </w:rPr>
              <w:t xml:space="preserve"> banking sector, as necessary.</w:t>
            </w:r>
          </w:p>
        </w:tc>
      </w:tr>
      <w:tr w:rsidR="00EF5038" w:rsidRPr="0008533B" w:rsidTr="00FA15C7">
        <w:tc>
          <w:tcPr>
            <w:tcW w:w="850" w:type="pct"/>
          </w:tcPr>
          <w:p w:rsidR="00EF5038" w:rsidRPr="0008533B" w:rsidRDefault="00EF5038">
            <w:pPr>
              <w:rPr>
                <w:i/>
                <w:color w:val="808080"/>
                <w:sz w:val="20"/>
              </w:rPr>
            </w:pPr>
            <w:r w:rsidRPr="0008533B">
              <w:rPr>
                <w:i/>
                <w:color w:val="808080"/>
                <w:sz w:val="20"/>
              </w:rPr>
              <w:lastRenderedPageBreak/>
              <w:t xml:space="preserve">Website for further information:  </w:t>
            </w:r>
          </w:p>
        </w:tc>
        <w:tc>
          <w:tcPr>
            <w:tcW w:w="2100" w:type="pct"/>
          </w:tcPr>
          <w:p w:rsidR="00C97A76" w:rsidRPr="00C97A76" w:rsidRDefault="00C97A76" w:rsidP="00C97A76">
            <w:pPr>
              <w:autoSpaceDE w:val="0"/>
              <w:autoSpaceDN w:val="0"/>
              <w:adjustRightInd w:val="0"/>
              <w:rPr>
                <w:bCs/>
                <w:i/>
                <w:color w:val="000000" w:themeColor="text1"/>
                <w:sz w:val="20"/>
                <w:lang w:val="en-US"/>
              </w:rPr>
            </w:pPr>
            <w:r w:rsidRPr="00C97A76">
              <w:rPr>
                <w:bCs/>
                <w:i/>
                <w:color w:val="000000" w:themeColor="text1"/>
                <w:sz w:val="20"/>
                <w:lang w:val="en-US"/>
              </w:rPr>
              <w:t>Amendments to foreign exchange regulations:</w:t>
            </w:r>
          </w:p>
          <w:p w:rsidR="00C97A76" w:rsidRPr="00C97A76" w:rsidRDefault="00C97A76" w:rsidP="00C97A76">
            <w:pPr>
              <w:autoSpaceDE w:val="0"/>
              <w:autoSpaceDN w:val="0"/>
              <w:adjustRightInd w:val="0"/>
              <w:rPr>
                <w:b/>
                <w:bCs/>
                <w:color w:val="000000" w:themeColor="text1"/>
                <w:sz w:val="20"/>
                <w:lang w:val="en-US"/>
              </w:rPr>
            </w:pP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BSP Circular No. 742</w:t>
            </w:r>
          </w:p>
          <w:p w:rsidR="00C97A76" w:rsidRPr="00C97A76" w:rsidRDefault="00C97A76" w:rsidP="00C97A76">
            <w:pPr>
              <w:autoSpaceDE w:val="0"/>
              <w:autoSpaceDN w:val="0"/>
              <w:adjustRightInd w:val="0"/>
              <w:rPr>
                <w:color w:val="0033CC"/>
                <w:sz w:val="20"/>
                <w:u w:val="single"/>
                <w:lang w:val="en-US"/>
              </w:rPr>
            </w:pPr>
            <w:proofErr w:type="gramStart"/>
            <w:r w:rsidRPr="00C97A76">
              <w:rPr>
                <w:color w:val="0033CC"/>
                <w:sz w:val="20"/>
                <w:u w:val="single"/>
                <w:lang w:val="en-US"/>
              </w:rPr>
              <w:t>www</w:t>
            </w:r>
            <w:proofErr w:type="gramEnd"/>
            <w:r w:rsidRPr="00C97A76">
              <w:rPr>
                <w:color w:val="0033CC"/>
                <w:sz w:val="20"/>
                <w:u w:val="single"/>
                <w:lang w:val="en-US"/>
              </w:rPr>
              <w:t>. bsp.gov.ph/downloads/regulations/attachments/2011/c742.pdf</w:t>
            </w:r>
          </w:p>
          <w:p w:rsidR="00C97A76" w:rsidRPr="00C97A76" w:rsidRDefault="00C97A76" w:rsidP="00C97A76">
            <w:pPr>
              <w:autoSpaceDE w:val="0"/>
              <w:autoSpaceDN w:val="0"/>
              <w:adjustRightInd w:val="0"/>
              <w:rPr>
                <w:color w:val="000000" w:themeColor="text1"/>
                <w:sz w:val="20"/>
                <w:lang w:val="en-US"/>
              </w:rPr>
            </w:pP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BSP Circular No. 794</w:t>
            </w:r>
          </w:p>
          <w:p w:rsidR="00C97A76" w:rsidRPr="00C97A76" w:rsidRDefault="008D4F45" w:rsidP="00C97A76">
            <w:pPr>
              <w:rPr>
                <w:color w:val="000000" w:themeColor="text1"/>
                <w:sz w:val="20"/>
                <w:lang w:val="en-US"/>
              </w:rPr>
            </w:pPr>
            <w:hyperlink r:id="rId16" w:history="1">
              <w:r w:rsidR="00C97A76" w:rsidRPr="007D2B68">
                <w:rPr>
                  <w:rStyle w:val="Hyperlink"/>
                  <w:sz w:val="20"/>
                  <w:lang w:val="en-US"/>
                </w:rPr>
                <w:t>www.bsp.gov.ph/regulations.asp?id=3112</w:t>
              </w:r>
            </w:hyperlink>
            <w:r w:rsidR="00C97A76">
              <w:rPr>
                <w:color w:val="000000" w:themeColor="text1"/>
                <w:sz w:val="20"/>
                <w:lang w:val="en-US"/>
              </w:rPr>
              <w:t xml:space="preserve"> </w:t>
            </w:r>
          </w:p>
          <w:p w:rsidR="00C97A76" w:rsidRPr="00C97A76" w:rsidRDefault="00C97A76" w:rsidP="00C97A76">
            <w:pPr>
              <w:rPr>
                <w:color w:val="000000" w:themeColor="text1"/>
                <w:sz w:val="20"/>
                <w:lang w:val="en-US"/>
              </w:rPr>
            </w:pP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BSP Circular No. 815</w:t>
            </w: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www.bsp.gov.ph/regulations.asp?id=3197</w:t>
            </w: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BSP Circular No. 818</w:t>
            </w:r>
          </w:p>
          <w:p w:rsidR="00C97A76" w:rsidRPr="00C97A76" w:rsidRDefault="008D4F45" w:rsidP="00C97A76">
            <w:pPr>
              <w:autoSpaceDE w:val="0"/>
              <w:autoSpaceDN w:val="0"/>
              <w:adjustRightInd w:val="0"/>
              <w:rPr>
                <w:color w:val="000000" w:themeColor="text1"/>
                <w:sz w:val="20"/>
                <w:lang w:val="en-US"/>
              </w:rPr>
            </w:pPr>
            <w:hyperlink r:id="rId17" w:history="1">
              <w:r w:rsidR="00C97A76" w:rsidRPr="007D2B68">
                <w:rPr>
                  <w:rStyle w:val="Hyperlink"/>
                  <w:sz w:val="20"/>
                  <w:lang w:val="en-US"/>
                </w:rPr>
                <w:t>www.bsp.gov.ph/regulations.asp?id=3205</w:t>
              </w:r>
            </w:hyperlink>
          </w:p>
          <w:p w:rsidR="00C97A76" w:rsidRPr="00C97A76" w:rsidRDefault="00C97A76" w:rsidP="00C97A76">
            <w:pPr>
              <w:autoSpaceDE w:val="0"/>
              <w:autoSpaceDN w:val="0"/>
              <w:adjustRightInd w:val="0"/>
              <w:rPr>
                <w:color w:val="000000" w:themeColor="text1"/>
                <w:sz w:val="20"/>
                <w:lang w:val="en-US"/>
              </w:rPr>
            </w:pPr>
          </w:p>
          <w:p w:rsidR="00C97A76" w:rsidRDefault="00C97A76" w:rsidP="00C97A76">
            <w:pPr>
              <w:autoSpaceDE w:val="0"/>
              <w:autoSpaceDN w:val="0"/>
              <w:adjustRightInd w:val="0"/>
              <w:rPr>
                <w:bCs/>
                <w:i/>
                <w:color w:val="000000" w:themeColor="text1"/>
                <w:sz w:val="20"/>
                <w:lang w:val="en-US"/>
              </w:rPr>
            </w:pPr>
            <w:r w:rsidRPr="00C97A76">
              <w:rPr>
                <w:bCs/>
                <w:i/>
                <w:color w:val="000000" w:themeColor="text1"/>
                <w:sz w:val="20"/>
                <w:lang w:val="en-US"/>
              </w:rPr>
              <w:t>Infusion of foreign equity in the capital of rural banks</w:t>
            </w:r>
          </w:p>
          <w:p w:rsidR="00C97A76" w:rsidRPr="00C97A76" w:rsidRDefault="00C97A76" w:rsidP="00C97A76">
            <w:pPr>
              <w:autoSpaceDE w:val="0"/>
              <w:autoSpaceDN w:val="0"/>
              <w:adjustRightInd w:val="0"/>
              <w:rPr>
                <w:bCs/>
                <w:i/>
                <w:color w:val="000000" w:themeColor="text1"/>
                <w:sz w:val="20"/>
                <w:lang w:val="en-US"/>
              </w:rPr>
            </w:pP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BSP Circular No. 809</w:t>
            </w:r>
          </w:p>
          <w:p w:rsidR="00C97A76" w:rsidRPr="00C97A76" w:rsidRDefault="008D4F45" w:rsidP="00C97A76">
            <w:pPr>
              <w:autoSpaceDE w:val="0"/>
              <w:autoSpaceDN w:val="0"/>
              <w:adjustRightInd w:val="0"/>
              <w:rPr>
                <w:color w:val="000000" w:themeColor="text1"/>
                <w:sz w:val="20"/>
                <w:lang w:val="en-US"/>
              </w:rPr>
            </w:pPr>
            <w:hyperlink r:id="rId18" w:history="1">
              <w:r w:rsidR="00C97A76" w:rsidRPr="007D2B68">
                <w:rPr>
                  <w:rStyle w:val="Hyperlink"/>
                  <w:sz w:val="20"/>
                  <w:lang w:val="en-US"/>
                </w:rPr>
                <w:t>www.bsp.gov.ph/downloads/regulations/attachments/2013/c809.pdf</w:t>
              </w:r>
            </w:hyperlink>
          </w:p>
          <w:p w:rsidR="00C97A76" w:rsidRPr="00C97A76" w:rsidRDefault="00C97A76" w:rsidP="00C97A76">
            <w:pPr>
              <w:autoSpaceDE w:val="0"/>
              <w:autoSpaceDN w:val="0"/>
              <w:adjustRightInd w:val="0"/>
              <w:rPr>
                <w:color w:val="000000" w:themeColor="text1"/>
                <w:sz w:val="20"/>
                <w:lang w:val="en-US"/>
              </w:rPr>
            </w:pPr>
          </w:p>
          <w:p w:rsidR="00C97A76" w:rsidRPr="00C97A76" w:rsidRDefault="00C97A76" w:rsidP="00C97A76">
            <w:pPr>
              <w:autoSpaceDE w:val="0"/>
              <w:autoSpaceDN w:val="0"/>
              <w:adjustRightInd w:val="0"/>
              <w:rPr>
                <w:color w:val="000000" w:themeColor="text1"/>
                <w:sz w:val="20"/>
                <w:lang w:val="en-US"/>
              </w:rPr>
            </w:pPr>
            <w:r w:rsidRPr="00C97A76">
              <w:rPr>
                <w:color w:val="000000" w:themeColor="text1"/>
                <w:sz w:val="20"/>
                <w:lang w:val="en-US"/>
              </w:rPr>
              <w:t>Republic Act (RA) No. 10574</w:t>
            </w:r>
          </w:p>
          <w:p w:rsidR="0077712F" w:rsidRDefault="008D4F45" w:rsidP="00C97A76">
            <w:pPr>
              <w:rPr>
                <w:color w:val="000000" w:themeColor="text1"/>
                <w:sz w:val="20"/>
                <w:lang w:val="en-US"/>
              </w:rPr>
            </w:pPr>
            <w:hyperlink r:id="rId19" w:history="1">
              <w:r w:rsidR="00C97A76" w:rsidRPr="007D2B68">
                <w:rPr>
                  <w:rStyle w:val="Hyperlink"/>
                  <w:sz w:val="20"/>
                  <w:lang w:val="en-US"/>
                </w:rPr>
                <w:t>www.bsp.gov.ph/downloads/laws/RA10574.pdf</w:t>
              </w:r>
            </w:hyperlink>
          </w:p>
          <w:p w:rsidR="00C97A76" w:rsidRPr="00C97A76" w:rsidRDefault="00C97A76" w:rsidP="00C97A76">
            <w:pPr>
              <w:rPr>
                <w:color w:val="000000" w:themeColor="text1"/>
                <w:sz w:val="20"/>
              </w:rPr>
            </w:pPr>
          </w:p>
        </w:tc>
        <w:tc>
          <w:tcPr>
            <w:tcW w:w="2050" w:type="pct"/>
          </w:tcPr>
          <w:p w:rsidR="00EF5038" w:rsidRPr="0008533B" w:rsidRDefault="00EF5038">
            <w:pPr>
              <w:rPr>
                <w:i/>
                <w:sz w:val="20"/>
              </w:rPr>
            </w:pPr>
          </w:p>
        </w:tc>
      </w:tr>
      <w:tr w:rsidR="00EF5038" w:rsidRPr="0008533B" w:rsidTr="00FA15C7">
        <w:tc>
          <w:tcPr>
            <w:tcW w:w="850" w:type="pct"/>
          </w:tcPr>
          <w:p w:rsidR="00EF5038" w:rsidRPr="0008533B" w:rsidRDefault="00EF5038">
            <w:pPr>
              <w:rPr>
                <w:i/>
                <w:color w:val="808080"/>
                <w:sz w:val="20"/>
              </w:rPr>
            </w:pPr>
            <w:r w:rsidRPr="0008533B">
              <w:rPr>
                <w:i/>
                <w:color w:val="808080"/>
                <w:sz w:val="20"/>
              </w:rPr>
              <w:lastRenderedPageBreak/>
              <w:t>Contact point for further details:</w:t>
            </w:r>
          </w:p>
        </w:tc>
        <w:tc>
          <w:tcPr>
            <w:tcW w:w="2100" w:type="pct"/>
          </w:tcPr>
          <w:p w:rsidR="00305596" w:rsidRPr="00C97A76" w:rsidRDefault="00305596" w:rsidP="00305596">
            <w:pPr>
              <w:rPr>
                <w:i/>
                <w:sz w:val="20"/>
              </w:rPr>
            </w:pPr>
            <w:r w:rsidRPr="00C97A76">
              <w:rPr>
                <w:i/>
                <w:sz w:val="20"/>
              </w:rPr>
              <w:t>For FX Regulatory Framework:</w:t>
            </w:r>
          </w:p>
          <w:p w:rsidR="00305596" w:rsidRPr="004164BF" w:rsidRDefault="00305596" w:rsidP="00305596">
            <w:pPr>
              <w:rPr>
                <w:sz w:val="20"/>
              </w:rPr>
            </w:pPr>
            <w:r w:rsidRPr="004164BF">
              <w:rPr>
                <w:sz w:val="20"/>
              </w:rPr>
              <w:t xml:space="preserve">The Director </w:t>
            </w:r>
          </w:p>
          <w:p w:rsidR="00305596" w:rsidRPr="004164BF" w:rsidRDefault="00305596" w:rsidP="00305596">
            <w:pPr>
              <w:rPr>
                <w:sz w:val="20"/>
              </w:rPr>
            </w:pPr>
            <w:r w:rsidRPr="004164BF">
              <w:rPr>
                <w:sz w:val="20"/>
              </w:rPr>
              <w:t>International Operations Department</w:t>
            </w:r>
          </w:p>
          <w:p w:rsidR="00305596" w:rsidRPr="004164BF" w:rsidRDefault="00305596" w:rsidP="00305596">
            <w:pPr>
              <w:rPr>
                <w:sz w:val="20"/>
              </w:rPr>
            </w:pPr>
            <w:proofErr w:type="spellStart"/>
            <w:r w:rsidRPr="004164BF">
              <w:rPr>
                <w:sz w:val="20"/>
              </w:rPr>
              <w:t>Bangko</w:t>
            </w:r>
            <w:proofErr w:type="spellEnd"/>
            <w:r w:rsidRPr="004164BF">
              <w:rPr>
                <w:sz w:val="20"/>
              </w:rPr>
              <w:t xml:space="preserve"> </w:t>
            </w:r>
            <w:proofErr w:type="spellStart"/>
            <w:r w:rsidRPr="004164BF">
              <w:rPr>
                <w:sz w:val="20"/>
              </w:rPr>
              <w:t>Sentral</w:t>
            </w:r>
            <w:proofErr w:type="spellEnd"/>
            <w:r w:rsidRPr="004164BF">
              <w:rPr>
                <w:sz w:val="20"/>
              </w:rPr>
              <w:t xml:space="preserve"> ng </w:t>
            </w:r>
            <w:proofErr w:type="spellStart"/>
            <w:r w:rsidRPr="004164BF">
              <w:rPr>
                <w:sz w:val="20"/>
              </w:rPr>
              <w:t>Pilipinas</w:t>
            </w:r>
            <w:proofErr w:type="spellEnd"/>
          </w:p>
          <w:p w:rsidR="00305596" w:rsidRPr="004164BF" w:rsidRDefault="008D4F45" w:rsidP="00305596">
            <w:pPr>
              <w:rPr>
                <w:sz w:val="20"/>
              </w:rPr>
            </w:pPr>
            <w:hyperlink r:id="rId20" w:history="1">
              <w:r w:rsidR="00305596" w:rsidRPr="004164BF">
                <w:rPr>
                  <w:rStyle w:val="Hyperlink"/>
                  <w:sz w:val="20"/>
                </w:rPr>
                <w:t>pangeles@bsp.gov.ph</w:t>
              </w:r>
            </w:hyperlink>
          </w:p>
          <w:p w:rsidR="00305596" w:rsidRPr="004164BF" w:rsidRDefault="00305596" w:rsidP="00305596">
            <w:pPr>
              <w:rPr>
                <w:sz w:val="20"/>
              </w:rPr>
            </w:pPr>
          </w:p>
          <w:p w:rsidR="00305596" w:rsidRPr="00C97A76" w:rsidRDefault="00305596" w:rsidP="00305596">
            <w:pPr>
              <w:rPr>
                <w:i/>
                <w:sz w:val="20"/>
              </w:rPr>
            </w:pPr>
            <w:r w:rsidRPr="00C97A76">
              <w:rPr>
                <w:i/>
                <w:sz w:val="20"/>
              </w:rPr>
              <w:t xml:space="preserve">For Banking </w:t>
            </w:r>
            <w:r w:rsidR="00555AD8">
              <w:rPr>
                <w:i/>
                <w:sz w:val="20"/>
              </w:rPr>
              <w:t>Supervision and Regulations</w:t>
            </w:r>
            <w:r w:rsidRPr="00C97A76">
              <w:rPr>
                <w:i/>
                <w:sz w:val="20"/>
              </w:rPr>
              <w:t>:</w:t>
            </w:r>
          </w:p>
          <w:p w:rsidR="00305596" w:rsidRDefault="00C97A76" w:rsidP="00305596">
            <w:pPr>
              <w:rPr>
                <w:sz w:val="20"/>
              </w:rPr>
            </w:pPr>
            <w:r>
              <w:rPr>
                <w:sz w:val="20"/>
              </w:rPr>
              <w:t>The Assistant Governor</w:t>
            </w:r>
          </w:p>
          <w:p w:rsidR="00555AD8" w:rsidRPr="004164BF" w:rsidRDefault="00555AD8" w:rsidP="00305596">
            <w:pPr>
              <w:rPr>
                <w:sz w:val="20"/>
              </w:rPr>
            </w:pPr>
            <w:r>
              <w:rPr>
                <w:sz w:val="20"/>
              </w:rPr>
              <w:t>Office of the Assistant Governor</w:t>
            </w:r>
          </w:p>
          <w:p w:rsidR="00305596" w:rsidRPr="004164BF" w:rsidRDefault="00305596" w:rsidP="00305596">
            <w:pPr>
              <w:rPr>
                <w:sz w:val="20"/>
              </w:rPr>
            </w:pPr>
            <w:proofErr w:type="spellStart"/>
            <w:r w:rsidRPr="004164BF">
              <w:rPr>
                <w:sz w:val="20"/>
              </w:rPr>
              <w:t>Bangko</w:t>
            </w:r>
            <w:proofErr w:type="spellEnd"/>
            <w:r w:rsidRPr="004164BF">
              <w:rPr>
                <w:sz w:val="20"/>
              </w:rPr>
              <w:t xml:space="preserve"> </w:t>
            </w:r>
            <w:proofErr w:type="spellStart"/>
            <w:r w:rsidRPr="004164BF">
              <w:rPr>
                <w:sz w:val="20"/>
              </w:rPr>
              <w:t>Sentral</w:t>
            </w:r>
            <w:proofErr w:type="spellEnd"/>
            <w:r w:rsidRPr="004164BF">
              <w:rPr>
                <w:sz w:val="20"/>
              </w:rPr>
              <w:t xml:space="preserve"> ng </w:t>
            </w:r>
            <w:proofErr w:type="spellStart"/>
            <w:r w:rsidRPr="004164BF">
              <w:rPr>
                <w:sz w:val="20"/>
              </w:rPr>
              <w:t>Pilipinas</w:t>
            </w:r>
            <w:proofErr w:type="spellEnd"/>
          </w:p>
          <w:p w:rsidR="00595E2C" w:rsidRPr="004164BF" w:rsidRDefault="008D4F45" w:rsidP="00035E6B">
            <w:pPr>
              <w:rPr>
                <w:sz w:val="20"/>
              </w:rPr>
            </w:pPr>
            <w:hyperlink r:id="rId21" w:history="1">
              <w:r w:rsidR="00C97A76" w:rsidRPr="007D2B68">
                <w:rPr>
                  <w:rStyle w:val="Hyperlink"/>
                  <w:sz w:val="20"/>
                </w:rPr>
                <w:t>jravalo@bsp.gov.ph</w:t>
              </w:r>
            </w:hyperlink>
          </w:p>
        </w:tc>
        <w:tc>
          <w:tcPr>
            <w:tcW w:w="2050" w:type="pct"/>
          </w:tcPr>
          <w:p w:rsidR="00EF5038" w:rsidRPr="0008533B" w:rsidRDefault="00EF5038">
            <w:pPr>
              <w:rPr>
                <w:i/>
                <w:sz w:val="20"/>
              </w:rPr>
            </w:pPr>
          </w:p>
        </w:tc>
      </w:tr>
      <w:tr w:rsidR="00035E6B" w:rsidRPr="0008533B" w:rsidTr="00FA15C7">
        <w:tc>
          <w:tcPr>
            <w:tcW w:w="850" w:type="pct"/>
          </w:tcPr>
          <w:p w:rsidR="00035E6B" w:rsidRPr="0008533B" w:rsidRDefault="00035E6B" w:rsidP="00AE3F6D">
            <w:pPr>
              <w:rPr>
                <w:b/>
                <w:i/>
                <w:sz w:val="20"/>
              </w:rPr>
            </w:pPr>
            <w:r w:rsidRPr="0008533B">
              <w:rPr>
                <w:b/>
                <w:i/>
                <w:sz w:val="20"/>
              </w:rPr>
              <w:t>Services</w:t>
            </w:r>
          </w:p>
          <w:p w:rsidR="00035E6B" w:rsidRDefault="00035E6B" w:rsidP="00AE3F6D">
            <w:pPr>
              <w:rPr>
                <w:b/>
                <w:i/>
                <w:sz w:val="20"/>
              </w:rPr>
            </w:pPr>
          </w:p>
          <w:p w:rsidR="00035E6B" w:rsidRPr="00035E6B" w:rsidRDefault="00035E6B" w:rsidP="00AE3F6D">
            <w:pPr>
              <w:jc w:val="both"/>
              <w:rPr>
                <w:b/>
                <w:i/>
                <w:color w:val="000000" w:themeColor="text1"/>
                <w:sz w:val="20"/>
              </w:rPr>
            </w:pPr>
            <w:r w:rsidRPr="00035E6B">
              <w:rPr>
                <w:b/>
                <w:i/>
                <w:color w:val="000000" w:themeColor="text1"/>
                <w:sz w:val="20"/>
              </w:rPr>
              <w:t>Energy Services</w:t>
            </w:r>
          </w:p>
          <w:p w:rsidR="00035E6B" w:rsidRPr="0008533B" w:rsidRDefault="00035E6B" w:rsidP="00AE3F6D">
            <w:pPr>
              <w:rPr>
                <w:b/>
                <w:i/>
                <w:sz w:val="20"/>
              </w:rPr>
            </w:pPr>
          </w:p>
        </w:tc>
        <w:tc>
          <w:tcPr>
            <w:tcW w:w="2100" w:type="pct"/>
          </w:tcPr>
          <w:p w:rsidR="00875F96" w:rsidRPr="00E56F5B" w:rsidRDefault="00D268F3" w:rsidP="00435BD6">
            <w:pPr>
              <w:jc w:val="both"/>
              <w:rPr>
                <w:sz w:val="20"/>
              </w:rPr>
            </w:pPr>
            <w:r>
              <w:rPr>
                <w:sz w:val="20"/>
              </w:rPr>
              <w:t xml:space="preserve">No </w:t>
            </w:r>
            <w:r w:rsidR="00435BD6">
              <w:rPr>
                <w:sz w:val="20"/>
              </w:rPr>
              <w:t>updates on energy services</w:t>
            </w:r>
          </w:p>
        </w:tc>
        <w:tc>
          <w:tcPr>
            <w:tcW w:w="2050" w:type="pct"/>
          </w:tcPr>
          <w:p w:rsidR="00A4610B" w:rsidRPr="00E56F5B" w:rsidRDefault="00A4610B" w:rsidP="00853A07">
            <w:pPr>
              <w:jc w:val="both"/>
              <w:rPr>
                <w:sz w:val="20"/>
              </w:rPr>
            </w:pPr>
          </w:p>
        </w:tc>
      </w:tr>
      <w:tr w:rsidR="00035E6B" w:rsidRPr="0008533B" w:rsidTr="00FA15C7">
        <w:tc>
          <w:tcPr>
            <w:tcW w:w="850" w:type="pct"/>
          </w:tcPr>
          <w:p w:rsidR="00035E6B" w:rsidRPr="0008533B" w:rsidRDefault="00035E6B" w:rsidP="00AE3F6D">
            <w:pPr>
              <w:rPr>
                <w:i/>
                <w:color w:val="808080"/>
                <w:sz w:val="20"/>
              </w:rPr>
            </w:pPr>
            <w:r w:rsidRPr="0008533B">
              <w:rPr>
                <w:i/>
                <w:color w:val="808080"/>
                <w:sz w:val="20"/>
              </w:rPr>
              <w:t xml:space="preserve">Website for further information:  </w:t>
            </w:r>
          </w:p>
        </w:tc>
        <w:tc>
          <w:tcPr>
            <w:tcW w:w="2100" w:type="pct"/>
          </w:tcPr>
          <w:p w:rsidR="00035E6B" w:rsidRDefault="008D4F45" w:rsidP="00481916">
            <w:pPr>
              <w:jc w:val="both"/>
              <w:rPr>
                <w:sz w:val="20"/>
              </w:rPr>
            </w:pPr>
            <w:hyperlink r:id="rId22" w:history="1">
              <w:r w:rsidR="000E7C34" w:rsidRPr="004812FD">
                <w:rPr>
                  <w:rStyle w:val="Hyperlink"/>
                  <w:sz w:val="20"/>
                </w:rPr>
                <w:t>www.doe.gov.ph</w:t>
              </w:r>
            </w:hyperlink>
          </w:p>
          <w:p w:rsidR="000E7C34" w:rsidRPr="00E56F5B" w:rsidRDefault="000E7C34" w:rsidP="00481916">
            <w:pPr>
              <w:jc w:val="both"/>
              <w:rPr>
                <w:sz w:val="20"/>
              </w:rPr>
            </w:pPr>
          </w:p>
        </w:tc>
        <w:tc>
          <w:tcPr>
            <w:tcW w:w="2050" w:type="pct"/>
          </w:tcPr>
          <w:p w:rsidR="00035E6B" w:rsidRPr="00E56F5B" w:rsidRDefault="00035E6B" w:rsidP="00481916">
            <w:pPr>
              <w:jc w:val="both"/>
              <w:rPr>
                <w:sz w:val="20"/>
              </w:rPr>
            </w:pPr>
          </w:p>
        </w:tc>
      </w:tr>
      <w:tr w:rsidR="00035E6B" w:rsidRPr="0008533B" w:rsidTr="00FA15C7">
        <w:tc>
          <w:tcPr>
            <w:tcW w:w="850" w:type="pct"/>
          </w:tcPr>
          <w:p w:rsidR="00035E6B" w:rsidRPr="0008533B" w:rsidRDefault="00035E6B" w:rsidP="00AE3F6D">
            <w:pPr>
              <w:rPr>
                <w:i/>
                <w:color w:val="808080"/>
                <w:sz w:val="20"/>
              </w:rPr>
            </w:pPr>
            <w:r w:rsidRPr="0008533B">
              <w:rPr>
                <w:i/>
                <w:color w:val="808080"/>
                <w:sz w:val="20"/>
              </w:rPr>
              <w:t>Contact point for further details:</w:t>
            </w:r>
          </w:p>
        </w:tc>
        <w:tc>
          <w:tcPr>
            <w:tcW w:w="2100" w:type="pct"/>
          </w:tcPr>
          <w:p w:rsidR="00035E6B" w:rsidRDefault="000E7C34" w:rsidP="000E7C34">
            <w:pPr>
              <w:jc w:val="both"/>
              <w:rPr>
                <w:sz w:val="20"/>
              </w:rPr>
            </w:pPr>
            <w:r>
              <w:rPr>
                <w:sz w:val="20"/>
              </w:rPr>
              <w:t>The Director</w:t>
            </w:r>
          </w:p>
          <w:p w:rsidR="000E7C34" w:rsidRDefault="000E7C34" w:rsidP="000E7C34">
            <w:pPr>
              <w:jc w:val="both"/>
              <w:rPr>
                <w:sz w:val="20"/>
              </w:rPr>
            </w:pPr>
            <w:r>
              <w:rPr>
                <w:sz w:val="20"/>
              </w:rPr>
              <w:t>Renewable Energy Management Bureau</w:t>
            </w:r>
          </w:p>
          <w:p w:rsidR="000E7C34" w:rsidRDefault="000E7C34" w:rsidP="000E7C34">
            <w:pPr>
              <w:jc w:val="both"/>
              <w:rPr>
                <w:sz w:val="20"/>
              </w:rPr>
            </w:pPr>
            <w:r>
              <w:rPr>
                <w:sz w:val="20"/>
              </w:rPr>
              <w:t>Department of Energy</w:t>
            </w:r>
          </w:p>
          <w:p w:rsidR="000E7C34" w:rsidRDefault="000E7C34" w:rsidP="000E7C34">
            <w:pPr>
              <w:jc w:val="both"/>
              <w:rPr>
                <w:sz w:val="20"/>
              </w:rPr>
            </w:pPr>
            <w:r>
              <w:rPr>
                <w:sz w:val="20"/>
              </w:rPr>
              <w:t>Energy Center, Merritt road</w:t>
            </w:r>
          </w:p>
          <w:p w:rsidR="000E7C34" w:rsidRDefault="000E7C34" w:rsidP="000E7C34">
            <w:pPr>
              <w:jc w:val="both"/>
              <w:rPr>
                <w:sz w:val="20"/>
              </w:rPr>
            </w:pPr>
            <w:r>
              <w:rPr>
                <w:sz w:val="20"/>
              </w:rPr>
              <w:t xml:space="preserve">Fort </w:t>
            </w:r>
            <w:proofErr w:type="spellStart"/>
            <w:r>
              <w:rPr>
                <w:sz w:val="20"/>
              </w:rPr>
              <w:t>Bonifacio</w:t>
            </w:r>
            <w:proofErr w:type="spellEnd"/>
            <w:r>
              <w:rPr>
                <w:sz w:val="20"/>
              </w:rPr>
              <w:t xml:space="preserve">, </w:t>
            </w:r>
            <w:proofErr w:type="spellStart"/>
            <w:r>
              <w:rPr>
                <w:sz w:val="20"/>
              </w:rPr>
              <w:t>Taguig</w:t>
            </w:r>
            <w:proofErr w:type="spellEnd"/>
            <w:r>
              <w:rPr>
                <w:sz w:val="20"/>
              </w:rPr>
              <w:t xml:space="preserve"> City 1632</w:t>
            </w:r>
          </w:p>
          <w:p w:rsidR="000E7C34" w:rsidRDefault="000E7C34" w:rsidP="000E7C34">
            <w:pPr>
              <w:rPr>
                <w:sz w:val="20"/>
              </w:rPr>
            </w:pPr>
            <w:r>
              <w:rPr>
                <w:sz w:val="20"/>
              </w:rPr>
              <w:t>Telefax:  (632) 840-2268</w:t>
            </w:r>
          </w:p>
          <w:p w:rsidR="000E7C34" w:rsidRPr="00E56F5B" w:rsidRDefault="000E7C34" w:rsidP="000E7C34">
            <w:pPr>
              <w:jc w:val="both"/>
              <w:rPr>
                <w:sz w:val="20"/>
              </w:rPr>
            </w:pPr>
            <w:r>
              <w:rPr>
                <w:sz w:val="20"/>
              </w:rPr>
              <w:t>E-mail:  mcmarasigan@doe.gov.ph</w:t>
            </w:r>
          </w:p>
        </w:tc>
        <w:tc>
          <w:tcPr>
            <w:tcW w:w="2050" w:type="pct"/>
          </w:tcPr>
          <w:p w:rsidR="00035E6B" w:rsidRPr="00E56F5B" w:rsidRDefault="00035E6B" w:rsidP="00481916">
            <w:pPr>
              <w:jc w:val="both"/>
              <w:rPr>
                <w:sz w:val="20"/>
              </w:rPr>
            </w:pPr>
          </w:p>
        </w:tc>
      </w:tr>
      <w:tr w:rsidR="007F4FCB" w:rsidRPr="0008533B" w:rsidTr="00FA15C7">
        <w:tc>
          <w:tcPr>
            <w:tcW w:w="850" w:type="pct"/>
          </w:tcPr>
          <w:p w:rsidR="00DF47F6" w:rsidRPr="0008533B" w:rsidRDefault="00DF47F6" w:rsidP="00DF47F6">
            <w:pPr>
              <w:rPr>
                <w:b/>
                <w:i/>
                <w:sz w:val="20"/>
              </w:rPr>
            </w:pPr>
            <w:r w:rsidRPr="0008533B">
              <w:rPr>
                <w:b/>
                <w:i/>
                <w:sz w:val="20"/>
              </w:rPr>
              <w:t>Services</w:t>
            </w:r>
          </w:p>
          <w:p w:rsidR="00DF47F6" w:rsidRDefault="00DF47F6" w:rsidP="00DF47F6">
            <w:pPr>
              <w:rPr>
                <w:b/>
                <w:i/>
                <w:sz w:val="20"/>
              </w:rPr>
            </w:pPr>
          </w:p>
          <w:p w:rsidR="00DF47F6" w:rsidRPr="00035E6B" w:rsidRDefault="00DF47F6" w:rsidP="00DF47F6">
            <w:pPr>
              <w:jc w:val="both"/>
              <w:rPr>
                <w:b/>
                <w:i/>
                <w:color w:val="000000" w:themeColor="text1"/>
                <w:sz w:val="20"/>
              </w:rPr>
            </w:pPr>
            <w:r>
              <w:rPr>
                <w:b/>
                <w:i/>
                <w:color w:val="000000" w:themeColor="text1"/>
                <w:sz w:val="20"/>
              </w:rPr>
              <w:t>Maritime Transportation</w:t>
            </w:r>
            <w:r w:rsidRPr="00035E6B">
              <w:rPr>
                <w:b/>
                <w:i/>
                <w:color w:val="000000" w:themeColor="text1"/>
                <w:sz w:val="20"/>
              </w:rPr>
              <w:t xml:space="preserve"> Services</w:t>
            </w:r>
          </w:p>
          <w:p w:rsidR="007F4FCB" w:rsidRPr="0008533B" w:rsidRDefault="007F4FCB" w:rsidP="00AE3F6D">
            <w:pPr>
              <w:rPr>
                <w:b/>
                <w:i/>
                <w:sz w:val="20"/>
              </w:rPr>
            </w:pPr>
          </w:p>
        </w:tc>
        <w:tc>
          <w:tcPr>
            <w:tcW w:w="2100" w:type="pct"/>
          </w:tcPr>
          <w:p w:rsidR="005A2221" w:rsidRPr="005A2221" w:rsidRDefault="005A2221" w:rsidP="005A2221">
            <w:pPr>
              <w:jc w:val="both"/>
              <w:rPr>
                <w:color w:val="000000" w:themeColor="text1"/>
                <w:sz w:val="20"/>
              </w:rPr>
            </w:pPr>
            <w:proofErr w:type="gramStart"/>
            <w:r w:rsidRPr="005A2221">
              <w:rPr>
                <w:color w:val="000000" w:themeColor="text1"/>
                <w:sz w:val="20"/>
              </w:rPr>
              <w:lastRenderedPageBreak/>
              <w:t>Issued  Executive</w:t>
            </w:r>
            <w:proofErr w:type="gramEnd"/>
            <w:r w:rsidRPr="005A2221">
              <w:rPr>
                <w:color w:val="000000" w:themeColor="text1"/>
                <w:sz w:val="20"/>
              </w:rPr>
              <w:t xml:space="preserve"> Order No. 75 designating the Department of Transportation and Communications, through the Maritime Industry Authority (MARINA), as the single administration in the Philippines, responsible for oversight in the implementation of the 1978 International </w:t>
            </w:r>
            <w:r w:rsidRPr="005A2221">
              <w:rPr>
                <w:color w:val="000000" w:themeColor="text1"/>
                <w:sz w:val="20"/>
              </w:rPr>
              <w:lastRenderedPageBreak/>
              <w:t xml:space="preserve">Convention on Standards on Training and Certification and </w:t>
            </w:r>
            <w:proofErr w:type="spellStart"/>
            <w:r w:rsidRPr="005A2221">
              <w:rPr>
                <w:color w:val="000000" w:themeColor="text1"/>
                <w:sz w:val="20"/>
              </w:rPr>
              <w:t>Watchkeeping</w:t>
            </w:r>
            <w:proofErr w:type="spellEnd"/>
            <w:r w:rsidRPr="005A2221">
              <w:rPr>
                <w:color w:val="000000" w:themeColor="text1"/>
                <w:sz w:val="20"/>
              </w:rPr>
              <w:t xml:space="preserve"> for Seafarers, as amended.</w:t>
            </w:r>
          </w:p>
          <w:p w:rsidR="005A2221" w:rsidRPr="005A2221" w:rsidRDefault="005A2221" w:rsidP="005A2221">
            <w:pPr>
              <w:jc w:val="both"/>
              <w:rPr>
                <w:color w:val="000000" w:themeColor="text1"/>
                <w:sz w:val="20"/>
              </w:rPr>
            </w:pPr>
          </w:p>
          <w:p w:rsidR="005A2221" w:rsidRPr="005A2221" w:rsidRDefault="005A2221" w:rsidP="005A2221">
            <w:pPr>
              <w:jc w:val="both"/>
              <w:rPr>
                <w:color w:val="000000" w:themeColor="text1"/>
                <w:sz w:val="20"/>
              </w:rPr>
            </w:pPr>
            <w:r w:rsidRPr="005A2221">
              <w:rPr>
                <w:color w:val="000000" w:themeColor="text1"/>
                <w:sz w:val="20"/>
              </w:rPr>
              <w:t>Issued MARINA circulars covering rules on trainings and proficiency-building:</w:t>
            </w:r>
          </w:p>
          <w:p w:rsidR="005A2221" w:rsidRPr="005A2221" w:rsidRDefault="005A2221" w:rsidP="005A2221">
            <w:pPr>
              <w:pStyle w:val="ListParagraph"/>
              <w:numPr>
                <w:ilvl w:val="0"/>
                <w:numId w:val="44"/>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 xml:space="preserve">Issuance/Revalidation of Certificates of Proficiency (COPs) in accordance with Chapters V and VI of the 1978 International Convention on Standards of Training and Certification and </w:t>
            </w:r>
            <w:proofErr w:type="spellStart"/>
            <w:r w:rsidRPr="005A2221">
              <w:rPr>
                <w:rFonts w:ascii="Times New Roman" w:hAnsi="Times New Roman"/>
                <w:color w:val="000000" w:themeColor="text1"/>
                <w:sz w:val="20"/>
                <w:szCs w:val="20"/>
              </w:rPr>
              <w:t>Watchkeeping</w:t>
            </w:r>
            <w:proofErr w:type="spellEnd"/>
            <w:r w:rsidRPr="005A2221">
              <w:rPr>
                <w:rFonts w:ascii="Times New Roman" w:hAnsi="Times New Roman"/>
                <w:color w:val="000000" w:themeColor="text1"/>
                <w:sz w:val="20"/>
                <w:szCs w:val="20"/>
              </w:rPr>
              <w:t>, as amended (Circular No. 2013-09, 2013-10);</w:t>
            </w:r>
          </w:p>
          <w:p w:rsidR="005A2221" w:rsidRPr="005A2221" w:rsidRDefault="005A2221" w:rsidP="005A2221">
            <w:pPr>
              <w:pStyle w:val="ListParagraph"/>
              <w:numPr>
                <w:ilvl w:val="0"/>
                <w:numId w:val="44"/>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 xml:space="preserve">Revised Rules on the Accreditation of Instructors and/or </w:t>
            </w:r>
            <w:proofErr w:type="spellStart"/>
            <w:r w:rsidRPr="005A2221">
              <w:rPr>
                <w:rFonts w:ascii="Times New Roman" w:hAnsi="Times New Roman"/>
                <w:color w:val="000000" w:themeColor="text1"/>
                <w:sz w:val="20"/>
                <w:szCs w:val="20"/>
              </w:rPr>
              <w:t>Assesors</w:t>
            </w:r>
            <w:proofErr w:type="spellEnd"/>
            <w:r w:rsidRPr="005A2221">
              <w:rPr>
                <w:rFonts w:ascii="Times New Roman" w:hAnsi="Times New Roman"/>
                <w:color w:val="000000" w:themeColor="text1"/>
                <w:sz w:val="20"/>
                <w:szCs w:val="20"/>
              </w:rPr>
              <w:t xml:space="preserve"> (Circular No. 2013-12); </w:t>
            </w:r>
          </w:p>
          <w:p w:rsidR="005A2221" w:rsidRPr="005A2221" w:rsidRDefault="005A2221" w:rsidP="005A2221">
            <w:pPr>
              <w:pStyle w:val="ListParagraph"/>
              <w:numPr>
                <w:ilvl w:val="0"/>
                <w:numId w:val="44"/>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Adoption of the new competencies and knowledge, understanding and proficiency (KUP) for Ship Security Officer as required by the 2010 Manila amendments; Adoption of the course for Ship Security Awareness and Seafarers with designated Security Duties as required by the 2010 STCW Manila Amendments; and Adoption of refresher and updating of safety under the 2010 Manila amendments. (Circular No. 2013-11);</w:t>
            </w:r>
          </w:p>
          <w:p w:rsidR="005A2221" w:rsidRPr="005A2221" w:rsidRDefault="005A2221" w:rsidP="005A2221">
            <w:pPr>
              <w:pStyle w:val="ListParagraph"/>
              <w:numPr>
                <w:ilvl w:val="0"/>
                <w:numId w:val="44"/>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Rules on the Monitoring of Maritime Education Programs, Training Courses and Assessment of Competence of Seafarer and carried out by METIs and Assessment Centers (Circular No. 2013-06);</w:t>
            </w:r>
          </w:p>
          <w:p w:rsidR="005A2221" w:rsidRPr="005A2221" w:rsidRDefault="005A2221" w:rsidP="005A2221">
            <w:pPr>
              <w:pStyle w:val="ListParagraph"/>
              <w:numPr>
                <w:ilvl w:val="0"/>
                <w:numId w:val="44"/>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 xml:space="preserve">Rules on the Accreditation of Instructors and/or </w:t>
            </w:r>
            <w:proofErr w:type="spellStart"/>
            <w:r w:rsidRPr="005A2221">
              <w:rPr>
                <w:rFonts w:ascii="Times New Roman" w:hAnsi="Times New Roman"/>
                <w:color w:val="000000" w:themeColor="text1"/>
                <w:sz w:val="20"/>
                <w:szCs w:val="20"/>
              </w:rPr>
              <w:t>Assesors</w:t>
            </w:r>
            <w:proofErr w:type="spellEnd"/>
            <w:r w:rsidRPr="005A2221">
              <w:rPr>
                <w:rFonts w:ascii="Times New Roman" w:hAnsi="Times New Roman"/>
                <w:color w:val="000000" w:themeColor="text1"/>
                <w:sz w:val="20"/>
                <w:szCs w:val="20"/>
              </w:rPr>
              <w:t xml:space="preserve"> (Circular No. 2013-03);</w:t>
            </w:r>
          </w:p>
          <w:p w:rsidR="005A2221" w:rsidRPr="005A2221" w:rsidRDefault="005A2221" w:rsidP="005A2221">
            <w:pPr>
              <w:pStyle w:val="ListParagraph"/>
              <w:numPr>
                <w:ilvl w:val="0"/>
                <w:numId w:val="44"/>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 xml:space="preserve">Rules on the </w:t>
            </w:r>
            <w:proofErr w:type="spellStart"/>
            <w:r w:rsidRPr="005A2221">
              <w:rPr>
                <w:rFonts w:ascii="Times New Roman" w:hAnsi="Times New Roman"/>
                <w:color w:val="000000" w:themeColor="text1"/>
                <w:sz w:val="20"/>
                <w:szCs w:val="20"/>
              </w:rPr>
              <w:t>Enspection</w:t>
            </w:r>
            <w:proofErr w:type="spellEnd"/>
            <w:r w:rsidRPr="005A2221">
              <w:rPr>
                <w:rFonts w:ascii="Times New Roman" w:hAnsi="Times New Roman"/>
                <w:color w:val="000000" w:themeColor="text1"/>
                <w:sz w:val="20"/>
                <w:szCs w:val="20"/>
              </w:rPr>
              <w:t xml:space="preserve"> and </w:t>
            </w:r>
            <w:proofErr w:type="spellStart"/>
            <w:r w:rsidRPr="005A2221">
              <w:rPr>
                <w:rFonts w:ascii="Times New Roman" w:hAnsi="Times New Roman"/>
                <w:color w:val="000000" w:themeColor="text1"/>
                <w:sz w:val="20"/>
                <w:szCs w:val="20"/>
              </w:rPr>
              <w:t>Acceditation</w:t>
            </w:r>
            <w:proofErr w:type="spellEnd"/>
            <w:r w:rsidRPr="005A2221">
              <w:rPr>
                <w:rFonts w:ascii="Times New Roman" w:hAnsi="Times New Roman"/>
                <w:color w:val="000000" w:themeColor="text1"/>
                <w:sz w:val="20"/>
                <w:szCs w:val="20"/>
              </w:rPr>
              <w:t xml:space="preserve"> of Maritime Training Courses (Circular No. 2013-01).</w:t>
            </w:r>
          </w:p>
          <w:p w:rsidR="005A2221" w:rsidRPr="005A2221" w:rsidRDefault="005A2221" w:rsidP="005A2221">
            <w:pPr>
              <w:jc w:val="both"/>
              <w:rPr>
                <w:color w:val="000000" w:themeColor="text1"/>
                <w:sz w:val="20"/>
              </w:rPr>
            </w:pPr>
          </w:p>
          <w:p w:rsidR="005A2221" w:rsidRPr="005A2221" w:rsidRDefault="005A2221" w:rsidP="005A2221">
            <w:pPr>
              <w:jc w:val="both"/>
              <w:rPr>
                <w:color w:val="000000" w:themeColor="text1"/>
                <w:sz w:val="20"/>
              </w:rPr>
            </w:pPr>
            <w:r w:rsidRPr="005A2221">
              <w:rPr>
                <w:color w:val="000000" w:themeColor="text1"/>
                <w:sz w:val="20"/>
              </w:rPr>
              <w:t>Issued MARINA circulars covering rules on trade and operations:</w:t>
            </w:r>
          </w:p>
          <w:p w:rsidR="005A2221" w:rsidRPr="005A2221" w:rsidRDefault="005A2221" w:rsidP="005A2221">
            <w:pPr>
              <w:pStyle w:val="ListParagraph"/>
              <w:numPr>
                <w:ilvl w:val="0"/>
                <w:numId w:val="45"/>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Omnibus Rules on the Issuance of Special Permit for the Temporary Utilization of Philippine-registered ships whether trading overseas or domestic (Circular No. 2013-04);</w:t>
            </w:r>
          </w:p>
          <w:p w:rsidR="005A2221" w:rsidRPr="005A2221" w:rsidRDefault="005A2221" w:rsidP="005A2221">
            <w:pPr>
              <w:pStyle w:val="ListParagraph"/>
              <w:numPr>
                <w:ilvl w:val="0"/>
                <w:numId w:val="45"/>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Revised Rules for the Registration, Documentation and Deletion of Ships operating in Philippine Waters (Circular No. 2013-02);</w:t>
            </w:r>
          </w:p>
          <w:p w:rsidR="005A2221" w:rsidRPr="005A2221" w:rsidRDefault="005A2221" w:rsidP="005A2221">
            <w:pPr>
              <w:pStyle w:val="ListParagraph"/>
              <w:numPr>
                <w:ilvl w:val="0"/>
                <w:numId w:val="45"/>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Revised Minimum Safe Manning for Ships operating in Philippine Domestic Waters (Circular No. 2012-06);</w:t>
            </w:r>
          </w:p>
          <w:p w:rsidR="005A2221" w:rsidRPr="005A2221" w:rsidRDefault="005A2221" w:rsidP="005A2221">
            <w:pPr>
              <w:pStyle w:val="ListParagraph"/>
              <w:numPr>
                <w:ilvl w:val="0"/>
                <w:numId w:val="45"/>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 xml:space="preserve">Amended Rules on the Issuance and Maintenance of Continuous </w:t>
            </w:r>
            <w:r w:rsidRPr="005A2221">
              <w:rPr>
                <w:rFonts w:ascii="Times New Roman" w:hAnsi="Times New Roman"/>
                <w:color w:val="000000" w:themeColor="text1"/>
                <w:sz w:val="20"/>
                <w:szCs w:val="20"/>
              </w:rPr>
              <w:lastRenderedPageBreak/>
              <w:t>Synopsis Record for Philippine-registered ships engaged in international voyages (Circular No. 2012-02);</w:t>
            </w:r>
          </w:p>
          <w:p w:rsidR="007F4FCB" w:rsidRPr="005A2221" w:rsidRDefault="005A2221" w:rsidP="005A2221">
            <w:pPr>
              <w:pStyle w:val="ListParagraph"/>
              <w:numPr>
                <w:ilvl w:val="0"/>
                <w:numId w:val="45"/>
              </w:numPr>
              <w:jc w:val="both"/>
              <w:rPr>
                <w:rFonts w:ascii="Times New Roman" w:hAnsi="Times New Roman"/>
                <w:color w:val="000000" w:themeColor="text1"/>
                <w:sz w:val="20"/>
                <w:szCs w:val="20"/>
              </w:rPr>
            </w:pPr>
            <w:r w:rsidRPr="005A2221">
              <w:rPr>
                <w:rFonts w:ascii="Times New Roman" w:hAnsi="Times New Roman"/>
                <w:color w:val="000000" w:themeColor="text1"/>
                <w:sz w:val="20"/>
                <w:szCs w:val="20"/>
              </w:rPr>
              <w:t xml:space="preserve">Amending MC No. 182 on the Rules in the </w:t>
            </w:r>
            <w:proofErr w:type="spellStart"/>
            <w:r w:rsidRPr="005A2221">
              <w:rPr>
                <w:rFonts w:ascii="Times New Roman" w:hAnsi="Times New Roman"/>
                <w:color w:val="000000" w:themeColor="text1"/>
                <w:sz w:val="20"/>
                <w:szCs w:val="20"/>
              </w:rPr>
              <w:t>Aquisition</w:t>
            </w:r>
            <w:proofErr w:type="spellEnd"/>
            <w:r w:rsidRPr="005A2221">
              <w:rPr>
                <w:rFonts w:ascii="Times New Roman" w:hAnsi="Times New Roman"/>
                <w:color w:val="000000" w:themeColor="text1"/>
                <w:sz w:val="20"/>
                <w:szCs w:val="20"/>
              </w:rPr>
              <w:t xml:space="preserve"> of ships under Presidential Decree (PD) 760, as amended, specifically bond requirements (</w:t>
            </w:r>
            <w:r>
              <w:rPr>
                <w:rFonts w:ascii="Times New Roman" w:hAnsi="Times New Roman"/>
                <w:color w:val="000000" w:themeColor="text1"/>
                <w:sz w:val="20"/>
                <w:szCs w:val="20"/>
              </w:rPr>
              <w:t>C</w:t>
            </w:r>
            <w:r w:rsidRPr="005A2221">
              <w:rPr>
                <w:rFonts w:ascii="Times New Roman" w:hAnsi="Times New Roman"/>
                <w:color w:val="000000" w:themeColor="text1"/>
                <w:sz w:val="20"/>
                <w:szCs w:val="20"/>
              </w:rPr>
              <w:t>ircular No. 2012-01)</w:t>
            </w:r>
          </w:p>
        </w:tc>
        <w:tc>
          <w:tcPr>
            <w:tcW w:w="2050" w:type="pct"/>
          </w:tcPr>
          <w:p w:rsidR="007F4FCB" w:rsidRDefault="007F4FCB" w:rsidP="002F7095">
            <w:pPr>
              <w:jc w:val="both"/>
              <w:rPr>
                <w:sz w:val="20"/>
              </w:rPr>
            </w:pPr>
          </w:p>
        </w:tc>
      </w:tr>
      <w:tr w:rsidR="007333BE" w:rsidRPr="0008533B" w:rsidTr="00FA15C7">
        <w:tc>
          <w:tcPr>
            <w:tcW w:w="850" w:type="pct"/>
          </w:tcPr>
          <w:p w:rsidR="007333BE" w:rsidRPr="0008533B" w:rsidRDefault="007333BE" w:rsidP="00A74C6F">
            <w:pPr>
              <w:rPr>
                <w:i/>
                <w:color w:val="808080"/>
                <w:sz w:val="20"/>
              </w:rPr>
            </w:pPr>
            <w:r w:rsidRPr="0008533B">
              <w:rPr>
                <w:i/>
                <w:color w:val="808080"/>
                <w:sz w:val="20"/>
              </w:rPr>
              <w:lastRenderedPageBreak/>
              <w:t xml:space="preserve">Website for further information:  </w:t>
            </w:r>
          </w:p>
        </w:tc>
        <w:tc>
          <w:tcPr>
            <w:tcW w:w="2100" w:type="pct"/>
          </w:tcPr>
          <w:p w:rsidR="007333BE" w:rsidRDefault="008D4F45" w:rsidP="00A74C6F">
            <w:pPr>
              <w:rPr>
                <w:sz w:val="20"/>
              </w:rPr>
            </w:pPr>
            <w:hyperlink r:id="rId23" w:history="1">
              <w:r w:rsidR="007333BE" w:rsidRPr="007D2B68">
                <w:rPr>
                  <w:rStyle w:val="Hyperlink"/>
                  <w:sz w:val="20"/>
                </w:rPr>
                <w:t>www.marina.gov.ph</w:t>
              </w:r>
            </w:hyperlink>
            <w:r w:rsidR="007333BE">
              <w:rPr>
                <w:sz w:val="20"/>
              </w:rPr>
              <w:t xml:space="preserve"> – website of the Maritime Industry Authority</w:t>
            </w:r>
          </w:p>
          <w:p w:rsidR="007333BE" w:rsidRPr="002F7095" w:rsidRDefault="007333BE" w:rsidP="00A74C6F">
            <w:pPr>
              <w:rPr>
                <w:sz w:val="20"/>
              </w:rPr>
            </w:pPr>
          </w:p>
        </w:tc>
        <w:tc>
          <w:tcPr>
            <w:tcW w:w="2050" w:type="pct"/>
          </w:tcPr>
          <w:p w:rsidR="007333BE" w:rsidRPr="00E56F5B" w:rsidRDefault="007333BE" w:rsidP="00A74C6F">
            <w:pPr>
              <w:jc w:val="both"/>
              <w:rPr>
                <w:sz w:val="20"/>
              </w:rPr>
            </w:pPr>
          </w:p>
        </w:tc>
      </w:tr>
      <w:tr w:rsidR="007333BE" w:rsidRPr="0008533B" w:rsidTr="00FA15C7">
        <w:tc>
          <w:tcPr>
            <w:tcW w:w="850" w:type="pct"/>
          </w:tcPr>
          <w:p w:rsidR="007333BE" w:rsidRPr="0008533B" w:rsidRDefault="00DF47F6" w:rsidP="00AE3F6D">
            <w:pPr>
              <w:rPr>
                <w:b/>
                <w:i/>
                <w:sz w:val="20"/>
              </w:rPr>
            </w:pPr>
            <w:r w:rsidRPr="0008533B">
              <w:rPr>
                <w:i/>
                <w:color w:val="808080"/>
                <w:sz w:val="20"/>
              </w:rPr>
              <w:t>Contact point for further details:</w:t>
            </w:r>
          </w:p>
        </w:tc>
        <w:tc>
          <w:tcPr>
            <w:tcW w:w="2100" w:type="pct"/>
          </w:tcPr>
          <w:p w:rsidR="007333BE" w:rsidRDefault="00D268F3" w:rsidP="00035E6B">
            <w:pPr>
              <w:rPr>
                <w:sz w:val="20"/>
              </w:rPr>
            </w:pPr>
            <w:r>
              <w:rPr>
                <w:sz w:val="20"/>
              </w:rPr>
              <w:t>The Administrator</w:t>
            </w:r>
          </w:p>
          <w:p w:rsidR="00D268F3" w:rsidRDefault="00D268F3" w:rsidP="00035E6B">
            <w:pPr>
              <w:rPr>
                <w:sz w:val="20"/>
              </w:rPr>
            </w:pPr>
            <w:r>
              <w:rPr>
                <w:sz w:val="20"/>
              </w:rPr>
              <w:t>Maritime Industry Authority</w:t>
            </w:r>
          </w:p>
          <w:p w:rsidR="00D268F3" w:rsidRDefault="00D268F3" w:rsidP="00035E6B">
            <w:pPr>
              <w:rPr>
                <w:sz w:val="20"/>
              </w:rPr>
            </w:pPr>
            <w:r>
              <w:rPr>
                <w:sz w:val="20"/>
              </w:rPr>
              <w:t xml:space="preserve">984 Parkview Plaza, Taft Avenue corner </w:t>
            </w:r>
            <w:proofErr w:type="spellStart"/>
            <w:r>
              <w:rPr>
                <w:sz w:val="20"/>
              </w:rPr>
              <w:t>Kalaw</w:t>
            </w:r>
            <w:proofErr w:type="spellEnd"/>
            <w:r>
              <w:rPr>
                <w:sz w:val="20"/>
              </w:rPr>
              <w:t xml:space="preserve"> Street, Manila</w:t>
            </w:r>
          </w:p>
          <w:p w:rsidR="00D268F3" w:rsidRDefault="00D268F3" w:rsidP="00035E6B">
            <w:pPr>
              <w:rPr>
                <w:sz w:val="20"/>
              </w:rPr>
            </w:pPr>
            <w:r>
              <w:rPr>
                <w:sz w:val="20"/>
              </w:rPr>
              <w:t>Tel: (632) 523-9078, 526-0971, 524-2895</w:t>
            </w:r>
          </w:p>
          <w:p w:rsidR="00D268F3" w:rsidRDefault="00D268F3" w:rsidP="00035E6B">
            <w:pPr>
              <w:rPr>
                <w:sz w:val="20"/>
              </w:rPr>
            </w:pPr>
            <w:r>
              <w:rPr>
                <w:sz w:val="20"/>
              </w:rPr>
              <w:t xml:space="preserve">Email:  </w:t>
            </w:r>
            <w:hyperlink r:id="rId24" w:history="1">
              <w:r w:rsidRPr="00150CB2">
                <w:rPr>
                  <w:rStyle w:val="Hyperlink"/>
                  <w:sz w:val="20"/>
                </w:rPr>
                <w:t>oadm@marina.gov.ph</w:t>
              </w:r>
            </w:hyperlink>
            <w:r>
              <w:rPr>
                <w:sz w:val="20"/>
              </w:rPr>
              <w:t xml:space="preserve"> </w:t>
            </w:r>
          </w:p>
        </w:tc>
        <w:tc>
          <w:tcPr>
            <w:tcW w:w="2050" w:type="pct"/>
          </w:tcPr>
          <w:p w:rsidR="007333BE" w:rsidRDefault="007333BE" w:rsidP="002F7095">
            <w:pPr>
              <w:jc w:val="both"/>
              <w:rPr>
                <w:sz w:val="20"/>
              </w:rPr>
            </w:pPr>
          </w:p>
        </w:tc>
      </w:tr>
      <w:tr w:rsidR="007333BE" w:rsidRPr="0008533B" w:rsidTr="00FA15C7">
        <w:tc>
          <w:tcPr>
            <w:tcW w:w="850" w:type="pct"/>
          </w:tcPr>
          <w:p w:rsidR="007333BE" w:rsidRPr="0008533B" w:rsidRDefault="007333BE" w:rsidP="00AE3F6D">
            <w:pPr>
              <w:rPr>
                <w:b/>
                <w:i/>
                <w:sz w:val="20"/>
              </w:rPr>
            </w:pPr>
            <w:r w:rsidRPr="0008533B">
              <w:rPr>
                <w:b/>
                <w:i/>
                <w:sz w:val="20"/>
              </w:rPr>
              <w:t>Services</w:t>
            </w:r>
          </w:p>
          <w:p w:rsidR="007333BE" w:rsidRDefault="007333BE" w:rsidP="00AE3F6D">
            <w:pPr>
              <w:rPr>
                <w:b/>
                <w:i/>
                <w:sz w:val="20"/>
              </w:rPr>
            </w:pPr>
          </w:p>
          <w:p w:rsidR="007333BE" w:rsidRPr="00035E6B" w:rsidRDefault="007333BE" w:rsidP="00AE3F6D">
            <w:pPr>
              <w:jc w:val="both"/>
              <w:rPr>
                <w:b/>
                <w:i/>
                <w:color w:val="000000" w:themeColor="text1"/>
                <w:sz w:val="20"/>
              </w:rPr>
            </w:pPr>
            <w:r w:rsidRPr="00035E6B">
              <w:rPr>
                <w:b/>
                <w:i/>
                <w:color w:val="000000" w:themeColor="text1"/>
                <w:sz w:val="20"/>
              </w:rPr>
              <w:t>Air Services</w:t>
            </w:r>
          </w:p>
          <w:p w:rsidR="007333BE" w:rsidRPr="0008533B" w:rsidRDefault="007333BE" w:rsidP="00AE3F6D">
            <w:pPr>
              <w:rPr>
                <w:b/>
                <w:i/>
                <w:sz w:val="20"/>
              </w:rPr>
            </w:pPr>
          </w:p>
        </w:tc>
        <w:tc>
          <w:tcPr>
            <w:tcW w:w="2100" w:type="pct"/>
          </w:tcPr>
          <w:p w:rsidR="007333BE" w:rsidRDefault="007333BE" w:rsidP="00836CCB">
            <w:pPr>
              <w:jc w:val="both"/>
              <w:rPr>
                <w:sz w:val="20"/>
              </w:rPr>
            </w:pPr>
            <w:r>
              <w:rPr>
                <w:sz w:val="20"/>
              </w:rPr>
              <w:t xml:space="preserve">Continued to enhance air services agreements to provide more and better connectivity, particularly in the ASEAN region. </w:t>
            </w:r>
          </w:p>
          <w:p w:rsidR="00E97973" w:rsidRDefault="00E97973" w:rsidP="00836CCB">
            <w:pPr>
              <w:jc w:val="both"/>
              <w:rPr>
                <w:sz w:val="20"/>
              </w:rPr>
            </w:pPr>
          </w:p>
          <w:p w:rsidR="00E97973" w:rsidRDefault="00E97973" w:rsidP="00836CCB">
            <w:pPr>
              <w:jc w:val="both"/>
              <w:rPr>
                <w:sz w:val="20"/>
              </w:rPr>
            </w:pPr>
            <w:r>
              <w:rPr>
                <w:sz w:val="20"/>
              </w:rPr>
              <w:t xml:space="preserve">Air consultation talks between the Philippines and a number of </w:t>
            </w:r>
            <w:r w:rsidR="005D5C60">
              <w:rPr>
                <w:sz w:val="20"/>
              </w:rPr>
              <w:t xml:space="preserve">APEC </w:t>
            </w:r>
            <w:r>
              <w:rPr>
                <w:sz w:val="20"/>
              </w:rPr>
              <w:t>economies (Australia, Japan, Korea, Thailand</w:t>
            </w:r>
            <w:proofErr w:type="gramStart"/>
            <w:r>
              <w:rPr>
                <w:sz w:val="20"/>
              </w:rPr>
              <w:t>)  and</w:t>
            </w:r>
            <w:proofErr w:type="gramEnd"/>
            <w:r>
              <w:rPr>
                <w:sz w:val="20"/>
              </w:rPr>
              <w:t xml:space="preserve"> other countries  resulted in increased capacity entitlements </w:t>
            </w:r>
            <w:r w:rsidR="00F95B77">
              <w:rPr>
                <w:sz w:val="20"/>
              </w:rPr>
              <w:t xml:space="preserve">on passenger and cargo services </w:t>
            </w:r>
            <w:r w:rsidR="005D5C60">
              <w:rPr>
                <w:sz w:val="20"/>
              </w:rPr>
              <w:t>for both parties.</w:t>
            </w:r>
          </w:p>
          <w:p w:rsidR="005D5C60" w:rsidRDefault="005D5C60" w:rsidP="00836CCB">
            <w:pPr>
              <w:jc w:val="both"/>
              <w:rPr>
                <w:sz w:val="20"/>
              </w:rPr>
            </w:pPr>
          </w:p>
          <w:p w:rsidR="005D5C60" w:rsidRPr="00E56F5B" w:rsidRDefault="005D5C60" w:rsidP="00836CCB">
            <w:pPr>
              <w:jc w:val="both"/>
              <w:rPr>
                <w:sz w:val="20"/>
              </w:rPr>
            </w:pPr>
            <w:r>
              <w:rPr>
                <w:sz w:val="20"/>
              </w:rPr>
              <w:t xml:space="preserve">Issued the Air Passenger Bill of Rights (a joint administrative order between the Department of Trade and Industry and Department of Transportation and Communications) to address passenger complaints on domestic and foreign airline </w:t>
            </w:r>
            <w:r w:rsidRPr="005D5C60">
              <w:rPr>
                <w:color w:val="000000" w:themeColor="text1"/>
                <w:sz w:val="20"/>
                <w:shd w:val="clear" w:color="auto" w:fill="FFFFFF"/>
              </w:rPr>
              <w:t>practices</w:t>
            </w:r>
            <w:r>
              <w:rPr>
                <w:color w:val="000000" w:themeColor="text1"/>
                <w:sz w:val="20"/>
                <w:shd w:val="clear" w:color="auto" w:fill="FFFFFF"/>
              </w:rPr>
              <w:t xml:space="preserve"> such as </w:t>
            </w:r>
            <w:r w:rsidRPr="005D5C60">
              <w:rPr>
                <w:color w:val="000000" w:themeColor="text1"/>
                <w:sz w:val="20"/>
                <w:shd w:val="clear" w:color="auto" w:fill="FFFFFF"/>
              </w:rPr>
              <w:t>overbooking, rebooking, ticket refunds, cancelled and delayed flights, lost luggage and misleading advertisements on fares</w:t>
            </w:r>
            <w:r w:rsidRPr="005D5C60">
              <w:rPr>
                <w:rStyle w:val="apple-converted-space"/>
                <w:color w:val="000000" w:themeColor="text1"/>
                <w:sz w:val="20"/>
                <w:shd w:val="clear" w:color="auto" w:fill="FFFFFF"/>
              </w:rPr>
              <w:t>.</w:t>
            </w:r>
            <w:r w:rsidRPr="005D5C60">
              <w:rPr>
                <w:color w:val="000000" w:themeColor="text1"/>
                <w:sz w:val="20"/>
              </w:rPr>
              <w:t xml:space="preserve"> </w:t>
            </w:r>
          </w:p>
        </w:tc>
        <w:tc>
          <w:tcPr>
            <w:tcW w:w="2050" w:type="pct"/>
          </w:tcPr>
          <w:p w:rsidR="007333BE" w:rsidRPr="00E56F5B" w:rsidRDefault="007333BE" w:rsidP="005D5C60">
            <w:pPr>
              <w:jc w:val="both"/>
              <w:rPr>
                <w:sz w:val="20"/>
              </w:rPr>
            </w:pPr>
            <w:r>
              <w:rPr>
                <w:sz w:val="20"/>
              </w:rPr>
              <w:t>Continue to enhance air services agreements to provide more and better connectivity</w:t>
            </w:r>
            <w:r w:rsidR="005D5C60">
              <w:rPr>
                <w:sz w:val="20"/>
              </w:rPr>
              <w:t>.</w:t>
            </w:r>
          </w:p>
        </w:tc>
      </w:tr>
      <w:tr w:rsidR="007333BE" w:rsidRPr="0008533B" w:rsidTr="00FA15C7">
        <w:tc>
          <w:tcPr>
            <w:tcW w:w="850" w:type="pct"/>
          </w:tcPr>
          <w:p w:rsidR="007333BE" w:rsidRPr="0008533B" w:rsidRDefault="007333BE" w:rsidP="00AE3F6D">
            <w:pPr>
              <w:rPr>
                <w:i/>
                <w:color w:val="808080"/>
                <w:sz w:val="20"/>
              </w:rPr>
            </w:pPr>
            <w:r w:rsidRPr="0008533B">
              <w:rPr>
                <w:i/>
                <w:color w:val="808080"/>
                <w:sz w:val="20"/>
              </w:rPr>
              <w:t xml:space="preserve">Website for further information:  </w:t>
            </w:r>
          </w:p>
        </w:tc>
        <w:tc>
          <w:tcPr>
            <w:tcW w:w="2100" w:type="pct"/>
          </w:tcPr>
          <w:p w:rsidR="007333BE" w:rsidRDefault="008D4F45" w:rsidP="002F7095">
            <w:pPr>
              <w:rPr>
                <w:sz w:val="20"/>
              </w:rPr>
            </w:pPr>
            <w:hyperlink r:id="rId25" w:history="1">
              <w:r w:rsidR="007333BE" w:rsidRPr="004812FD">
                <w:rPr>
                  <w:rStyle w:val="Hyperlink"/>
                  <w:sz w:val="20"/>
                </w:rPr>
                <w:t>http://cab.gov.ph</w:t>
              </w:r>
            </w:hyperlink>
          </w:p>
          <w:p w:rsidR="007333BE" w:rsidRPr="002F7095" w:rsidRDefault="007333BE" w:rsidP="002F7095">
            <w:pPr>
              <w:rPr>
                <w:sz w:val="20"/>
              </w:rPr>
            </w:pPr>
          </w:p>
        </w:tc>
        <w:tc>
          <w:tcPr>
            <w:tcW w:w="2050" w:type="pct"/>
          </w:tcPr>
          <w:p w:rsidR="007333BE" w:rsidRPr="00E56F5B" w:rsidRDefault="007333BE" w:rsidP="00481916">
            <w:pPr>
              <w:jc w:val="both"/>
              <w:rPr>
                <w:sz w:val="20"/>
              </w:rPr>
            </w:pPr>
          </w:p>
        </w:tc>
      </w:tr>
      <w:tr w:rsidR="007333BE" w:rsidRPr="0008533B" w:rsidTr="00FA15C7">
        <w:tc>
          <w:tcPr>
            <w:tcW w:w="850" w:type="pct"/>
          </w:tcPr>
          <w:p w:rsidR="007333BE" w:rsidRPr="0008533B" w:rsidRDefault="007333BE" w:rsidP="00AE3F6D">
            <w:pPr>
              <w:rPr>
                <w:i/>
                <w:color w:val="808080"/>
                <w:sz w:val="20"/>
              </w:rPr>
            </w:pPr>
            <w:r w:rsidRPr="0008533B">
              <w:rPr>
                <w:i/>
                <w:color w:val="808080"/>
                <w:sz w:val="20"/>
              </w:rPr>
              <w:t>Contact point for further details:</w:t>
            </w:r>
          </w:p>
        </w:tc>
        <w:tc>
          <w:tcPr>
            <w:tcW w:w="2100" w:type="pct"/>
          </w:tcPr>
          <w:p w:rsidR="007333BE" w:rsidRPr="004164BF" w:rsidRDefault="007333BE" w:rsidP="00035E6B">
            <w:pPr>
              <w:rPr>
                <w:noProof/>
                <w:sz w:val="20"/>
              </w:rPr>
            </w:pPr>
            <w:r w:rsidRPr="004164BF">
              <w:rPr>
                <w:noProof/>
                <w:sz w:val="20"/>
              </w:rPr>
              <w:t>The Executive Director</w:t>
            </w:r>
          </w:p>
          <w:p w:rsidR="007333BE" w:rsidRPr="004164BF" w:rsidRDefault="007333BE" w:rsidP="00035E6B">
            <w:pPr>
              <w:rPr>
                <w:noProof/>
                <w:sz w:val="20"/>
              </w:rPr>
            </w:pPr>
            <w:r w:rsidRPr="004164BF">
              <w:rPr>
                <w:noProof/>
                <w:sz w:val="20"/>
              </w:rPr>
              <w:t>Civil Aeronautics Board</w:t>
            </w:r>
          </w:p>
          <w:p w:rsidR="007333BE" w:rsidRPr="004164BF" w:rsidRDefault="007333BE" w:rsidP="00035E6B">
            <w:pPr>
              <w:rPr>
                <w:noProof/>
                <w:sz w:val="20"/>
              </w:rPr>
            </w:pPr>
            <w:r>
              <w:rPr>
                <w:noProof/>
                <w:sz w:val="20"/>
              </w:rPr>
              <w:t xml:space="preserve">CAB Building, </w:t>
            </w:r>
            <w:r w:rsidRPr="004164BF">
              <w:rPr>
                <w:noProof/>
                <w:sz w:val="20"/>
              </w:rPr>
              <w:t>Old MIA Road</w:t>
            </w:r>
            <w:r>
              <w:rPr>
                <w:noProof/>
                <w:sz w:val="20"/>
              </w:rPr>
              <w:t>, Pasay City</w:t>
            </w:r>
          </w:p>
          <w:p w:rsidR="007333BE" w:rsidRPr="004164BF" w:rsidRDefault="007333BE" w:rsidP="00035E6B">
            <w:pPr>
              <w:rPr>
                <w:noProof/>
                <w:sz w:val="20"/>
                <w:lang w:val="pt-BR"/>
              </w:rPr>
            </w:pPr>
            <w:r w:rsidRPr="004164BF">
              <w:rPr>
                <w:noProof/>
                <w:sz w:val="20"/>
                <w:lang w:val="pt-BR"/>
              </w:rPr>
              <w:t xml:space="preserve">Tel:  (632) 853-6761  </w:t>
            </w:r>
          </w:p>
          <w:p w:rsidR="007333BE" w:rsidRPr="004164BF" w:rsidRDefault="007333BE" w:rsidP="00035E6B">
            <w:pPr>
              <w:rPr>
                <w:noProof/>
                <w:sz w:val="20"/>
                <w:lang w:val="pt-BR"/>
              </w:rPr>
            </w:pPr>
            <w:r w:rsidRPr="004164BF">
              <w:rPr>
                <w:noProof/>
                <w:sz w:val="20"/>
                <w:lang w:val="pt-BR"/>
              </w:rPr>
              <w:t>Fax: (632) 833-6911</w:t>
            </w:r>
          </w:p>
          <w:p w:rsidR="007333BE" w:rsidRPr="002F7095" w:rsidRDefault="007333BE" w:rsidP="00035E6B">
            <w:pPr>
              <w:rPr>
                <w:sz w:val="20"/>
                <w:lang w:val="pt-BR"/>
              </w:rPr>
            </w:pPr>
            <w:r w:rsidRPr="004164BF">
              <w:rPr>
                <w:noProof/>
                <w:sz w:val="20"/>
                <w:lang w:val="pt-BR"/>
              </w:rPr>
              <w:t xml:space="preserve">E-mail:  </w:t>
            </w:r>
            <w:hyperlink r:id="rId26" w:history="1">
              <w:r w:rsidRPr="002F7095">
                <w:rPr>
                  <w:rStyle w:val="Hyperlink"/>
                </w:rPr>
                <w:t>cab_eprd@yahoo.com</w:t>
              </w:r>
            </w:hyperlink>
            <w:r w:rsidRPr="004164BF">
              <w:rPr>
                <w:sz w:val="20"/>
                <w:lang w:val="pt-BR"/>
              </w:rPr>
              <w:t xml:space="preserve"> </w:t>
            </w:r>
            <w:r>
              <w:rPr>
                <w:sz w:val="20"/>
                <w:lang w:val="pt-BR"/>
              </w:rPr>
              <w:t>; info@cab.gov.ph</w:t>
            </w:r>
          </w:p>
        </w:tc>
        <w:tc>
          <w:tcPr>
            <w:tcW w:w="2050" w:type="pct"/>
          </w:tcPr>
          <w:p w:rsidR="007333BE" w:rsidRPr="002F7095" w:rsidRDefault="007333BE" w:rsidP="002F7095"/>
        </w:tc>
      </w:tr>
      <w:tr w:rsidR="008043D0" w:rsidRPr="0008533B" w:rsidTr="00FA15C7">
        <w:tc>
          <w:tcPr>
            <w:tcW w:w="850" w:type="pct"/>
          </w:tcPr>
          <w:p w:rsidR="008043D0" w:rsidRPr="0008533B" w:rsidRDefault="008043D0">
            <w:pPr>
              <w:rPr>
                <w:b/>
                <w:i/>
                <w:sz w:val="20"/>
              </w:rPr>
            </w:pPr>
            <w:bookmarkStart w:id="11" w:name="Row4"/>
            <w:r w:rsidRPr="0008533B">
              <w:rPr>
                <w:b/>
                <w:i/>
                <w:sz w:val="20"/>
              </w:rPr>
              <w:lastRenderedPageBreak/>
              <w:t>Investment</w:t>
            </w:r>
            <w:bookmarkEnd w:id="11"/>
          </w:p>
          <w:p w:rsidR="008043D0" w:rsidRPr="0008533B" w:rsidRDefault="008043D0">
            <w:pPr>
              <w:rPr>
                <w:b/>
                <w:i/>
                <w:sz w:val="20"/>
              </w:rPr>
            </w:pPr>
          </w:p>
        </w:tc>
        <w:tc>
          <w:tcPr>
            <w:tcW w:w="2100" w:type="pct"/>
          </w:tcPr>
          <w:p w:rsidR="00B12943" w:rsidRPr="00B12943" w:rsidRDefault="008043D0" w:rsidP="00B12943">
            <w:pPr>
              <w:pStyle w:val="BodyText"/>
              <w:rPr>
                <w:color w:val="000000" w:themeColor="text1"/>
              </w:rPr>
            </w:pPr>
            <w:bookmarkStart w:id="12" w:name="Cell07"/>
            <w:bookmarkEnd w:id="12"/>
            <w:r w:rsidRPr="00B12943">
              <w:rPr>
                <w:color w:val="000000" w:themeColor="text1"/>
              </w:rPr>
              <w:t>Implemented the 2011</w:t>
            </w:r>
            <w:r w:rsidR="00B12943" w:rsidRPr="00B12943">
              <w:rPr>
                <w:color w:val="000000" w:themeColor="text1"/>
              </w:rPr>
              <w:t xml:space="preserve"> and </w:t>
            </w:r>
            <w:r w:rsidRPr="00B12943">
              <w:rPr>
                <w:color w:val="000000" w:themeColor="text1"/>
              </w:rPr>
              <w:t>2012 Investment Priorities Plans (IPPs).</w:t>
            </w:r>
            <w:r w:rsidR="00B12943">
              <w:rPr>
                <w:color w:val="000000" w:themeColor="text1"/>
              </w:rPr>
              <w:t xml:space="preserve"> </w:t>
            </w:r>
            <w:r w:rsidR="00B12943" w:rsidRPr="00B12943">
              <w:t xml:space="preserve">The IPP is the blueprint for investment promotions and a platform to attract strategic investments. The 2012 list includes agriculture, agri-business and fisheries; creative industries or knowledge-based services; shipbuilding; mass housing; iron and steel; energy; infrastructure; research and development; green projects; motor vehicles; strategic projects; hospital and medical services; and disaster prevention, mitigation and recovery projects. </w:t>
            </w:r>
          </w:p>
          <w:p w:rsidR="00B12943" w:rsidRPr="00B12943" w:rsidRDefault="00B12943" w:rsidP="00B12943">
            <w:pPr>
              <w:pStyle w:val="BodyText"/>
              <w:rPr>
                <w:color w:val="000000" w:themeColor="text1"/>
              </w:rPr>
            </w:pPr>
          </w:p>
          <w:p w:rsidR="00B12943" w:rsidRPr="00B12943" w:rsidRDefault="00B12943" w:rsidP="00B12943">
            <w:pPr>
              <w:pStyle w:val="BodyText"/>
              <w:rPr>
                <w:color w:val="000000" w:themeColor="text1"/>
              </w:rPr>
            </w:pPr>
            <w:r w:rsidRPr="00B12943">
              <w:rPr>
                <w:color w:val="000000" w:themeColor="text1"/>
              </w:rPr>
              <w:t>Approved the 2013 Investment Priorities Plan.</w:t>
            </w:r>
          </w:p>
          <w:p w:rsidR="008043D0" w:rsidRPr="00B12943" w:rsidRDefault="008043D0" w:rsidP="00B12943">
            <w:pPr>
              <w:pStyle w:val="BodyText"/>
              <w:rPr>
                <w:color w:val="000000" w:themeColor="text1"/>
              </w:rPr>
            </w:pPr>
          </w:p>
          <w:p w:rsidR="008043D0" w:rsidRPr="00B12943" w:rsidRDefault="008043D0" w:rsidP="00B12943">
            <w:pPr>
              <w:pStyle w:val="BodyText"/>
              <w:rPr>
                <w:color w:val="000000" w:themeColor="text1"/>
              </w:rPr>
            </w:pPr>
            <w:r w:rsidRPr="00B12943">
              <w:rPr>
                <w:color w:val="000000" w:themeColor="text1"/>
              </w:rPr>
              <w:t>Issued Administrative Order NO. 38 creating an inter-agency task force headed by the Department of Trade and Industry Secretary responsible for the implementation of the Philippines’ “Game Plan for Competitiveness”.</w:t>
            </w:r>
          </w:p>
          <w:p w:rsidR="008043D0" w:rsidRPr="00B12943" w:rsidRDefault="008043D0" w:rsidP="00B12943">
            <w:pPr>
              <w:pStyle w:val="BodyText"/>
              <w:rPr>
                <w:color w:val="000000" w:themeColor="text1"/>
              </w:rPr>
            </w:pPr>
          </w:p>
          <w:p w:rsidR="008043D0" w:rsidRPr="00B12943" w:rsidRDefault="008043D0" w:rsidP="00B12943">
            <w:pPr>
              <w:pStyle w:val="BodyText"/>
              <w:rPr>
                <w:color w:val="000000" w:themeColor="text1"/>
              </w:rPr>
            </w:pPr>
            <w:r w:rsidRPr="00B12943">
              <w:rPr>
                <w:color w:val="000000" w:themeColor="text1"/>
              </w:rPr>
              <w:t>Created the Investments Servicing Group (ISG) within the Board of Investments to provide investor aftercare services. Under the ISG are the Business One-Stop shop Action Center (BOSSAC) and the Investments Assistance and Services Department (IASD)</w:t>
            </w:r>
          </w:p>
          <w:p w:rsidR="008043D0" w:rsidRPr="00B12943" w:rsidRDefault="008043D0" w:rsidP="00B12943">
            <w:pPr>
              <w:pStyle w:val="BodyText"/>
              <w:rPr>
                <w:color w:val="000000" w:themeColor="text1"/>
              </w:rPr>
            </w:pPr>
          </w:p>
        </w:tc>
        <w:tc>
          <w:tcPr>
            <w:tcW w:w="2050" w:type="pct"/>
          </w:tcPr>
          <w:p w:rsidR="008043D0" w:rsidRPr="008043D0" w:rsidRDefault="008043D0" w:rsidP="00A74C6F">
            <w:pPr>
              <w:jc w:val="both"/>
              <w:rPr>
                <w:color w:val="000000" w:themeColor="text1"/>
                <w:sz w:val="20"/>
              </w:rPr>
            </w:pPr>
            <w:bookmarkStart w:id="13" w:name="Cell08"/>
            <w:bookmarkEnd w:id="13"/>
            <w:r w:rsidRPr="008043D0">
              <w:rPr>
                <w:color w:val="000000" w:themeColor="text1"/>
                <w:sz w:val="20"/>
              </w:rPr>
              <w:t>The Foreign Investment Negative List (FINL) is currently undergoing review to possible allow more foreign equity participation</w:t>
            </w: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100" w:type="pct"/>
          </w:tcPr>
          <w:p w:rsidR="007333BE" w:rsidRPr="00976518" w:rsidRDefault="008D4F45" w:rsidP="009E28DA">
            <w:pPr>
              <w:pStyle w:val="Heading9"/>
              <w:rPr>
                <w:rFonts w:ascii="Times New Roman" w:hAnsi="Times New Roman"/>
                <w:b w:val="0"/>
                <w:i w:val="0"/>
              </w:rPr>
            </w:pPr>
            <w:hyperlink r:id="rId27" w:history="1">
              <w:r w:rsidR="007333BE" w:rsidRPr="00210DC9">
                <w:rPr>
                  <w:rStyle w:val="Hyperlink"/>
                  <w:rFonts w:ascii="Times New Roman" w:hAnsi="Times New Roman"/>
                  <w:b w:val="0"/>
                  <w:i w:val="0"/>
                </w:rPr>
                <w:t>www.boi.gov.ph</w:t>
              </w:r>
            </w:hyperlink>
            <w:r w:rsidR="007333BE">
              <w:rPr>
                <w:rFonts w:ascii="Times New Roman" w:hAnsi="Times New Roman"/>
                <w:b w:val="0"/>
                <w:i w:val="0"/>
              </w:rPr>
              <w:t xml:space="preserve"> </w:t>
            </w:r>
          </w:p>
        </w:tc>
        <w:tc>
          <w:tcPr>
            <w:tcW w:w="2050" w:type="pct"/>
          </w:tcPr>
          <w:p w:rsidR="007333BE" w:rsidRPr="0008533B" w:rsidRDefault="007333BE" w:rsidP="009E28DA">
            <w:pPr>
              <w:pStyle w:val="Heading9"/>
              <w:rPr>
                <w:rFonts w:ascii="Times New Roman" w:hAnsi="Times New Roman"/>
                <w:b w:val="0"/>
              </w:rPr>
            </w:pPr>
          </w:p>
        </w:tc>
      </w:tr>
      <w:tr w:rsidR="008043D0" w:rsidRPr="0008533B" w:rsidTr="00FA15C7">
        <w:tc>
          <w:tcPr>
            <w:tcW w:w="850" w:type="pct"/>
          </w:tcPr>
          <w:p w:rsidR="008043D0" w:rsidRPr="0008533B" w:rsidRDefault="008043D0"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8043D0" w:rsidRPr="008043D0" w:rsidRDefault="008043D0" w:rsidP="00A74C6F">
            <w:pPr>
              <w:rPr>
                <w:color w:val="000000" w:themeColor="text1"/>
                <w:sz w:val="20"/>
              </w:rPr>
            </w:pPr>
            <w:r w:rsidRPr="008043D0">
              <w:rPr>
                <w:color w:val="000000" w:themeColor="text1"/>
                <w:sz w:val="20"/>
              </w:rPr>
              <w:t>Office of the Executive Director</w:t>
            </w:r>
          </w:p>
          <w:p w:rsidR="008043D0" w:rsidRPr="008043D0" w:rsidRDefault="008043D0" w:rsidP="00A74C6F">
            <w:pPr>
              <w:rPr>
                <w:color w:val="000000" w:themeColor="text1"/>
                <w:sz w:val="20"/>
              </w:rPr>
            </w:pPr>
            <w:r w:rsidRPr="008043D0">
              <w:rPr>
                <w:color w:val="000000" w:themeColor="text1"/>
                <w:sz w:val="20"/>
              </w:rPr>
              <w:t>Industry Development Group</w:t>
            </w:r>
          </w:p>
          <w:p w:rsidR="008043D0" w:rsidRPr="008043D0" w:rsidRDefault="008043D0" w:rsidP="00A74C6F">
            <w:pPr>
              <w:rPr>
                <w:color w:val="000000" w:themeColor="text1"/>
                <w:sz w:val="20"/>
              </w:rPr>
            </w:pPr>
            <w:r w:rsidRPr="008043D0">
              <w:rPr>
                <w:color w:val="000000" w:themeColor="text1"/>
                <w:sz w:val="20"/>
              </w:rPr>
              <w:t>Board of Investments</w:t>
            </w:r>
          </w:p>
          <w:p w:rsidR="008043D0" w:rsidRPr="008043D0" w:rsidRDefault="008043D0" w:rsidP="00A74C6F">
            <w:pPr>
              <w:rPr>
                <w:color w:val="000000" w:themeColor="text1"/>
                <w:sz w:val="20"/>
              </w:rPr>
            </w:pPr>
            <w:r w:rsidRPr="008043D0">
              <w:rPr>
                <w:color w:val="000000" w:themeColor="text1"/>
                <w:sz w:val="20"/>
              </w:rPr>
              <w:t xml:space="preserve"> Industry &amp; Investments Building</w:t>
            </w:r>
          </w:p>
          <w:p w:rsidR="008043D0" w:rsidRPr="008043D0" w:rsidRDefault="008043D0" w:rsidP="00A74C6F">
            <w:pPr>
              <w:rPr>
                <w:color w:val="000000" w:themeColor="text1"/>
                <w:sz w:val="20"/>
              </w:rPr>
            </w:pPr>
            <w:r w:rsidRPr="008043D0">
              <w:rPr>
                <w:color w:val="000000" w:themeColor="text1"/>
                <w:sz w:val="20"/>
              </w:rPr>
              <w:t xml:space="preserve"> 385 Sen. Gil J. </w:t>
            </w:r>
            <w:proofErr w:type="spellStart"/>
            <w:r w:rsidRPr="008043D0">
              <w:rPr>
                <w:color w:val="000000" w:themeColor="text1"/>
                <w:sz w:val="20"/>
              </w:rPr>
              <w:t>Puyat</w:t>
            </w:r>
            <w:proofErr w:type="spellEnd"/>
            <w:r w:rsidRPr="008043D0">
              <w:rPr>
                <w:color w:val="000000" w:themeColor="text1"/>
                <w:sz w:val="20"/>
              </w:rPr>
              <w:t xml:space="preserve"> Avenue </w:t>
            </w:r>
            <w:r w:rsidRPr="008043D0">
              <w:rPr>
                <w:color w:val="000000" w:themeColor="text1"/>
                <w:sz w:val="20"/>
              </w:rPr>
              <w:br/>
              <w:t>Makati City</w:t>
            </w:r>
          </w:p>
          <w:p w:rsidR="008043D0" w:rsidRPr="008043D0" w:rsidRDefault="008043D0" w:rsidP="00A74C6F">
            <w:pPr>
              <w:rPr>
                <w:color w:val="000000" w:themeColor="text1"/>
                <w:sz w:val="20"/>
              </w:rPr>
            </w:pPr>
            <w:r w:rsidRPr="008043D0">
              <w:rPr>
                <w:color w:val="000000" w:themeColor="text1"/>
                <w:sz w:val="20"/>
              </w:rPr>
              <w:t>Tel: +632.896-9239</w:t>
            </w:r>
          </w:p>
          <w:p w:rsidR="008043D0" w:rsidRPr="008043D0" w:rsidRDefault="008043D0" w:rsidP="00A74C6F">
            <w:pPr>
              <w:rPr>
                <w:color w:val="000000" w:themeColor="text1"/>
                <w:sz w:val="20"/>
              </w:rPr>
            </w:pPr>
            <w:r w:rsidRPr="008043D0">
              <w:rPr>
                <w:color w:val="000000" w:themeColor="text1"/>
                <w:sz w:val="20"/>
              </w:rPr>
              <w:t>Fax: +632.895-3701</w:t>
            </w:r>
          </w:p>
          <w:p w:rsidR="008043D0" w:rsidRPr="008043D0" w:rsidRDefault="008043D0" w:rsidP="00A74C6F">
            <w:pPr>
              <w:rPr>
                <w:color w:val="000000" w:themeColor="text1"/>
                <w:sz w:val="20"/>
              </w:rPr>
            </w:pPr>
            <w:r w:rsidRPr="008043D0">
              <w:rPr>
                <w:color w:val="000000" w:themeColor="text1"/>
                <w:sz w:val="20"/>
              </w:rPr>
              <w:t>Email: mchdichosa@boi.gov.ph</w:t>
            </w:r>
          </w:p>
          <w:p w:rsidR="008043D0" w:rsidRPr="008043D0" w:rsidRDefault="008043D0" w:rsidP="00A74C6F">
            <w:pPr>
              <w:rPr>
                <w:color w:val="000000" w:themeColor="text1"/>
                <w:sz w:val="20"/>
              </w:rPr>
            </w:pPr>
          </w:p>
        </w:tc>
        <w:tc>
          <w:tcPr>
            <w:tcW w:w="2050" w:type="pct"/>
          </w:tcPr>
          <w:p w:rsidR="008043D0" w:rsidRPr="0008533B" w:rsidRDefault="008043D0" w:rsidP="009E28DA">
            <w:pPr>
              <w:pStyle w:val="Heading9"/>
              <w:rPr>
                <w:rFonts w:ascii="Times New Roman" w:hAnsi="Times New Roman"/>
                <w:b w:val="0"/>
              </w:rPr>
            </w:pPr>
          </w:p>
        </w:tc>
      </w:tr>
      <w:tr w:rsidR="00435BD6" w:rsidRPr="0008533B" w:rsidTr="00FA15C7">
        <w:tc>
          <w:tcPr>
            <w:tcW w:w="850" w:type="pct"/>
          </w:tcPr>
          <w:p w:rsidR="00435BD6" w:rsidRPr="002D5BE3" w:rsidRDefault="00435BD6" w:rsidP="004A2C04">
            <w:pPr>
              <w:rPr>
                <w:rFonts w:asciiTheme="majorHAnsi" w:hAnsiTheme="majorHAnsi"/>
                <w:b/>
                <w:i/>
                <w:sz w:val="20"/>
              </w:rPr>
            </w:pPr>
            <w:bookmarkStart w:id="14" w:name="Row5"/>
            <w:r w:rsidRPr="002D5BE3">
              <w:rPr>
                <w:rFonts w:asciiTheme="majorHAnsi" w:hAnsiTheme="majorHAnsi"/>
                <w:b/>
                <w:i/>
                <w:sz w:val="20"/>
              </w:rPr>
              <w:t>Standards and Conformance</w:t>
            </w:r>
            <w:bookmarkEnd w:id="14"/>
          </w:p>
          <w:p w:rsidR="00435BD6" w:rsidRPr="002D5BE3" w:rsidRDefault="00435BD6" w:rsidP="004A2C04">
            <w:pPr>
              <w:rPr>
                <w:rFonts w:asciiTheme="majorHAnsi" w:hAnsiTheme="majorHAnsi"/>
                <w:b/>
                <w:i/>
                <w:sz w:val="20"/>
              </w:rPr>
            </w:pPr>
          </w:p>
        </w:tc>
        <w:tc>
          <w:tcPr>
            <w:tcW w:w="2100" w:type="pct"/>
          </w:tcPr>
          <w:p w:rsidR="00435BD6" w:rsidRPr="002D5BE3" w:rsidRDefault="00435BD6" w:rsidP="004A2C04">
            <w:pPr>
              <w:jc w:val="both"/>
              <w:rPr>
                <w:rFonts w:asciiTheme="majorHAnsi" w:hAnsiTheme="majorHAnsi"/>
                <w:sz w:val="20"/>
              </w:rPr>
            </w:pPr>
            <w:bookmarkStart w:id="15" w:name="Cell09"/>
            <w:bookmarkEnd w:id="15"/>
            <w:r w:rsidRPr="002D5BE3">
              <w:rPr>
                <w:rFonts w:asciiTheme="majorHAnsi" w:hAnsiTheme="majorHAnsi"/>
                <w:sz w:val="20"/>
              </w:rPr>
              <w:lastRenderedPageBreak/>
              <w:t xml:space="preserve">A total of 8,469 Philippine National Standards (PNS) were developed where 79.17% or 6, 705 are aligned with relevant international </w:t>
            </w:r>
            <w:r w:rsidRPr="002D5BE3">
              <w:rPr>
                <w:rFonts w:asciiTheme="majorHAnsi" w:hAnsiTheme="majorHAnsi"/>
                <w:sz w:val="20"/>
              </w:rPr>
              <w:lastRenderedPageBreak/>
              <w:t xml:space="preserve">standards </w:t>
            </w:r>
          </w:p>
          <w:p w:rsidR="00435BD6" w:rsidRPr="002D5BE3" w:rsidRDefault="00435BD6" w:rsidP="004A2C04">
            <w:pPr>
              <w:jc w:val="both"/>
              <w:rPr>
                <w:rFonts w:asciiTheme="majorHAnsi" w:hAnsiTheme="majorHAnsi"/>
                <w:sz w:val="20"/>
              </w:rPr>
            </w:pPr>
          </w:p>
          <w:p w:rsidR="00435BD6" w:rsidRPr="005930FC" w:rsidRDefault="00435BD6" w:rsidP="004A2C04">
            <w:pPr>
              <w:jc w:val="both"/>
              <w:rPr>
                <w:rFonts w:asciiTheme="majorHAnsi" w:hAnsiTheme="majorHAnsi"/>
                <w:color w:val="000000" w:themeColor="text1"/>
                <w:sz w:val="20"/>
              </w:rPr>
            </w:pPr>
            <w:r>
              <w:rPr>
                <w:rFonts w:asciiTheme="majorHAnsi" w:hAnsiTheme="majorHAnsi"/>
                <w:color w:val="000000" w:themeColor="text1"/>
                <w:sz w:val="20"/>
              </w:rPr>
              <w:t>From</w:t>
            </w:r>
            <w:r w:rsidRPr="005930FC">
              <w:rPr>
                <w:rFonts w:asciiTheme="majorHAnsi" w:hAnsiTheme="majorHAnsi"/>
                <w:color w:val="000000" w:themeColor="text1"/>
                <w:sz w:val="20"/>
              </w:rPr>
              <w:t xml:space="preserve"> November 2011 to November 2013, aligned 782 Philippine National Standards (PNS) with international standards.  </w:t>
            </w:r>
          </w:p>
          <w:p w:rsidR="00435BD6" w:rsidRPr="002D5BE3" w:rsidRDefault="00435BD6" w:rsidP="004A2C04">
            <w:pPr>
              <w:ind w:left="432"/>
              <w:jc w:val="both"/>
              <w:rPr>
                <w:rFonts w:asciiTheme="majorHAnsi" w:hAnsiTheme="majorHAnsi"/>
                <w:sz w:val="20"/>
              </w:rPr>
            </w:pPr>
          </w:p>
          <w:p w:rsidR="00435BD6" w:rsidRPr="002D5BE3" w:rsidRDefault="00435BD6" w:rsidP="004A2C04">
            <w:pPr>
              <w:jc w:val="both"/>
              <w:rPr>
                <w:rFonts w:asciiTheme="majorHAnsi" w:hAnsiTheme="majorHAnsi"/>
                <w:sz w:val="20"/>
              </w:rPr>
            </w:pPr>
            <w:r w:rsidRPr="002D5BE3">
              <w:rPr>
                <w:rFonts w:asciiTheme="majorHAnsi" w:hAnsiTheme="majorHAnsi"/>
                <w:sz w:val="20"/>
              </w:rPr>
              <w:t>Participated in international standardization activities:</w:t>
            </w:r>
          </w:p>
          <w:p w:rsidR="00435BD6" w:rsidRDefault="00435BD6" w:rsidP="00435BD6">
            <w:pPr>
              <w:pStyle w:val="ListParagraph"/>
              <w:numPr>
                <w:ilvl w:val="0"/>
                <w:numId w:val="47"/>
              </w:numPr>
              <w:jc w:val="both"/>
              <w:rPr>
                <w:rFonts w:asciiTheme="majorHAnsi" w:hAnsiTheme="majorHAnsi"/>
                <w:sz w:val="20"/>
              </w:rPr>
            </w:pPr>
            <w:r w:rsidRPr="005930FC">
              <w:rPr>
                <w:rFonts w:asciiTheme="majorHAnsi" w:hAnsiTheme="majorHAnsi"/>
                <w:sz w:val="20"/>
              </w:rPr>
              <w:t>A participating (P) member to 28 ISO Technical Committees (TCs) and 29 Sub-committees (SCs), and observer (O) to 45 ISO TCs and 17 SCs;</w:t>
            </w:r>
          </w:p>
          <w:p w:rsidR="00435BD6" w:rsidRDefault="00435BD6" w:rsidP="00435BD6">
            <w:pPr>
              <w:pStyle w:val="ListParagraph"/>
              <w:numPr>
                <w:ilvl w:val="0"/>
                <w:numId w:val="47"/>
              </w:numPr>
              <w:jc w:val="both"/>
              <w:rPr>
                <w:rFonts w:asciiTheme="majorHAnsi" w:hAnsiTheme="majorHAnsi"/>
                <w:sz w:val="20"/>
              </w:rPr>
            </w:pPr>
            <w:r w:rsidRPr="005930FC">
              <w:rPr>
                <w:rFonts w:asciiTheme="majorHAnsi" w:hAnsiTheme="majorHAnsi"/>
                <w:sz w:val="20"/>
              </w:rPr>
              <w:t>For IEC, a participating member (P) to 3 TCs/SCs and Observer to 5 TCs;</w:t>
            </w:r>
          </w:p>
          <w:p w:rsidR="00435BD6" w:rsidRPr="005930FC" w:rsidRDefault="00435BD6" w:rsidP="00435BD6">
            <w:pPr>
              <w:pStyle w:val="ListParagraph"/>
              <w:numPr>
                <w:ilvl w:val="0"/>
                <w:numId w:val="47"/>
              </w:numPr>
              <w:jc w:val="both"/>
              <w:rPr>
                <w:rFonts w:asciiTheme="majorHAnsi" w:hAnsiTheme="majorHAnsi"/>
                <w:sz w:val="20"/>
              </w:rPr>
            </w:pPr>
            <w:r w:rsidRPr="005930FC">
              <w:rPr>
                <w:rFonts w:asciiTheme="majorHAnsi" w:hAnsiTheme="majorHAnsi"/>
                <w:color w:val="000000" w:themeColor="text1"/>
                <w:sz w:val="20"/>
              </w:rPr>
              <w:t xml:space="preserve">For Codex </w:t>
            </w:r>
            <w:proofErr w:type="spellStart"/>
            <w:r w:rsidRPr="005930FC">
              <w:rPr>
                <w:rFonts w:asciiTheme="majorHAnsi" w:hAnsiTheme="majorHAnsi"/>
                <w:color w:val="000000" w:themeColor="text1"/>
                <w:sz w:val="20"/>
              </w:rPr>
              <w:t>Alimentarius</w:t>
            </w:r>
            <w:proofErr w:type="spellEnd"/>
            <w:r w:rsidRPr="005930FC">
              <w:rPr>
                <w:rFonts w:asciiTheme="majorHAnsi" w:hAnsiTheme="majorHAnsi"/>
                <w:color w:val="000000" w:themeColor="text1"/>
                <w:sz w:val="20"/>
              </w:rPr>
              <w:t>, the National Codex Organization (NCO) has 17 Sub-committees (SCs) and Task Forces (TFs) and a Regional Coordinating Committee)</w:t>
            </w:r>
          </w:p>
          <w:p w:rsidR="00435BD6" w:rsidRPr="005930FC" w:rsidRDefault="00435BD6" w:rsidP="00435BD6">
            <w:pPr>
              <w:pStyle w:val="ListParagraph"/>
              <w:numPr>
                <w:ilvl w:val="0"/>
                <w:numId w:val="47"/>
              </w:numPr>
              <w:jc w:val="both"/>
              <w:rPr>
                <w:rFonts w:asciiTheme="majorHAnsi" w:hAnsiTheme="majorHAnsi"/>
                <w:sz w:val="20"/>
              </w:rPr>
            </w:pPr>
            <w:r w:rsidRPr="005930FC">
              <w:rPr>
                <w:rFonts w:asciiTheme="majorHAnsi" w:hAnsiTheme="majorHAnsi"/>
                <w:sz w:val="20"/>
              </w:rPr>
              <w:t>Signatory member to APLAC/ILAC MRA</w:t>
            </w:r>
          </w:p>
          <w:p w:rsidR="00435BD6" w:rsidRPr="002D5BE3" w:rsidRDefault="00435BD6" w:rsidP="004A2C04">
            <w:pPr>
              <w:jc w:val="both"/>
              <w:rPr>
                <w:rFonts w:asciiTheme="majorHAnsi" w:hAnsiTheme="majorHAnsi"/>
                <w:sz w:val="20"/>
              </w:rPr>
            </w:pPr>
          </w:p>
          <w:p w:rsidR="00435BD6" w:rsidRPr="002D5BE3" w:rsidRDefault="00435BD6" w:rsidP="004A2C04">
            <w:pPr>
              <w:jc w:val="both"/>
              <w:rPr>
                <w:rFonts w:asciiTheme="majorHAnsi" w:hAnsiTheme="majorHAnsi"/>
                <w:sz w:val="20"/>
              </w:rPr>
            </w:pPr>
            <w:r w:rsidRPr="002D5BE3">
              <w:rPr>
                <w:rFonts w:asciiTheme="majorHAnsi" w:hAnsiTheme="majorHAnsi"/>
                <w:sz w:val="20"/>
              </w:rPr>
              <w:t>Implements a total of 8 accreditation schemes:</w:t>
            </w:r>
          </w:p>
          <w:p w:rsidR="00435BD6" w:rsidRPr="005930FC"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eastAsia="Times New Roman" w:hAnsiTheme="majorHAnsi"/>
                <w:iCs/>
                <w:sz w:val="20"/>
                <w:szCs w:val="20"/>
                <w:lang w:val="en-PH" w:eastAsia="en-PH"/>
              </w:rPr>
              <w:t>Testing and calibration laboratories  (ISO/IEC 17025:2005);</w:t>
            </w:r>
          </w:p>
          <w:p w:rsidR="00435BD6" w:rsidRPr="005930FC"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eastAsia="Times New Roman" w:hAnsiTheme="majorHAnsi"/>
                <w:iCs/>
                <w:sz w:val="20"/>
                <w:szCs w:val="20"/>
                <w:lang w:val="en-PH" w:eastAsia="en-PH"/>
              </w:rPr>
              <w:t xml:space="preserve">Medical testing laboratories (PNS ISO 15189:2010) </w:t>
            </w:r>
            <w:r>
              <w:rPr>
                <w:rFonts w:asciiTheme="majorHAnsi" w:eastAsia="Times New Roman" w:hAnsiTheme="majorHAnsi"/>
                <w:iCs/>
                <w:sz w:val="20"/>
                <w:szCs w:val="20"/>
                <w:lang w:val="en-PH" w:eastAsia="en-PH"/>
              </w:rPr>
              <w:t>;</w:t>
            </w:r>
          </w:p>
          <w:p w:rsidR="00435BD6" w:rsidRPr="005930FC"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eastAsia="Times New Roman" w:hAnsiTheme="majorHAnsi"/>
                <w:iCs/>
                <w:sz w:val="20"/>
                <w:szCs w:val="20"/>
                <w:lang w:val="en-PH" w:eastAsia="en-PH"/>
              </w:rPr>
              <w:t>Inspection bodies (ISO/IEC 17020:2004)</w:t>
            </w:r>
          </w:p>
          <w:p w:rsidR="00435BD6"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eastAsia="Times New Roman" w:hAnsiTheme="majorHAnsi"/>
                <w:sz w:val="20"/>
                <w:szCs w:val="20"/>
                <w:lang w:val="en-PH" w:eastAsia="en-PH"/>
              </w:rPr>
              <w:t>Quality management system (ISO 9001) – ISO/IEC 17021:2011</w:t>
            </w:r>
            <w:r>
              <w:rPr>
                <w:rFonts w:asciiTheme="majorHAnsi" w:eastAsia="Times New Roman" w:hAnsiTheme="majorHAnsi"/>
                <w:sz w:val="20"/>
                <w:szCs w:val="20"/>
                <w:lang w:val="en-PH" w:eastAsia="en-PH"/>
              </w:rPr>
              <w:t>;</w:t>
            </w:r>
          </w:p>
          <w:p w:rsidR="00435BD6"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eastAsia="Times New Roman" w:hAnsiTheme="majorHAnsi"/>
                <w:sz w:val="20"/>
                <w:szCs w:val="20"/>
                <w:lang w:val="en-PH" w:eastAsia="en-PH"/>
              </w:rPr>
              <w:t>Environmental management system (ISO 14001) –ISO/IEC 17021:2011</w:t>
            </w:r>
            <w:r>
              <w:rPr>
                <w:rFonts w:asciiTheme="majorHAnsi" w:eastAsia="Times New Roman" w:hAnsiTheme="majorHAnsi"/>
                <w:sz w:val="20"/>
                <w:szCs w:val="20"/>
                <w:lang w:val="en-PH" w:eastAsia="en-PH"/>
              </w:rPr>
              <w:t>;</w:t>
            </w:r>
          </w:p>
          <w:p w:rsidR="00435BD6" w:rsidRPr="005930FC"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hAnsiTheme="majorHAnsi"/>
                <w:sz w:val="20"/>
                <w:szCs w:val="20"/>
              </w:rPr>
              <w:t>Hazard Analysis and cri</w:t>
            </w:r>
            <w:r>
              <w:rPr>
                <w:rFonts w:asciiTheme="majorHAnsi" w:hAnsiTheme="majorHAnsi"/>
                <w:sz w:val="20"/>
                <w:szCs w:val="20"/>
              </w:rPr>
              <w:t>tical control points (HACCP);</w:t>
            </w:r>
          </w:p>
          <w:p w:rsidR="00435BD6" w:rsidRPr="005930FC"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hAnsiTheme="majorHAnsi"/>
                <w:sz w:val="20"/>
                <w:szCs w:val="20"/>
              </w:rPr>
              <w:t>Food safety management system – (ISO 22000) –ISO/IEC 17021:2011; ISO/TS 22003:2007</w:t>
            </w:r>
            <w:r>
              <w:rPr>
                <w:rFonts w:asciiTheme="majorHAnsi" w:hAnsiTheme="majorHAnsi"/>
                <w:sz w:val="20"/>
                <w:szCs w:val="20"/>
              </w:rPr>
              <w:t>;</w:t>
            </w:r>
          </w:p>
          <w:p w:rsidR="00435BD6" w:rsidRPr="005930FC" w:rsidRDefault="00435BD6" w:rsidP="00435BD6">
            <w:pPr>
              <w:pStyle w:val="ListParagraph"/>
              <w:numPr>
                <w:ilvl w:val="0"/>
                <w:numId w:val="47"/>
              </w:numPr>
              <w:jc w:val="both"/>
              <w:rPr>
                <w:rFonts w:asciiTheme="majorHAnsi" w:eastAsia="Times New Roman" w:hAnsiTheme="majorHAnsi"/>
                <w:sz w:val="20"/>
                <w:szCs w:val="20"/>
                <w:lang w:val="en-PH" w:eastAsia="en-PH"/>
              </w:rPr>
            </w:pPr>
            <w:r w:rsidRPr="005930FC">
              <w:rPr>
                <w:rFonts w:asciiTheme="majorHAnsi" w:eastAsia="Times New Roman" w:hAnsiTheme="majorHAnsi"/>
                <w:sz w:val="20"/>
                <w:szCs w:val="20"/>
                <w:lang w:val="en-PH" w:eastAsia="en-PH"/>
              </w:rPr>
              <w:t>Product Certification (ISO/IEC Guide 65)</w:t>
            </w:r>
          </w:p>
          <w:p w:rsidR="00435BD6" w:rsidRPr="002D5BE3" w:rsidRDefault="00435BD6" w:rsidP="004A2C04">
            <w:pPr>
              <w:jc w:val="both"/>
              <w:rPr>
                <w:rFonts w:asciiTheme="majorHAnsi" w:hAnsiTheme="majorHAnsi"/>
                <w:sz w:val="20"/>
              </w:rPr>
            </w:pPr>
          </w:p>
          <w:p w:rsidR="00435BD6" w:rsidRPr="002D5BE3" w:rsidRDefault="00435BD6" w:rsidP="004A2C04">
            <w:pPr>
              <w:jc w:val="both"/>
              <w:rPr>
                <w:rFonts w:asciiTheme="majorHAnsi" w:hAnsiTheme="majorHAnsi"/>
                <w:sz w:val="20"/>
              </w:rPr>
            </w:pPr>
            <w:r w:rsidRPr="002D5BE3">
              <w:rPr>
                <w:rFonts w:asciiTheme="majorHAnsi" w:hAnsiTheme="majorHAnsi"/>
                <w:sz w:val="20"/>
              </w:rPr>
              <w:t>The total number of accredited conformity assessment bodies are as follows:</w:t>
            </w:r>
          </w:p>
          <w:p w:rsidR="00435BD6" w:rsidRDefault="00435BD6" w:rsidP="00435BD6">
            <w:pPr>
              <w:pStyle w:val="ListParagraph"/>
              <w:numPr>
                <w:ilvl w:val="0"/>
                <w:numId w:val="47"/>
              </w:numPr>
              <w:jc w:val="both"/>
              <w:rPr>
                <w:rFonts w:asciiTheme="majorHAnsi" w:hAnsiTheme="majorHAnsi"/>
                <w:sz w:val="20"/>
                <w:szCs w:val="20"/>
              </w:rPr>
            </w:pPr>
            <w:r w:rsidRPr="005930FC">
              <w:rPr>
                <w:rFonts w:asciiTheme="majorHAnsi" w:hAnsiTheme="majorHAnsi"/>
                <w:sz w:val="20"/>
                <w:szCs w:val="20"/>
              </w:rPr>
              <w:t xml:space="preserve">Testing and calibration laboratories </w:t>
            </w:r>
            <w:r>
              <w:rPr>
                <w:rFonts w:asciiTheme="majorHAnsi" w:hAnsiTheme="majorHAnsi"/>
                <w:sz w:val="20"/>
                <w:szCs w:val="20"/>
              </w:rPr>
              <w:t>–</w:t>
            </w:r>
            <w:r w:rsidRPr="005930FC">
              <w:rPr>
                <w:rFonts w:asciiTheme="majorHAnsi" w:hAnsiTheme="majorHAnsi"/>
                <w:sz w:val="20"/>
                <w:szCs w:val="20"/>
              </w:rPr>
              <w:t xml:space="preserve"> 203</w:t>
            </w:r>
          </w:p>
          <w:p w:rsidR="00435BD6" w:rsidRPr="005930FC" w:rsidRDefault="00435BD6" w:rsidP="00435BD6">
            <w:pPr>
              <w:pStyle w:val="ListParagraph"/>
              <w:numPr>
                <w:ilvl w:val="0"/>
                <w:numId w:val="47"/>
              </w:numPr>
              <w:jc w:val="both"/>
              <w:rPr>
                <w:rFonts w:asciiTheme="majorHAnsi" w:hAnsiTheme="majorHAnsi"/>
                <w:sz w:val="20"/>
                <w:szCs w:val="20"/>
              </w:rPr>
            </w:pPr>
            <w:r w:rsidRPr="005930FC">
              <w:rPr>
                <w:rFonts w:asciiTheme="majorHAnsi" w:eastAsia="Times New Roman" w:hAnsiTheme="majorHAnsi"/>
                <w:iCs/>
                <w:sz w:val="20"/>
                <w:szCs w:val="20"/>
                <w:lang w:val="en-PH" w:eastAsia="en-PH"/>
              </w:rPr>
              <w:t>Medical testing laboratories -5</w:t>
            </w:r>
          </w:p>
          <w:p w:rsidR="00435BD6" w:rsidRDefault="00435BD6" w:rsidP="00435BD6">
            <w:pPr>
              <w:pStyle w:val="ListParagraph"/>
              <w:numPr>
                <w:ilvl w:val="0"/>
                <w:numId w:val="47"/>
              </w:numPr>
              <w:jc w:val="both"/>
              <w:rPr>
                <w:rFonts w:asciiTheme="majorHAnsi" w:hAnsiTheme="majorHAnsi"/>
                <w:sz w:val="20"/>
                <w:szCs w:val="20"/>
              </w:rPr>
            </w:pPr>
            <w:r w:rsidRPr="005930FC">
              <w:rPr>
                <w:rFonts w:asciiTheme="majorHAnsi" w:hAnsiTheme="majorHAnsi"/>
                <w:sz w:val="20"/>
                <w:szCs w:val="20"/>
              </w:rPr>
              <w:t>IBs-2</w:t>
            </w:r>
          </w:p>
          <w:p w:rsidR="00435BD6" w:rsidRDefault="00435BD6" w:rsidP="00435BD6">
            <w:pPr>
              <w:pStyle w:val="ListParagraph"/>
              <w:numPr>
                <w:ilvl w:val="0"/>
                <w:numId w:val="47"/>
              </w:numPr>
              <w:jc w:val="both"/>
              <w:rPr>
                <w:rFonts w:asciiTheme="majorHAnsi" w:hAnsiTheme="majorHAnsi"/>
                <w:sz w:val="20"/>
                <w:szCs w:val="20"/>
              </w:rPr>
            </w:pPr>
            <w:r w:rsidRPr="005930FC">
              <w:rPr>
                <w:rFonts w:asciiTheme="majorHAnsi" w:hAnsiTheme="majorHAnsi"/>
                <w:sz w:val="20"/>
                <w:szCs w:val="20"/>
              </w:rPr>
              <w:t>QMS-6</w:t>
            </w:r>
          </w:p>
          <w:p w:rsidR="00435BD6" w:rsidRDefault="00435BD6" w:rsidP="00435BD6">
            <w:pPr>
              <w:pStyle w:val="ListParagraph"/>
              <w:numPr>
                <w:ilvl w:val="0"/>
                <w:numId w:val="47"/>
              </w:numPr>
              <w:jc w:val="both"/>
              <w:rPr>
                <w:rFonts w:asciiTheme="majorHAnsi" w:hAnsiTheme="majorHAnsi"/>
                <w:sz w:val="20"/>
                <w:szCs w:val="20"/>
              </w:rPr>
            </w:pPr>
            <w:r w:rsidRPr="005930FC">
              <w:rPr>
                <w:rFonts w:asciiTheme="majorHAnsi" w:hAnsiTheme="majorHAnsi"/>
                <w:sz w:val="20"/>
                <w:szCs w:val="20"/>
              </w:rPr>
              <w:lastRenderedPageBreak/>
              <w:t>EMS-3</w:t>
            </w:r>
          </w:p>
          <w:p w:rsidR="00435BD6" w:rsidRDefault="00435BD6" w:rsidP="00435BD6">
            <w:pPr>
              <w:pStyle w:val="ListParagraph"/>
              <w:numPr>
                <w:ilvl w:val="0"/>
                <w:numId w:val="47"/>
              </w:numPr>
              <w:jc w:val="both"/>
              <w:rPr>
                <w:rFonts w:asciiTheme="majorHAnsi" w:hAnsiTheme="majorHAnsi"/>
                <w:sz w:val="20"/>
                <w:szCs w:val="20"/>
              </w:rPr>
            </w:pPr>
            <w:r w:rsidRPr="005930FC">
              <w:rPr>
                <w:rFonts w:asciiTheme="majorHAnsi" w:hAnsiTheme="majorHAnsi"/>
                <w:sz w:val="20"/>
                <w:szCs w:val="20"/>
              </w:rPr>
              <w:t xml:space="preserve">HACCP-2 </w:t>
            </w:r>
          </w:p>
          <w:p w:rsidR="00435BD6" w:rsidRPr="005930FC" w:rsidRDefault="00435BD6" w:rsidP="00435BD6">
            <w:pPr>
              <w:pStyle w:val="ListParagraph"/>
              <w:numPr>
                <w:ilvl w:val="0"/>
                <w:numId w:val="47"/>
              </w:numPr>
              <w:jc w:val="both"/>
              <w:rPr>
                <w:rFonts w:asciiTheme="majorHAnsi" w:hAnsiTheme="majorHAnsi"/>
                <w:sz w:val="20"/>
                <w:szCs w:val="20"/>
              </w:rPr>
            </w:pPr>
            <w:r w:rsidRPr="005930FC">
              <w:rPr>
                <w:rFonts w:asciiTheme="majorHAnsi" w:hAnsiTheme="majorHAnsi"/>
                <w:sz w:val="20"/>
                <w:szCs w:val="20"/>
              </w:rPr>
              <w:t xml:space="preserve">FSMS-1 </w:t>
            </w:r>
          </w:p>
          <w:p w:rsidR="00435BD6" w:rsidRPr="002D5BE3" w:rsidRDefault="00435BD6" w:rsidP="004A2C04">
            <w:pPr>
              <w:pStyle w:val="ListParagraph"/>
              <w:ind w:left="360"/>
              <w:jc w:val="both"/>
              <w:rPr>
                <w:rFonts w:asciiTheme="majorHAnsi" w:hAnsiTheme="majorHAnsi"/>
                <w:sz w:val="20"/>
                <w:szCs w:val="20"/>
              </w:rPr>
            </w:pPr>
          </w:p>
          <w:p w:rsidR="00435BD6" w:rsidRPr="005930FC" w:rsidRDefault="00435BD6" w:rsidP="004A2C04">
            <w:pPr>
              <w:jc w:val="both"/>
              <w:rPr>
                <w:rFonts w:asciiTheme="majorHAnsi" w:hAnsiTheme="majorHAnsi"/>
                <w:sz w:val="20"/>
              </w:rPr>
            </w:pPr>
            <w:r>
              <w:rPr>
                <w:rFonts w:asciiTheme="majorHAnsi" w:hAnsiTheme="majorHAnsi"/>
                <w:sz w:val="20"/>
              </w:rPr>
              <w:t xml:space="preserve">The </w:t>
            </w:r>
            <w:r w:rsidRPr="005930FC">
              <w:rPr>
                <w:rFonts w:asciiTheme="majorHAnsi" w:hAnsiTheme="majorHAnsi"/>
                <w:sz w:val="20"/>
              </w:rPr>
              <w:t>Food and Drug Administration Philippines continued to improve regulatory requirements to ensure market players adherence to safety standards and good manufacturing practices (GMP).</w:t>
            </w:r>
            <w:r>
              <w:rPr>
                <w:rFonts w:asciiTheme="majorHAnsi" w:hAnsiTheme="majorHAnsi"/>
                <w:sz w:val="20"/>
              </w:rPr>
              <w:t xml:space="preserve"> </w:t>
            </w:r>
            <w:r w:rsidRPr="005930FC">
              <w:rPr>
                <w:rFonts w:asciiTheme="majorHAnsi" w:hAnsiTheme="majorHAnsi"/>
                <w:sz w:val="20"/>
              </w:rPr>
              <w:t>It streamlined some requirements to facilitate entry of imported goods.</w:t>
            </w:r>
          </w:p>
          <w:p w:rsidR="00435BD6" w:rsidRPr="002D5BE3" w:rsidRDefault="00435BD6" w:rsidP="004A2C04">
            <w:pPr>
              <w:pStyle w:val="ListParagraph"/>
              <w:ind w:left="0"/>
              <w:jc w:val="both"/>
              <w:rPr>
                <w:rFonts w:asciiTheme="majorHAnsi" w:hAnsiTheme="majorHAnsi"/>
                <w:sz w:val="20"/>
                <w:szCs w:val="20"/>
                <w:lang w:val="en-AU"/>
              </w:rPr>
            </w:pPr>
          </w:p>
          <w:p w:rsidR="00435BD6" w:rsidRPr="002D5BE3" w:rsidRDefault="00435BD6" w:rsidP="004A2C04">
            <w:pPr>
              <w:pStyle w:val="ListParagraph"/>
              <w:ind w:left="0"/>
              <w:jc w:val="both"/>
              <w:rPr>
                <w:rFonts w:asciiTheme="majorHAnsi" w:hAnsiTheme="majorHAnsi"/>
                <w:sz w:val="20"/>
                <w:szCs w:val="20"/>
              </w:rPr>
            </w:pPr>
            <w:r w:rsidRPr="002D5BE3">
              <w:rPr>
                <w:rFonts w:asciiTheme="majorHAnsi" w:hAnsiTheme="majorHAnsi"/>
                <w:sz w:val="20"/>
                <w:szCs w:val="20"/>
              </w:rPr>
              <w:t xml:space="preserve">Continued to increase transparency of standards and conformance requirements by maintaining </w:t>
            </w:r>
            <w:proofErr w:type="gramStart"/>
            <w:r w:rsidRPr="002D5BE3">
              <w:rPr>
                <w:rFonts w:asciiTheme="majorHAnsi" w:hAnsiTheme="majorHAnsi"/>
                <w:sz w:val="20"/>
                <w:szCs w:val="20"/>
              </w:rPr>
              <w:t>a Standards</w:t>
            </w:r>
            <w:proofErr w:type="gramEnd"/>
            <w:r w:rsidRPr="002D5BE3">
              <w:rPr>
                <w:rFonts w:asciiTheme="majorHAnsi" w:hAnsiTheme="majorHAnsi"/>
                <w:sz w:val="20"/>
                <w:szCs w:val="20"/>
              </w:rPr>
              <w:t xml:space="preserve"> and Conformance Portal (</w:t>
            </w:r>
            <w:hyperlink r:id="rId28" w:history="1">
              <w:r w:rsidRPr="002D5BE3">
                <w:rPr>
                  <w:rStyle w:val="Hyperlink"/>
                  <w:rFonts w:asciiTheme="majorHAnsi" w:hAnsiTheme="majorHAnsi"/>
                  <w:color w:val="auto"/>
                  <w:sz w:val="20"/>
                  <w:szCs w:val="20"/>
                  <w:u w:val="none"/>
                </w:rPr>
                <w:t>www.bps.dti.gov.ph</w:t>
              </w:r>
            </w:hyperlink>
            <w:r w:rsidRPr="002D5BE3">
              <w:rPr>
                <w:rFonts w:asciiTheme="majorHAnsi" w:hAnsiTheme="majorHAnsi"/>
                <w:sz w:val="20"/>
                <w:szCs w:val="20"/>
              </w:rPr>
              <w:t>) and the airing of a weekly consumer advocacy radio programs.</w:t>
            </w:r>
          </w:p>
        </w:tc>
        <w:tc>
          <w:tcPr>
            <w:tcW w:w="2050" w:type="pct"/>
          </w:tcPr>
          <w:p w:rsidR="00435BD6" w:rsidRPr="005930FC" w:rsidRDefault="00435BD6" w:rsidP="004A2C04">
            <w:pPr>
              <w:jc w:val="both"/>
              <w:rPr>
                <w:rFonts w:asciiTheme="majorHAnsi" w:hAnsiTheme="majorHAnsi"/>
                <w:color w:val="000000" w:themeColor="text1"/>
                <w:sz w:val="20"/>
              </w:rPr>
            </w:pPr>
            <w:bookmarkStart w:id="16" w:name="Cell10"/>
            <w:bookmarkEnd w:id="16"/>
            <w:r w:rsidRPr="005930FC">
              <w:rPr>
                <w:rFonts w:asciiTheme="majorHAnsi" w:hAnsiTheme="majorHAnsi"/>
                <w:color w:val="000000" w:themeColor="text1"/>
                <w:sz w:val="20"/>
              </w:rPr>
              <w:lastRenderedPageBreak/>
              <w:t xml:space="preserve">Continue to develop standards using, where appropriate, international standards in the priority areas/sectors identified and </w:t>
            </w:r>
            <w:r w:rsidRPr="005930FC">
              <w:rPr>
                <w:rFonts w:asciiTheme="majorHAnsi" w:hAnsiTheme="majorHAnsi"/>
                <w:color w:val="000000" w:themeColor="text1"/>
                <w:sz w:val="20"/>
              </w:rPr>
              <w:lastRenderedPageBreak/>
              <w:t>agreed by APEC.</w:t>
            </w:r>
          </w:p>
          <w:p w:rsidR="00435BD6" w:rsidRPr="002D5BE3" w:rsidRDefault="00435BD6" w:rsidP="004A2C04">
            <w:pPr>
              <w:jc w:val="both"/>
              <w:rPr>
                <w:rFonts w:asciiTheme="majorHAnsi" w:hAnsiTheme="majorHAnsi"/>
                <w:color w:val="000000" w:themeColor="text1"/>
                <w:sz w:val="20"/>
                <w:lang w:val="en-US"/>
              </w:rPr>
            </w:pPr>
          </w:p>
          <w:p w:rsidR="00435BD6" w:rsidRPr="005930FC" w:rsidRDefault="00435BD6" w:rsidP="004A2C04">
            <w:pPr>
              <w:jc w:val="both"/>
              <w:rPr>
                <w:rFonts w:asciiTheme="majorHAnsi" w:hAnsiTheme="majorHAnsi"/>
                <w:color w:val="000000" w:themeColor="text1"/>
                <w:sz w:val="20"/>
              </w:rPr>
            </w:pPr>
            <w:r w:rsidRPr="005930FC">
              <w:rPr>
                <w:rFonts w:asciiTheme="majorHAnsi" w:hAnsiTheme="majorHAnsi"/>
                <w:color w:val="000000" w:themeColor="text1"/>
                <w:sz w:val="20"/>
              </w:rPr>
              <w:t xml:space="preserve">Continue to participate in international standardization activities. </w:t>
            </w:r>
          </w:p>
          <w:p w:rsidR="00435BD6" w:rsidRPr="002D5BE3" w:rsidRDefault="00435BD6" w:rsidP="004A2C04">
            <w:pPr>
              <w:pStyle w:val="ListParagraph"/>
              <w:ind w:left="360"/>
              <w:jc w:val="both"/>
              <w:rPr>
                <w:rFonts w:asciiTheme="majorHAnsi" w:hAnsiTheme="majorHAnsi"/>
                <w:color w:val="000000" w:themeColor="text1"/>
                <w:sz w:val="20"/>
                <w:szCs w:val="20"/>
              </w:rPr>
            </w:pPr>
          </w:p>
          <w:p w:rsidR="00435BD6" w:rsidRPr="005930FC" w:rsidRDefault="00435BD6" w:rsidP="004A2C04">
            <w:pPr>
              <w:jc w:val="both"/>
              <w:rPr>
                <w:rFonts w:asciiTheme="majorHAnsi" w:hAnsiTheme="majorHAnsi"/>
                <w:color w:val="000000" w:themeColor="text1"/>
                <w:sz w:val="20"/>
              </w:rPr>
            </w:pPr>
            <w:r w:rsidRPr="005930FC">
              <w:rPr>
                <w:rFonts w:asciiTheme="majorHAnsi" w:hAnsiTheme="majorHAnsi"/>
                <w:color w:val="000000" w:themeColor="text1"/>
                <w:sz w:val="20"/>
              </w:rPr>
              <w:t xml:space="preserve">Pursue linkages with standard writing organizations and industry associations in developing Philippine National Standards </w:t>
            </w:r>
          </w:p>
          <w:p w:rsidR="00435BD6" w:rsidRPr="002D5BE3" w:rsidRDefault="00435BD6" w:rsidP="004A2C04">
            <w:pPr>
              <w:pStyle w:val="ListParagraph"/>
              <w:ind w:left="360"/>
              <w:jc w:val="both"/>
              <w:rPr>
                <w:rFonts w:asciiTheme="majorHAnsi" w:hAnsiTheme="majorHAnsi"/>
                <w:color w:val="000000" w:themeColor="text1"/>
                <w:sz w:val="20"/>
                <w:szCs w:val="20"/>
              </w:rPr>
            </w:pPr>
          </w:p>
          <w:p w:rsidR="00435BD6" w:rsidRPr="005930FC" w:rsidRDefault="00435BD6" w:rsidP="004A2C04">
            <w:pPr>
              <w:jc w:val="both"/>
              <w:rPr>
                <w:rFonts w:asciiTheme="majorHAnsi" w:hAnsiTheme="majorHAnsi"/>
                <w:color w:val="000000" w:themeColor="text1"/>
                <w:sz w:val="20"/>
              </w:rPr>
            </w:pPr>
            <w:r w:rsidRPr="005930FC">
              <w:rPr>
                <w:rFonts w:asciiTheme="majorHAnsi" w:hAnsiTheme="majorHAnsi"/>
                <w:color w:val="000000" w:themeColor="text1"/>
                <w:sz w:val="20"/>
              </w:rPr>
              <w:t>Expand the recognition of conformity assessment activities at the regional and international levels.</w:t>
            </w:r>
          </w:p>
          <w:p w:rsidR="00435BD6" w:rsidRPr="002D5BE3" w:rsidRDefault="00435BD6" w:rsidP="004A2C04">
            <w:pPr>
              <w:pStyle w:val="ListParagraph"/>
              <w:ind w:left="360"/>
              <w:jc w:val="both"/>
              <w:rPr>
                <w:rFonts w:asciiTheme="majorHAnsi" w:hAnsiTheme="majorHAnsi"/>
                <w:color w:val="000000" w:themeColor="text1"/>
                <w:sz w:val="20"/>
                <w:szCs w:val="20"/>
              </w:rPr>
            </w:pPr>
          </w:p>
          <w:p w:rsidR="00435BD6" w:rsidRPr="005930FC" w:rsidRDefault="00435BD6" w:rsidP="004A2C04">
            <w:pPr>
              <w:jc w:val="both"/>
              <w:rPr>
                <w:rFonts w:asciiTheme="majorHAnsi" w:hAnsiTheme="majorHAnsi"/>
                <w:color w:val="000000" w:themeColor="text1"/>
                <w:sz w:val="20"/>
              </w:rPr>
            </w:pPr>
            <w:r w:rsidRPr="005930FC">
              <w:rPr>
                <w:rFonts w:asciiTheme="majorHAnsi" w:hAnsiTheme="majorHAnsi"/>
                <w:color w:val="000000" w:themeColor="text1"/>
                <w:sz w:val="20"/>
              </w:rPr>
              <w:t xml:space="preserve">Strengthen the national bodies through revision and improved standardization mandates </w:t>
            </w:r>
          </w:p>
          <w:p w:rsidR="00435BD6" w:rsidRPr="005930FC" w:rsidRDefault="00435BD6" w:rsidP="004A2C04">
            <w:pPr>
              <w:jc w:val="both"/>
              <w:rPr>
                <w:rFonts w:asciiTheme="majorHAnsi" w:hAnsiTheme="majorHAnsi"/>
                <w:color w:val="000000" w:themeColor="text1"/>
                <w:sz w:val="20"/>
              </w:rPr>
            </w:pPr>
          </w:p>
        </w:tc>
      </w:tr>
      <w:tr w:rsidR="00435BD6" w:rsidRPr="0008533B" w:rsidTr="00FA15C7">
        <w:tc>
          <w:tcPr>
            <w:tcW w:w="850" w:type="pct"/>
          </w:tcPr>
          <w:p w:rsidR="00435BD6" w:rsidRPr="002D5BE3" w:rsidRDefault="00435BD6" w:rsidP="004A2C04">
            <w:pPr>
              <w:pStyle w:val="Heading9"/>
              <w:rPr>
                <w:rFonts w:asciiTheme="majorHAnsi" w:hAnsiTheme="majorHAnsi"/>
                <w:b w:val="0"/>
                <w:color w:val="808080"/>
              </w:rPr>
            </w:pPr>
            <w:r w:rsidRPr="002D5BE3">
              <w:rPr>
                <w:rFonts w:asciiTheme="majorHAnsi" w:hAnsiTheme="majorHAnsi"/>
                <w:b w:val="0"/>
                <w:color w:val="808080"/>
              </w:rPr>
              <w:lastRenderedPageBreak/>
              <w:t xml:space="preserve">Website for further information:  </w:t>
            </w:r>
          </w:p>
        </w:tc>
        <w:tc>
          <w:tcPr>
            <w:tcW w:w="2100" w:type="pct"/>
          </w:tcPr>
          <w:p w:rsidR="00435BD6" w:rsidRPr="00435BD6" w:rsidRDefault="008D4F45" w:rsidP="004A2C04">
            <w:pPr>
              <w:pStyle w:val="Heading9"/>
              <w:rPr>
                <w:rStyle w:val="Hyperlink"/>
                <w:rFonts w:ascii="Times New Roman" w:hAnsi="Times New Roman"/>
                <w:b w:val="0"/>
                <w:i w:val="0"/>
                <w:color w:val="000000" w:themeColor="text1"/>
                <w:u w:val="none"/>
              </w:rPr>
            </w:pPr>
            <w:hyperlink r:id="rId29" w:history="1">
              <w:r w:rsidR="00435BD6" w:rsidRPr="005930FC">
                <w:rPr>
                  <w:rStyle w:val="Hyperlink"/>
                  <w:rFonts w:asciiTheme="majorHAnsi" w:hAnsiTheme="majorHAnsi"/>
                  <w:b w:val="0"/>
                  <w:i w:val="0"/>
                  <w:color w:val="000000" w:themeColor="text1"/>
                </w:rPr>
                <w:t>http://www.bps.dti.gov.ph</w:t>
              </w:r>
            </w:hyperlink>
            <w:r w:rsidR="00435BD6">
              <w:rPr>
                <w:i w:val="0"/>
                <w:color w:val="000000" w:themeColor="text1"/>
                <w:u w:val="single"/>
              </w:rPr>
              <w:t xml:space="preserve"> </w:t>
            </w:r>
            <w:proofErr w:type="gramStart"/>
            <w:r w:rsidR="00435BD6">
              <w:rPr>
                <w:rFonts w:ascii="Times New Roman" w:hAnsi="Times New Roman"/>
                <w:b w:val="0"/>
                <w:i w:val="0"/>
                <w:color w:val="000000" w:themeColor="text1"/>
              </w:rPr>
              <w:t xml:space="preserve">-  </w:t>
            </w:r>
            <w:r w:rsidR="00435BD6" w:rsidRPr="00435BD6">
              <w:rPr>
                <w:rFonts w:ascii="Times New Roman" w:hAnsi="Times New Roman"/>
                <w:b w:val="0"/>
                <w:color w:val="000000" w:themeColor="text1"/>
              </w:rPr>
              <w:t>Bureau</w:t>
            </w:r>
            <w:proofErr w:type="gramEnd"/>
            <w:r w:rsidR="00435BD6" w:rsidRPr="00435BD6">
              <w:rPr>
                <w:rFonts w:ascii="Times New Roman" w:hAnsi="Times New Roman"/>
                <w:b w:val="0"/>
                <w:color w:val="000000" w:themeColor="text1"/>
              </w:rPr>
              <w:t xml:space="preserve"> of Product Standards, Department of Trade and Industry</w:t>
            </w:r>
          </w:p>
          <w:p w:rsidR="00435BD6" w:rsidRPr="005930FC" w:rsidRDefault="00435BD6" w:rsidP="004A2C04">
            <w:pPr>
              <w:rPr>
                <w:color w:val="000000" w:themeColor="text1"/>
              </w:rPr>
            </w:pPr>
          </w:p>
          <w:p w:rsidR="00435BD6" w:rsidRPr="00435BD6" w:rsidRDefault="008D4F45" w:rsidP="004A2C04">
            <w:pPr>
              <w:rPr>
                <w:rStyle w:val="Hyperlink"/>
                <w:rFonts w:asciiTheme="majorHAnsi" w:hAnsiTheme="majorHAnsi"/>
                <w:i/>
                <w:color w:val="000000" w:themeColor="text1"/>
                <w:sz w:val="20"/>
                <w:lang w:val="en-PH"/>
              </w:rPr>
            </w:pPr>
            <w:hyperlink r:id="rId30" w:history="1">
              <w:r w:rsidR="00435BD6" w:rsidRPr="00435BD6">
                <w:rPr>
                  <w:rStyle w:val="Hyperlink"/>
                  <w:rFonts w:asciiTheme="majorHAnsi" w:hAnsiTheme="majorHAnsi"/>
                  <w:color w:val="000000" w:themeColor="text1"/>
                  <w:sz w:val="20"/>
                </w:rPr>
                <w:t>http://www.</w:t>
              </w:r>
              <w:r w:rsidR="00435BD6" w:rsidRPr="00435BD6">
                <w:rPr>
                  <w:rStyle w:val="Hyperlink"/>
                  <w:rFonts w:asciiTheme="majorHAnsi" w:hAnsiTheme="majorHAnsi"/>
                  <w:color w:val="000000" w:themeColor="text1"/>
                  <w:sz w:val="20"/>
                  <w:lang w:val="en-PH"/>
                </w:rPr>
                <w:t>pao.dti.gov.ph</w:t>
              </w:r>
            </w:hyperlink>
            <w:r w:rsidR="00435BD6" w:rsidRPr="00435BD6">
              <w:rPr>
                <w:color w:val="000000" w:themeColor="text1"/>
                <w:sz w:val="20"/>
              </w:rPr>
              <w:t xml:space="preserve">  - </w:t>
            </w:r>
            <w:r w:rsidR="00435BD6" w:rsidRPr="00435BD6">
              <w:rPr>
                <w:i/>
                <w:color w:val="000000" w:themeColor="text1"/>
                <w:sz w:val="20"/>
              </w:rPr>
              <w:t>Philippine Accreditation Office, Department of Trade and Industry</w:t>
            </w:r>
          </w:p>
          <w:p w:rsidR="00435BD6" w:rsidRPr="005930FC" w:rsidRDefault="00435BD6" w:rsidP="004A2C04">
            <w:pPr>
              <w:rPr>
                <w:rFonts w:asciiTheme="majorHAnsi" w:hAnsiTheme="majorHAnsi"/>
                <w:color w:val="000000" w:themeColor="text1"/>
                <w:sz w:val="20"/>
                <w:lang w:val="en-PH"/>
              </w:rPr>
            </w:pPr>
          </w:p>
          <w:p w:rsidR="00435BD6" w:rsidRPr="00435BD6" w:rsidRDefault="008D4F45" w:rsidP="004A2C04">
            <w:pPr>
              <w:rPr>
                <w:rFonts w:asciiTheme="majorHAnsi" w:hAnsiTheme="majorHAnsi"/>
                <w:i/>
                <w:color w:val="000000" w:themeColor="text1"/>
                <w:sz w:val="20"/>
                <w:lang w:val="en-PH"/>
              </w:rPr>
            </w:pPr>
            <w:hyperlink r:id="rId31" w:history="1">
              <w:r w:rsidR="00435BD6" w:rsidRPr="005930FC">
                <w:rPr>
                  <w:rStyle w:val="Hyperlink"/>
                  <w:rFonts w:asciiTheme="majorHAnsi" w:hAnsiTheme="majorHAnsi"/>
                  <w:color w:val="000000" w:themeColor="text1"/>
                  <w:sz w:val="20"/>
                  <w:lang w:val="en-PH"/>
                </w:rPr>
                <w:t>http://www.fda.gov.ph</w:t>
              </w:r>
            </w:hyperlink>
            <w:r w:rsidR="00435BD6" w:rsidRPr="005930FC">
              <w:rPr>
                <w:rFonts w:asciiTheme="majorHAnsi" w:hAnsiTheme="majorHAnsi"/>
                <w:color w:val="000000" w:themeColor="text1"/>
                <w:sz w:val="20"/>
                <w:lang w:val="en-PH"/>
              </w:rPr>
              <w:t xml:space="preserve"> </w:t>
            </w:r>
            <w:r w:rsidR="00435BD6">
              <w:rPr>
                <w:rFonts w:asciiTheme="majorHAnsi" w:hAnsiTheme="majorHAnsi"/>
                <w:color w:val="000000" w:themeColor="text1"/>
                <w:sz w:val="20"/>
                <w:lang w:val="en-PH"/>
              </w:rPr>
              <w:t xml:space="preserve">– </w:t>
            </w:r>
            <w:r w:rsidR="00435BD6">
              <w:rPr>
                <w:rFonts w:asciiTheme="majorHAnsi" w:hAnsiTheme="majorHAnsi"/>
                <w:i/>
                <w:color w:val="000000" w:themeColor="text1"/>
                <w:sz w:val="20"/>
                <w:lang w:val="en-PH"/>
              </w:rPr>
              <w:t>Food and Drug Administration</w:t>
            </w:r>
          </w:p>
          <w:p w:rsidR="00435BD6" w:rsidRPr="005930FC" w:rsidRDefault="00435BD6" w:rsidP="004A2C04">
            <w:pPr>
              <w:rPr>
                <w:rFonts w:asciiTheme="majorHAnsi" w:hAnsiTheme="majorHAnsi"/>
                <w:color w:val="000000" w:themeColor="text1"/>
                <w:sz w:val="20"/>
                <w:lang w:val="en-PH"/>
              </w:rPr>
            </w:pPr>
          </w:p>
          <w:p w:rsidR="00435BD6" w:rsidRPr="00435BD6" w:rsidRDefault="008D4F45" w:rsidP="004A2C04">
            <w:pPr>
              <w:rPr>
                <w:rFonts w:asciiTheme="majorHAnsi" w:hAnsiTheme="majorHAnsi"/>
                <w:i/>
                <w:color w:val="000000" w:themeColor="text1"/>
                <w:sz w:val="20"/>
                <w:lang w:val="en-PH"/>
              </w:rPr>
            </w:pPr>
            <w:hyperlink r:id="rId32" w:history="1">
              <w:r w:rsidR="00435BD6" w:rsidRPr="00435BD6">
                <w:rPr>
                  <w:rStyle w:val="Hyperlink"/>
                  <w:rFonts w:asciiTheme="majorHAnsi" w:hAnsiTheme="majorHAnsi"/>
                  <w:color w:val="000000" w:themeColor="text1"/>
                  <w:sz w:val="20"/>
                  <w:lang w:val="en-PH"/>
                </w:rPr>
                <w:t>http://www.bafps.da.gov.ph</w:t>
              </w:r>
            </w:hyperlink>
            <w:r w:rsidR="00435BD6" w:rsidRPr="00435BD6">
              <w:rPr>
                <w:color w:val="000000" w:themeColor="text1"/>
              </w:rPr>
              <w:t xml:space="preserve"> </w:t>
            </w:r>
            <w:r w:rsidR="00435BD6" w:rsidRPr="00435BD6">
              <w:rPr>
                <w:rFonts w:asciiTheme="majorHAnsi" w:hAnsiTheme="majorHAnsi"/>
                <w:color w:val="000000" w:themeColor="text1"/>
                <w:sz w:val="20"/>
                <w:lang w:val="en-PH"/>
              </w:rPr>
              <w:t xml:space="preserve"> - </w:t>
            </w:r>
            <w:r w:rsidR="00435BD6" w:rsidRPr="00435BD6">
              <w:rPr>
                <w:rFonts w:asciiTheme="majorHAnsi" w:hAnsiTheme="majorHAnsi"/>
                <w:i/>
                <w:color w:val="000000" w:themeColor="text1"/>
                <w:sz w:val="20"/>
                <w:lang w:val="en-PH"/>
              </w:rPr>
              <w:t>Bureau of Agriculture and Fisheries Products Standards</w:t>
            </w:r>
          </w:p>
          <w:p w:rsidR="00435BD6" w:rsidRPr="002D5BE3" w:rsidRDefault="00435BD6" w:rsidP="004A2C04">
            <w:pPr>
              <w:rPr>
                <w:rFonts w:asciiTheme="majorHAnsi" w:hAnsiTheme="majorHAnsi"/>
                <w:sz w:val="20"/>
              </w:rPr>
            </w:pPr>
          </w:p>
        </w:tc>
        <w:tc>
          <w:tcPr>
            <w:tcW w:w="2050" w:type="pct"/>
          </w:tcPr>
          <w:p w:rsidR="00435BD6" w:rsidRPr="002D5BE3" w:rsidRDefault="00435BD6" w:rsidP="004A2C04">
            <w:pPr>
              <w:pStyle w:val="Heading9"/>
              <w:rPr>
                <w:rFonts w:asciiTheme="majorHAnsi" w:hAnsiTheme="majorHAnsi"/>
                <w:b w:val="0"/>
              </w:rPr>
            </w:pPr>
          </w:p>
        </w:tc>
      </w:tr>
      <w:tr w:rsidR="00435BD6" w:rsidRPr="0008533B" w:rsidTr="00FA15C7">
        <w:tc>
          <w:tcPr>
            <w:tcW w:w="850" w:type="pct"/>
          </w:tcPr>
          <w:p w:rsidR="00435BD6" w:rsidRPr="002D5BE3" w:rsidRDefault="00435BD6" w:rsidP="004A2C04">
            <w:pPr>
              <w:pStyle w:val="Heading9"/>
              <w:rPr>
                <w:rFonts w:asciiTheme="majorHAnsi" w:hAnsiTheme="majorHAnsi"/>
                <w:b w:val="0"/>
                <w:color w:val="808080"/>
              </w:rPr>
            </w:pPr>
            <w:r w:rsidRPr="002D5BE3">
              <w:rPr>
                <w:rFonts w:asciiTheme="majorHAnsi" w:hAnsiTheme="majorHAnsi"/>
                <w:b w:val="0"/>
                <w:color w:val="808080"/>
              </w:rPr>
              <w:t>Contact point for further details:</w:t>
            </w:r>
          </w:p>
        </w:tc>
        <w:tc>
          <w:tcPr>
            <w:tcW w:w="2100" w:type="pct"/>
          </w:tcPr>
          <w:p w:rsidR="00435BD6" w:rsidRPr="002D5BE3" w:rsidRDefault="00435BD6" w:rsidP="004A2C04">
            <w:pPr>
              <w:pStyle w:val="Heading9"/>
              <w:rPr>
                <w:rFonts w:asciiTheme="majorHAnsi" w:hAnsiTheme="majorHAnsi"/>
                <w:b w:val="0"/>
                <w:i w:val="0"/>
                <w:color w:val="000000" w:themeColor="text1"/>
                <w:lang w:val="en-US"/>
              </w:rPr>
            </w:pPr>
            <w:r w:rsidRPr="002D5BE3">
              <w:rPr>
                <w:rFonts w:asciiTheme="majorHAnsi" w:hAnsiTheme="majorHAnsi"/>
                <w:b w:val="0"/>
                <w:i w:val="0"/>
                <w:color w:val="000000" w:themeColor="text1"/>
                <w:lang w:val="en-US"/>
              </w:rPr>
              <w:t>The Director</w:t>
            </w:r>
          </w:p>
          <w:p w:rsidR="00435BD6" w:rsidRPr="002D5BE3" w:rsidRDefault="00435BD6" w:rsidP="004A2C04">
            <w:pPr>
              <w:pStyle w:val="Heading9"/>
              <w:rPr>
                <w:rFonts w:asciiTheme="majorHAnsi" w:hAnsiTheme="majorHAnsi"/>
                <w:b w:val="0"/>
                <w:i w:val="0"/>
                <w:color w:val="000000" w:themeColor="text1"/>
                <w:lang w:val="en-US"/>
              </w:rPr>
            </w:pPr>
            <w:r w:rsidRPr="002D5BE3">
              <w:rPr>
                <w:rFonts w:asciiTheme="majorHAnsi" w:hAnsiTheme="majorHAnsi"/>
                <w:b w:val="0"/>
                <w:i w:val="0"/>
                <w:color w:val="000000" w:themeColor="text1"/>
                <w:lang w:val="en-US"/>
              </w:rPr>
              <w:t>Bureau of Product Standards</w:t>
            </w: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Department of Trade and Industry</w:t>
            </w:r>
          </w:p>
          <w:p w:rsidR="00435BD6" w:rsidRPr="002D5BE3" w:rsidRDefault="00435BD6" w:rsidP="004A2C04">
            <w:pPr>
              <w:pStyle w:val="Heading9"/>
              <w:rPr>
                <w:rFonts w:asciiTheme="majorHAnsi" w:hAnsiTheme="majorHAnsi"/>
                <w:b w:val="0"/>
                <w:i w:val="0"/>
                <w:color w:val="000000" w:themeColor="text1"/>
                <w:lang w:val="en-US"/>
              </w:rPr>
            </w:pPr>
            <w:r w:rsidRPr="002D5BE3">
              <w:rPr>
                <w:rFonts w:asciiTheme="majorHAnsi" w:hAnsiTheme="majorHAnsi"/>
                <w:b w:val="0"/>
                <w:i w:val="0"/>
                <w:color w:val="000000" w:themeColor="text1"/>
                <w:lang w:val="en-US"/>
              </w:rPr>
              <w:t>3F Trade &amp; Industry Building</w:t>
            </w:r>
          </w:p>
          <w:p w:rsidR="00435BD6" w:rsidRPr="002D5BE3" w:rsidRDefault="00435BD6" w:rsidP="004A2C04">
            <w:pPr>
              <w:pStyle w:val="Heading9"/>
              <w:rPr>
                <w:rFonts w:asciiTheme="majorHAnsi" w:hAnsiTheme="majorHAnsi"/>
                <w:b w:val="0"/>
                <w:i w:val="0"/>
                <w:color w:val="000000" w:themeColor="text1"/>
                <w:lang w:val="en-US"/>
              </w:rPr>
            </w:pPr>
            <w:r w:rsidRPr="002D5BE3">
              <w:rPr>
                <w:rFonts w:asciiTheme="majorHAnsi" w:hAnsiTheme="majorHAnsi"/>
                <w:b w:val="0"/>
                <w:i w:val="0"/>
                <w:color w:val="000000" w:themeColor="text1"/>
                <w:lang w:val="en-US"/>
              </w:rPr>
              <w:t xml:space="preserve">361 Sen. Gil J. </w:t>
            </w:r>
            <w:proofErr w:type="spellStart"/>
            <w:r w:rsidRPr="002D5BE3">
              <w:rPr>
                <w:rFonts w:asciiTheme="majorHAnsi" w:hAnsiTheme="majorHAnsi"/>
                <w:b w:val="0"/>
                <w:i w:val="0"/>
                <w:color w:val="000000" w:themeColor="text1"/>
                <w:lang w:val="en-US"/>
              </w:rPr>
              <w:t>Puyat</w:t>
            </w:r>
            <w:proofErr w:type="spellEnd"/>
            <w:r w:rsidRPr="002D5BE3">
              <w:rPr>
                <w:rFonts w:asciiTheme="majorHAnsi" w:hAnsiTheme="majorHAnsi"/>
                <w:b w:val="0"/>
                <w:i w:val="0"/>
                <w:color w:val="000000" w:themeColor="text1"/>
                <w:lang w:val="en-US"/>
              </w:rPr>
              <w:t xml:space="preserve"> Ave., Makati City</w:t>
            </w:r>
          </w:p>
          <w:p w:rsidR="00435BD6" w:rsidRPr="002D5BE3" w:rsidRDefault="00435BD6" w:rsidP="004A2C04">
            <w:pPr>
              <w:pStyle w:val="Heading9"/>
              <w:rPr>
                <w:rFonts w:asciiTheme="majorHAnsi" w:hAnsiTheme="majorHAnsi"/>
                <w:b w:val="0"/>
                <w:i w:val="0"/>
                <w:color w:val="000000" w:themeColor="text1"/>
                <w:lang w:val="en-US"/>
              </w:rPr>
            </w:pPr>
            <w:r w:rsidRPr="002D5BE3">
              <w:rPr>
                <w:rFonts w:asciiTheme="majorHAnsi" w:hAnsiTheme="majorHAnsi"/>
                <w:b w:val="0"/>
                <w:i w:val="0"/>
                <w:color w:val="000000" w:themeColor="text1"/>
                <w:lang w:val="en-US"/>
              </w:rPr>
              <w:t>Tel: +632.</w:t>
            </w:r>
            <w:r w:rsidRPr="002D5BE3">
              <w:rPr>
                <w:rFonts w:asciiTheme="majorHAnsi" w:hAnsiTheme="majorHAnsi"/>
                <w:b w:val="0"/>
                <w:i w:val="0"/>
                <w:color w:val="000000" w:themeColor="text1"/>
                <w:lang w:val="en-PH"/>
              </w:rPr>
              <w:t>751.4729</w:t>
            </w:r>
          </w:p>
          <w:p w:rsidR="00435BD6" w:rsidRPr="002D5BE3" w:rsidRDefault="00435BD6" w:rsidP="004A2C04">
            <w:pPr>
              <w:pStyle w:val="Heading9"/>
              <w:rPr>
                <w:rFonts w:asciiTheme="majorHAnsi" w:hAnsiTheme="majorHAnsi"/>
                <w:b w:val="0"/>
                <w:i w:val="0"/>
                <w:color w:val="000000" w:themeColor="text1"/>
                <w:lang w:val="fr-FR"/>
              </w:rPr>
            </w:pPr>
            <w:r w:rsidRPr="002D5BE3">
              <w:rPr>
                <w:rFonts w:asciiTheme="majorHAnsi" w:hAnsiTheme="majorHAnsi"/>
                <w:b w:val="0"/>
                <w:i w:val="0"/>
                <w:color w:val="000000" w:themeColor="text1"/>
                <w:lang w:val="fr-FR"/>
              </w:rPr>
              <w:t>Fax : +632.751.4706</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pt-BR"/>
              </w:rPr>
              <w:t xml:space="preserve">E-mail: </w:t>
            </w:r>
            <w:r w:rsidRPr="002D5BE3">
              <w:fldChar w:fldCharType="begin"/>
            </w:r>
            <w:r w:rsidRPr="002D5BE3">
              <w:rPr>
                <w:rFonts w:asciiTheme="majorHAnsi" w:hAnsiTheme="majorHAnsi"/>
                <w:sz w:val="20"/>
                <w:lang w:val="fr-FR"/>
              </w:rPr>
              <w:instrText xml:space="preserve"> HYPERLINK "mailto:bps@dti.gov.ph" </w:instrText>
            </w:r>
            <w:r w:rsidRPr="002D5BE3">
              <w:fldChar w:fldCharType="separate"/>
            </w:r>
            <w:r w:rsidRPr="002D5BE3">
              <w:rPr>
                <w:rStyle w:val="Hyperlink"/>
                <w:rFonts w:asciiTheme="majorHAnsi" w:hAnsiTheme="majorHAnsi"/>
                <w:color w:val="000000" w:themeColor="text1"/>
                <w:sz w:val="20"/>
                <w:lang w:val="fr-FR"/>
              </w:rPr>
              <w:t>bps@dti.gov.ph</w:t>
            </w:r>
            <w:r w:rsidRPr="002D5BE3">
              <w:rPr>
                <w:rStyle w:val="Hyperlink"/>
                <w:rFonts w:asciiTheme="majorHAnsi" w:hAnsiTheme="majorHAnsi"/>
                <w:color w:val="000000" w:themeColor="text1"/>
                <w:sz w:val="20"/>
                <w:lang w:val="fr-FR"/>
              </w:rPr>
              <w:fldChar w:fldCharType="end"/>
            </w:r>
            <w:r w:rsidRPr="002D5BE3">
              <w:rPr>
                <w:rFonts w:asciiTheme="majorHAnsi" w:hAnsiTheme="majorHAnsi"/>
                <w:color w:val="000000" w:themeColor="text1"/>
                <w:sz w:val="20"/>
                <w:lang w:val="fr-FR"/>
              </w:rPr>
              <w:t xml:space="preserve"> </w:t>
            </w:r>
          </w:p>
          <w:p w:rsidR="00435BD6" w:rsidRPr="002D5BE3" w:rsidRDefault="00435BD6" w:rsidP="004A2C04">
            <w:pPr>
              <w:rPr>
                <w:rFonts w:asciiTheme="majorHAnsi" w:hAnsiTheme="majorHAnsi"/>
                <w:color w:val="000000" w:themeColor="text1"/>
                <w:sz w:val="20"/>
                <w:lang w:val="fr-FR"/>
              </w:rPr>
            </w:pP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 xml:space="preserve">The Director </w:t>
            </w: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 xml:space="preserve">Philippine Accreditation Office </w:t>
            </w: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Department of Trade and Industry</w:t>
            </w: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3F Trade and Industry Bldg.,</w:t>
            </w: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 xml:space="preserve">#361 Sen Gil </w:t>
            </w:r>
            <w:proofErr w:type="spellStart"/>
            <w:r w:rsidRPr="002D5BE3">
              <w:rPr>
                <w:rFonts w:asciiTheme="majorHAnsi" w:hAnsiTheme="majorHAnsi"/>
                <w:color w:val="000000" w:themeColor="text1"/>
                <w:sz w:val="20"/>
                <w:lang w:val="en-PH"/>
              </w:rPr>
              <w:t>Puyat</w:t>
            </w:r>
            <w:proofErr w:type="spellEnd"/>
            <w:r w:rsidRPr="002D5BE3">
              <w:rPr>
                <w:rFonts w:asciiTheme="majorHAnsi" w:hAnsiTheme="majorHAnsi"/>
                <w:color w:val="000000" w:themeColor="text1"/>
                <w:sz w:val="20"/>
                <w:lang w:val="en-PH"/>
              </w:rPr>
              <w:t xml:space="preserve"> Ave., Makati City</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fr-FR"/>
              </w:rPr>
              <w:t>Tel. Nos. (632) 751-4707</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fr-FR"/>
              </w:rPr>
              <w:t>Fax. No. (632) 751-3262</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fr-FR"/>
              </w:rPr>
              <w:t>E-mail: pao@dti.gov.ph</w:t>
            </w:r>
          </w:p>
          <w:p w:rsidR="00435BD6" w:rsidRPr="002D5BE3" w:rsidRDefault="00435BD6" w:rsidP="004A2C04">
            <w:pPr>
              <w:rPr>
                <w:rFonts w:asciiTheme="majorHAnsi" w:hAnsiTheme="majorHAnsi"/>
                <w:color w:val="000000" w:themeColor="text1"/>
                <w:sz w:val="20"/>
                <w:lang w:val="fr-FR"/>
              </w:rPr>
            </w:pPr>
          </w:p>
          <w:p w:rsidR="00435BD6" w:rsidRPr="005930FC" w:rsidRDefault="00435BD6" w:rsidP="004A2C04">
            <w:pPr>
              <w:rPr>
                <w:rFonts w:asciiTheme="majorHAnsi" w:hAnsiTheme="majorHAnsi"/>
                <w:i/>
                <w:color w:val="000000" w:themeColor="text1"/>
                <w:sz w:val="20"/>
                <w:lang w:val="en-PH"/>
              </w:rPr>
            </w:pPr>
            <w:r w:rsidRPr="005930FC">
              <w:rPr>
                <w:rFonts w:asciiTheme="majorHAnsi" w:hAnsiTheme="majorHAnsi"/>
                <w:i/>
                <w:color w:val="000000" w:themeColor="text1"/>
                <w:sz w:val="20"/>
                <w:lang w:val="en-PH"/>
              </w:rPr>
              <w:t>For Food and Drug</w:t>
            </w:r>
            <w:r>
              <w:rPr>
                <w:rFonts w:asciiTheme="majorHAnsi" w:hAnsiTheme="majorHAnsi"/>
                <w:i/>
                <w:color w:val="000000" w:themeColor="text1"/>
                <w:sz w:val="20"/>
                <w:lang w:val="en-PH"/>
              </w:rPr>
              <w:t>:</w:t>
            </w:r>
            <w:r w:rsidRPr="005930FC">
              <w:rPr>
                <w:rFonts w:asciiTheme="majorHAnsi" w:hAnsiTheme="majorHAnsi"/>
                <w:i/>
                <w:color w:val="000000" w:themeColor="text1"/>
                <w:sz w:val="20"/>
                <w:lang w:val="en-PH"/>
              </w:rPr>
              <w:t xml:space="preserve"> </w:t>
            </w:r>
          </w:p>
          <w:p w:rsidR="00435BD6" w:rsidRPr="002D5BE3" w:rsidRDefault="00435BD6" w:rsidP="004A2C04">
            <w:pPr>
              <w:rPr>
                <w:rFonts w:asciiTheme="majorHAnsi" w:hAnsiTheme="majorHAnsi"/>
                <w:color w:val="000000" w:themeColor="text1"/>
                <w:sz w:val="20"/>
                <w:lang w:val="en-PH"/>
              </w:rPr>
            </w:pPr>
            <w:r w:rsidRPr="002D5BE3">
              <w:rPr>
                <w:rFonts w:asciiTheme="majorHAnsi" w:hAnsiTheme="majorHAnsi"/>
                <w:color w:val="000000" w:themeColor="text1"/>
                <w:sz w:val="20"/>
                <w:lang w:val="en-PH"/>
              </w:rPr>
              <w:t xml:space="preserve">The Director </w:t>
            </w:r>
          </w:p>
          <w:p w:rsidR="00435BD6" w:rsidRPr="002D5BE3" w:rsidRDefault="00435BD6" w:rsidP="004A2C04">
            <w:pPr>
              <w:rPr>
                <w:rFonts w:asciiTheme="majorHAnsi" w:hAnsiTheme="majorHAnsi"/>
                <w:color w:val="000000" w:themeColor="text1"/>
                <w:sz w:val="20"/>
              </w:rPr>
            </w:pPr>
            <w:r w:rsidRPr="002D5BE3">
              <w:rPr>
                <w:rFonts w:asciiTheme="majorHAnsi" w:hAnsiTheme="majorHAnsi"/>
                <w:color w:val="000000" w:themeColor="text1"/>
                <w:sz w:val="20"/>
              </w:rPr>
              <w:t>Food and Drug Administration Philippines</w:t>
            </w:r>
          </w:p>
          <w:p w:rsidR="00435BD6" w:rsidRPr="002D5BE3" w:rsidRDefault="00435BD6" w:rsidP="004A2C04">
            <w:pPr>
              <w:rPr>
                <w:rFonts w:asciiTheme="majorHAnsi" w:hAnsiTheme="majorHAnsi"/>
                <w:color w:val="000000" w:themeColor="text1"/>
                <w:sz w:val="20"/>
              </w:rPr>
            </w:pPr>
            <w:r w:rsidRPr="002D5BE3">
              <w:rPr>
                <w:rFonts w:asciiTheme="majorHAnsi" w:hAnsiTheme="majorHAnsi"/>
                <w:color w:val="000000" w:themeColor="text1"/>
                <w:sz w:val="20"/>
              </w:rPr>
              <w:t>Department of Health</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fr-FR"/>
              </w:rPr>
              <w:t>Tel Nos: (632) 857-1900/809-4390</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fr-FR"/>
              </w:rPr>
              <w:lastRenderedPageBreak/>
              <w:t xml:space="preserve">Fax No: (632) 807-0751  </w:t>
            </w:r>
          </w:p>
          <w:p w:rsidR="00435BD6" w:rsidRPr="002D5BE3" w:rsidRDefault="00435BD6" w:rsidP="004A2C04">
            <w:pPr>
              <w:rPr>
                <w:rFonts w:asciiTheme="majorHAnsi" w:hAnsiTheme="majorHAnsi"/>
                <w:color w:val="000000" w:themeColor="text1"/>
                <w:sz w:val="20"/>
                <w:lang w:val="fr-FR"/>
              </w:rPr>
            </w:pPr>
            <w:r w:rsidRPr="002D5BE3">
              <w:rPr>
                <w:rFonts w:asciiTheme="majorHAnsi" w:hAnsiTheme="majorHAnsi"/>
                <w:color w:val="000000" w:themeColor="text1"/>
                <w:sz w:val="20"/>
                <w:lang w:val="fr-FR"/>
              </w:rPr>
              <w:t>Email: info@fda.gov.ph</w:t>
            </w:r>
          </w:p>
          <w:p w:rsidR="00435BD6" w:rsidRPr="002D5BE3" w:rsidRDefault="00435BD6" w:rsidP="004A2C04">
            <w:pPr>
              <w:rPr>
                <w:rFonts w:asciiTheme="majorHAnsi" w:hAnsiTheme="majorHAnsi"/>
                <w:color w:val="000000" w:themeColor="text1"/>
                <w:sz w:val="20"/>
                <w:lang w:val="fr-FR"/>
              </w:rPr>
            </w:pPr>
          </w:p>
          <w:p w:rsidR="00435BD6" w:rsidRPr="005930FC" w:rsidRDefault="00435BD6" w:rsidP="004A2C04">
            <w:pPr>
              <w:rPr>
                <w:rFonts w:asciiTheme="majorHAnsi" w:hAnsiTheme="majorHAnsi"/>
                <w:i/>
                <w:color w:val="000000" w:themeColor="text1"/>
                <w:sz w:val="20"/>
                <w:lang w:val="en-PH"/>
              </w:rPr>
            </w:pPr>
            <w:r w:rsidRPr="005930FC">
              <w:rPr>
                <w:rFonts w:asciiTheme="majorHAnsi" w:hAnsiTheme="majorHAnsi"/>
                <w:i/>
                <w:color w:val="000000" w:themeColor="text1"/>
                <w:sz w:val="20"/>
                <w:lang w:val="en-PH"/>
              </w:rPr>
              <w:t>For Agriculture and Fisheries Product Standards</w:t>
            </w:r>
            <w:r>
              <w:rPr>
                <w:rFonts w:asciiTheme="majorHAnsi" w:hAnsiTheme="majorHAnsi"/>
                <w:i/>
                <w:color w:val="000000" w:themeColor="text1"/>
                <w:sz w:val="20"/>
                <w:lang w:val="en-PH"/>
              </w:rPr>
              <w:t>:</w:t>
            </w:r>
            <w:r w:rsidRPr="005930FC">
              <w:rPr>
                <w:rFonts w:asciiTheme="majorHAnsi" w:hAnsiTheme="majorHAnsi"/>
                <w:i/>
                <w:color w:val="000000" w:themeColor="text1"/>
                <w:sz w:val="20"/>
                <w:lang w:val="en-PH"/>
              </w:rPr>
              <w:t xml:space="preserve"> </w:t>
            </w:r>
          </w:p>
          <w:p w:rsidR="00435BD6" w:rsidRPr="005930FC" w:rsidRDefault="00435BD6" w:rsidP="004A2C04">
            <w:pPr>
              <w:rPr>
                <w:rFonts w:asciiTheme="majorHAnsi" w:hAnsiTheme="majorHAnsi"/>
                <w:color w:val="000000" w:themeColor="text1"/>
                <w:sz w:val="20"/>
                <w:lang w:val="en-PH"/>
              </w:rPr>
            </w:pPr>
            <w:r w:rsidRPr="005930FC">
              <w:rPr>
                <w:rFonts w:asciiTheme="majorHAnsi" w:hAnsiTheme="majorHAnsi"/>
                <w:color w:val="000000" w:themeColor="text1"/>
                <w:sz w:val="20"/>
                <w:lang w:val="en-PH"/>
              </w:rPr>
              <w:t>The Executive Director</w:t>
            </w:r>
          </w:p>
          <w:p w:rsidR="00435BD6" w:rsidRPr="005930FC" w:rsidRDefault="00435BD6" w:rsidP="004A2C04">
            <w:pPr>
              <w:rPr>
                <w:rFonts w:asciiTheme="majorHAnsi" w:hAnsiTheme="majorHAnsi"/>
                <w:color w:val="000000" w:themeColor="text1"/>
                <w:sz w:val="20"/>
                <w:lang w:val="en-PH"/>
              </w:rPr>
            </w:pPr>
            <w:r w:rsidRPr="005930FC">
              <w:rPr>
                <w:rFonts w:asciiTheme="majorHAnsi" w:hAnsiTheme="majorHAnsi"/>
                <w:color w:val="000000" w:themeColor="text1"/>
                <w:sz w:val="20"/>
                <w:lang w:val="en-PH"/>
              </w:rPr>
              <w:t xml:space="preserve">Bureau of Agriculture and Fisheries and Product Standards </w:t>
            </w:r>
          </w:p>
          <w:p w:rsidR="00435BD6" w:rsidRPr="005930FC" w:rsidRDefault="00435BD6" w:rsidP="004A2C04">
            <w:pPr>
              <w:rPr>
                <w:rFonts w:asciiTheme="majorHAnsi" w:hAnsiTheme="majorHAnsi"/>
                <w:color w:val="000000" w:themeColor="text1"/>
                <w:sz w:val="20"/>
                <w:lang w:val="en-PH"/>
              </w:rPr>
            </w:pPr>
            <w:r w:rsidRPr="005930FC">
              <w:rPr>
                <w:rFonts w:asciiTheme="majorHAnsi" w:hAnsiTheme="majorHAnsi"/>
                <w:color w:val="000000" w:themeColor="text1"/>
                <w:sz w:val="20"/>
                <w:lang w:val="en-PH"/>
              </w:rPr>
              <w:t xml:space="preserve">BPI Compound, </w:t>
            </w:r>
            <w:proofErr w:type="spellStart"/>
            <w:r w:rsidRPr="005930FC">
              <w:rPr>
                <w:rFonts w:asciiTheme="majorHAnsi" w:hAnsiTheme="majorHAnsi"/>
                <w:color w:val="000000" w:themeColor="text1"/>
                <w:sz w:val="20"/>
                <w:lang w:val="en-PH"/>
              </w:rPr>
              <w:t>Visayas</w:t>
            </w:r>
            <w:proofErr w:type="spellEnd"/>
            <w:r w:rsidRPr="005930FC">
              <w:rPr>
                <w:rFonts w:asciiTheme="majorHAnsi" w:hAnsiTheme="majorHAnsi"/>
                <w:color w:val="000000" w:themeColor="text1"/>
                <w:sz w:val="20"/>
                <w:lang w:val="en-PH"/>
              </w:rPr>
              <w:t xml:space="preserve"> Avenue, </w:t>
            </w:r>
            <w:proofErr w:type="spellStart"/>
            <w:r w:rsidRPr="005930FC">
              <w:rPr>
                <w:rFonts w:asciiTheme="majorHAnsi" w:hAnsiTheme="majorHAnsi"/>
                <w:color w:val="000000" w:themeColor="text1"/>
                <w:sz w:val="20"/>
                <w:lang w:val="en-PH"/>
              </w:rPr>
              <w:t>Diliman</w:t>
            </w:r>
            <w:proofErr w:type="spellEnd"/>
            <w:r w:rsidRPr="005930FC">
              <w:rPr>
                <w:rFonts w:asciiTheme="majorHAnsi" w:hAnsiTheme="majorHAnsi"/>
                <w:color w:val="000000" w:themeColor="text1"/>
                <w:sz w:val="20"/>
                <w:lang w:val="en-PH"/>
              </w:rPr>
              <w:t>, Quezon City</w:t>
            </w:r>
          </w:p>
          <w:p w:rsidR="00435BD6" w:rsidRPr="005930FC" w:rsidRDefault="00435BD6" w:rsidP="004A2C04">
            <w:pPr>
              <w:rPr>
                <w:rFonts w:asciiTheme="majorHAnsi" w:hAnsiTheme="majorHAnsi"/>
                <w:color w:val="000000" w:themeColor="text1"/>
                <w:sz w:val="20"/>
                <w:lang w:val="fr-FR"/>
              </w:rPr>
            </w:pPr>
            <w:r w:rsidRPr="005930FC">
              <w:rPr>
                <w:rFonts w:asciiTheme="majorHAnsi" w:hAnsiTheme="majorHAnsi"/>
                <w:color w:val="000000" w:themeColor="text1"/>
                <w:sz w:val="20"/>
                <w:lang w:val="fr-FR"/>
              </w:rPr>
              <w:t>Tel. Nos. (632) 920-6131, 467-9039, 455-2856</w:t>
            </w:r>
          </w:p>
          <w:p w:rsidR="00435BD6" w:rsidRPr="005930FC" w:rsidRDefault="00435BD6" w:rsidP="004A2C04">
            <w:pPr>
              <w:rPr>
                <w:rFonts w:asciiTheme="majorHAnsi" w:hAnsiTheme="majorHAnsi"/>
                <w:color w:val="000000" w:themeColor="text1"/>
                <w:sz w:val="20"/>
                <w:lang w:val="fr-FR"/>
              </w:rPr>
            </w:pPr>
            <w:r w:rsidRPr="005930FC">
              <w:rPr>
                <w:rFonts w:asciiTheme="majorHAnsi" w:hAnsiTheme="majorHAnsi"/>
                <w:color w:val="000000" w:themeColor="text1"/>
                <w:sz w:val="20"/>
                <w:lang w:val="fr-FR"/>
              </w:rPr>
              <w:t>Fax. No. (632) 455-2858</w:t>
            </w:r>
          </w:p>
          <w:p w:rsidR="00435BD6" w:rsidRPr="005930FC" w:rsidRDefault="00435BD6" w:rsidP="004A2C04">
            <w:pPr>
              <w:rPr>
                <w:rFonts w:asciiTheme="majorHAnsi" w:hAnsiTheme="majorHAnsi"/>
                <w:color w:val="000000" w:themeColor="text1"/>
                <w:sz w:val="20"/>
                <w:lang w:val="fr-FR"/>
              </w:rPr>
            </w:pPr>
            <w:r w:rsidRPr="005930FC">
              <w:rPr>
                <w:rFonts w:asciiTheme="majorHAnsi" w:hAnsiTheme="majorHAnsi"/>
                <w:color w:val="000000" w:themeColor="text1"/>
                <w:sz w:val="20"/>
                <w:lang w:val="fr-FR"/>
              </w:rPr>
              <w:t xml:space="preserve">E-mail: </w:t>
            </w:r>
            <w:hyperlink r:id="rId33" w:history="1">
              <w:r w:rsidRPr="005930FC">
                <w:rPr>
                  <w:rStyle w:val="Hyperlink"/>
                  <w:rFonts w:asciiTheme="majorHAnsi" w:hAnsiTheme="majorHAnsi"/>
                  <w:color w:val="000000" w:themeColor="text1"/>
                  <w:sz w:val="20"/>
                  <w:lang w:val="fr-FR"/>
                </w:rPr>
                <w:t>bafpsda@yahoo.com</w:t>
              </w:r>
            </w:hyperlink>
            <w:r w:rsidRPr="005930FC">
              <w:rPr>
                <w:rFonts w:asciiTheme="majorHAnsi" w:hAnsiTheme="majorHAnsi"/>
                <w:color w:val="000000" w:themeColor="text1"/>
                <w:sz w:val="20"/>
                <w:lang w:val="fr-FR"/>
              </w:rPr>
              <w:t xml:space="preserve"> </w:t>
            </w:r>
          </w:p>
          <w:p w:rsidR="00435BD6" w:rsidRPr="002D5BE3" w:rsidRDefault="00435BD6" w:rsidP="004A2C04">
            <w:pPr>
              <w:rPr>
                <w:rFonts w:asciiTheme="majorHAnsi" w:hAnsiTheme="majorHAnsi"/>
                <w:color w:val="000000" w:themeColor="text1"/>
                <w:sz w:val="20"/>
                <w:u w:val="single"/>
                <w:lang w:val="fr-FR"/>
              </w:rPr>
            </w:pPr>
          </w:p>
        </w:tc>
        <w:tc>
          <w:tcPr>
            <w:tcW w:w="2050" w:type="pct"/>
          </w:tcPr>
          <w:p w:rsidR="00435BD6" w:rsidRPr="002D5BE3" w:rsidRDefault="00435BD6" w:rsidP="004A2C04">
            <w:pPr>
              <w:pStyle w:val="Heading9"/>
              <w:rPr>
                <w:rFonts w:asciiTheme="majorHAnsi" w:hAnsiTheme="majorHAnsi"/>
                <w:b w:val="0"/>
                <w:lang w:val="fr-FR"/>
              </w:rPr>
            </w:pPr>
          </w:p>
        </w:tc>
      </w:tr>
      <w:tr w:rsidR="00A9550A" w:rsidRPr="0008533B" w:rsidTr="00FA15C7">
        <w:tc>
          <w:tcPr>
            <w:tcW w:w="850" w:type="pct"/>
          </w:tcPr>
          <w:p w:rsidR="00A9550A" w:rsidRPr="0008533B" w:rsidRDefault="00A9550A">
            <w:pPr>
              <w:rPr>
                <w:b/>
                <w:i/>
                <w:sz w:val="20"/>
              </w:rPr>
            </w:pPr>
            <w:bookmarkStart w:id="17" w:name="Row6"/>
            <w:r w:rsidRPr="0008533B">
              <w:rPr>
                <w:b/>
                <w:i/>
                <w:sz w:val="20"/>
              </w:rPr>
              <w:lastRenderedPageBreak/>
              <w:t>Customs Procedures</w:t>
            </w:r>
            <w:bookmarkEnd w:id="17"/>
          </w:p>
          <w:p w:rsidR="00A9550A" w:rsidRPr="0008533B" w:rsidRDefault="00A9550A">
            <w:pPr>
              <w:rPr>
                <w:b/>
                <w:i/>
                <w:sz w:val="20"/>
              </w:rPr>
            </w:pPr>
          </w:p>
        </w:tc>
        <w:tc>
          <w:tcPr>
            <w:tcW w:w="2100" w:type="pct"/>
          </w:tcPr>
          <w:p w:rsidR="00A9550A" w:rsidRPr="00A9550A" w:rsidRDefault="00A9550A" w:rsidP="00A74C6F">
            <w:pPr>
              <w:jc w:val="both"/>
              <w:rPr>
                <w:sz w:val="20"/>
              </w:rPr>
            </w:pPr>
            <w:bookmarkStart w:id="18" w:name="Cell11"/>
            <w:bookmarkEnd w:id="18"/>
            <w:r w:rsidRPr="00A9550A">
              <w:rPr>
                <w:sz w:val="20"/>
              </w:rPr>
              <w:t>Transmitted the Instrument of Accession of the Revised Kyoto Convention (RKC) to the World Customs Organization during the Council Session in Brussels last 25 June 2010</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Issued Customs Administrative Order No. 6-2011 on 05 April 2011 providing supplemental rules in the implementation of CAO No. 3-2010 dated 12 May 2010 and CMO No. 18- 2010 specifically on providing rules and regulations in the imposition of penalties to importers who failed to secure load port surveys for more than two (2) times of their bulk or break-bulk cargoes.</w:t>
            </w:r>
          </w:p>
          <w:p w:rsidR="00A9550A" w:rsidRPr="00A9550A" w:rsidRDefault="00A9550A" w:rsidP="00A74C6F">
            <w:pPr>
              <w:jc w:val="both"/>
              <w:rPr>
                <w:sz w:val="20"/>
              </w:rPr>
            </w:pPr>
          </w:p>
          <w:p w:rsidR="00A9550A" w:rsidRPr="00A9550A" w:rsidRDefault="00A9550A" w:rsidP="00A74C6F">
            <w:pPr>
              <w:pStyle w:val="NoSpacing"/>
              <w:jc w:val="both"/>
              <w:rPr>
                <w:rFonts w:ascii="Times New Roman" w:hAnsi="Times New Roman" w:cs="Times New Roman"/>
                <w:sz w:val="20"/>
                <w:szCs w:val="20"/>
              </w:rPr>
            </w:pPr>
            <w:r w:rsidRPr="00A9550A">
              <w:rPr>
                <w:rFonts w:ascii="Times New Roman" w:hAnsi="Times New Roman" w:cs="Times New Roman"/>
                <w:sz w:val="20"/>
                <w:szCs w:val="20"/>
              </w:rPr>
              <w:t>Issued Customs Memorandum Order (CMO) No. 14-2013 on 03 December 2013 establishing rules and regulations for the Authorized Economic Operator (AEO) Program pursuant CAO 1-2012 issued on 26 June 2012 and amending CMO No 11-2012 dated 04 October 2012.</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Conducted gap analysis for the Authorized Economic Operator (AEO) Program with the assistance from EU-Trade Related Technical Assistance program and National Economic Development Authority.</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Accredited Cargo Surveyors to conduct Load Port Surveys. Load Port Survey Reports (LPSRs) are transmitted electronically to BOC 12hrs before the arrival of the shipments for the purpose of availing pre-clearance.</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Issued corresponding rules and regulations of E-Transit System by monitoring the movement of containerized cargo through GPS.</w:t>
            </w:r>
          </w:p>
          <w:p w:rsidR="00A9550A" w:rsidRPr="00A9550A" w:rsidRDefault="00A9550A" w:rsidP="00A74C6F">
            <w:pPr>
              <w:jc w:val="both"/>
              <w:rPr>
                <w:sz w:val="20"/>
              </w:rPr>
            </w:pPr>
          </w:p>
          <w:p w:rsidR="00A9550A" w:rsidRPr="00A9550A" w:rsidRDefault="00A9550A" w:rsidP="00A74C6F">
            <w:pPr>
              <w:pStyle w:val="NoSpacing"/>
              <w:jc w:val="both"/>
              <w:rPr>
                <w:rFonts w:ascii="Times New Roman" w:hAnsi="Times New Roman" w:cs="Times New Roman"/>
                <w:sz w:val="20"/>
                <w:szCs w:val="20"/>
              </w:rPr>
            </w:pPr>
            <w:r w:rsidRPr="00A9550A">
              <w:rPr>
                <w:rFonts w:ascii="Times New Roman" w:hAnsi="Times New Roman" w:cs="Times New Roman"/>
                <w:sz w:val="20"/>
                <w:szCs w:val="20"/>
              </w:rPr>
              <w:t xml:space="preserve">Implemented the Enhanced Customs Trans-shipment System (ECTS). The ECTS is one of the most advanced and </w:t>
            </w:r>
            <w:proofErr w:type="gramStart"/>
            <w:r w:rsidRPr="00A9550A">
              <w:rPr>
                <w:rFonts w:ascii="Times New Roman" w:hAnsi="Times New Roman" w:cs="Times New Roman"/>
                <w:sz w:val="20"/>
                <w:szCs w:val="20"/>
              </w:rPr>
              <w:t>innovative  risk</w:t>
            </w:r>
            <w:proofErr w:type="gramEnd"/>
            <w:r w:rsidRPr="00A9550A">
              <w:rPr>
                <w:rFonts w:ascii="Times New Roman" w:hAnsi="Times New Roman" w:cs="Times New Roman"/>
                <w:sz w:val="20"/>
                <w:szCs w:val="20"/>
              </w:rPr>
              <w:t xml:space="preserve">-based solution to combat smuggling, prevent hijacking and allow real-time monitoring of the cargo and facilitate trade. A GPS tracker is integrated into a security lock specially designed for ISO shipping containers which will alarm as soon as the container door is opened. </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Continued to conduct of pilot testing of the Automated Raw Materials Liquidation System.</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 xml:space="preserve">Implemented the Import and Assessment System in all ports/sub-ports nationwide (total :48 sites) which allows the following functions, among others: </w:t>
            </w:r>
          </w:p>
          <w:p w:rsidR="00A9550A" w:rsidRPr="00A9550A" w:rsidRDefault="00A9550A" w:rsidP="00A9550A">
            <w:pPr>
              <w:pStyle w:val="ListParagraph"/>
              <w:numPr>
                <w:ilvl w:val="0"/>
                <w:numId w:val="46"/>
              </w:numPr>
              <w:contextualSpacing/>
              <w:jc w:val="both"/>
              <w:rPr>
                <w:rFonts w:ascii="Times New Roman" w:hAnsi="Times New Roman"/>
                <w:sz w:val="20"/>
                <w:szCs w:val="20"/>
              </w:rPr>
            </w:pPr>
            <w:r w:rsidRPr="00A9550A">
              <w:rPr>
                <w:rFonts w:ascii="Times New Roman" w:hAnsi="Times New Roman"/>
                <w:sz w:val="20"/>
                <w:szCs w:val="20"/>
              </w:rPr>
              <w:t>Implementation of the enhanced Risk Management System for a more rationalized determination of the risk level of imports, toward ensuring that only medium-to-high risk shipments will be subjected to documentary and/or physical inspection;</w:t>
            </w:r>
          </w:p>
          <w:p w:rsidR="00A9550A" w:rsidRPr="00A9550A" w:rsidRDefault="00A9550A" w:rsidP="00A9550A">
            <w:pPr>
              <w:pStyle w:val="ListParagraph"/>
              <w:numPr>
                <w:ilvl w:val="0"/>
                <w:numId w:val="46"/>
              </w:numPr>
              <w:contextualSpacing/>
              <w:jc w:val="both"/>
              <w:rPr>
                <w:rFonts w:ascii="Times New Roman" w:hAnsi="Times New Roman"/>
                <w:sz w:val="20"/>
                <w:szCs w:val="20"/>
              </w:rPr>
            </w:pPr>
            <w:r w:rsidRPr="00A9550A">
              <w:rPr>
                <w:rFonts w:ascii="Times New Roman" w:hAnsi="Times New Roman"/>
                <w:sz w:val="20"/>
                <w:szCs w:val="20"/>
              </w:rPr>
              <w:t>Submission of Electronic Manifest from 5 days after arrival to 12 hours before arrival of vessel/shipment</w:t>
            </w:r>
          </w:p>
          <w:p w:rsidR="00A9550A" w:rsidRPr="00A9550A" w:rsidRDefault="00A9550A" w:rsidP="00A9550A">
            <w:pPr>
              <w:pStyle w:val="ListParagraph"/>
              <w:numPr>
                <w:ilvl w:val="0"/>
                <w:numId w:val="46"/>
              </w:numPr>
              <w:contextualSpacing/>
              <w:jc w:val="both"/>
              <w:rPr>
                <w:rFonts w:ascii="Times New Roman" w:hAnsi="Times New Roman"/>
                <w:sz w:val="20"/>
                <w:szCs w:val="20"/>
              </w:rPr>
            </w:pPr>
            <w:r w:rsidRPr="00A9550A">
              <w:rPr>
                <w:rFonts w:ascii="Times New Roman" w:hAnsi="Times New Roman"/>
                <w:sz w:val="20"/>
                <w:szCs w:val="20"/>
              </w:rPr>
              <w:t>Payment of duties/taxes &amp; other fees through banks, from cash and checks to electronic debit only</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Implemented the Philippine National Single Window (PNSW) in 30 government agencies including the Bureau of Customs. The electronic tagging of licenses/permits transmitted by Other Government Agencies (OGAs) was piloted at the Port of Manila &amp; Manila International Container Port. The implementing guidelines are covered in CMO 12-2012 which provides among others the tagging by BOC of the e-documents as used/rejected even without presenting the hardcopy.</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 xml:space="preserve">Launched the e-Payment module with the National Telecommunication </w:t>
            </w:r>
            <w:r w:rsidRPr="00A9550A">
              <w:rPr>
                <w:sz w:val="20"/>
              </w:rPr>
              <w:lastRenderedPageBreak/>
              <w:t>Commission as the pilot agency. The module provides for the payment of fees for license/permit application through banks.</w:t>
            </w:r>
          </w:p>
          <w:p w:rsidR="00A9550A" w:rsidRPr="00A9550A" w:rsidRDefault="00A9550A" w:rsidP="00A74C6F">
            <w:pPr>
              <w:jc w:val="both"/>
              <w:rPr>
                <w:sz w:val="20"/>
              </w:rPr>
            </w:pPr>
          </w:p>
        </w:tc>
        <w:tc>
          <w:tcPr>
            <w:tcW w:w="2050" w:type="pct"/>
          </w:tcPr>
          <w:p w:rsidR="00A9550A" w:rsidRPr="00A9550A" w:rsidRDefault="00A9550A" w:rsidP="00A74C6F">
            <w:pPr>
              <w:ind w:left="96"/>
              <w:jc w:val="both"/>
              <w:rPr>
                <w:sz w:val="20"/>
              </w:rPr>
            </w:pPr>
            <w:r w:rsidRPr="00A9550A">
              <w:rPr>
                <w:sz w:val="20"/>
              </w:rPr>
              <w:lastRenderedPageBreak/>
              <w:t>Passage of the Customs Modernization and Tariff Act (CMTA)  to address the requirements under the Revised Kyoto Convention (RKC)</w:t>
            </w:r>
          </w:p>
          <w:p w:rsidR="00A9550A" w:rsidRPr="00A9550A" w:rsidRDefault="00A9550A" w:rsidP="00A74C6F">
            <w:pPr>
              <w:jc w:val="both"/>
              <w:rPr>
                <w:sz w:val="20"/>
              </w:rPr>
            </w:pPr>
          </w:p>
          <w:p w:rsidR="00A9550A" w:rsidRPr="00A9550A" w:rsidRDefault="00A9550A" w:rsidP="00A74C6F">
            <w:pPr>
              <w:jc w:val="both"/>
              <w:rPr>
                <w:sz w:val="20"/>
              </w:rPr>
            </w:pPr>
            <w:r w:rsidRPr="00A9550A">
              <w:rPr>
                <w:sz w:val="20"/>
              </w:rPr>
              <w:t>Connect other relevant government agencies for the internet submission and electronic processing of import permits under the National Single Window System.</w:t>
            </w: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A26A52" w:rsidRDefault="007333BE" w:rsidP="009E28DA">
            <w:pPr>
              <w:pStyle w:val="Heading9"/>
              <w:rPr>
                <w:rFonts w:ascii="Times New Roman" w:hAnsi="Times New Roman"/>
                <w:b w:val="0"/>
                <w:i w:val="0"/>
              </w:rPr>
            </w:pPr>
            <w:r w:rsidRPr="00A26A52">
              <w:rPr>
                <w:rFonts w:ascii="Times New Roman" w:hAnsi="Times New Roman"/>
                <w:b w:val="0"/>
                <w:i w:val="0"/>
              </w:rPr>
              <w:t>http://www.customs.gov.ph</w:t>
            </w:r>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Pr="00A26A52" w:rsidRDefault="007333BE" w:rsidP="00A26A52">
            <w:pPr>
              <w:pStyle w:val="Heading9"/>
              <w:rPr>
                <w:rFonts w:ascii="Times New Roman" w:hAnsi="Times New Roman"/>
                <w:b w:val="0"/>
                <w:i w:val="0"/>
                <w:lang w:val="en-US"/>
              </w:rPr>
            </w:pPr>
            <w:r w:rsidRPr="00A26A52">
              <w:rPr>
                <w:rFonts w:ascii="Times New Roman" w:hAnsi="Times New Roman"/>
                <w:b w:val="0"/>
                <w:i w:val="0"/>
                <w:lang w:val="en-US"/>
              </w:rPr>
              <w:t>The Commissioner</w:t>
            </w:r>
          </w:p>
          <w:p w:rsidR="007333BE" w:rsidRPr="00A26A52" w:rsidRDefault="007333BE" w:rsidP="00A26A52">
            <w:pPr>
              <w:pStyle w:val="Heading9"/>
              <w:rPr>
                <w:rFonts w:ascii="Times New Roman" w:hAnsi="Times New Roman"/>
                <w:b w:val="0"/>
                <w:i w:val="0"/>
                <w:lang w:val="en-US"/>
              </w:rPr>
            </w:pPr>
            <w:r w:rsidRPr="00A26A52">
              <w:rPr>
                <w:rFonts w:ascii="Times New Roman" w:hAnsi="Times New Roman"/>
                <w:b w:val="0"/>
                <w:i w:val="0"/>
                <w:lang w:val="en-US"/>
              </w:rPr>
              <w:t>Office of the Commissioner</w:t>
            </w:r>
          </w:p>
          <w:p w:rsidR="007333BE" w:rsidRPr="00A26A52" w:rsidRDefault="007333BE" w:rsidP="00A26A52">
            <w:pPr>
              <w:pStyle w:val="Heading9"/>
              <w:rPr>
                <w:rFonts w:ascii="Times New Roman" w:hAnsi="Times New Roman"/>
                <w:b w:val="0"/>
                <w:i w:val="0"/>
                <w:lang w:val="en-US"/>
              </w:rPr>
            </w:pPr>
            <w:r w:rsidRPr="00A26A52">
              <w:rPr>
                <w:rFonts w:ascii="Times New Roman" w:hAnsi="Times New Roman"/>
                <w:b w:val="0"/>
                <w:i w:val="0"/>
                <w:lang w:val="en-US"/>
              </w:rPr>
              <w:t>Bureau of Customs</w:t>
            </w:r>
          </w:p>
          <w:p w:rsidR="007333BE" w:rsidRPr="00A26A52" w:rsidRDefault="007333BE" w:rsidP="00A26A52">
            <w:pPr>
              <w:pStyle w:val="Heading9"/>
              <w:rPr>
                <w:rFonts w:ascii="Times New Roman" w:hAnsi="Times New Roman"/>
                <w:b w:val="0"/>
                <w:i w:val="0"/>
                <w:lang w:val="en-US"/>
              </w:rPr>
            </w:pPr>
            <w:r w:rsidRPr="00A26A52">
              <w:rPr>
                <w:rFonts w:ascii="Times New Roman" w:hAnsi="Times New Roman"/>
                <w:b w:val="0"/>
                <w:i w:val="0"/>
                <w:lang w:val="en-US"/>
              </w:rPr>
              <w:t>G/F OCOM Building</w:t>
            </w:r>
          </w:p>
          <w:p w:rsidR="007333BE" w:rsidRPr="00A26A52" w:rsidRDefault="007333BE" w:rsidP="00A26A52">
            <w:pPr>
              <w:pStyle w:val="Heading9"/>
              <w:rPr>
                <w:rFonts w:ascii="Times New Roman" w:hAnsi="Times New Roman"/>
                <w:b w:val="0"/>
                <w:i w:val="0"/>
                <w:lang w:val="fr-FR"/>
              </w:rPr>
            </w:pPr>
            <w:r w:rsidRPr="00A26A52">
              <w:rPr>
                <w:rFonts w:ascii="Times New Roman" w:hAnsi="Times New Roman"/>
                <w:b w:val="0"/>
                <w:i w:val="0"/>
                <w:lang w:val="fr-FR"/>
              </w:rPr>
              <w:t>Port Area, Manila</w:t>
            </w:r>
          </w:p>
          <w:p w:rsidR="007333BE" w:rsidRPr="00A26A52" w:rsidRDefault="007333BE" w:rsidP="00A26A52">
            <w:pPr>
              <w:pStyle w:val="Heading9"/>
              <w:rPr>
                <w:rFonts w:ascii="Times New Roman" w:hAnsi="Times New Roman"/>
                <w:b w:val="0"/>
                <w:i w:val="0"/>
                <w:lang w:val="fr-FR"/>
              </w:rPr>
            </w:pPr>
            <w:r w:rsidRPr="00A26A52">
              <w:rPr>
                <w:rFonts w:ascii="Times New Roman" w:hAnsi="Times New Roman"/>
                <w:b w:val="0"/>
                <w:i w:val="0"/>
                <w:lang w:val="fr-FR"/>
              </w:rPr>
              <w:t>Tel: +632.527.4573/37</w:t>
            </w:r>
          </w:p>
          <w:p w:rsidR="007333BE" w:rsidRPr="00A26A52" w:rsidRDefault="007333BE" w:rsidP="00A26A52">
            <w:pPr>
              <w:pStyle w:val="Heading9"/>
              <w:rPr>
                <w:rFonts w:ascii="Times New Roman" w:hAnsi="Times New Roman"/>
                <w:b w:val="0"/>
                <w:i w:val="0"/>
                <w:lang w:val="fr-FR"/>
              </w:rPr>
            </w:pPr>
            <w:r w:rsidRPr="00A26A52">
              <w:rPr>
                <w:rFonts w:ascii="Times New Roman" w:hAnsi="Times New Roman"/>
                <w:b w:val="0"/>
                <w:i w:val="0"/>
                <w:lang w:val="fr-FR"/>
              </w:rPr>
              <w:t>Fax: +632.526.6355</w:t>
            </w:r>
          </w:p>
          <w:p w:rsidR="007333BE" w:rsidRPr="00A26A52" w:rsidRDefault="007333BE" w:rsidP="00A26A52">
            <w:pPr>
              <w:rPr>
                <w:sz w:val="20"/>
                <w:lang w:val="fr-FR"/>
              </w:rPr>
            </w:pPr>
            <w:r w:rsidRPr="00A26A52">
              <w:rPr>
                <w:sz w:val="20"/>
                <w:lang w:val="fr-FR"/>
              </w:rPr>
              <w:t xml:space="preserve">E-mail: </w:t>
            </w:r>
            <w:hyperlink r:id="rId34" w:history="1">
              <w:r w:rsidRPr="00A26A52">
                <w:rPr>
                  <w:rStyle w:val="Hyperlink"/>
                  <w:sz w:val="20"/>
                  <w:lang w:val="fr-FR"/>
                </w:rPr>
                <w:t>BOCCommissioner@customs.gov.ph</w:t>
              </w:r>
            </w:hyperlink>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pPr>
              <w:rPr>
                <w:b/>
                <w:i/>
                <w:sz w:val="20"/>
              </w:rPr>
            </w:pPr>
            <w:bookmarkStart w:id="19" w:name="Row7"/>
            <w:r w:rsidRPr="0008533B">
              <w:rPr>
                <w:b/>
                <w:i/>
                <w:sz w:val="20"/>
              </w:rPr>
              <w:t>Intellectual Property Rights</w:t>
            </w:r>
            <w:bookmarkEnd w:id="19"/>
          </w:p>
          <w:p w:rsidR="007333BE" w:rsidRPr="0008533B" w:rsidRDefault="007333BE">
            <w:pPr>
              <w:rPr>
                <w:b/>
                <w:i/>
                <w:sz w:val="20"/>
              </w:rPr>
            </w:pPr>
          </w:p>
        </w:tc>
        <w:tc>
          <w:tcPr>
            <w:tcW w:w="2100" w:type="pct"/>
          </w:tcPr>
          <w:p w:rsidR="007333BE" w:rsidRPr="001322B0" w:rsidRDefault="007333BE" w:rsidP="00494970">
            <w:pPr>
              <w:jc w:val="both"/>
              <w:rPr>
                <w:color w:val="000000" w:themeColor="text1"/>
                <w:sz w:val="20"/>
              </w:rPr>
            </w:pPr>
            <w:bookmarkStart w:id="20" w:name="Cell13"/>
            <w:bookmarkEnd w:id="20"/>
            <w:r w:rsidRPr="001322B0">
              <w:rPr>
                <w:color w:val="000000" w:themeColor="text1"/>
                <w:sz w:val="20"/>
                <w:lang w:val="en-US"/>
              </w:rPr>
              <w:t>Implemented the Rules on Mediation which made the referral of pending cases to mediation mandatory.</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Implemented the Arbitration Rules consistent with the WIPO Arbitration Rules; Training of almost a hundred arbitrators ensued in partnership with the Philippine Dispute Resolution Center (PDRCI).</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 xml:space="preserve">Promulgated the Amendments to the Rules and Regulations on Inter </w:t>
            </w:r>
            <w:proofErr w:type="spellStart"/>
            <w:r w:rsidRPr="001322B0">
              <w:rPr>
                <w:color w:val="000000" w:themeColor="text1"/>
                <w:sz w:val="20"/>
                <w:lang w:val="en-US"/>
              </w:rPr>
              <w:t>Partes</w:t>
            </w:r>
            <w:proofErr w:type="spellEnd"/>
            <w:r w:rsidRPr="001322B0">
              <w:rPr>
                <w:color w:val="000000" w:themeColor="text1"/>
                <w:sz w:val="20"/>
                <w:lang w:val="en-US"/>
              </w:rPr>
              <w:t xml:space="preserve"> Proceedings (Office Order No. 99. s. 2011); Supplemental guidelines were also issued by the Director of the Bureau of Legal Affairs (BLA), particularly, BLA Circular No. 1, s. 2011 on transitional guidelines, and BLA Circular No. 2, s. 2011, on the conduct of preliminary conference.</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Amended the Implementing Rules and Regulation on Patents, Utility Model, and Industrial Design.</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 xml:space="preserve">Approved the Examination Guidelines relating to Pharmaceutical Inventions involving Known Substances which provides the administrative interpretation of the provisions of Republic Act 9502 or the “Universally Accepted Cheaper Medicines Act of 2008.”  The Guidelines, which form an integral part of IPOPHL’s Manual on </w:t>
            </w:r>
            <w:r w:rsidRPr="001322B0">
              <w:rPr>
                <w:color w:val="000000" w:themeColor="text1"/>
                <w:sz w:val="20"/>
                <w:lang w:val="en-US"/>
              </w:rPr>
              <w:lastRenderedPageBreak/>
              <w:t>Substantive Examination Process (MSEP), recognize the importance of safeguarding public health considerations vis-à-vis granting patents for drugs or medicines by specifying in great detail how an invention of such nature satisfies the eligibility standard of novelty, inventive step and industrial applicability for patent protection and, conversely, when a subject matter falls in any of the contemplated non-patentable inventions under RA 9502.</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Worked on the promulgation of A.M. No. 10-3-10-SC or the Rules of Procedure for Intellectual Property Rights Cases (Special IP Rules).</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Issued an Office Order amending certain provisions of the IRR on administrative complaints for Intellectual Property Rights Violation.  Under the order, the Director of the Bureau of Legal Affairs may issue ex-parte a 72-hour temporary restraining order (TRO) that may be granted on grounds of extreme urgency and that the applicant will suffer grave injustice and irreparable injury.  If the evidence warrants, the TRO can be extended up to 20 days.  During said period, the application for the issuance of the preliminary injunction may be heard.  The preliminary injunction may last during the entire period of the proceedings or until the case is decided.  Moreover, the amendments now explicitly allow the introduction of forensic evidence, which is also envisioned to modernize the adjudication process.</w:t>
            </w:r>
          </w:p>
          <w:p w:rsidR="007333BE" w:rsidRPr="001322B0" w:rsidRDefault="007333BE" w:rsidP="00494970">
            <w:pPr>
              <w:jc w:val="both"/>
              <w:rPr>
                <w:bCs/>
                <w:color w:val="000000" w:themeColor="text1"/>
                <w:sz w:val="20"/>
                <w:lang w:val="en-US"/>
              </w:rPr>
            </w:pPr>
          </w:p>
          <w:p w:rsidR="007333BE" w:rsidRPr="001322B0" w:rsidRDefault="007333BE" w:rsidP="00494970">
            <w:pPr>
              <w:jc w:val="both"/>
              <w:rPr>
                <w:color w:val="000000" w:themeColor="text1"/>
                <w:sz w:val="20"/>
                <w:lang w:val="en-US"/>
              </w:rPr>
            </w:pPr>
            <w:r w:rsidRPr="001322B0">
              <w:rPr>
                <w:bCs/>
                <w:color w:val="000000" w:themeColor="text1"/>
                <w:sz w:val="20"/>
                <w:lang w:val="en-US"/>
              </w:rPr>
              <w:t xml:space="preserve">As part of the Intellectual Property Office of the Philippines’ (IPOPHL) compliance with Republic Act (RA) No. 9485 or the Anti-Red Tape Act, </w:t>
            </w:r>
            <w:r w:rsidRPr="001322B0">
              <w:rPr>
                <w:color w:val="000000" w:themeColor="text1"/>
                <w:sz w:val="20"/>
                <w:lang w:val="en-US"/>
              </w:rPr>
              <w:t xml:space="preserve">the “no noon break” policy was implemented requiring all frontline service personnel to maintain a skeletal workforce during lunch break and set a shifting/rotating schedule for employees who will render frontline service. </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Enacted Republic Act No. 10372, amending RA No. 8293, providing, among others, enforcement mandate to IPOPHL, and the creation of the Bureau of Copyright</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lang w:val="en-US"/>
              </w:rPr>
            </w:pPr>
            <w:r w:rsidRPr="001322B0">
              <w:rPr>
                <w:color w:val="000000" w:themeColor="text1"/>
                <w:sz w:val="20"/>
              </w:rPr>
              <w:lastRenderedPageBreak/>
              <w:t xml:space="preserve">Enacted </w:t>
            </w:r>
            <w:r w:rsidRPr="001322B0">
              <w:rPr>
                <w:color w:val="000000" w:themeColor="text1"/>
                <w:sz w:val="20"/>
                <w:lang w:val="en-US"/>
              </w:rPr>
              <w:t>Republic Act No. 10365, amending the Anti Money Laundering Act (AMLA), providing, among others, the inclusion of violations of RA No. 8293 as a predicate crime for money laundering offenses.</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Implementation of IPOPHL’s</w:t>
            </w:r>
            <w:r w:rsidRPr="001322B0">
              <w:rPr>
                <w:i/>
                <w:color w:val="000000" w:themeColor="text1"/>
                <w:sz w:val="20"/>
                <w:lang w:val="en-US"/>
              </w:rPr>
              <w:t xml:space="preserve"> Rules of Procedure on Intellectual Property Rights (IPR) Enforcement, </w:t>
            </w:r>
            <w:r w:rsidRPr="001322B0">
              <w:rPr>
                <w:i/>
                <w:color w:val="000000" w:themeColor="text1"/>
                <w:sz w:val="20"/>
              </w:rPr>
              <w:t xml:space="preserve">Rules on Resolution of Public Performance Disputes, </w:t>
            </w:r>
            <w:r w:rsidRPr="001322B0">
              <w:rPr>
                <w:i/>
                <w:color w:val="000000" w:themeColor="text1"/>
                <w:sz w:val="20"/>
                <w:lang w:val="en-US"/>
              </w:rPr>
              <w:t>Rules on Copyright Registration and Deposit and</w:t>
            </w:r>
            <w:r w:rsidRPr="001322B0">
              <w:rPr>
                <w:color w:val="000000" w:themeColor="text1"/>
                <w:sz w:val="20"/>
              </w:rPr>
              <w:t xml:space="preserve"> </w:t>
            </w:r>
            <w:r w:rsidRPr="001322B0">
              <w:rPr>
                <w:bCs/>
                <w:i/>
                <w:color w:val="000000" w:themeColor="text1"/>
                <w:sz w:val="20"/>
                <w:lang w:val="en-US"/>
              </w:rPr>
              <w:t>Rules on Accreditation of Collective Management Organizations.</w:t>
            </w:r>
          </w:p>
          <w:p w:rsidR="007333BE" w:rsidRPr="001322B0" w:rsidRDefault="007333BE" w:rsidP="00494970">
            <w:pPr>
              <w:jc w:val="both"/>
              <w:rPr>
                <w:color w:val="000000" w:themeColor="text1"/>
                <w:sz w:val="20"/>
                <w:lang w:val="en-PH"/>
              </w:rPr>
            </w:pPr>
          </w:p>
          <w:p w:rsidR="007333BE" w:rsidRPr="001322B0" w:rsidRDefault="007333BE" w:rsidP="00494970">
            <w:pPr>
              <w:jc w:val="both"/>
              <w:rPr>
                <w:color w:val="000000" w:themeColor="text1"/>
                <w:sz w:val="20"/>
                <w:lang w:val="en-PH"/>
              </w:rPr>
            </w:pPr>
            <w:r w:rsidRPr="001322B0">
              <w:rPr>
                <w:color w:val="000000" w:themeColor="text1"/>
                <w:sz w:val="20"/>
                <w:lang w:val="en-PH"/>
              </w:rPr>
              <w:t>Implemented IPOPHL’s Office Order No. 13-061, s. 2013 entitled "Trademark Applications with Priority Right Claim” to facilitate the registration of trademark applications claiming convention priority by dispensing with the requirement of submission of copies of foreign applications and registrations in countries with online trademark database.</w:t>
            </w:r>
          </w:p>
          <w:p w:rsidR="007333BE" w:rsidRPr="001322B0" w:rsidRDefault="007333BE" w:rsidP="00494970">
            <w:pPr>
              <w:jc w:val="both"/>
              <w:rPr>
                <w:color w:val="000000" w:themeColor="text1"/>
                <w:sz w:val="20"/>
                <w:lang w:val="en-US"/>
              </w:rPr>
            </w:pPr>
          </w:p>
          <w:p w:rsidR="007333BE" w:rsidRPr="001322B0" w:rsidRDefault="007333BE" w:rsidP="00494970">
            <w:pPr>
              <w:jc w:val="both"/>
              <w:rPr>
                <w:i/>
                <w:color w:val="000000" w:themeColor="text1"/>
                <w:sz w:val="20"/>
                <w:lang w:val="en-US"/>
              </w:rPr>
            </w:pPr>
            <w:r w:rsidRPr="001322B0">
              <w:rPr>
                <w:i/>
                <w:color w:val="000000" w:themeColor="text1"/>
                <w:sz w:val="20"/>
                <w:lang w:val="en-US"/>
              </w:rPr>
              <w:t>Inter-Agency Cooperation</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 xml:space="preserve">Enhanced border control measures through institutional partnership with the Philippine Ports Authority (PPA) </w:t>
            </w:r>
            <w:proofErr w:type="gramStart"/>
            <w:r w:rsidRPr="001322B0">
              <w:rPr>
                <w:color w:val="000000" w:themeColor="text1"/>
                <w:sz w:val="20"/>
                <w:lang w:val="en-US"/>
              </w:rPr>
              <w:t>and  Manila</w:t>
            </w:r>
            <w:proofErr w:type="gramEnd"/>
            <w:r w:rsidRPr="001322B0">
              <w:rPr>
                <w:color w:val="000000" w:themeColor="text1"/>
                <w:sz w:val="20"/>
                <w:lang w:val="en-US"/>
              </w:rPr>
              <w:t xml:space="preserve"> International Airport Authority (MIAA).</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Enhanced IPR enforcement investigation and prosecution through partnership with the Anti-Money Laundering Council (AMLC).</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Enhanced IP promotion and protection through collaboration  with the Securities and Exchange Commission (SEC) and Philippine Economic Zone Authority (PEZA)</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t>Institutionalized partnership with the NCCA and the NCIP to coordinate their efforts and expertise to protect the intellectual property of indigenous peoples.</w:t>
            </w:r>
          </w:p>
          <w:p w:rsidR="007333BE" w:rsidRPr="001322B0" w:rsidRDefault="007333BE" w:rsidP="00494970">
            <w:pPr>
              <w:jc w:val="both"/>
              <w:rPr>
                <w:color w:val="000000" w:themeColor="text1"/>
                <w:sz w:val="20"/>
                <w:lang w:val="en-US"/>
              </w:rPr>
            </w:pPr>
            <w:r w:rsidRPr="001322B0">
              <w:rPr>
                <w:color w:val="000000" w:themeColor="text1"/>
                <w:sz w:val="20"/>
                <w:lang w:val="en-US"/>
              </w:rPr>
              <w:t>2012</w:t>
            </w:r>
          </w:p>
          <w:p w:rsidR="007333BE" w:rsidRPr="001322B0" w:rsidRDefault="007333BE" w:rsidP="00494970">
            <w:pPr>
              <w:jc w:val="both"/>
              <w:rPr>
                <w:color w:val="000000" w:themeColor="text1"/>
                <w:sz w:val="20"/>
                <w:lang w:val="en-US"/>
              </w:rPr>
            </w:pPr>
            <w:r w:rsidRPr="001322B0">
              <w:rPr>
                <w:color w:val="000000" w:themeColor="text1"/>
                <w:sz w:val="20"/>
                <w:lang w:val="en-US"/>
              </w:rPr>
              <w:t xml:space="preserve">Enhanced capacity building for special commercial court judges, selected prosecutors, clerks of court and IPOPHL hearing officers on the </w:t>
            </w:r>
            <w:r w:rsidRPr="001322B0">
              <w:rPr>
                <w:color w:val="000000" w:themeColor="text1"/>
                <w:sz w:val="20"/>
                <w:lang w:val="en-US"/>
              </w:rPr>
              <w:lastRenderedPageBreak/>
              <w:t>Rules of Procedures on Intellectual Property Cases through institutional partnership with Philippine Judicial Academy (PHILJA).</w:t>
            </w:r>
          </w:p>
          <w:p w:rsidR="007333BE" w:rsidRPr="001322B0" w:rsidRDefault="007333BE" w:rsidP="00494970">
            <w:pPr>
              <w:jc w:val="both"/>
              <w:rPr>
                <w:color w:val="000000" w:themeColor="text1"/>
                <w:sz w:val="20"/>
              </w:rPr>
            </w:pPr>
            <w:r w:rsidRPr="001322B0">
              <w:rPr>
                <w:color w:val="000000" w:themeColor="text1"/>
                <w:sz w:val="20"/>
              </w:rPr>
              <w:t>2013</w:t>
            </w:r>
          </w:p>
          <w:p w:rsidR="007333BE" w:rsidRPr="001322B0" w:rsidRDefault="007333BE" w:rsidP="00494970">
            <w:pPr>
              <w:jc w:val="both"/>
              <w:rPr>
                <w:color w:val="000000" w:themeColor="text1"/>
                <w:sz w:val="20"/>
                <w:lang w:val="en-US"/>
              </w:rPr>
            </w:pPr>
            <w:r w:rsidRPr="001322B0">
              <w:rPr>
                <w:color w:val="000000" w:themeColor="text1"/>
                <w:sz w:val="20"/>
              </w:rPr>
              <w:t>Partnership with Cooperative Development Authority to formalize the agencies’ partnership in connection with the development, protection and promotion of Geographical Indications (GI).</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 xml:space="preserve">Enhanced IPR enforcement through awareness campaign on the dangers of counterfeit, particularly road safety, by engaging  the Land Transportation Franchising and Regulatory Board (LTFRB), the Land Transportation Office (LT0) and the Motorcycle Development Program Participants Association (MDPPA) </w:t>
            </w:r>
          </w:p>
          <w:p w:rsidR="007333BE" w:rsidRPr="001322B0" w:rsidRDefault="007333BE" w:rsidP="00494970">
            <w:pPr>
              <w:jc w:val="both"/>
              <w:rPr>
                <w:color w:val="000000" w:themeColor="text1"/>
                <w:sz w:val="20"/>
              </w:rPr>
            </w:pPr>
          </w:p>
          <w:p w:rsidR="007333BE" w:rsidRPr="001322B0" w:rsidRDefault="007333BE" w:rsidP="00494970">
            <w:pPr>
              <w:jc w:val="both"/>
              <w:rPr>
                <w:i/>
                <w:color w:val="000000" w:themeColor="text1"/>
                <w:sz w:val="20"/>
                <w:lang w:val="en-US"/>
              </w:rPr>
            </w:pPr>
            <w:r w:rsidRPr="001322B0">
              <w:rPr>
                <w:i/>
                <w:color w:val="000000" w:themeColor="text1"/>
                <w:sz w:val="20"/>
                <w:lang w:val="en-US"/>
              </w:rPr>
              <w:t>Expansion and Automation of IP Services</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rPr>
            </w:pPr>
            <w:r w:rsidRPr="001322B0">
              <w:rPr>
                <w:color w:val="000000" w:themeColor="text1"/>
                <w:sz w:val="20"/>
                <w:lang w:val="en-US"/>
              </w:rPr>
              <w:t xml:space="preserve">Extended accessibility of services by opening three (3) more IP Satellite Offices (IPSOs) in Cagayan de Oro, </w:t>
            </w:r>
            <w:proofErr w:type="spellStart"/>
            <w:r w:rsidRPr="001322B0">
              <w:rPr>
                <w:color w:val="000000" w:themeColor="text1"/>
                <w:sz w:val="20"/>
                <w:lang w:val="en-US"/>
              </w:rPr>
              <w:t>Tuguegarao</w:t>
            </w:r>
            <w:proofErr w:type="spellEnd"/>
            <w:r w:rsidRPr="001322B0">
              <w:rPr>
                <w:color w:val="000000" w:themeColor="text1"/>
                <w:sz w:val="20"/>
                <w:lang w:val="en-US"/>
              </w:rPr>
              <w:t xml:space="preserve">, and </w:t>
            </w:r>
            <w:proofErr w:type="spellStart"/>
            <w:r w:rsidRPr="001322B0">
              <w:rPr>
                <w:color w:val="000000" w:themeColor="text1"/>
                <w:sz w:val="20"/>
                <w:lang w:val="en-US"/>
              </w:rPr>
              <w:t>Tacloban</w:t>
            </w:r>
            <w:proofErr w:type="spellEnd"/>
            <w:r w:rsidRPr="001322B0">
              <w:rPr>
                <w:color w:val="000000" w:themeColor="text1"/>
                <w:sz w:val="20"/>
                <w:lang w:val="en-US"/>
              </w:rPr>
              <w:t xml:space="preserve"> bringing the total number of IPSOs to ten (10); IPSOs have started accepting copyright works for deposit with the National Library provided in a memorandum entered into by the IPOPHL and the National Library.</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lang w:val="en-US"/>
              </w:rPr>
            </w:pPr>
            <w:r w:rsidRPr="001322B0">
              <w:rPr>
                <w:color w:val="000000" w:themeColor="text1"/>
                <w:sz w:val="20"/>
              </w:rPr>
              <w:t>IPOPHL’s establishment of sixty-four (64) Innovation and Technology Support Offices (ITSOs) in universities, research and development institutions, and other organizations all over the country; IPOPHL continuously provides technical assistance so that the ITSOs can become effective patent service providers that can provide reliable patent searches, draft patent claims, and provide advice and over-all IP management in their respective communities.</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rPr>
            </w:pPr>
            <w:r w:rsidRPr="001322B0">
              <w:rPr>
                <w:color w:val="000000" w:themeColor="text1"/>
                <w:sz w:val="20"/>
              </w:rPr>
              <w:t>IPOPHL’s full deployment of the Industrial Property Automation System (IPAS) enabling automated processing of utility model, industrial design, patent, and trademark applications.</w:t>
            </w:r>
          </w:p>
          <w:p w:rsidR="007333BE" w:rsidRPr="001322B0" w:rsidRDefault="007333BE" w:rsidP="00494970">
            <w:pPr>
              <w:jc w:val="both"/>
              <w:rPr>
                <w:color w:val="000000" w:themeColor="text1"/>
                <w:sz w:val="20"/>
              </w:rPr>
            </w:pPr>
          </w:p>
          <w:p w:rsidR="007333BE" w:rsidRPr="001322B0" w:rsidRDefault="007333BE" w:rsidP="00494970">
            <w:pPr>
              <w:jc w:val="both"/>
              <w:rPr>
                <w:i/>
                <w:color w:val="000000" w:themeColor="text1"/>
                <w:sz w:val="20"/>
              </w:rPr>
            </w:pPr>
            <w:r w:rsidRPr="001322B0">
              <w:rPr>
                <w:i/>
                <w:color w:val="000000" w:themeColor="text1"/>
                <w:sz w:val="20"/>
              </w:rPr>
              <w:t>Promoting IP Education</w:t>
            </w:r>
          </w:p>
          <w:p w:rsidR="007333BE" w:rsidRPr="001322B0" w:rsidRDefault="007333BE" w:rsidP="00494970">
            <w:pPr>
              <w:jc w:val="both"/>
              <w:rPr>
                <w:color w:val="000000" w:themeColor="text1"/>
                <w:sz w:val="20"/>
                <w:lang w:val="en-US"/>
              </w:rPr>
            </w:pPr>
          </w:p>
          <w:p w:rsidR="007333BE" w:rsidRPr="001322B0" w:rsidRDefault="007333BE" w:rsidP="00494970">
            <w:pPr>
              <w:jc w:val="both"/>
              <w:rPr>
                <w:color w:val="000000" w:themeColor="text1"/>
                <w:sz w:val="20"/>
                <w:lang w:val="en-US"/>
              </w:rPr>
            </w:pPr>
            <w:r w:rsidRPr="001322B0">
              <w:rPr>
                <w:color w:val="000000" w:themeColor="text1"/>
                <w:sz w:val="20"/>
                <w:lang w:val="en-US"/>
              </w:rPr>
              <w:lastRenderedPageBreak/>
              <w:t xml:space="preserve">IPOPHL and the </w:t>
            </w:r>
            <w:proofErr w:type="spellStart"/>
            <w:r w:rsidRPr="001322B0">
              <w:rPr>
                <w:color w:val="000000" w:themeColor="text1"/>
                <w:sz w:val="20"/>
                <w:lang w:val="en-US"/>
              </w:rPr>
              <w:t>Ateneo</w:t>
            </w:r>
            <w:proofErr w:type="spellEnd"/>
            <w:r w:rsidRPr="001322B0">
              <w:rPr>
                <w:color w:val="000000" w:themeColor="text1"/>
                <w:sz w:val="20"/>
                <w:lang w:val="en-US"/>
              </w:rPr>
              <w:t xml:space="preserve"> Law School signed a Memorandum of Agreement launching and implementing the Master of Laws in IP Program.</w:t>
            </w:r>
          </w:p>
          <w:p w:rsidR="007333BE" w:rsidRPr="001322B0" w:rsidRDefault="007333BE" w:rsidP="00494970">
            <w:pPr>
              <w:jc w:val="both"/>
              <w:rPr>
                <w:color w:val="000000" w:themeColor="text1"/>
                <w:sz w:val="20"/>
              </w:rPr>
            </w:pPr>
          </w:p>
          <w:p w:rsidR="007333BE" w:rsidRPr="001322B0" w:rsidRDefault="007333BE" w:rsidP="00494970">
            <w:pPr>
              <w:jc w:val="both"/>
              <w:rPr>
                <w:bCs/>
                <w:i/>
                <w:color w:val="000000" w:themeColor="text1"/>
                <w:sz w:val="20"/>
                <w:lang w:val="en-US"/>
              </w:rPr>
            </w:pPr>
            <w:r w:rsidRPr="001322B0">
              <w:rPr>
                <w:bCs/>
                <w:i/>
                <w:color w:val="000000" w:themeColor="text1"/>
                <w:sz w:val="20"/>
                <w:lang w:val="en-US"/>
              </w:rPr>
              <w:t>International/Bilateral Cooperation &amp; Treaties</w:t>
            </w:r>
          </w:p>
          <w:p w:rsidR="007333BE" w:rsidRPr="001322B0" w:rsidRDefault="007333BE" w:rsidP="00494970">
            <w:pPr>
              <w:jc w:val="both"/>
              <w:rPr>
                <w:bCs/>
                <w:color w:val="000000" w:themeColor="text1"/>
                <w:sz w:val="20"/>
                <w:lang w:val="en-US"/>
              </w:rPr>
            </w:pPr>
          </w:p>
          <w:p w:rsidR="007333BE" w:rsidRPr="001322B0" w:rsidRDefault="007333BE" w:rsidP="00494970">
            <w:pPr>
              <w:jc w:val="both"/>
              <w:rPr>
                <w:bCs/>
                <w:color w:val="000000" w:themeColor="text1"/>
                <w:sz w:val="20"/>
                <w:lang w:val="en-US"/>
              </w:rPr>
            </w:pPr>
            <w:r w:rsidRPr="001322B0">
              <w:rPr>
                <w:bCs/>
                <w:color w:val="000000" w:themeColor="text1"/>
                <w:sz w:val="20"/>
                <w:lang w:val="en-US"/>
              </w:rPr>
              <w:t>Signed the Patent Prosecution Highway (PPH) agreement and implemented the IPOPHL-JPO PPH which is part of a global effort to initiate work-sharing and reduce redundancy of work in IP offices. Also signed the IPOPHL-United States Patent and Trademark Office (USPTO) PPH Agreement on 04 October 2012 and commenced in January 2013.</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 xml:space="preserve">Acceded to the Madrid Protocol with the signing by President </w:t>
            </w:r>
            <w:proofErr w:type="spellStart"/>
            <w:r w:rsidRPr="001322B0">
              <w:rPr>
                <w:color w:val="000000" w:themeColor="text1"/>
                <w:sz w:val="20"/>
              </w:rPr>
              <w:t>Benigno</w:t>
            </w:r>
            <w:proofErr w:type="spellEnd"/>
            <w:r w:rsidRPr="001322B0">
              <w:rPr>
                <w:color w:val="000000" w:themeColor="text1"/>
                <w:sz w:val="20"/>
              </w:rPr>
              <w:t xml:space="preserve"> S. Aquino III of the instrument of accession on 27 March 2012. </w:t>
            </w:r>
            <w:r w:rsidRPr="001322B0">
              <w:rPr>
                <w:color w:val="000000" w:themeColor="text1"/>
                <w:sz w:val="20"/>
                <w:lang w:val="en-US"/>
              </w:rPr>
              <w:t>In line with this, the IPOPHL promulgated the “Philippine Regulation Implementing the Protocol Relating to the Madrid Agreement Concerning the International Registration of Marks” or the “Philippine Madrid Regulations” and promulgated the fee structure for the collection of Madrid Protocol-related transactions.</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Signed the Treaty on the Protection of Audiovisual Performances referred to as the “Beijing Treaty” on 26 June 2012.</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Signed the Marrakesh Treaty which allows the reproduction, distribution, and making available of published works in accessible formats through limitations and exceptions to the rights of copyright right holders. Copies of works in accessible formats will include Braille, audiobooks and large-print formats. Enacted R.A. 10372, which became effective in 2013</w:t>
            </w:r>
            <w:proofErr w:type="gramStart"/>
            <w:r w:rsidRPr="001322B0">
              <w:rPr>
                <w:color w:val="000000" w:themeColor="text1"/>
                <w:sz w:val="20"/>
              </w:rPr>
              <w:t>,  amended</w:t>
            </w:r>
            <w:proofErr w:type="gramEnd"/>
            <w:r w:rsidRPr="001322B0">
              <w:rPr>
                <w:color w:val="000000" w:themeColor="text1"/>
                <w:sz w:val="20"/>
              </w:rPr>
              <w:t xml:space="preserve"> Section 184 of the IP Code and added to the limitations and exceptions to copyright thereby allowing the reproduction and distribution of the specialized formats for the blind, visually impaired, and reading impaired.</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Initiatives on pre-accession information dissemination and post-</w:t>
            </w:r>
            <w:r w:rsidRPr="001322B0">
              <w:rPr>
                <w:color w:val="000000" w:themeColor="text1"/>
                <w:sz w:val="20"/>
              </w:rPr>
              <w:lastRenderedPageBreak/>
              <w:t>accession promotion for the better use of the Madrid system in the ASEAN region were undertaken with the ASEAN-Australia-New Zealand Free Trade Area in partnership with the World Intellectual Property Organization (WIPO).</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Enhanced bilateral cooperation with Mexico to increase technical collaboration in industrial property. Under the agreement, IPOPHL and IMPI (</w:t>
            </w:r>
            <w:proofErr w:type="spellStart"/>
            <w:r w:rsidRPr="001322B0">
              <w:rPr>
                <w:i/>
                <w:color w:val="000000" w:themeColor="text1"/>
                <w:sz w:val="20"/>
              </w:rPr>
              <w:t>Instituto</w:t>
            </w:r>
            <w:proofErr w:type="spellEnd"/>
            <w:r w:rsidRPr="001322B0">
              <w:rPr>
                <w:i/>
                <w:color w:val="000000" w:themeColor="text1"/>
                <w:sz w:val="20"/>
              </w:rPr>
              <w:t xml:space="preserve"> </w:t>
            </w:r>
            <w:proofErr w:type="spellStart"/>
            <w:r w:rsidRPr="001322B0">
              <w:rPr>
                <w:i/>
                <w:color w:val="000000" w:themeColor="text1"/>
                <w:sz w:val="20"/>
              </w:rPr>
              <w:t>Mexicano</w:t>
            </w:r>
            <w:proofErr w:type="spellEnd"/>
            <w:r w:rsidRPr="001322B0">
              <w:rPr>
                <w:i/>
                <w:color w:val="000000" w:themeColor="text1"/>
                <w:sz w:val="20"/>
              </w:rPr>
              <w:t xml:space="preserve"> de la </w:t>
            </w:r>
            <w:proofErr w:type="spellStart"/>
            <w:r w:rsidRPr="001322B0">
              <w:rPr>
                <w:i/>
                <w:color w:val="000000" w:themeColor="text1"/>
                <w:sz w:val="20"/>
              </w:rPr>
              <w:t>Propiedad</w:t>
            </w:r>
            <w:proofErr w:type="spellEnd"/>
            <w:r w:rsidRPr="001322B0">
              <w:rPr>
                <w:i/>
                <w:color w:val="000000" w:themeColor="text1"/>
                <w:sz w:val="20"/>
              </w:rPr>
              <w:t xml:space="preserve"> Industrial)</w:t>
            </w:r>
            <w:r w:rsidRPr="001322B0">
              <w:rPr>
                <w:color w:val="000000" w:themeColor="text1"/>
                <w:sz w:val="20"/>
              </w:rPr>
              <w:t xml:space="preserve"> will work together to promote innovation, creativity and technological advancement.</w:t>
            </w:r>
          </w:p>
          <w:p w:rsidR="007333BE" w:rsidRPr="001322B0" w:rsidRDefault="007333BE" w:rsidP="00494970">
            <w:pPr>
              <w:jc w:val="both"/>
              <w:rPr>
                <w:color w:val="000000" w:themeColor="text1"/>
                <w:sz w:val="20"/>
              </w:rPr>
            </w:pPr>
          </w:p>
          <w:p w:rsidR="007333BE" w:rsidRPr="001322B0" w:rsidRDefault="007333BE" w:rsidP="00494970">
            <w:pPr>
              <w:jc w:val="both"/>
              <w:rPr>
                <w:i/>
                <w:color w:val="000000" w:themeColor="text1"/>
                <w:sz w:val="20"/>
              </w:rPr>
            </w:pPr>
            <w:r w:rsidRPr="001322B0">
              <w:rPr>
                <w:i/>
                <w:color w:val="000000" w:themeColor="text1"/>
                <w:sz w:val="20"/>
              </w:rPr>
              <w:t>Increasing IP Awareness and Capacity Building</w:t>
            </w:r>
          </w:p>
          <w:p w:rsidR="007333BE" w:rsidRPr="001322B0" w:rsidRDefault="007333BE" w:rsidP="00494970">
            <w:pPr>
              <w:jc w:val="both"/>
              <w:rPr>
                <w:i/>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Enhanced capacity building of prosecutors, IPOPHL hearing officers and judges on IP related cases through workshops and seminars.</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lang w:val="en-US"/>
              </w:rPr>
            </w:pPr>
            <w:r w:rsidRPr="001322B0">
              <w:rPr>
                <w:color w:val="000000" w:themeColor="text1"/>
                <w:sz w:val="20"/>
                <w:lang w:val="en-US"/>
              </w:rPr>
              <w:t>Institutional partnership with the Motorcycle Development Program of the Philippines Association (MDPPA) to generate awareness about the importance of IPR on the social and economic development of the manufacture of motorcycles and its parts.</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 xml:space="preserve">Launched a project on Geographical Indications (GIs) - Eight (8) pilot products have been included in the project covering the following cities or provinces and products: </w:t>
            </w:r>
            <w:proofErr w:type="spellStart"/>
            <w:r w:rsidRPr="001322B0">
              <w:rPr>
                <w:color w:val="000000" w:themeColor="text1"/>
                <w:sz w:val="20"/>
              </w:rPr>
              <w:t>Aklan</w:t>
            </w:r>
            <w:proofErr w:type="spellEnd"/>
            <w:r w:rsidRPr="001322B0">
              <w:rPr>
                <w:color w:val="000000" w:themeColor="text1"/>
                <w:sz w:val="20"/>
              </w:rPr>
              <w:t xml:space="preserve"> for Piña Cloth; </w:t>
            </w:r>
            <w:proofErr w:type="spellStart"/>
            <w:r w:rsidRPr="001322B0">
              <w:rPr>
                <w:color w:val="000000" w:themeColor="text1"/>
                <w:sz w:val="20"/>
              </w:rPr>
              <w:t>Batangas</w:t>
            </w:r>
            <w:proofErr w:type="spellEnd"/>
            <w:r w:rsidRPr="001322B0">
              <w:rPr>
                <w:color w:val="000000" w:themeColor="text1"/>
                <w:sz w:val="20"/>
              </w:rPr>
              <w:t xml:space="preserve"> for </w:t>
            </w:r>
            <w:proofErr w:type="spellStart"/>
            <w:r w:rsidRPr="001322B0">
              <w:rPr>
                <w:color w:val="000000" w:themeColor="text1"/>
                <w:sz w:val="20"/>
              </w:rPr>
              <w:t>Barako</w:t>
            </w:r>
            <w:proofErr w:type="spellEnd"/>
            <w:r w:rsidRPr="001322B0">
              <w:rPr>
                <w:color w:val="000000" w:themeColor="text1"/>
                <w:sz w:val="20"/>
              </w:rPr>
              <w:t xml:space="preserve"> Coffee; Bicol for Pili Nut; </w:t>
            </w:r>
            <w:proofErr w:type="spellStart"/>
            <w:r w:rsidRPr="001322B0">
              <w:rPr>
                <w:color w:val="000000" w:themeColor="text1"/>
                <w:sz w:val="20"/>
              </w:rPr>
              <w:t>Dagupan</w:t>
            </w:r>
            <w:proofErr w:type="spellEnd"/>
            <w:r w:rsidRPr="001322B0">
              <w:rPr>
                <w:color w:val="000000" w:themeColor="text1"/>
                <w:sz w:val="20"/>
              </w:rPr>
              <w:t xml:space="preserve"> City for </w:t>
            </w:r>
            <w:proofErr w:type="spellStart"/>
            <w:r w:rsidRPr="001322B0">
              <w:rPr>
                <w:color w:val="000000" w:themeColor="text1"/>
                <w:sz w:val="20"/>
              </w:rPr>
              <w:t>Bonuan</w:t>
            </w:r>
            <w:proofErr w:type="spellEnd"/>
            <w:r w:rsidRPr="001322B0">
              <w:rPr>
                <w:color w:val="000000" w:themeColor="text1"/>
                <w:sz w:val="20"/>
              </w:rPr>
              <w:t xml:space="preserve"> </w:t>
            </w:r>
            <w:proofErr w:type="spellStart"/>
            <w:r w:rsidRPr="001322B0">
              <w:rPr>
                <w:color w:val="000000" w:themeColor="text1"/>
                <w:sz w:val="20"/>
              </w:rPr>
              <w:t>Bangus</w:t>
            </w:r>
            <w:proofErr w:type="spellEnd"/>
            <w:r w:rsidRPr="001322B0">
              <w:rPr>
                <w:color w:val="000000" w:themeColor="text1"/>
                <w:sz w:val="20"/>
              </w:rPr>
              <w:t xml:space="preserve"> (Milkfish); in Cebu for dried mangoes; </w:t>
            </w:r>
            <w:proofErr w:type="spellStart"/>
            <w:r w:rsidRPr="001322B0">
              <w:rPr>
                <w:color w:val="000000" w:themeColor="text1"/>
                <w:sz w:val="20"/>
              </w:rPr>
              <w:t>Guimaras</w:t>
            </w:r>
            <w:proofErr w:type="spellEnd"/>
            <w:r w:rsidRPr="001322B0">
              <w:rPr>
                <w:color w:val="000000" w:themeColor="text1"/>
                <w:sz w:val="20"/>
              </w:rPr>
              <w:t xml:space="preserve"> for fresh mangoes; Lake </w:t>
            </w:r>
            <w:proofErr w:type="spellStart"/>
            <w:r w:rsidRPr="001322B0">
              <w:rPr>
                <w:color w:val="000000" w:themeColor="text1"/>
                <w:sz w:val="20"/>
              </w:rPr>
              <w:t>Sebu</w:t>
            </w:r>
            <w:proofErr w:type="spellEnd"/>
            <w:r w:rsidRPr="001322B0">
              <w:rPr>
                <w:color w:val="000000" w:themeColor="text1"/>
                <w:sz w:val="20"/>
              </w:rPr>
              <w:t xml:space="preserve"> for </w:t>
            </w:r>
            <w:proofErr w:type="spellStart"/>
            <w:r w:rsidRPr="001322B0">
              <w:rPr>
                <w:color w:val="000000" w:themeColor="text1"/>
                <w:sz w:val="20"/>
              </w:rPr>
              <w:t>T’nalak</w:t>
            </w:r>
            <w:proofErr w:type="spellEnd"/>
            <w:r w:rsidRPr="001322B0">
              <w:rPr>
                <w:color w:val="000000" w:themeColor="text1"/>
                <w:sz w:val="20"/>
              </w:rPr>
              <w:t xml:space="preserve"> weaves</w:t>
            </w:r>
            <w:proofErr w:type="gramStart"/>
            <w:r w:rsidRPr="001322B0">
              <w:rPr>
                <w:color w:val="000000" w:themeColor="text1"/>
                <w:sz w:val="20"/>
              </w:rPr>
              <w:t xml:space="preserve">;  </w:t>
            </w:r>
            <w:proofErr w:type="spellStart"/>
            <w:r w:rsidRPr="001322B0">
              <w:rPr>
                <w:color w:val="000000" w:themeColor="text1"/>
                <w:sz w:val="20"/>
              </w:rPr>
              <w:t>Lumban</w:t>
            </w:r>
            <w:proofErr w:type="spellEnd"/>
            <w:proofErr w:type="gramEnd"/>
            <w:r w:rsidRPr="001322B0">
              <w:rPr>
                <w:color w:val="000000" w:themeColor="text1"/>
                <w:sz w:val="20"/>
              </w:rPr>
              <w:t xml:space="preserve"> for Barong shirt and clothes.</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 xml:space="preserve">As part of IPR Enforcement, particularly on advocacy and building respect for IP, IPOPHL launched an IP Youth Camp to generate support from youth groups in the promotion, protection and enforcement of IP.  This is envisioned as an initial step to involve the schools in IP advocacy. </w:t>
            </w:r>
          </w:p>
          <w:p w:rsidR="007333BE" w:rsidRPr="001322B0" w:rsidRDefault="007333BE" w:rsidP="00494970">
            <w:pPr>
              <w:jc w:val="both"/>
              <w:rPr>
                <w:color w:val="000000" w:themeColor="text1"/>
                <w:sz w:val="20"/>
              </w:rPr>
            </w:pPr>
          </w:p>
          <w:p w:rsidR="007333BE" w:rsidRPr="001322B0" w:rsidRDefault="007333BE" w:rsidP="00494970">
            <w:pPr>
              <w:jc w:val="both"/>
              <w:rPr>
                <w:i/>
                <w:color w:val="000000" w:themeColor="text1"/>
                <w:sz w:val="20"/>
              </w:rPr>
            </w:pPr>
            <w:r w:rsidRPr="001322B0">
              <w:rPr>
                <w:i/>
                <w:color w:val="000000" w:themeColor="text1"/>
                <w:sz w:val="20"/>
              </w:rPr>
              <w:t>IP Enforcement</w:t>
            </w:r>
          </w:p>
          <w:p w:rsidR="007333BE" w:rsidRPr="001322B0" w:rsidRDefault="007333BE" w:rsidP="00494970">
            <w:pPr>
              <w:jc w:val="both"/>
              <w:rPr>
                <w:i/>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lastRenderedPageBreak/>
              <w:t xml:space="preserve">Heightened public education and awareness to build an IP friendly constituency. IPOPHL conducted Anti-Counterfeiting and Piracy Summits from 2011 to 2013. </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Maximized efforts on enforcement resulting to the delisting of the Philippines from the Notorious Markets determined by the Office of the United States Trade Representatives (USTR) in the Out-of-Cycle Review of Notorious Markets dated 13 December 2012.</w:t>
            </w:r>
          </w:p>
          <w:p w:rsidR="007333BE" w:rsidRPr="001322B0" w:rsidRDefault="007333BE" w:rsidP="00494970">
            <w:pPr>
              <w:tabs>
                <w:tab w:val="left" w:pos="346"/>
                <w:tab w:val="center" w:pos="756"/>
              </w:tabs>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Enhanced the investigation and prosecution of IPR cases through the crafting of a manual for investigators and prosecutors.</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lang w:val="en-US"/>
              </w:rPr>
            </w:pPr>
            <w:r w:rsidRPr="001322B0">
              <w:rPr>
                <w:color w:val="000000" w:themeColor="text1"/>
                <w:sz w:val="20"/>
                <w:lang w:val="en-US"/>
              </w:rPr>
              <w:t>Implemented the 2012-2016 Philippine Action Plan on Intellectual Property Rights Protection and Enforcement.</w:t>
            </w:r>
          </w:p>
          <w:p w:rsidR="007333BE" w:rsidRPr="001322B0" w:rsidRDefault="007333BE" w:rsidP="00494970">
            <w:pPr>
              <w:jc w:val="both"/>
              <w:rPr>
                <w:color w:val="000000" w:themeColor="text1"/>
                <w:sz w:val="20"/>
              </w:rPr>
            </w:pPr>
          </w:p>
          <w:p w:rsidR="007333BE" w:rsidRPr="001322B0" w:rsidRDefault="007333BE" w:rsidP="00494970">
            <w:pPr>
              <w:jc w:val="both"/>
              <w:rPr>
                <w:color w:val="000000" w:themeColor="text1"/>
                <w:sz w:val="20"/>
              </w:rPr>
            </w:pPr>
            <w:r w:rsidRPr="001322B0">
              <w:rPr>
                <w:color w:val="000000" w:themeColor="text1"/>
                <w:sz w:val="20"/>
              </w:rPr>
              <w:t>Continued to implement IPOPHL’s enforcement mandate.</w:t>
            </w:r>
          </w:p>
          <w:p w:rsidR="007333BE" w:rsidRPr="001322B0" w:rsidRDefault="007333BE" w:rsidP="00494970">
            <w:pPr>
              <w:jc w:val="both"/>
              <w:rPr>
                <w:color w:val="000000" w:themeColor="text1"/>
                <w:sz w:val="20"/>
              </w:rPr>
            </w:pPr>
          </w:p>
        </w:tc>
        <w:tc>
          <w:tcPr>
            <w:tcW w:w="2050" w:type="pct"/>
          </w:tcPr>
          <w:p w:rsidR="001322B0" w:rsidRPr="001322B0" w:rsidRDefault="001322B0" w:rsidP="001322B0">
            <w:pPr>
              <w:jc w:val="both"/>
              <w:rPr>
                <w:bCs/>
                <w:color w:val="000000" w:themeColor="text1"/>
                <w:sz w:val="20"/>
              </w:rPr>
            </w:pPr>
            <w:bookmarkStart w:id="21" w:name="Cell14"/>
            <w:bookmarkEnd w:id="21"/>
            <w:r w:rsidRPr="001322B0">
              <w:rPr>
                <w:color w:val="000000" w:themeColor="text1"/>
                <w:sz w:val="20"/>
              </w:rPr>
              <w:lastRenderedPageBreak/>
              <w:t xml:space="preserve">Continue to hold </w:t>
            </w:r>
            <w:r w:rsidRPr="001322B0">
              <w:rPr>
                <w:bCs/>
                <w:color w:val="000000" w:themeColor="text1"/>
                <w:sz w:val="20"/>
              </w:rPr>
              <w:t>the annual</w:t>
            </w:r>
            <w:r w:rsidRPr="001322B0">
              <w:rPr>
                <w:color w:val="000000" w:themeColor="text1"/>
                <w:sz w:val="20"/>
              </w:rPr>
              <w:t xml:space="preserve"> Anti-Counterfeiting and Piracy Summit.  </w:t>
            </w:r>
            <w:r w:rsidRPr="001322B0">
              <w:rPr>
                <w:bCs/>
                <w:color w:val="000000" w:themeColor="text1"/>
                <w:sz w:val="20"/>
              </w:rPr>
              <w:t>Starting 2014, the IP Enforcement Summit will include participants from ASEAN member states.</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Enhance and institutionalize involvement of students in IP advocacy through the continuous holding of IP youth camps and organization of IP youth advocates.</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 xml:space="preserve">Continue to work with the private sector on brand development and IP protection. </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Come up with a master plan on IP promotion and building respect for IP.</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Establish an IP Law and Policy Center to serve as a platform for discussions, studies, and policy recommendations for the development of PHL IP regime.</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Work on the establishment of an IP valuation framework.</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 xml:space="preserve">Further strengthen the capacity of the Innovation and Technology and Support Offices (ITSOs) not only in research and innovation but also </w:t>
            </w:r>
            <w:r w:rsidRPr="001322B0">
              <w:rPr>
                <w:bCs/>
                <w:color w:val="000000" w:themeColor="text1"/>
                <w:sz w:val="20"/>
              </w:rPr>
              <w:lastRenderedPageBreak/>
              <w:t xml:space="preserve">in the commercialization of IP </w:t>
            </w:r>
          </w:p>
          <w:p w:rsidR="001322B0" w:rsidRPr="001322B0" w:rsidRDefault="001322B0" w:rsidP="001322B0">
            <w:pPr>
              <w:jc w:val="both"/>
              <w:rPr>
                <w:color w:val="000000" w:themeColor="text1"/>
                <w:sz w:val="20"/>
              </w:rPr>
            </w:pPr>
          </w:p>
          <w:p w:rsidR="001322B0" w:rsidRPr="001322B0" w:rsidRDefault="001322B0" w:rsidP="001322B0">
            <w:pPr>
              <w:rPr>
                <w:bCs/>
                <w:color w:val="000000" w:themeColor="text1"/>
                <w:sz w:val="20"/>
              </w:rPr>
            </w:pPr>
            <w:r w:rsidRPr="001322B0">
              <w:rPr>
                <w:bCs/>
                <w:color w:val="000000" w:themeColor="text1"/>
                <w:sz w:val="20"/>
              </w:rPr>
              <w:t>Continue to promote the use of the Madrid System by SMEs</w:t>
            </w:r>
          </w:p>
          <w:p w:rsidR="001322B0" w:rsidRPr="001322B0" w:rsidRDefault="001322B0" w:rsidP="001322B0">
            <w:pPr>
              <w:rPr>
                <w:bCs/>
                <w:color w:val="000000" w:themeColor="text1"/>
                <w:sz w:val="20"/>
              </w:rPr>
            </w:pPr>
          </w:p>
          <w:p w:rsidR="001322B0" w:rsidRPr="001322B0" w:rsidRDefault="001322B0" w:rsidP="001322B0">
            <w:pPr>
              <w:rPr>
                <w:bCs/>
                <w:color w:val="000000" w:themeColor="text1"/>
                <w:sz w:val="20"/>
              </w:rPr>
            </w:pPr>
          </w:p>
          <w:p w:rsidR="001322B0" w:rsidRPr="001322B0" w:rsidRDefault="001322B0" w:rsidP="001322B0">
            <w:pPr>
              <w:rPr>
                <w:bCs/>
                <w:color w:val="000000" w:themeColor="text1"/>
                <w:sz w:val="20"/>
              </w:rPr>
            </w:pPr>
            <w:r w:rsidRPr="001322B0">
              <w:rPr>
                <w:bCs/>
                <w:color w:val="000000" w:themeColor="text1"/>
                <w:sz w:val="20"/>
              </w:rPr>
              <w:t>Enhance involvement of LGUs in developing the culture of innovation in the countryside.</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Develop IP Advocates in the LGUs</w:t>
            </w:r>
          </w:p>
          <w:p w:rsidR="001322B0" w:rsidRPr="001322B0" w:rsidRDefault="001322B0" w:rsidP="001322B0">
            <w:pPr>
              <w:jc w:val="both"/>
              <w:rPr>
                <w:bCs/>
                <w:color w:val="000000" w:themeColor="text1"/>
                <w:sz w:val="20"/>
              </w:rPr>
            </w:pPr>
          </w:p>
          <w:p w:rsidR="001322B0" w:rsidRPr="001322B0" w:rsidRDefault="001322B0" w:rsidP="001322B0">
            <w:pPr>
              <w:jc w:val="both"/>
              <w:rPr>
                <w:bCs/>
                <w:color w:val="000000" w:themeColor="text1"/>
                <w:sz w:val="20"/>
              </w:rPr>
            </w:pPr>
            <w:r w:rsidRPr="001322B0">
              <w:rPr>
                <w:bCs/>
                <w:color w:val="000000" w:themeColor="text1"/>
                <w:sz w:val="20"/>
              </w:rPr>
              <w:t>Strengthen collaboration with the IP institutions within APEC in the promotion of IP and protection of IP rights.</w:t>
            </w:r>
          </w:p>
          <w:p w:rsidR="001322B0" w:rsidRPr="001322B0" w:rsidRDefault="001322B0" w:rsidP="001322B0">
            <w:pPr>
              <w:jc w:val="both"/>
              <w:rPr>
                <w:color w:val="000000" w:themeColor="text1"/>
                <w:sz w:val="20"/>
              </w:rPr>
            </w:pPr>
          </w:p>
          <w:p w:rsidR="007333BE" w:rsidRPr="001322B0" w:rsidRDefault="007333BE" w:rsidP="00494970">
            <w:pPr>
              <w:jc w:val="both"/>
              <w:rPr>
                <w:color w:val="000000" w:themeColor="text1"/>
                <w:sz w:val="2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1919CF" w:rsidRDefault="008D4F45" w:rsidP="00AE4B25">
            <w:pPr>
              <w:widowControl w:val="0"/>
              <w:autoSpaceDE w:val="0"/>
              <w:autoSpaceDN w:val="0"/>
              <w:adjustRightInd w:val="0"/>
              <w:spacing w:line="268" w:lineRule="exact"/>
              <w:ind w:left="102"/>
              <w:rPr>
                <w:sz w:val="20"/>
              </w:rPr>
            </w:pPr>
            <w:hyperlink r:id="rId35" w:history="1">
              <w:r w:rsidR="007333BE" w:rsidRPr="001919CF">
                <w:rPr>
                  <w:color w:val="0000FE"/>
                  <w:position w:val="1"/>
                  <w:sz w:val="20"/>
                  <w:u w:val="single"/>
                </w:rPr>
                <w:t>http://www.ipophil.gov.ph</w:t>
              </w:r>
            </w:hyperlink>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Pr="001919CF" w:rsidRDefault="007333BE" w:rsidP="00AE4B25">
            <w:pPr>
              <w:widowControl w:val="0"/>
              <w:autoSpaceDE w:val="0"/>
              <w:autoSpaceDN w:val="0"/>
              <w:adjustRightInd w:val="0"/>
              <w:spacing w:line="269" w:lineRule="exact"/>
              <w:ind w:left="102"/>
              <w:rPr>
                <w:sz w:val="20"/>
              </w:rPr>
            </w:pPr>
            <w:r w:rsidRPr="001919CF">
              <w:rPr>
                <w:position w:val="1"/>
                <w:sz w:val="20"/>
              </w:rPr>
              <w:t>The Director General</w:t>
            </w:r>
          </w:p>
          <w:p w:rsidR="007333BE" w:rsidRPr="001919CF" w:rsidRDefault="007333BE" w:rsidP="00AE4B25">
            <w:pPr>
              <w:widowControl w:val="0"/>
              <w:autoSpaceDE w:val="0"/>
              <w:autoSpaceDN w:val="0"/>
              <w:adjustRightInd w:val="0"/>
              <w:ind w:left="102" w:right="311"/>
              <w:rPr>
                <w:sz w:val="20"/>
              </w:rPr>
            </w:pPr>
            <w:r w:rsidRPr="001919CF">
              <w:rPr>
                <w:sz w:val="20"/>
              </w:rPr>
              <w:t xml:space="preserve">Intellectual Property Office of the Philippines Add.: Intellectual Property Center, 28 Upper McKinley Road, McKinley Hill Town </w:t>
            </w:r>
            <w:proofErr w:type="spellStart"/>
            <w:r w:rsidRPr="001919CF">
              <w:rPr>
                <w:sz w:val="20"/>
              </w:rPr>
              <w:t>Center</w:t>
            </w:r>
            <w:proofErr w:type="spellEnd"/>
            <w:r w:rsidRPr="001919CF">
              <w:rPr>
                <w:sz w:val="20"/>
              </w:rPr>
              <w:t xml:space="preserve">, Fort </w:t>
            </w:r>
            <w:proofErr w:type="spellStart"/>
            <w:r w:rsidRPr="001919CF">
              <w:rPr>
                <w:sz w:val="20"/>
              </w:rPr>
              <w:t>Bonifacio</w:t>
            </w:r>
            <w:proofErr w:type="spellEnd"/>
            <w:r w:rsidRPr="001919CF">
              <w:rPr>
                <w:sz w:val="20"/>
              </w:rPr>
              <w:t xml:space="preserve">, 1634 </w:t>
            </w:r>
            <w:proofErr w:type="spellStart"/>
            <w:r w:rsidRPr="001919CF">
              <w:rPr>
                <w:sz w:val="20"/>
              </w:rPr>
              <w:t>Taguig</w:t>
            </w:r>
            <w:proofErr w:type="spellEnd"/>
            <w:r w:rsidRPr="001919CF">
              <w:rPr>
                <w:sz w:val="20"/>
              </w:rPr>
              <w:t xml:space="preserve"> City</w:t>
            </w:r>
          </w:p>
          <w:p w:rsidR="007333BE" w:rsidRPr="001919CF" w:rsidRDefault="007333BE" w:rsidP="00AE4B25">
            <w:pPr>
              <w:widowControl w:val="0"/>
              <w:autoSpaceDE w:val="0"/>
              <w:autoSpaceDN w:val="0"/>
              <w:adjustRightInd w:val="0"/>
              <w:ind w:left="102"/>
              <w:rPr>
                <w:sz w:val="20"/>
              </w:rPr>
            </w:pPr>
            <w:r w:rsidRPr="001919CF">
              <w:rPr>
                <w:sz w:val="20"/>
              </w:rPr>
              <w:t>Tel.: +632 238 6300</w:t>
            </w:r>
          </w:p>
          <w:p w:rsidR="007333BE" w:rsidRPr="001919CF" w:rsidRDefault="007333BE" w:rsidP="00AE4B25">
            <w:pPr>
              <w:widowControl w:val="0"/>
              <w:autoSpaceDE w:val="0"/>
              <w:autoSpaceDN w:val="0"/>
              <w:adjustRightInd w:val="0"/>
              <w:ind w:left="102"/>
              <w:rPr>
                <w:sz w:val="20"/>
              </w:rPr>
            </w:pPr>
            <w:r w:rsidRPr="001919CF">
              <w:rPr>
                <w:sz w:val="20"/>
              </w:rPr>
              <w:t>Fax: +632 890 4862</w:t>
            </w:r>
          </w:p>
          <w:p w:rsidR="007333BE" w:rsidRPr="001919CF" w:rsidRDefault="007333BE" w:rsidP="00AE4B25">
            <w:pPr>
              <w:widowControl w:val="0"/>
              <w:autoSpaceDE w:val="0"/>
              <w:autoSpaceDN w:val="0"/>
              <w:adjustRightInd w:val="0"/>
              <w:ind w:left="102"/>
              <w:rPr>
                <w:sz w:val="20"/>
              </w:rPr>
            </w:pPr>
            <w:r w:rsidRPr="001919CF">
              <w:rPr>
                <w:sz w:val="20"/>
              </w:rPr>
              <w:t>Email: ricblancaflor@ipophil.gov.ph</w:t>
            </w:r>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pPr>
              <w:rPr>
                <w:b/>
                <w:i/>
                <w:sz w:val="20"/>
              </w:rPr>
            </w:pPr>
            <w:bookmarkStart w:id="22" w:name="Row8"/>
            <w:bookmarkEnd w:id="22"/>
            <w:r w:rsidRPr="0008533B">
              <w:rPr>
                <w:b/>
                <w:i/>
                <w:sz w:val="20"/>
              </w:rPr>
              <w:t>Competition Policy</w:t>
            </w:r>
          </w:p>
          <w:p w:rsidR="007333BE" w:rsidRPr="0008533B" w:rsidRDefault="007333BE">
            <w:pPr>
              <w:rPr>
                <w:b/>
                <w:i/>
                <w:sz w:val="20"/>
              </w:rPr>
            </w:pPr>
          </w:p>
        </w:tc>
        <w:tc>
          <w:tcPr>
            <w:tcW w:w="2100" w:type="pct"/>
          </w:tcPr>
          <w:p w:rsidR="007333BE" w:rsidRPr="006A04F3" w:rsidRDefault="007333BE" w:rsidP="009140D5">
            <w:pPr>
              <w:pStyle w:val="Default"/>
              <w:jc w:val="both"/>
              <w:rPr>
                <w:rFonts w:ascii="Times New Roman" w:hAnsi="Times New Roman" w:cs="Times New Roman"/>
                <w:sz w:val="20"/>
                <w:szCs w:val="20"/>
              </w:rPr>
            </w:pPr>
            <w:bookmarkStart w:id="23" w:name="Cell15"/>
            <w:bookmarkEnd w:id="23"/>
            <w:r w:rsidRPr="006A04F3">
              <w:rPr>
                <w:rFonts w:ascii="Times New Roman" w:hAnsi="Times New Roman" w:cs="Times New Roman"/>
                <w:sz w:val="20"/>
                <w:szCs w:val="20"/>
              </w:rPr>
              <w:t xml:space="preserve">Issued </w:t>
            </w:r>
            <w:r w:rsidRPr="00AC3F22">
              <w:rPr>
                <w:rFonts w:ascii="Times New Roman" w:hAnsi="Times New Roman" w:cs="Times New Roman"/>
                <w:sz w:val="20"/>
                <w:szCs w:val="20"/>
              </w:rPr>
              <w:t>Department Circular No. 011</w:t>
            </w:r>
            <w:r w:rsidRPr="006A04F3">
              <w:rPr>
                <w:rFonts w:ascii="Times New Roman" w:hAnsi="Times New Roman" w:cs="Times New Roman"/>
                <w:sz w:val="20"/>
                <w:szCs w:val="20"/>
              </w:rPr>
              <w:t xml:space="preserve"> entitled </w:t>
            </w:r>
            <w:r w:rsidRPr="006A04F3">
              <w:rPr>
                <w:rFonts w:ascii="Times New Roman" w:hAnsi="Times New Roman" w:cs="Times New Roman"/>
                <w:i/>
                <w:sz w:val="20"/>
                <w:szCs w:val="20"/>
              </w:rPr>
              <w:t>Guidelines Governing the Implementation of E.O. No. 45, series of 2011, Designating the Department of Justice as the Competition Authority</w:t>
            </w:r>
            <w:r w:rsidRPr="006A04F3">
              <w:rPr>
                <w:rFonts w:ascii="Times New Roman" w:hAnsi="Times New Roman" w:cs="Times New Roman"/>
                <w:sz w:val="20"/>
                <w:szCs w:val="20"/>
              </w:rPr>
              <w:t xml:space="preserve">, which took effect on 1 March 2013.  </w:t>
            </w:r>
          </w:p>
          <w:p w:rsidR="007333BE" w:rsidRPr="006A04F3" w:rsidRDefault="007333BE" w:rsidP="009140D5">
            <w:pPr>
              <w:pStyle w:val="Default"/>
              <w:ind w:left="720"/>
              <w:jc w:val="both"/>
              <w:rPr>
                <w:rFonts w:ascii="Times New Roman" w:hAnsi="Times New Roman" w:cs="Times New Roman"/>
                <w:sz w:val="20"/>
                <w:szCs w:val="20"/>
              </w:rPr>
            </w:pPr>
          </w:p>
          <w:p w:rsidR="007333BE" w:rsidRPr="006A04F3" w:rsidRDefault="007333BE" w:rsidP="009140D5">
            <w:pPr>
              <w:pStyle w:val="Default"/>
              <w:jc w:val="both"/>
              <w:rPr>
                <w:rFonts w:ascii="Times New Roman" w:hAnsi="Times New Roman" w:cs="Times New Roman"/>
                <w:sz w:val="20"/>
                <w:szCs w:val="20"/>
              </w:rPr>
            </w:pPr>
            <w:r w:rsidRPr="006A04F3">
              <w:rPr>
                <w:rFonts w:ascii="Times New Roman" w:hAnsi="Times New Roman" w:cs="Times New Roman"/>
                <w:sz w:val="20"/>
                <w:szCs w:val="20"/>
              </w:rPr>
              <w:t xml:space="preserve">Established </w:t>
            </w:r>
            <w:r>
              <w:rPr>
                <w:rFonts w:ascii="Times New Roman" w:hAnsi="Times New Roman" w:cs="Times New Roman"/>
                <w:sz w:val="20"/>
                <w:szCs w:val="20"/>
              </w:rPr>
              <w:t xml:space="preserve">a </w:t>
            </w:r>
            <w:r w:rsidRPr="00AC3F22">
              <w:rPr>
                <w:rFonts w:ascii="Times New Roman" w:hAnsi="Times New Roman" w:cs="Times New Roman"/>
                <w:sz w:val="20"/>
                <w:szCs w:val="20"/>
              </w:rPr>
              <w:t>Sector Regulators Council (SRC)</w:t>
            </w:r>
            <w:r w:rsidRPr="006A04F3">
              <w:rPr>
                <w:rFonts w:ascii="Times New Roman" w:hAnsi="Times New Roman" w:cs="Times New Roman"/>
                <w:i/>
                <w:sz w:val="20"/>
                <w:szCs w:val="20"/>
              </w:rPr>
              <w:t xml:space="preserve"> </w:t>
            </w:r>
            <w:r w:rsidRPr="006A04F3">
              <w:rPr>
                <w:rFonts w:ascii="Times New Roman" w:hAnsi="Times New Roman" w:cs="Times New Roman"/>
                <w:sz w:val="20"/>
                <w:szCs w:val="20"/>
              </w:rPr>
              <w:t xml:space="preserve">in recognition of the crucial role of sector regulators in developing a comprehensive competition policy and law. </w:t>
            </w:r>
          </w:p>
          <w:p w:rsidR="007333BE" w:rsidRPr="006A04F3" w:rsidRDefault="007333BE" w:rsidP="009140D5">
            <w:pPr>
              <w:pStyle w:val="Default"/>
              <w:jc w:val="both"/>
              <w:rPr>
                <w:rFonts w:ascii="Times New Roman" w:hAnsi="Times New Roman" w:cs="Times New Roman"/>
                <w:sz w:val="20"/>
                <w:szCs w:val="20"/>
              </w:rPr>
            </w:pPr>
          </w:p>
          <w:p w:rsidR="007333BE" w:rsidRPr="006A04F3" w:rsidRDefault="007333BE" w:rsidP="009140D5">
            <w:pPr>
              <w:pStyle w:val="Default"/>
              <w:ind w:right="3"/>
              <w:jc w:val="both"/>
              <w:rPr>
                <w:rFonts w:ascii="Times New Roman" w:hAnsi="Times New Roman" w:cs="Times New Roman"/>
                <w:sz w:val="20"/>
                <w:szCs w:val="20"/>
              </w:rPr>
            </w:pPr>
            <w:r w:rsidRPr="006A04F3">
              <w:rPr>
                <w:rFonts w:ascii="Times New Roman" w:hAnsi="Times New Roman" w:cs="Times New Roman"/>
                <w:sz w:val="20"/>
                <w:szCs w:val="20"/>
              </w:rPr>
              <w:lastRenderedPageBreak/>
              <w:t>Created five (5) Working Groups (</w:t>
            </w:r>
            <w:r>
              <w:rPr>
                <w:rFonts w:ascii="Times New Roman" w:hAnsi="Times New Roman" w:cs="Times New Roman"/>
                <w:sz w:val="20"/>
                <w:szCs w:val="20"/>
              </w:rPr>
              <w:t xml:space="preserve">advocacy and </w:t>
            </w:r>
            <w:r w:rsidRPr="006A04F3">
              <w:rPr>
                <w:rFonts w:ascii="Times New Roman" w:hAnsi="Times New Roman" w:cs="Times New Roman"/>
                <w:sz w:val="20"/>
                <w:szCs w:val="20"/>
              </w:rPr>
              <w:t>partnerships, business and economics, enforcement and legal, consumer protection and welfare, policy and planning</w:t>
            </w:r>
            <w:proofErr w:type="gramStart"/>
            <w:r w:rsidRPr="006A04F3">
              <w:rPr>
                <w:rFonts w:ascii="Times New Roman" w:hAnsi="Times New Roman" w:cs="Times New Roman"/>
                <w:sz w:val="20"/>
                <w:szCs w:val="20"/>
              </w:rPr>
              <w:t>)  and</w:t>
            </w:r>
            <w:proofErr w:type="gramEnd"/>
            <w:r w:rsidRPr="006A04F3">
              <w:rPr>
                <w:rFonts w:ascii="Times New Roman" w:hAnsi="Times New Roman" w:cs="Times New Roman"/>
                <w:sz w:val="20"/>
                <w:szCs w:val="20"/>
              </w:rPr>
              <w:t xml:space="preserve"> development of Terms of Reference (TOR) delineating the duties and responsibilities of each Working Group.</w:t>
            </w:r>
          </w:p>
          <w:p w:rsidR="007333BE" w:rsidRPr="006A04F3" w:rsidRDefault="007333BE" w:rsidP="009140D5">
            <w:pPr>
              <w:pStyle w:val="ListParagraph"/>
              <w:rPr>
                <w:rFonts w:ascii="Times New Roman" w:hAnsi="Times New Roman"/>
                <w:sz w:val="20"/>
                <w:szCs w:val="20"/>
              </w:rPr>
            </w:pPr>
          </w:p>
          <w:p w:rsidR="007333BE" w:rsidRPr="006A04F3" w:rsidRDefault="007333BE" w:rsidP="009140D5">
            <w:pPr>
              <w:pStyle w:val="Default"/>
              <w:jc w:val="both"/>
              <w:rPr>
                <w:rFonts w:ascii="Times New Roman" w:hAnsi="Times New Roman" w:cs="Times New Roman"/>
                <w:color w:val="000000" w:themeColor="text1"/>
                <w:sz w:val="20"/>
                <w:szCs w:val="20"/>
              </w:rPr>
            </w:pPr>
            <w:r w:rsidRPr="006A04F3">
              <w:rPr>
                <w:rFonts w:ascii="Times New Roman" w:hAnsi="Times New Roman" w:cs="Times New Roman"/>
                <w:color w:val="000000" w:themeColor="text1"/>
                <w:sz w:val="20"/>
                <w:szCs w:val="20"/>
              </w:rPr>
              <w:t xml:space="preserve">Cooperation with other Competition Authorities and other international organizations such as the Japan Fair Trade Commission (JFTC), Japan International Cooperation Agency (JICA), European Union, Deutsche </w:t>
            </w:r>
            <w:proofErr w:type="spellStart"/>
            <w:r w:rsidRPr="006A04F3">
              <w:rPr>
                <w:rFonts w:ascii="Times New Roman" w:hAnsi="Times New Roman" w:cs="Times New Roman"/>
                <w:color w:val="000000" w:themeColor="text1"/>
                <w:sz w:val="20"/>
                <w:szCs w:val="20"/>
              </w:rPr>
              <w:t>Gesellschaft</w:t>
            </w:r>
            <w:proofErr w:type="spellEnd"/>
            <w:r w:rsidRPr="006A04F3">
              <w:rPr>
                <w:rFonts w:ascii="Times New Roman" w:hAnsi="Times New Roman" w:cs="Times New Roman"/>
                <w:color w:val="000000" w:themeColor="text1"/>
                <w:sz w:val="20"/>
                <w:szCs w:val="20"/>
              </w:rPr>
              <w:t xml:space="preserve"> </w:t>
            </w:r>
            <w:proofErr w:type="spellStart"/>
            <w:r w:rsidRPr="006A04F3">
              <w:rPr>
                <w:rFonts w:ascii="Times New Roman" w:hAnsi="Times New Roman" w:cs="Times New Roman"/>
                <w:color w:val="000000" w:themeColor="text1"/>
                <w:sz w:val="20"/>
                <w:szCs w:val="20"/>
              </w:rPr>
              <w:t>für</w:t>
            </w:r>
            <w:proofErr w:type="spellEnd"/>
            <w:r w:rsidRPr="006A04F3">
              <w:rPr>
                <w:rFonts w:ascii="Times New Roman" w:hAnsi="Times New Roman" w:cs="Times New Roman"/>
                <w:color w:val="000000" w:themeColor="text1"/>
                <w:sz w:val="20"/>
                <w:szCs w:val="20"/>
              </w:rPr>
              <w:t xml:space="preserve"> </w:t>
            </w:r>
            <w:proofErr w:type="spellStart"/>
            <w:r w:rsidRPr="006A04F3">
              <w:rPr>
                <w:rFonts w:ascii="Times New Roman" w:hAnsi="Times New Roman" w:cs="Times New Roman"/>
                <w:color w:val="000000" w:themeColor="text1"/>
                <w:sz w:val="20"/>
                <w:szCs w:val="20"/>
              </w:rPr>
              <w:t>Internationale</w:t>
            </w:r>
            <w:proofErr w:type="spellEnd"/>
            <w:r w:rsidRPr="006A04F3">
              <w:rPr>
                <w:rFonts w:ascii="Times New Roman" w:hAnsi="Times New Roman" w:cs="Times New Roman"/>
                <w:color w:val="000000" w:themeColor="text1"/>
                <w:sz w:val="20"/>
                <w:szCs w:val="20"/>
              </w:rPr>
              <w:t xml:space="preserve"> </w:t>
            </w:r>
            <w:proofErr w:type="spellStart"/>
            <w:r w:rsidRPr="006A04F3">
              <w:rPr>
                <w:rFonts w:ascii="Times New Roman" w:hAnsi="Times New Roman" w:cs="Times New Roman"/>
                <w:color w:val="000000" w:themeColor="text1"/>
                <w:sz w:val="20"/>
                <w:szCs w:val="20"/>
              </w:rPr>
              <w:t>Zusammenarbeit</w:t>
            </w:r>
            <w:proofErr w:type="spellEnd"/>
            <w:r w:rsidRPr="006A04F3">
              <w:rPr>
                <w:rFonts w:ascii="Times New Roman" w:hAnsi="Times New Roman" w:cs="Times New Roman"/>
                <w:color w:val="000000" w:themeColor="text1"/>
                <w:sz w:val="20"/>
                <w:szCs w:val="20"/>
              </w:rPr>
              <w:t xml:space="preserve"> (GIZ), Organization for Economic Co-operation Development (OECD), ASEAN Secretariat, Economic Co-operation Work Programme under the ASEAN-Australia-New Zealand Free Trade Agreement (AANZFTA), International Finance Corporation (IFC), APEC,  U.S. Federal Trade Commission (US FTC), U.S. Department of Justice (US DOJ),  U.S. Agency for International Development (USAID) and United Nations Conference on Trade and Development (UNCTAD).</w:t>
            </w:r>
          </w:p>
          <w:p w:rsidR="007333BE" w:rsidRPr="00891E10" w:rsidRDefault="007333BE" w:rsidP="00891E10">
            <w:pPr>
              <w:jc w:val="both"/>
              <w:rPr>
                <w:sz w:val="20"/>
              </w:rPr>
            </w:pPr>
          </w:p>
          <w:p w:rsidR="007333BE" w:rsidRPr="009140D5" w:rsidRDefault="007333BE" w:rsidP="009140D5">
            <w:pPr>
              <w:pStyle w:val="Default"/>
              <w:jc w:val="both"/>
              <w:rPr>
                <w:rFonts w:ascii="Times New Roman" w:hAnsi="Times New Roman" w:cs="Times New Roman"/>
                <w:sz w:val="20"/>
                <w:szCs w:val="20"/>
              </w:rPr>
            </w:pPr>
            <w:r w:rsidRPr="006A04F3">
              <w:rPr>
                <w:rFonts w:ascii="Times New Roman" w:hAnsi="Times New Roman" w:cs="Times New Roman"/>
                <w:sz w:val="20"/>
                <w:szCs w:val="20"/>
              </w:rPr>
              <w:t xml:space="preserve">Chaired the ASEAN Experts Group on Competition (AEGC) for 2013-2014. </w:t>
            </w:r>
          </w:p>
        </w:tc>
        <w:tc>
          <w:tcPr>
            <w:tcW w:w="2050" w:type="pct"/>
          </w:tcPr>
          <w:p w:rsidR="007333BE" w:rsidRPr="006A04F3" w:rsidRDefault="007333BE" w:rsidP="009140D5">
            <w:pPr>
              <w:pStyle w:val="Default"/>
              <w:jc w:val="both"/>
              <w:rPr>
                <w:rFonts w:ascii="Times New Roman" w:hAnsi="Times New Roman" w:cs="Times New Roman"/>
                <w:sz w:val="20"/>
                <w:szCs w:val="20"/>
              </w:rPr>
            </w:pPr>
            <w:bookmarkStart w:id="24" w:name="Cell16"/>
            <w:bookmarkEnd w:id="24"/>
            <w:r w:rsidRPr="006A04F3">
              <w:rPr>
                <w:rFonts w:ascii="Times New Roman" w:hAnsi="Times New Roman" w:cs="Times New Roman"/>
                <w:sz w:val="20"/>
                <w:szCs w:val="20"/>
              </w:rPr>
              <w:lastRenderedPageBreak/>
              <w:t>Host the 4th ASEAN Competition Conference in July 2014.</w:t>
            </w:r>
          </w:p>
          <w:p w:rsidR="007333BE" w:rsidRPr="00891E10" w:rsidRDefault="007333BE" w:rsidP="00891E10">
            <w:pPr>
              <w:jc w:val="both"/>
              <w:rPr>
                <w:sz w:val="20"/>
              </w:rPr>
            </w:pPr>
          </w:p>
          <w:p w:rsidR="007333BE" w:rsidRPr="00891E10" w:rsidRDefault="007333BE" w:rsidP="00891E10">
            <w:pPr>
              <w:jc w:val="both"/>
              <w:rPr>
                <w:sz w:val="20"/>
              </w:rPr>
            </w:pPr>
            <w:r>
              <w:rPr>
                <w:sz w:val="20"/>
              </w:rPr>
              <w:t>Continue to</w:t>
            </w:r>
            <w:r w:rsidRPr="00891E10">
              <w:rPr>
                <w:sz w:val="20"/>
              </w:rPr>
              <w:t xml:space="preserve"> actively participate in AEGC work program and activities</w:t>
            </w:r>
            <w:r>
              <w:rPr>
                <w:sz w:val="20"/>
              </w:rPr>
              <w:t>.</w:t>
            </w:r>
            <w:r w:rsidRPr="00891E10">
              <w:rPr>
                <w:sz w:val="20"/>
              </w:rPr>
              <w:t xml:space="preserve"> </w:t>
            </w:r>
          </w:p>
          <w:p w:rsidR="007333BE" w:rsidRPr="00891E10" w:rsidRDefault="007333BE" w:rsidP="00891E10">
            <w:pPr>
              <w:jc w:val="both"/>
              <w:rPr>
                <w:sz w:val="20"/>
              </w:rPr>
            </w:pPr>
          </w:p>
          <w:p w:rsidR="007333BE" w:rsidRPr="00891E10" w:rsidRDefault="007333BE" w:rsidP="00891E10">
            <w:pPr>
              <w:jc w:val="both"/>
              <w:rPr>
                <w:sz w:val="20"/>
              </w:rPr>
            </w:pPr>
            <w:r w:rsidRPr="00891E10">
              <w:rPr>
                <w:sz w:val="20"/>
              </w:rPr>
              <w:t>Continue to participate in policy dialogues and information exchanges on competition policy within APEC and with ot</w:t>
            </w:r>
            <w:r>
              <w:rPr>
                <w:sz w:val="20"/>
              </w:rPr>
              <w:t>her international organizations.</w:t>
            </w:r>
          </w:p>
          <w:p w:rsidR="007333BE" w:rsidRPr="00891E10" w:rsidRDefault="007333BE" w:rsidP="00891E10">
            <w:pPr>
              <w:jc w:val="both"/>
              <w:rPr>
                <w:sz w:val="20"/>
              </w:rPr>
            </w:pPr>
          </w:p>
          <w:p w:rsidR="007333BE" w:rsidRPr="00891E10" w:rsidRDefault="007333BE" w:rsidP="00891E10">
            <w:pPr>
              <w:jc w:val="both"/>
              <w:rPr>
                <w:sz w:val="20"/>
              </w:rPr>
            </w:pPr>
            <w:r w:rsidRPr="00891E10">
              <w:rPr>
                <w:sz w:val="20"/>
              </w:rPr>
              <w:t>Carry out programs with development partners</w:t>
            </w:r>
            <w:r>
              <w:rPr>
                <w:sz w:val="20"/>
              </w:rPr>
              <w:t>.</w:t>
            </w:r>
            <w:r w:rsidRPr="00891E10">
              <w:rPr>
                <w:sz w:val="20"/>
              </w:rPr>
              <w:t xml:space="preserve"> </w:t>
            </w:r>
          </w:p>
          <w:p w:rsidR="007333BE" w:rsidRPr="00891E10" w:rsidRDefault="007333BE" w:rsidP="00891E10">
            <w:pPr>
              <w:jc w:val="both"/>
              <w:rPr>
                <w:sz w:val="20"/>
              </w:rPr>
            </w:pPr>
          </w:p>
          <w:p w:rsidR="007333BE" w:rsidRPr="00891E10" w:rsidRDefault="007333BE" w:rsidP="00891E10">
            <w:pPr>
              <w:jc w:val="both"/>
              <w:rPr>
                <w:sz w:val="2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9C4B44" w:rsidRDefault="008D4F45">
            <w:pPr>
              <w:pStyle w:val="Heading9"/>
              <w:rPr>
                <w:rFonts w:ascii="Times New Roman" w:hAnsi="Times New Roman"/>
                <w:b w:val="0"/>
                <w:i w:val="0"/>
                <w:color w:val="000000"/>
              </w:rPr>
            </w:pPr>
            <w:hyperlink r:id="rId36" w:history="1">
              <w:r w:rsidR="007333BE" w:rsidRPr="009C4B44">
                <w:rPr>
                  <w:rStyle w:val="Hyperlink"/>
                  <w:rFonts w:ascii="Times New Roman" w:hAnsi="Times New Roman"/>
                  <w:b w:val="0"/>
                  <w:i w:val="0"/>
                </w:rPr>
                <w:t>http://www.doj.gov.ph</w:t>
              </w:r>
            </w:hyperlink>
          </w:p>
        </w:tc>
        <w:tc>
          <w:tcPr>
            <w:tcW w:w="2050" w:type="pct"/>
          </w:tcPr>
          <w:p w:rsidR="007333BE" w:rsidRDefault="007333BE">
            <w:pPr>
              <w:pStyle w:val="Heading9"/>
              <w:rPr>
                <w:b w:val="0"/>
                <w:color w:val="00000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Default="007333BE">
            <w:pPr>
              <w:pStyle w:val="Heading9"/>
              <w:rPr>
                <w:rFonts w:ascii="Times New Roman" w:hAnsi="Times New Roman"/>
                <w:b w:val="0"/>
                <w:i w:val="0"/>
                <w:color w:val="000000"/>
              </w:rPr>
            </w:pPr>
            <w:r>
              <w:rPr>
                <w:rFonts w:ascii="Times New Roman" w:hAnsi="Times New Roman"/>
                <w:b w:val="0"/>
                <w:i w:val="0"/>
                <w:color w:val="000000"/>
              </w:rPr>
              <w:t>Head</w:t>
            </w:r>
          </w:p>
          <w:p w:rsidR="007333BE" w:rsidRPr="00891E10" w:rsidRDefault="007333BE">
            <w:pPr>
              <w:pStyle w:val="Heading9"/>
              <w:rPr>
                <w:rFonts w:ascii="Times New Roman" w:hAnsi="Times New Roman"/>
                <w:b w:val="0"/>
                <w:i w:val="0"/>
                <w:color w:val="000000"/>
              </w:rPr>
            </w:pPr>
            <w:r w:rsidRPr="00891E10">
              <w:rPr>
                <w:rFonts w:ascii="Times New Roman" w:hAnsi="Times New Roman"/>
                <w:b w:val="0"/>
                <w:i w:val="0"/>
                <w:color w:val="000000"/>
              </w:rPr>
              <w:t>Office for Competition</w:t>
            </w:r>
          </w:p>
          <w:p w:rsidR="007333BE" w:rsidRPr="00891E10" w:rsidRDefault="007333BE">
            <w:pPr>
              <w:pStyle w:val="Heading9"/>
              <w:rPr>
                <w:rFonts w:ascii="Times New Roman" w:hAnsi="Times New Roman"/>
                <w:b w:val="0"/>
                <w:i w:val="0"/>
                <w:color w:val="000000"/>
              </w:rPr>
            </w:pPr>
            <w:r w:rsidRPr="00891E10">
              <w:rPr>
                <w:rFonts w:ascii="Times New Roman" w:hAnsi="Times New Roman"/>
                <w:b w:val="0"/>
                <w:i w:val="0"/>
                <w:color w:val="000000"/>
              </w:rPr>
              <w:t>Department of Justice</w:t>
            </w:r>
            <w:r w:rsidRPr="00891E10">
              <w:rPr>
                <w:rFonts w:ascii="Times New Roman" w:hAnsi="Times New Roman"/>
                <w:b w:val="0"/>
                <w:i w:val="0"/>
                <w:color w:val="000000"/>
              </w:rPr>
              <w:br/>
              <w:t xml:space="preserve">Padre </w:t>
            </w:r>
            <w:proofErr w:type="spellStart"/>
            <w:r w:rsidRPr="00891E10">
              <w:rPr>
                <w:rFonts w:ascii="Times New Roman" w:hAnsi="Times New Roman"/>
                <w:b w:val="0"/>
                <w:i w:val="0"/>
                <w:color w:val="000000"/>
              </w:rPr>
              <w:t>Faura</w:t>
            </w:r>
            <w:proofErr w:type="gramStart"/>
            <w:r w:rsidRPr="00891E10">
              <w:rPr>
                <w:rFonts w:ascii="Times New Roman" w:hAnsi="Times New Roman"/>
                <w:b w:val="0"/>
                <w:i w:val="0"/>
                <w:color w:val="000000"/>
              </w:rPr>
              <w:t>,Ermita</w:t>
            </w:r>
            <w:proofErr w:type="spellEnd"/>
            <w:proofErr w:type="gramEnd"/>
            <w:r w:rsidRPr="00891E10">
              <w:rPr>
                <w:rFonts w:ascii="Times New Roman" w:hAnsi="Times New Roman"/>
                <w:b w:val="0"/>
                <w:i w:val="0"/>
                <w:color w:val="000000"/>
              </w:rPr>
              <w:t xml:space="preserve"> </w:t>
            </w:r>
            <w:r w:rsidRPr="00891E10">
              <w:rPr>
                <w:rFonts w:ascii="Times New Roman" w:hAnsi="Times New Roman"/>
                <w:b w:val="0"/>
                <w:i w:val="0"/>
                <w:color w:val="000000"/>
              </w:rPr>
              <w:br/>
              <w:t>Manila, Philippines</w:t>
            </w:r>
          </w:p>
          <w:p w:rsidR="007333BE" w:rsidRPr="00891E10" w:rsidRDefault="007333BE">
            <w:pPr>
              <w:pStyle w:val="Heading9"/>
              <w:rPr>
                <w:rFonts w:ascii="Times New Roman" w:hAnsi="Times New Roman"/>
                <w:b w:val="0"/>
                <w:i w:val="0"/>
                <w:color w:val="000000"/>
                <w:lang w:val="en-US"/>
              </w:rPr>
            </w:pPr>
            <w:r>
              <w:rPr>
                <w:rFonts w:ascii="Times New Roman" w:hAnsi="Times New Roman"/>
                <w:b w:val="0"/>
                <w:i w:val="0"/>
                <w:color w:val="000000"/>
                <w:lang w:val="en-US"/>
              </w:rPr>
              <w:t>Tel: (</w:t>
            </w:r>
            <w:r w:rsidRPr="00891E10">
              <w:rPr>
                <w:rFonts w:ascii="Times New Roman" w:hAnsi="Times New Roman"/>
                <w:b w:val="0"/>
                <w:i w:val="0"/>
                <w:color w:val="000000"/>
                <w:lang w:val="en-US"/>
              </w:rPr>
              <w:t>632</w:t>
            </w:r>
            <w:r>
              <w:rPr>
                <w:rFonts w:ascii="Times New Roman" w:hAnsi="Times New Roman"/>
                <w:b w:val="0"/>
                <w:i w:val="0"/>
                <w:color w:val="000000"/>
                <w:lang w:val="en-US"/>
              </w:rPr>
              <w:t xml:space="preserve">) </w:t>
            </w:r>
            <w:r w:rsidRPr="00891E10">
              <w:rPr>
                <w:rFonts w:ascii="Times New Roman" w:hAnsi="Times New Roman"/>
                <w:b w:val="0"/>
                <w:i w:val="0"/>
                <w:color w:val="000000"/>
                <w:lang w:val="en-US"/>
              </w:rPr>
              <w:t>521</w:t>
            </w:r>
            <w:r>
              <w:rPr>
                <w:rFonts w:ascii="Times New Roman" w:hAnsi="Times New Roman"/>
                <w:b w:val="0"/>
                <w:i w:val="0"/>
                <w:color w:val="000000"/>
                <w:lang w:val="en-US"/>
              </w:rPr>
              <w:t>-</w:t>
            </w:r>
            <w:r w:rsidRPr="00891E10">
              <w:rPr>
                <w:rFonts w:ascii="Times New Roman" w:hAnsi="Times New Roman"/>
                <w:b w:val="0"/>
                <w:i w:val="0"/>
                <w:color w:val="000000"/>
                <w:lang w:val="en-US"/>
              </w:rPr>
              <w:t xml:space="preserve"> 8345</w:t>
            </w:r>
          </w:p>
          <w:p w:rsidR="007333BE" w:rsidRPr="00891E10" w:rsidRDefault="007333BE">
            <w:pPr>
              <w:pStyle w:val="Heading9"/>
              <w:rPr>
                <w:rFonts w:ascii="Times New Roman" w:hAnsi="Times New Roman"/>
                <w:b w:val="0"/>
                <w:i w:val="0"/>
                <w:color w:val="000000"/>
                <w:lang w:val="en-US"/>
              </w:rPr>
            </w:pPr>
            <w:r w:rsidRPr="00891E10">
              <w:rPr>
                <w:rFonts w:ascii="Times New Roman" w:hAnsi="Times New Roman"/>
                <w:b w:val="0"/>
                <w:i w:val="0"/>
                <w:color w:val="000000"/>
                <w:lang w:val="en-US"/>
              </w:rPr>
              <w:t xml:space="preserve">Fax: </w:t>
            </w:r>
            <w:r>
              <w:rPr>
                <w:rFonts w:ascii="Times New Roman" w:hAnsi="Times New Roman"/>
                <w:b w:val="0"/>
                <w:i w:val="0"/>
                <w:color w:val="000000"/>
                <w:lang w:val="en-US"/>
              </w:rPr>
              <w:t xml:space="preserve"> (</w:t>
            </w:r>
            <w:r w:rsidRPr="00891E10">
              <w:rPr>
                <w:rFonts w:ascii="Times New Roman" w:hAnsi="Times New Roman"/>
                <w:b w:val="0"/>
                <w:i w:val="0"/>
                <w:color w:val="000000"/>
                <w:lang w:val="en-US"/>
              </w:rPr>
              <w:t>632</w:t>
            </w:r>
            <w:r>
              <w:rPr>
                <w:rFonts w:ascii="Times New Roman" w:hAnsi="Times New Roman"/>
                <w:b w:val="0"/>
                <w:i w:val="0"/>
                <w:color w:val="000000"/>
                <w:lang w:val="en-US"/>
              </w:rPr>
              <w:t>) 524-</w:t>
            </w:r>
            <w:r w:rsidRPr="00891E10">
              <w:rPr>
                <w:rFonts w:ascii="Times New Roman" w:hAnsi="Times New Roman"/>
                <w:b w:val="0"/>
                <w:i w:val="0"/>
                <w:color w:val="000000"/>
                <w:lang w:val="en-US"/>
              </w:rPr>
              <w:t>2230</w:t>
            </w:r>
          </w:p>
          <w:p w:rsidR="007333BE" w:rsidRPr="00891E10" w:rsidRDefault="007333BE" w:rsidP="00891E10">
            <w:pPr>
              <w:pStyle w:val="Heading9"/>
              <w:rPr>
                <w:rFonts w:ascii="Times New Roman" w:hAnsi="Times New Roman"/>
                <w:i w:val="0"/>
                <w:color w:val="000000"/>
              </w:rPr>
            </w:pPr>
            <w:r w:rsidRPr="00891E10">
              <w:rPr>
                <w:rFonts w:ascii="Times New Roman" w:hAnsi="Times New Roman"/>
                <w:b w:val="0"/>
                <w:i w:val="0"/>
                <w:color w:val="000000"/>
                <w:lang w:val="en-US"/>
              </w:rPr>
              <w:t xml:space="preserve">E-mail: </w:t>
            </w:r>
            <w:hyperlink r:id="rId37" w:history="1">
              <w:r w:rsidRPr="00891E10">
                <w:rPr>
                  <w:rStyle w:val="Hyperlink"/>
                  <w:rFonts w:ascii="Times New Roman" w:hAnsi="Times New Roman"/>
                  <w:b w:val="0"/>
                  <w:i w:val="0"/>
                  <w:lang w:val="en-US"/>
                </w:rPr>
                <w:t>competition@doj.gov.ph</w:t>
              </w:r>
            </w:hyperlink>
            <w:r w:rsidRPr="00891E10">
              <w:rPr>
                <w:rFonts w:ascii="Times New Roman" w:hAnsi="Times New Roman"/>
                <w:i w:val="0"/>
                <w:color w:val="000000"/>
              </w:rPr>
              <w:t xml:space="preserve">; </w:t>
            </w:r>
            <w:hyperlink r:id="rId38" w:history="1">
              <w:r w:rsidRPr="00891E10">
                <w:rPr>
                  <w:rStyle w:val="Hyperlink"/>
                  <w:rFonts w:ascii="Times New Roman" w:hAnsi="Times New Roman"/>
                  <w:b w:val="0"/>
                  <w:i w:val="0"/>
                </w:rPr>
                <w:t>gls.doj@gmail.com</w:t>
              </w:r>
            </w:hyperlink>
            <w:r w:rsidRPr="00891E10">
              <w:rPr>
                <w:rFonts w:ascii="Times New Roman" w:hAnsi="Times New Roman"/>
                <w:i w:val="0"/>
                <w:color w:val="000000"/>
              </w:rPr>
              <w:t xml:space="preserve"> </w:t>
            </w:r>
          </w:p>
        </w:tc>
        <w:tc>
          <w:tcPr>
            <w:tcW w:w="2050" w:type="pct"/>
          </w:tcPr>
          <w:p w:rsidR="007333BE" w:rsidRDefault="007333BE">
            <w:pPr>
              <w:pStyle w:val="Heading9"/>
              <w:rPr>
                <w:b w:val="0"/>
                <w:color w:val="000000"/>
              </w:rPr>
            </w:pPr>
          </w:p>
        </w:tc>
      </w:tr>
      <w:tr w:rsidR="007333BE" w:rsidRPr="0008533B" w:rsidTr="00FA15C7">
        <w:tc>
          <w:tcPr>
            <w:tcW w:w="850" w:type="pct"/>
          </w:tcPr>
          <w:p w:rsidR="007333BE" w:rsidRPr="0008533B" w:rsidRDefault="007333BE">
            <w:pPr>
              <w:rPr>
                <w:b/>
                <w:i/>
                <w:sz w:val="20"/>
              </w:rPr>
            </w:pPr>
            <w:bookmarkStart w:id="25" w:name="Row9"/>
            <w:r w:rsidRPr="0008533B">
              <w:rPr>
                <w:b/>
                <w:i/>
                <w:sz w:val="20"/>
              </w:rPr>
              <w:t>Government Procurement</w:t>
            </w:r>
            <w:bookmarkEnd w:id="25"/>
          </w:p>
          <w:p w:rsidR="007333BE" w:rsidRPr="0008533B" w:rsidRDefault="007333BE">
            <w:pPr>
              <w:rPr>
                <w:b/>
                <w:i/>
                <w:sz w:val="20"/>
              </w:rPr>
            </w:pPr>
          </w:p>
        </w:tc>
        <w:tc>
          <w:tcPr>
            <w:tcW w:w="2100" w:type="pct"/>
          </w:tcPr>
          <w:p w:rsidR="007333BE" w:rsidRDefault="007333BE" w:rsidP="009C3CC4">
            <w:pPr>
              <w:jc w:val="both"/>
              <w:rPr>
                <w:sz w:val="20"/>
              </w:rPr>
            </w:pPr>
            <w:bookmarkStart w:id="26" w:name="Cell17"/>
            <w:bookmarkEnd w:id="26"/>
            <w:r>
              <w:rPr>
                <w:sz w:val="20"/>
              </w:rPr>
              <w:t>Approved the adoption and started the implementation of the Agency Procurement Performance Indicators (APCPI) as a self-assessment tool for procuring entities to identify the strengths and weaknesses and help develop an action to improve and address these aspects, respectively.</w:t>
            </w:r>
          </w:p>
          <w:p w:rsidR="007333BE" w:rsidRDefault="007333BE" w:rsidP="009C3CC4">
            <w:pPr>
              <w:jc w:val="both"/>
              <w:rPr>
                <w:sz w:val="20"/>
              </w:rPr>
            </w:pPr>
          </w:p>
          <w:p w:rsidR="007333BE" w:rsidRDefault="007333BE" w:rsidP="009C3CC4">
            <w:pPr>
              <w:jc w:val="both"/>
              <w:rPr>
                <w:sz w:val="20"/>
              </w:rPr>
            </w:pPr>
            <w:r>
              <w:rPr>
                <w:sz w:val="20"/>
              </w:rPr>
              <w:t xml:space="preserve">Conducted the Country Procurement Assessment Review for 2012 and </w:t>
            </w:r>
            <w:r>
              <w:rPr>
                <w:sz w:val="20"/>
              </w:rPr>
              <w:lastRenderedPageBreak/>
              <w:t>adopted the 2012 Action Plan for the Philippine Public Procurement System.</w:t>
            </w:r>
          </w:p>
          <w:p w:rsidR="007333BE" w:rsidRDefault="007333BE" w:rsidP="009C3CC4">
            <w:pPr>
              <w:jc w:val="both"/>
              <w:rPr>
                <w:sz w:val="20"/>
              </w:rPr>
            </w:pPr>
          </w:p>
          <w:p w:rsidR="007333BE" w:rsidRDefault="007333BE" w:rsidP="009C3CC4">
            <w:pPr>
              <w:jc w:val="both"/>
              <w:rPr>
                <w:sz w:val="20"/>
              </w:rPr>
            </w:pPr>
            <w:r>
              <w:rPr>
                <w:sz w:val="20"/>
              </w:rPr>
              <w:t>Upgraded the Online Monitoring and Evaluation System (OMES) to include the APCPI tool and to provide procuring entities an efficient system in conducting the APCPI exercise.</w:t>
            </w:r>
          </w:p>
          <w:p w:rsidR="007333BE" w:rsidRDefault="007333BE" w:rsidP="009C3CC4">
            <w:pPr>
              <w:jc w:val="both"/>
              <w:rPr>
                <w:sz w:val="20"/>
              </w:rPr>
            </w:pPr>
          </w:p>
          <w:p w:rsidR="007333BE" w:rsidRDefault="007333BE" w:rsidP="009C3CC4">
            <w:pPr>
              <w:jc w:val="both"/>
              <w:rPr>
                <w:sz w:val="20"/>
              </w:rPr>
            </w:pPr>
            <w:r>
              <w:rPr>
                <w:sz w:val="20"/>
              </w:rPr>
              <w:t xml:space="preserve">Currently updating the Modules for the Professionalization of Public </w:t>
            </w:r>
            <w:proofErr w:type="spellStart"/>
            <w:r>
              <w:rPr>
                <w:sz w:val="20"/>
              </w:rPr>
              <w:t>Procurment</w:t>
            </w:r>
            <w:proofErr w:type="spellEnd"/>
            <w:r>
              <w:rPr>
                <w:sz w:val="20"/>
              </w:rPr>
              <w:t xml:space="preserve"> Practitioners to include the amendments to the Revised Implementing Rules and Regulations of Republic Act No 9184 and the guidelines issued by the Government Procurement Policy Board (GPPB).</w:t>
            </w:r>
          </w:p>
          <w:p w:rsidR="007333BE" w:rsidRDefault="007333BE" w:rsidP="009C3CC4">
            <w:pPr>
              <w:jc w:val="both"/>
              <w:rPr>
                <w:sz w:val="20"/>
              </w:rPr>
            </w:pPr>
          </w:p>
          <w:p w:rsidR="007333BE" w:rsidRDefault="007333BE" w:rsidP="009C3CC4">
            <w:pPr>
              <w:jc w:val="both"/>
              <w:rPr>
                <w:sz w:val="20"/>
              </w:rPr>
            </w:pPr>
            <w:r>
              <w:rPr>
                <w:sz w:val="20"/>
              </w:rPr>
              <w:t xml:space="preserve">Ongoing coordination with relevant government agencies on the creation of a career </w:t>
            </w:r>
            <w:proofErr w:type="gramStart"/>
            <w:r>
              <w:rPr>
                <w:sz w:val="20"/>
              </w:rPr>
              <w:t>stream,</w:t>
            </w:r>
            <w:proofErr w:type="gramEnd"/>
            <w:r>
              <w:rPr>
                <w:sz w:val="20"/>
              </w:rPr>
              <w:t xml:space="preserve"> based on identified competency standards, for public procurement practitioners, procurement units, and the amendment of the compensation structure.</w:t>
            </w:r>
          </w:p>
          <w:p w:rsidR="007333BE" w:rsidRDefault="007333BE" w:rsidP="009C3CC4">
            <w:pPr>
              <w:jc w:val="both"/>
              <w:rPr>
                <w:sz w:val="20"/>
              </w:rPr>
            </w:pPr>
          </w:p>
          <w:p w:rsidR="007333BE" w:rsidRDefault="007333BE" w:rsidP="009C3CC4">
            <w:pPr>
              <w:jc w:val="both"/>
              <w:rPr>
                <w:sz w:val="20"/>
              </w:rPr>
            </w:pPr>
            <w:r>
              <w:rPr>
                <w:sz w:val="20"/>
              </w:rPr>
              <w:t xml:space="preserve">Approved the Guidelines on E-Bidding and implemented the E-Bidding functionality on a pilot basis in two (2) national government agencies.  </w:t>
            </w:r>
          </w:p>
          <w:p w:rsidR="007333BE" w:rsidRDefault="007333BE" w:rsidP="009C3CC4">
            <w:pPr>
              <w:jc w:val="both"/>
              <w:rPr>
                <w:sz w:val="20"/>
              </w:rPr>
            </w:pPr>
          </w:p>
          <w:p w:rsidR="007333BE" w:rsidRDefault="007333BE" w:rsidP="009C3CC4">
            <w:pPr>
              <w:jc w:val="both"/>
              <w:rPr>
                <w:sz w:val="20"/>
              </w:rPr>
            </w:pPr>
            <w:r>
              <w:rPr>
                <w:sz w:val="20"/>
              </w:rPr>
              <w:t>Implemented the Virtual Store and E-Payment functionalities.</w:t>
            </w:r>
          </w:p>
          <w:p w:rsidR="007333BE" w:rsidRPr="009C3CC4" w:rsidRDefault="007333BE" w:rsidP="009C3CC4">
            <w:pPr>
              <w:jc w:val="both"/>
              <w:rPr>
                <w:sz w:val="20"/>
              </w:rPr>
            </w:pPr>
          </w:p>
        </w:tc>
        <w:tc>
          <w:tcPr>
            <w:tcW w:w="2050" w:type="pct"/>
          </w:tcPr>
          <w:p w:rsidR="007333BE" w:rsidRDefault="007333BE" w:rsidP="00791CD0">
            <w:pPr>
              <w:jc w:val="both"/>
              <w:rPr>
                <w:sz w:val="20"/>
              </w:rPr>
            </w:pPr>
            <w:bookmarkStart w:id="27" w:name="Cell18"/>
            <w:bookmarkEnd w:id="27"/>
            <w:r>
              <w:rPr>
                <w:sz w:val="20"/>
              </w:rPr>
              <w:lastRenderedPageBreak/>
              <w:t>Implement the Professionalization program.</w:t>
            </w:r>
          </w:p>
          <w:p w:rsidR="007333BE" w:rsidRDefault="007333BE" w:rsidP="00791CD0">
            <w:pPr>
              <w:jc w:val="both"/>
              <w:rPr>
                <w:sz w:val="20"/>
              </w:rPr>
            </w:pPr>
          </w:p>
          <w:p w:rsidR="007333BE" w:rsidRDefault="007333BE" w:rsidP="00791CD0">
            <w:pPr>
              <w:jc w:val="both"/>
              <w:rPr>
                <w:sz w:val="20"/>
              </w:rPr>
            </w:pPr>
            <w:r>
              <w:rPr>
                <w:sz w:val="20"/>
              </w:rPr>
              <w:t>Study the establishment of an independent complaints or protest review body.</w:t>
            </w:r>
          </w:p>
          <w:p w:rsidR="007333BE" w:rsidRDefault="007333BE" w:rsidP="00791CD0">
            <w:pPr>
              <w:jc w:val="both"/>
              <w:rPr>
                <w:sz w:val="20"/>
              </w:rPr>
            </w:pPr>
          </w:p>
          <w:p w:rsidR="007333BE" w:rsidRDefault="007333BE" w:rsidP="00791CD0">
            <w:pPr>
              <w:jc w:val="both"/>
              <w:rPr>
                <w:sz w:val="20"/>
              </w:rPr>
            </w:pPr>
            <w:r>
              <w:rPr>
                <w:sz w:val="20"/>
              </w:rPr>
              <w:t xml:space="preserve">Develop a framework to sustain and ensure the participation of civil </w:t>
            </w:r>
            <w:r>
              <w:rPr>
                <w:sz w:val="20"/>
              </w:rPr>
              <w:lastRenderedPageBreak/>
              <w:t>society organizations in procurement monitoring.</w:t>
            </w:r>
          </w:p>
          <w:p w:rsidR="007333BE" w:rsidRDefault="007333BE" w:rsidP="00791CD0">
            <w:pPr>
              <w:jc w:val="both"/>
              <w:rPr>
                <w:sz w:val="20"/>
              </w:rPr>
            </w:pPr>
          </w:p>
          <w:p w:rsidR="007333BE" w:rsidRDefault="007333BE" w:rsidP="00791CD0">
            <w:pPr>
              <w:jc w:val="both"/>
              <w:rPr>
                <w:sz w:val="20"/>
              </w:rPr>
            </w:pPr>
            <w:r>
              <w:rPr>
                <w:sz w:val="20"/>
              </w:rPr>
              <w:t>Amend the Blacklisting Guidelines and study the possibility of implementing a Cross-Debarment policy with International Financing Institutions.</w:t>
            </w:r>
          </w:p>
          <w:p w:rsidR="007333BE" w:rsidRDefault="007333BE" w:rsidP="00791CD0">
            <w:pPr>
              <w:jc w:val="both"/>
              <w:rPr>
                <w:sz w:val="20"/>
              </w:rPr>
            </w:pPr>
          </w:p>
          <w:p w:rsidR="007333BE" w:rsidRDefault="007333BE" w:rsidP="00413B45">
            <w:pPr>
              <w:jc w:val="both"/>
              <w:rPr>
                <w:sz w:val="20"/>
              </w:rPr>
            </w:pPr>
            <w:r>
              <w:rPr>
                <w:sz w:val="20"/>
              </w:rPr>
              <w:t>Amend the Guidelines on Price Escalation.</w:t>
            </w:r>
          </w:p>
          <w:p w:rsidR="007333BE" w:rsidRDefault="007333BE" w:rsidP="00413B45">
            <w:pPr>
              <w:jc w:val="both"/>
              <w:rPr>
                <w:sz w:val="20"/>
              </w:rPr>
            </w:pPr>
          </w:p>
          <w:p w:rsidR="007333BE" w:rsidRDefault="007333BE" w:rsidP="00413B45">
            <w:pPr>
              <w:jc w:val="both"/>
              <w:rPr>
                <w:sz w:val="20"/>
              </w:rPr>
            </w:pPr>
            <w:r>
              <w:rPr>
                <w:sz w:val="20"/>
              </w:rPr>
              <w:t>Study the possibility of adopting a policy on Sustainable Public Procurement/Green Public Procurement.</w:t>
            </w:r>
          </w:p>
          <w:p w:rsidR="007333BE" w:rsidRDefault="007333BE" w:rsidP="00413B45">
            <w:pPr>
              <w:jc w:val="both"/>
              <w:rPr>
                <w:sz w:val="20"/>
              </w:rPr>
            </w:pPr>
          </w:p>
          <w:p w:rsidR="007333BE" w:rsidRPr="00791CD0" w:rsidRDefault="007333BE" w:rsidP="00413B45">
            <w:pPr>
              <w:jc w:val="both"/>
              <w:rPr>
                <w:sz w:val="20"/>
              </w:rPr>
            </w:pPr>
            <w:r>
              <w:rPr>
                <w:sz w:val="20"/>
              </w:rPr>
              <w:t>Study the possibility of adopting a wider policy on Framework Agreements (agreement or arrangement between buying authorities).</w:t>
            </w: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E065EE" w:rsidRDefault="008D4F45" w:rsidP="009E28DA">
            <w:pPr>
              <w:pStyle w:val="Heading9"/>
              <w:rPr>
                <w:rFonts w:ascii="Times New Roman" w:hAnsi="Times New Roman"/>
                <w:b w:val="0"/>
                <w:i w:val="0"/>
                <w:color w:val="000000" w:themeColor="text1"/>
              </w:rPr>
            </w:pPr>
            <w:hyperlink r:id="rId39" w:history="1">
              <w:r w:rsidR="007333BE" w:rsidRPr="007F3AD9">
                <w:rPr>
                  <w:rStyle w:val="Hyperlink"/>
                  <w:rFonts w:ascii="Times New Roman" w:hAnsi="Times New Roman"/>
                  <w:b w:val="0"/>
                  <w:i w:val="0"/>
                </w:rPr>
                <w:t>www.gppb.gov.ph</w:t>
              </w:r>
            </w:hyperlink>
            <w:r w:rsidR="007333BE">
              <w:rPr>
                <w:rFonts w:ascii="Times New Roman" w:hAnsi="Times New Roman"/>
                <w:b w:val="0"/>
                <w:i w:val="0"/>
                <w:color w:val="000000" w:themeColor="text1"/>
              </w:rPr>
              <w:t xml:space="preserve"> </w:t>
            </w:r>
          </w:p>
        </w:tc>
        <w:tc>
          <w:tcPr>
            <w:tcW w:w="2050" w:type="pct"/>
          </w:tcPr>
          <w:p w:rsidR="007333BE" w:rsidRPr="0008533B" w:rsidRDefault="007333BE" w:rsidP="009E28DA">
            <w:pPr>
              <w:pStyle w:val="Heading9"/>
              <w:rPr>
                <w:rFonts w:ascii="Times New Roman" w:hAnsi="Times New Roman"/>
                <w:b w:val="0"/>
                <w:color w:val="80808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Pr="00584009" w:rsidRDefault="007333BE" w:rsidP="00E065EE">
            <w:pPr>
              <w:rPr>
                <w:bCs/>
                <w:noProof/>
                <w:sz w:val="20"/>
              </w:rPr>
            </w:pPr>
            <w:r w:rsidRPr="00584009">
              <w:rPr>
                <w:bCs/>
                <w:noProof/>
                <w:sz w:val="20"/>
              </w:rPr>
              <w:t xml:space="preserve">The Executive Director </w:t>
            </w:r>
          </w:p>
          <w:p w:rsidR="007333BE" w:rsidRPr="00584009" w:rsidRDefault="007333BE" w:rsidP="00E065EE">
            <w:pPr>
              <w:rPr>
                <w:bCs/>
                <w:noProof/>
                <w:sz w:val="20"/>
              </w:rPr>
            </w:pPr>
            <w:r w:rsidRPr="00584009">
              <w:rPr>
                <w:bCs/>
                <w:noProof/>
                <w:sz w:val="20"/>
              </w:rPr>
              <w:t>Government Procurement Policy Board</w:t>
            </w:r>
          </w:p>
          <w:p w:rsidR="007333BE" w:rsidRPr="00584009" w:rsidRDefault="007333BE" w:rsidP="00E065EE">
            <w:pPr>
              <w:rPr>
                <w:bCs/>
                <w:noProof/>
                <w:sz w:val="20"/>
              </w:rPr>
            </w:pPr>
            <w:r w:rsidRPr="00584009">
              <w:rPr>
                <w:bCs/>
                <w:noProof/>
                <w:sz w:val="20"/>
              </w:rPr>
              <w:t>Department of Budget and Management</w:t>
            </w:r>
          </w:p>
          <w:p w:rsidR="007333BE" w:rsidRPr="00584009" w:rsidRDefault="007333BE" w:rsidP="00E065EE">
            <w:pPr>
              <w:rPr>
                <w:bCs/>
                <w:noProof/>
                <w:sz w:val="20"/>
              </w:rPr>
            </w:pPr>
            <w:r w:rsidRPr="00584009">
              <w:rPr>
                <w:bCs/>
                <w:noProof/>
                <w:sz w:val="20"/>
              </w:rPr>
              <w:t>Unit 2506 Raffles Corporate Center</w:t>
            </w:r>
          </w:p>
          <w:p w:rsidR="007333BE" w:rsidRPr="00584009" w:rsidRDefault="007333BE" w:rsidP="00E065EE">
            <w:pPr>
              <w:rPr>
                <w:bCs/>
                <w:noProof/>
                <w:sz w:val="20"/>
              </w:rPr>
            </w:pPr>
            <w:r w:rsidRPr="00584009">
              <w:rPr>
                <w:bCs/>
                <w:noProof/>
                <w:sz w:val="20"/>
              </w:rPr>
              <w:t>F. ortigas Jr road, Ortigas Center</w:t>
            </w:r>
          </w:p>
          <w:p w:rsidR="007333BE" w:rsidRPr="00584009" w:rsidRDefault="007333BE" w:rsidP="00E065EE">
            <w:pPr>
              <w:rPr>
                <w:bCs/>
                <w:noProof/>
                <w:sz w:val="20"/>
              </w:rPr>
            </w:pPr>
            <w:r w:rsidRPr="00584009">
              <w:rPr>
                <w:bCs/>
                <w:noProof/>
                <w:sz w:val="20"/>
              </w:rPr>
              <w:t>Pasig City</w:t>
            </w:r>
          </w:p>
          <w:p w:rsidR="007333BE" w:rsidRPr="00584009" w:rsidRDefault="007333BE" w:rsidP="00E065EE">
            <w:pPr>
              <w:rPr>
                <w:bCs/>
                <w:noProof/>
                <w:sz w:val="20"/>
              </w:rPr>
            </w:pPr>
            <w:r w:rsidRPr="00584009">
              <w:rPr>
                <w:bCs/>
                <w:noProof/>
                <w:sz w:val="20"/>
              </w:rPr>
              <w:t>Tel:  (632) 900-6741 to 44</w:t>
            </w:r>
          </w:p>
          <w:p w:rsidR="007333BE" w:rsidRPr="00584009" w:rsidRDefault="007333BE" w:rsidP="00E065EE">
            <w:pPr>
              <w:rPr>
                <w:sz w:val="20"/>
              </w:rPr>
            </w:pPr>
            <w:r w:rsidRPr="00584009">
              <w:rPr>
                <w:bCs/>
                <w:noProof/>
                <w:sz w:val="20"/>
              </w:rPr>
              <w:t xml:space="preserve">E-mail: </w:t>
            </w:r>
            <w:r w:rsidRPr="00584009">
              <w:rPr>
                <w:sz w:val="20"/>
              </w:rPr>
              <w:t xml:space="preserve"> </w:t>
            </w:r>
            <w:hyperlink r:id="rId40" w:history="1">
              <w:r w:rsidRPr="00584009">
                <w:rPr>
                  <w:rStyle w:val="Hyperlink"/>
                  <w:sz w:val="20"/>
                </w:rPr>
                <w:t>gppb@gppb.gov.ph</w:t>
              </w:r>
            </w:hyperlink>
          </w:p>
          <w:p w:rsidR="007333BE" w:rsidRPr="00584009" w:rsidRDefault="007333BE" w:rsidP="00E065EE">
            <w:pPr>
              <w:rPr>
                <w:sz w:val="20"/>
              </w:rPr>
            </w:pPr>
          </w:p>
          <w:p w:rsidR="007333BE" w:rsidRPr="00584009" w:rsidRDefault="007333BE" w:rsidP="00E065EE">
            <w:pPr>
              <w:rPr>
                <w:bCs/>
                <w:noProof/>
                <w:sz w:val="20"/>
              </w:rPr>
            </w:pPr>
            <w:r w:rsidRPr="00584009">
              <w:rPr>
                <w:bCs/>
                <w:noProof/>
                <w:sz w:val="20"/>
              </w:rPr>
              <w:t>The Assistant Director-General</w:t>
            </w:r>
          </w:p>
          <w:p w:rsidR="007333BE" w:rsidRPr="00584009" w:rsidRDefault="007333BE" w:rsidP="00E065EE">
            <w:pPr>
              <w:rPr>
                <w:bCs/>
                <w:noProof/>
                <w:sz w:val="20"/>
              </w:rPr>
            </w:pPr>
            <w:r w:rsidRPr="00584009">
              <w:rPr>
                <w:bCs/>
                <w:noProof/>
                <w:sz w:val="20"/>
              </w:rPr>
              <w:t>Infrastructure, Regulation and Contract Review Services</w:t>
            </w:r>
          </w:p>
          <w:p w:rsidR="007333BE" w:rsidRPr="00584009" w:rsidRDefault="007333BE" w:rsidP="00E065EE">
            <w:pPr>
              <w:rPr>
                <w:bCs/>
                <w:noProof/>
                <w:sz w:val="20"/>
              </w:rPr>
            </w:pPr>
            <w:r w:rsidRPr="00584009">
              <w:rPr>
                <w:bCs/>
                <w:noProof/>
                <w:sz w:val="20"/>
              </w:rPr>
              <w:t>National Economic and Development Authority</w:t>
            </w:r>
          </w:p>
          <w:p w:rsidR="007333BE" w:rsidRPr="00584009" w:rsidRDefault="007333BE" w:rsidP="00E065EE">
            <w:pPr>
              <w:rPr>
                <w:bCs/>
                <w:noProof/>
                <w:sz w:val="20"/>
              </w:rPr>
            </w:pPr>
            <w:r w:rsidRPr="00584009">
              <w:rPr>
                <w:bCs/>
                <w:noProof/>
                <w:sz w:val="20"/>
              </w:rPr>
              <w:t>12 St. Josemaria Escriva Drive,</w:t>
            </w:r>
          </w:p>
          <w:p w:rsidR="007333BE" w:rsidRPr="00584009" w:rsidRDefault="007333BE" w:rsidP="00E065EE">
            <w:pPr>
              <w:rPr>
                <w:bCs/>
                <w:noProof/>
                <w:sz w:val="20"/>
              </w:rPr>
            </w:pPr>
            <w:r w:rsidRPr="00584009">
              <w:rPr>
                <w:bCs/>
                <w:noProof/>
                <w:sz w:val="20"/>
              </w:rPr>
              <w:t>Ortigas Center, Pasig City 1605</w:t>
            </w:r>
          </w:p>
          <w:p w:rsidR="007333BE" w:rsidRPr="00584009" w:rsidRDefault="007333BE" w:rsidP="00E065EE">
            <w:pPr>
              <w:rPr>
                <w:bCs/>
                <w:noProof/>
                <w:sz w:val="20"/>
              </w:rPr>
            </w:pPr>
            <w:r w:rsidRPr="00584009">
              <w:rPr>
                <w:bCs/>
                <w:noProof/>
                <w:sz w:val="20"/>
              </w:rPr>
              <w:t>Tel:  (632) 631-2192</w:t>
            </w:r>
          </w:p>
          <w:p w:rsidR="007333BE" w:rsidRPr="00584009" w:rsidRDefault="007333BE" w:rsidP="00E065EE">
            <w:pPr>
              <w:rPr>
                <w:bCs/>
                <w:noProof/>
                <w:sz w:val="20"/>
              </w:rPr>
            </w:pPr>
            <w:r w:rsidRPr="00584009">
              <w:rPr>
                <w:bCs/>
                <w:noProof/>
                <w:sz w:val="20"/>
              </w:rPr>
              <w:t>Fax: (632) 631-2188</w:t>
            </w:r>
          </w:p>
          <w:p w:rsidR="007333BE" w:rsidRPr="00584009" w:rsidRDefault="007333BE" w:rsidP="00E065EE">
            <w:pPr>
              <w:rPr>
                <w:bCs/>
                <w:noProof/>
                <w:sz w:val="20"/>
              </w:rPr>
            </w:pPr>
            <w:r w:rsidRPr="00584009">
              <w:rPr>
                <w:bCs/>
                <w:noProof/>
                <w:sz w:val="20"/>
              </w:rPr>
              <w:t xml:space="preserve">E-mail:  </w:t>
            </w:r>
            <w:hyperlink r:id="rId41" w:history="1">
              <w:r w:rsidRPr="00584009">
                <w:rPr>
                  <w:rStyle w:val="Hyperlink"/>
                  <w:sz w:val="20"/>
                </w:rPr>
                <w:t>rsreinoso@neda.gov.ph</w:t>
              </w:r>
            </w:hyperlink>
          </w:p>
          <w:p w:rsidR="007333BE" w:rsidRPr="00584009" w:rsidRDefault="007333BE" w:rsidP="00E065EE">
            <w:pPr>
              <w:rPr>
                <w:sz w:val="20"/>
              </w:rPr>
            </w:pPr>
          </w:p>
          <w:p w:rsidR="007333BE" w:rsidRPr="00584009" w:rsidRDefault="007333BE" w:rsidP="00E065EE">
            <w:pPr>
              <w:rPr>
                <w:sz w:val="20"/>
              </w:rPr>
            </w:pPr>
            <w:r w:rsidRPr="00584009">
              <w:rPr>
                <w:sz w:val="20"/>
              </w:rPr>
              <w:t>The Executive Director</w:t>
            </w:r>
          </w:p>
          <w:p w:rsidR="007333BE" w:rsidRPr="00584009" w:rsidRDefault="007333BE" w:rsidP="00584009">
            <w:pPr>
              <w:rPr>
                <w:bCs/>
                <w:noProof/>
                <w:sz w:val="20"/>
              </w:rPr>
            </w:pPr>
            <w:r w:rsidRPr="00584009">
              <w:rPr>
                <w:bCs/>
                <w:noProof/>
                <w:sz w:val="20"/>
              </w:rPr>
              <w:t>Procurement Service</w:t>
            </w:r>
          </w:p>
          <w:p w:rsidR="007333BE" w:rsidRPr="00584009" w:rsidRDefault="007333BE" w:rsidP="00584009">
            <w:pPr>
              <w:rPr>
                <w:bCs/>
                <w:noProof/>
                <w:sz w:val="20"/>
              </w:rPr>
            </w:pPr>
            <w:r w:rsidRPr="00584009">
              <w:rPr>
                <w:bCs/>
                <w:noProof/>
                <w:sz w:val="20"/>
              </w:rPr>
              <w:t>Department of Budget and Management</w:t>
            </w:r>
          </w:p>
          <w:p w:rsidR="007333BE" w:rsidRPr="00584009" w:rsidRDefault="007333BE" w:rsidP="00584009">
            <w:pPr>
              <w:rPr>
                <w:bCs/>
                <w:noProof/>
                <w:sz w:val="20"/>
              </w:rPr>
            </w:pPr>
            <w:r w:rsidRPr="00584009">
              <w:rPr>
                <w:bCs/>
                <w:noProof/>
                <w:sz w:val="20"/>
              </w:rPr>
              <w:t>DBM Compound</w:t>
            </w:r>
          </w:p>
          <w:p w:rsidR="007333BE" w:rsidRPr="00584009" w:rsidRDefault="007333BE" w:rsidP="00584009">
            <w:pPr>
              <w:rPr>
                <w:bCs/>
                <w:noProof/>
                <w:sz w:val="20"/>
              </w:rPr>
            </w:pPr>
            <w:r w:rsidRPr="00584009">
              <w:rPr>
                <w:bCs/>
                <w:noProof/>
                <w:sz w:val="20"/>
              </w:rPr>
              <w:t>Cristobal St, Paco, Manila</w:t>
            </w:r>
          </w:p>
          <w:p w:rsidR="007333BE" w:rsidRPr="00584009" w:rsidRDefault="007333BE" w:rsidP="00584009">
            <w:pPr>
              <w:rPr>
                <w:bCs/>
                <w:noProof/>
                <w:sz w:val="20"/>
              </w:rPr>
            </w:pPr>
            <w:r w:rsidRPr="00584009">
              <w:rPr>
                <w:bCs/>
                <w:noProof/>
                <w:sz w:val="20"/>
              </w:rPr>
              <w:t>Tel:  (632) 563-9365</w:t>
            </w:r>
          </w:p>
          <w:p w:rsidR="007333BE" w:rsidRPr="00584009" w:rsidRDefault="007333BE" w:rsidP="00584009">
            <w:pPr>
              <w:rPr>
                <w:bCs/>
                <w:noProof/>
                <w:sz w:val="20"/>
              </w:rPr>
            </w:pPr>
            <w:r w:rsidRPr="00584009">
              <w:rPr>
                <w:bCs/>
                <w:noProof/>
                <w:sz w:val="20"/>
              </w:rPr>
              <w:t>Fax: (632) 563-9368</w:t>
            </w:r>
          </w:p>
          <w:p w:rsidR="007333BE" w:rsidRPr="00584009" w:rsidRDefault="007333BE" w:rsidP="00E065EE">
            <w:pPr>
              <w:rPr>
                <w:bCs/>
                <w:noProof/>
                <w:sz w:val="20"/>
              </w:rPr>
            </w:pPr>
            <w:r w:rsidRPr="00584009">
              <w:rPr>
                <w:bCs/>
                <w:noProof/>
                <w:sz w:val="20"/>
              </w:rPr>
              <w:t xml:space="preserve">E-mail: </w:t>
            </w:r>
            <w:hyperlink r:id="rId42" w:history="1">
              <w:r w:rsidRPr="00584009">
                <w:rPr>
                  <w:rStyle w:val="Hyperlink"/>
                  <w:sz w:val="20"/>
                </w:rPr>
                <w:t>contacts@procurementservice.org</w:t>
              </w:r>
            </w:hyperlink>
            <w:r w:rsidRPr="00584009">
              <w:rPr>
                <w:bCs/>
                <w:noProof/>
                <w:sz w:val="20"/>
              </w:rPr>
              <w:t xml:space="preserve">; </w:t>
            </w:r>
            <w:hyperlink r:id="rId43" w:history="1">
              <w:r w:rsidRPr="00584009">
                <w:rPr>
                  <w:rStyle w:val="Hyperlink"/>
                  <w:bCs/>
                  <w:noProof/>
                  <w:sz w:val="20"/>
                </w:rPr>
                <w:t>ecgir@procurementservice.org</w:t>
              </w:r>
            </w:hyperlink>
          </w:p>
        </w:tc>
        <w:tc>
          <w:tcPr>
            <w:tcW w:w="2050" w:type="pct"/>
          </w:tcPr>
          <w:p w:rsidR="007333BE" w:rsidRPr="0008533B" w:rsidRDefault="007333BE" w:rsidP="009E28DA">
            <w:pPr>
              <w:pStyle w:val="Heading9"/>
              <w:rPr>
                <w:rFonts w:ascii="Times New Roman" w:hAnsi="Times New Roman"/>
                <w:b w:val="0"/>
                <w:color w:val="808080"/>
              </w:rPr>
            </w:pPr>
          </w:p>
        </w:tc>
      </w:tr>
      <w:tr w:rsidR="007333BE" w:rsidRPr="0008533B" w:rsidTr="00FA15C7">
        <w:tc>
          <w:tcPr>
            <w:tcW w:w="850" w:type="pct"/>
          </w:tcPr>
          <w:p w:rsidR="007333BE" w:rsidRPr="0008533B" w:rsidRDefault="007333BE">
            <w:pPr>
              <w:rPr>
                <w:b/>
                <w:i/>
                <w:sz w:val="20"/>
              </w:rPr>
            </w:pPr>
            <w:bookmarkStart w:id="28" w:name="Row10"/>
            <w:r w:rsidRPr="0008533B">
              <w:rPr>
                <w:b/>
                <w:i/>
                <w:sz w:val="20"/>
              </w:rPr>
              <w:t>Deregulation/Regulatory Review</w:t>
            </w:r>
            <w:bookmarkEnd w:id="28"/>
          </w:p>
          <w:p w:rsidR="007333BE" w:rsidRPr="0008533B" w:rsidRDefault="007333BE">
            <w:pPr>
              <w:rPr>
                <w:b/>
                <w:i/>
                <w:sz w:val="20"/>
              </w:rPr>
            </w:pPr>
          </w:p>
        </w:tc>
        <w:tc>
          <w:tcPr>
            <w:tcW w:w="2100" w:type="pct"/>
          </w:tcPr>
          <w:p w:rsidR="007333BE" w:rsidRPr="004226D5" w:rsidRDefault="007333BE" w:rsidP="00C805E1">
            <w:pPr>
              <w:pStyle w:val="ListParagraph"/>
              <w:numPr>
                <w:ilvl w:val="0"/>
                <w:numId w:val="22"/>
              </w:numPr>
              <w:jc w:val="both"/>
              <w:rPr>
                <w:rFonts w:ascii="Times New Roman" w:hAnsi="Times New Roman"/>
                <w:sz w:val="20"/>
                <w:szCs w:val="20"/>
              </w:rPr>
            </w:pPr>
            <w:bookmarkStart w:id="29" w:name="Cell19"/>
            <w:bookmarkEnd w:id="29"/>
            <w:r w:rsidRPr="004226D5">
              <w:rPr>
                <w:rFonts w:ascii="Times New Roman" w:hAnsi="Times New Roman"/>
                <w:sz w:val="20"/>
                <w:szCs w:val="20"/>
              </w:rPr>
              <w:t>Water Resources Sector</w:t>
            </w:r>
          </w:p>
          <w:p w:rsidR="007333BE" w:rsidRPr="004226D5" w:rsidRDefault="007333BE" w:rsidP="00C805E1">
            <w:pPr>
              <w:jc w:val="both"/>
              <w:rPr>
                <w:sz w:val="20"/>
              </w:rPr>
            </w:pPr>
          </w:p>
          <w:p w:rsidR="007333BE" w:rsidRPr="004226D5" w:rsidRDefault="007333BE" w:rsidP="00C805E1">
            <w:pPr>
              <w:jc w:val="both"/>
              <w:rPr>
                <w:sz w:val="20"/>
              </w:rPr>
            </w:pPr>
            <w:proofErr w:type="gramStart"/>
            <w:r w:rsidRPr="004226D5">
              <w:rPr>
                <w:sz w:val="20"/>
              </w:rPr>
              <w:t>Developed  a</w:t>
            </w:r>
            <w:proofErr w:type="gramEnd"/>
            <w:r w:rsidRPr="004226D5">
              <w:rPr>
                <w:sz w:val="20"/>
              </w:rPr>
              <w:t xml:space="preserve"> </w:t>
            </w:r>
            <w:r w:rsidRPr="004226D5">
              <w:rPr>
                <w:i/>
                <w:sz w:val="20"/>
              </w:rPr>
              <w:t>Philippine Water Resources Sector Development Plan (PWRSDP)</w:t>
            </w:r>
            <w:r w:rsidRPr="004226D5">
              <w:rPr>
                <w:sz w:val="20"/>
              </w:rPr>
              <w:t xml:space="preserve"> to foster coordination in the sector’s planning development and project implementation.  The PWRSDP recommended the reconstitution, elevation and strengthening of the National Water </w:t>
            </w:r>
            <w:r w:rsidRPr="004226D5">
              <w:rPr>
                <w:sz w:val="20"/>
              </w:rPr>
              <w:lastRenderedPageBreak/>
              <w:t>Resources Board.</w:t>
            </w: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C805E1">
            <w:pPr>
              <w:numPr>
                <w:ilvl w:val="0"/>
                <w:numId w:val="17"/>
              </w:numPr>
              <w:ind w:left="432"/>
              <w:jc w:val="both"/>
              <w:rPr>
                <w:sz w:val="20"/>
              </w:rPr>
            </w:pPr>
            <w:r w:rsidRPr="004226D5">
              <w:rPr>
                <w:sz w:val="20"/>
              </w:rPr>
              <w:t>Transportation Sector</w:t>
            </w:r>
          </w:p>
          <w:p w:rsidR="007333BE" w:rsidRPr="004226D5" w:rsidRDefault="007333BE" w:rsidP="00C805E1">
            <w:pPr>
              <w:ind w:left="720"/>
              <w:jc w:val="both"/>
              <w:rPr>
                <w:sz w:val="20"/>
              </w:rPr>
            </w:pPr>
          </w:p>
          <w:p w:rsidR="007333BE" w:rsidRPr="004226D5" w:rsidRDefault="007333BE" w:rsidP="00C805E1">
            <w:pPr>
              <w:jc w:val="both"/>
              <w:rPr>
                <w:sz w:val="20"/>
              </w:rPr>
            </w:pPr>
            <w:r w:rsidRPr="004226D5">
              <w:rPr>
                <w:sz w:val="20"/>
              </w:rPr>
              <w:t>Continued to pursue reforms with the commitment in the 2011-2016 Philippine Development Plan (PDP) to separate the regulatory and operation functions, and eliminate overlapping functions of transport and other concerned agencies.</w:t>
            </w: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C805E1">
            <w:pPr>
              <w:jc w:val="both"/>
              <w:rPr>
                <w:sz w:val="20"/>
              </w:rPr>
            </w:pPr>
          </w:p>
          <w:p w:rsidR="007333BE" w:rsidRPr="004226D5" w:rsidRDefault="007333BE" w:rsidP="008F7089">
            <w:pPr>
              <w:pStyle w:val="ListParagraph"/>
              <w:numPr>
                <w:ilvl w:val="0"/>
                <w:numId w:val="17"/>
              </w:numPr>
              <w:ind w:left="398"/>
              <w:jc w:val="both"/>
              <w:rPr>
                <w:rFonts w:ascii="Times New Roman" w:hAnsi="Times New Roman"/>
                <w:sz w:val="20"/>
              </w:rPr>
            </w:pPr>
            <w:r w:rsidRPr="004226D5">
              <w:rPr>
                <w:rFonts w:ascii="Times New Roman" w:hAnsi="Times New Roman"/>
                <w:sz w:val="20"/>
              </w:rPr>
              <w:t>Energy Sector</w:t>
            </w:r>
          </w:p>
          <w:p w:rsidR="007333BE" w:rsidRPr="004226D5" w:rsidRDefault="007333BE" w:rsidP="008F7089">
            <w:pPr>
              <w:ind w:left="38"/>
              <w:jc w:val="both"/>
              <w:rPr>
                <w:sz w:val="20"/>
              </w:rPr>
            </w:pPr>
          </w:p>
          <w:p w:rsidR="007333BE" w:rsidRPr="004226D5" w:rsidRDefault="007333BE" w:rsidP="008F7089">
            <w:pPr>
              <w:ind w:left="38"/>
              <w:jc w:val="both"/>
              <w:rPr>
                <w:sz w:val="20"/>
              </w:rPr>
            </w:pPr>
            <w:r w:rsidRPr="004226D5">
              <w:rPr>
                <w:sz w:val="20"/>
              </w:rPr>
              <w:t xml:space="preserve">Promulgated Resolution No 9, Series of 2013 “A Resolution Adopting the Rules Enabling the Net-metering Program for Renewable Energy” including the net metering interconnection standards, allowing end-users to generate and supply renewable energy through the distribution utilities. </w:t>
            </w:r>
          </w:p>
          <w:p w:rsidR="007333BE" w:rsidRPr="004226D5" w:rsidRDefault="007333BE" w:rsidP="001417AD">
            <w:pPr>
              <w:jc w:val="both"/>
              <w:rPr>
                <w:color w:val="808080"/>
                <w:sz w:val="20"/>
              </w:rPr>
            </w:pPr>
          </w:p>
        </w:tc>
        <w:tc>
          <w:tcPr>
            <w:tcW w:w="2050" w:type="pct"/>
          </w:tcPr>
          <w:p w:rsidR="007333BE" w:rsidRPr="004226D5" w:rsidRDefault="007333BE" w:rsidP="00A81976">
            <w:pPr>
              <w:pStyle w:val="ListParagraph"/>
              <w:numPr>
                <w:ilvl w:val="0"/>
                <w:numId w:val="17"/>
              </w:numPr>
              <w:ind w:left="445"/>
              <w:jc w:val="both"/>
              <w:rPr>
                <w:rFonts w:ascii="Times New Roman" w:hAnsi="Times New Roman"/>
                <w:sz w:val="20"/>
                <w:szCs w:val="20"/>
              </w:rPr>
            </w:pPr>
            <w:bookmarkStart w:id="30" w:name="Cell20"/>
            <w:bookmarkEnd w:id="30"/>
            <w:r w:rsidRPr="004226D5">
              <w:rPr>
                <w:rFonts w:ascii="Times New Roman" w:hAnsi="Times New Roman"/>
                <w:sz w:val="20"/>
                <w:szCs w:val="20"/>
              </w:rPr>
              <w:lastRenderedPageBreak/>
              <w:t>Water Resources Sector</w:t>
            </w:r>
          </w:p>
          <w:p w:rsidR="007333BE" w:rsidRPr="004226D5" w:rsidRDefault="007333BE" w:rsidP="003A639B">
            <w:pPr>
              <w:pStyle w:val="ListParagraph"/>
              <w:ind w:left="445"/>
              <w:jc w:val="both"/>
              <w:rPr>
                <w:rFonts w:ascii="Times New Roman" w:hAnsi="Times New Roman"/>
                <w:sz w:val="20"/>
                <w:szCs w:val="20"/>
              </w:rPr>
            </w:pPr>
          </w:p>
          <w:p w:rsidR="007333BE" w:rsidRPr="004226D5" w:rsidRDefault="007333BE" w:rsidP="001E059B">
            <w:pPr>
              <w:jc w:val="both"/>
              <w:rPr>
                <w:rFonts w:eastAsia="SimSun"/>
                <w:sz w:val="20"/>
                <w:lang w:val="en-US" w:eastAsia="zh-CN"/>
              </w:rPr>
            </w:pPr>
            <w:r w:rsidRPr="004226D5">
              <w:rPr>
                <w:rFonts w:eastAsia="SimSun"/>
                <w:sz w:val="20"/>
                <w:lang w:val="en-US" w:eastAsia="zh-CN"/>
              </w:rPr>
              <w:t>Issue an executive order pending legislation of the National Water Resources Board.</w:t>
            </w:r>
          </w:p>
          <w:p w:rsidR="007333BE" w:rsidRPr="004226D5" w:rsidRDefault="007333BE" w:rsidP="001E059B">
            <w:pPr>
              <w:jc w:val="both"/>
              <w:rPr>
                <w:rFonts w:eastAsia="SimSun"/>
                <w:sz w:val="20"/>
                <w:lang w:val="en-US" w:eastAsia="zh-CN"/>
              </w:rPr>
            </w:pPr>
          </w:p>
          <w:p w:rsidR="007333BE" w:rsidRPr="004226D5" w:rsidRDefault="007333BE" w:rsidP="001E059B">
            <w:pPr>
              <w:jc w:val="both"/>
              <w:rPr>
                <w:rFonts w:eastAsia="SimSun"/>
                <w:sz w:val="20"/>
                <w:lang w:val="en-US" w:eastAsia="zh-CN"/>
              </w:rPr>
            </w:pPr>
            <w:r w:rsidRPr="004226D5">
              <w:rPr>
                <w:rFonts w:eastAsia="SimSun"/>
                <w:sz w:val="20"/>
                <w:lang w:val="en-US" w:eastAsia="zh-CN"/>
              </w:rPr>
              <w:t xml:space="preserve">Study the improvement of water supply and sanitation (WSS) and </w:t>
            </w:r>
            <w:r w:rsidRPr="004226D5">
              <w:rPr>
                <w:rFonts w:eastAsia="SimSun"/>
                <w:sz w:val="20"/>
                <w:lang w:val="en-US" w:eastAsia="zh-CN"/>
              </w:rPr>
              <w:lastRenderedPageBreak/>
              <w:t>rationalization of financing for the WSS sector with assistance from the World Bank.  The plan involves the development of an institutional framework and unified financing framework for the WSS sector.</w:t>
            </w:r>
          </w:p>
          <w:p w:rsidR="007333BE" w:rsidRPr="004226D5" w:rsidRDefault="007333BE" w:rsidP="001E059B">
            <w:pPr>
              <w:jc w:val="both"/>
              <w:rPr>
                <w:rFonts w:eastAsia="SimSun"/>
                <w:sz w:val="20"/>
                <w:lang w:val="en-US" w:eastAsia="zh-CN"/>
              </w:rPr>
            </w:pPr>
          </w:p>
          <w:p w:rsidR="007333BE" w:rsidRPr="004226D5" w:rsidRDefault="007333BE" w:rsidP="001E059B">
            <w:pPr>
              <w:jc w:val="both"/>
              <w:rPr>
                <w:rFonts w:eastAsia="SimSun"/>
                <w:sz w:val="20"/>
                <w:lang w:val="en-US" w:eastAsia="zh-CN"/>
              </w:rPr>
            </w:pPr>
            <w:r w:rsidRPr="004226D5">
              <w:rPr>
                <w:rFonts w:eastAsia="SimSun"/>
                <w:sz w:val="20"/>
                <w:lang w:val="en-US" w:eastAsia="zh-CN"/>
              </w:rPr>
              <w:t>Actively pursue the establishment of an independent economic regulator for the sector.</w:t>
            </w:r>
          </w:p>
          <w:p w:rsidR="007333BE" w:rsidRPr="004226D5" w:rsidRDefault="007333BE" w:rsidP="00A81976">
            <w:pPr>
              <w:jc w:val="both"/>
              <w:rPr>
                <w:color w:val="808080"/>
                <w:sz w:val="20"/>
              </w:rPr>
            </w:pPr>
          </w:p>
          <w:p w:rsidR="007333BE" w:rsidRPr="004226D5" w:rsidRDefault="007333BE" w:rsidP="004226D5">
            <w:pPr>
              <w:pStyle w:val="ListParagraph"/>
              <w:numPr>
                <w:ilvl w:val="0"/>
                <w:numId w:val="17"/>
              </w:numPr>
              <w:ind w:left="411"/>
              <w:jc w:val="both"/>
              <w:rPr>
                <w:rFonts w:ascii="Times New Roman" w:hAnsi="Times New Roman"/>
                <w:sz w:val="20"/>
              </w:rPr>
            </w:pPr>
            <w:r w:rsidRPr="004226D5">
              <w:rPr>
                <w:rFonts w:ascii="Times New Roman" w:hAnsi="Times New Roman"/>
                <w:sz w:val="20"/>
              </w:rPr>
              <w:t>Transportation Sector</w:t>
            </w:r>
          </w:p>
          <w:p w:rsidR="007333BE" w:rsidRPr="004226D5" w:rsidRDefault="007333BE" w:rsidP="00A81976">
            <w:pPr>
              <w:jc w:val="both"/>
              <w:rPr>
                <w:i/>
                <w:color w:val="808080"/>
                <w:sz w:val="20"/>
              </w:rPr>
            </w:pPr>
          </w:p>
          <w:p w:rsidR="007333BE" w:rsidRPr="004226D5" w:rsidRDefault="007333BE" w:rsidP="00A81976">
            <w:pPr>
              <w:jc w:val="both"/>
              <w:rPr>
                <w:sz w:val="20"/>
              </w:rPr>
            </w:pPr>
            <w:r w:rsidRPr="004226D5">
              <w:rPr>
                <w:sz w:val="20"/>
              </w:rPr>
              <w:t>Awaiting legislation of a law setting the direction of and parameters for the development of and regulation of the transportation system.</w:t>
            </w:r>
          </w:p>
          <w:p w:rsidR="007333BE" w:rsidRPr="004226D5" w:rsidRDefault="007333BE" w:rsidP="00A81976">
            <w:pPr>
              <w:jc w:val="both"/>
              <w:rPr>
                <w:sz w:val="20"/>
              </w:rPr>
            </w:pPr>
          </w:p>
          <w:p w:rsidR="007333BE" w:rsidRPr="004226D5" w:rsidRDefault="007333BE" w:rsidP="00A81976">
            <w:pPr>
              <w:jc w:val="both"/>
              <w:rPr>
                <w:sz w:val="20"/>
              </w:rPr>
            </w:pPr>
            <w:r w:rsidRPr="004226D5">
              <w:rPr>
                <w:sz w:val="20"/>
              </w:rPr>
              <w:t>Consider a draft executive order adopting a policy framework to set the direction of and parameters for the integrated development and regulation of the transportation system.</w:t>
            </w:r>
          </w:p>
          <w:p w:rsidR="007333BE" w:rsidRPr="004226D5" w:rsidRDefault="007333BE" w:rsidP="00A81976">
            <w:pPr>
              <w:jc w:val="both"/>
              <w:rPr>
                <w:sz w:val="20"/>
              </w:rPr>
            </w:pPr>
          </w:p>
          <w:p w:rsidR="007333BE" w:rsidRPr="004226D5" w:rsidRDefault="007333BE" w:rsidP="00B264BE">
            <w:pPr>
              <w:pStyle w:val="ListParagraph"/>
              <w:numPr>
                <w:ilvl w:val="0"/>
                <w:numId w:val="17"/>
              </w:numPr>
              <w:ind w:left="398"/>
              <w:jc w:val="both"/>
              <w:rPr>
                <w:rFonts w:ascii="Times New Roman" w:hAnsi="Times New Roman"/>
                <w:sz w:val="20"/>
              </w:rPr>
            </w:pPr>
            <w:r w:rsidRPr="004226D5">
              <w:rPr>
                <w:rFonts w:ascii="Times New Roman" w:hAnsi="Times New Roman"/>
                <w:sz w:val="20"/>
              </w:rPr>
              <w:t>Energy Sector</w:t>
            </w:r>
          </w:p>
          <w:p w:rsidR="007333BE" w:rsidRPr="004226D5" w:rsidRDefault="007333BE" w:rsidP="00A81976">
            <w:pPr>
              <w:jc w:val="both"/>
              <w:rPr>
                <w:sz w:val="20"/>
              </w:rPr>
            </w:pPr>
          </w:p>
          <w:p w:rsidR="007333BE" w:rsidRPr="004226D5" w:rsidRDefault="007333BE" w:rsidP="00A81976">
            <w:pPr>
              <w:jc w:val="both"/>
              <w:rPr>
                <w:sz w:val="20"/>
              </w:rPr>
            </w:pPr>
            <w:r w:rsidRPr="004226D5">
              <w:rPr>
                <w:sz w:val="20"/>
              </w:rPr>
              <w:t>Awaiting passage of bill to promote and implement the Accreditation Systems for Energy Service Companies (ESCOs) as well as Energy Efficiency Service Providers (EESPs).  The bill will address cost competitiveness and energy security.</w:t>
            </w: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5071A6" w:rsidRDefault="008D4F45" w:rsidP="005071A6">
            <w:pPr>
              <w:pStyle w:val="Heading9"/>
            </w:pPr>
            <w:hyperlink r:id="rId44" w:history="1">
              <w:r w:rsidR="007333BE" w:rsidRPr="00346AB6">
                <w:rPr>
                  <w:rStyle w:val="Hyperlink"/>
                  <w:rFonts w:ascii="Times New Roman" w:hAnsi="Times New Roman"/>
                  <w:b w:val="0"/>
                  <w:i w:val="0"/>
                </w:rPr>
                <w:t>http://www.neda.gov.ph</w:t>
              </w:r>
            </w:hyperlink>
            <w:r w:rsidR="007333BE">
              <w:rPr>
                <w:rFonts w:ascii="Times New Roman" w:hAnsi="Times New Roman"/>
                <w:b w:val="0"/>
                <w:i w:val="0"/>
              </w:rPr>
              <w:t xml:space="preserve"> </w:t>
            </w:r>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Default="007333BE" w:rsidP="00BA0237">
            <w:pPr>
              <w:rPr>
                <w:sz w:val="20"/>
                <w:lang w:val="en-US"/>
              </w:rPr>
            </w:pPr>
            <w:r>
              <w:rPr>
                <w:sz w:val="20"/>
                <w:lang w:val="en-US"/>
              </w:rPr>
              <w:t>Assistant Director General for Infrastructure and/or</w:t>
            </w:r>
          </w:p>
          <w:p w:rsidR="007333BE" w:rsidRPr="005071A6" w:rsidRDefault="007333BE" w:rsidP="00BA0237">
            <w:pPr>
              <w:rPr>
                <w:sz w:val="20"/>
                <w:lang w:val="en-US"/>
              </w:rPr>
            </w:pPr>
            <w:r>
              <w:rPr>
                <w:sz w:val="20"/>
                <w:lang w:val="en-US"/>
              </w:rPr>
              <w:t>Director for Infrastructure</w:t>
            </w:r>
          </w:p>
          <w:p w:rsidR="007333BE" w:rsidRPr="005071A6" w:rsidRDefault="007333BE" w:rsidP="00BA0237">
            <w:pPr>
              <w:rPr>
                <w:sz w:val="20"/>
                <w:lang w:val="en-US"/>
              </w:rPr>
            </w:pPr>
            <w:r w:rsidRPr="005071A6">
              <w:rPr>
                <w:sz w:val="20"/>
                <w:lang w:val="en-US"/>
              </w:rPr>
              <w:t>National Economic and Development Authority</w:t>
            </w:r>
          </w:p>
          <w:p w:rsidR="007333BE" w:rsidRPr="005071A6" w:rsidRDefault="007333BE" w:rsidP="00BA0237">
            <w:pPr>
              <w:rPr>
                <w:sz w:val="20"/>
                <w:lang w:val="en-US"/>
              </w:rPr>
            </w:pPr>
            <w:r w:rsidRPr="005071A6">
              <w:rPr>
                <w:sz w:val="20"/>
                <w:lang w:val="en-US"/>
              </w:rPr>
              <w:t xml:space="preserve">12 </w:t>
            </w:r>
            <w:r>
              <w:rPr>
                <w:sz w:val="20"/>
                <w:lang w:val="en-US"/>
              </w:rPr>
              <w:t>Saint</w:t>
            </w:r>
            <w:r w:rsidRPr="005071A6">
              <w:rPr>
                <w:sz w:val="20"/>
                <w:lang w:val="en-US"/>
              </w:rPr>
              <w:t xml:space="preserve"> </w:t>
            </w:r>
            <w:proofErr w:type="spellStart"/>
            <w:r w:rsidRPr="005071A6">
              <w:rPr>
                <w:sz w:val="20"/>
                <w:lang w:val="en-US"/>
              </w:rPr>
              <w:t>Josemaria</w:t>
            </w:r>
            <w:proofErr w:type="spellEnd"/>
            <w:r w:rsidRPr="005071A6">
              <w:rPr>
                <w:sz w:val="20"/>
                <w:lang w:val="en-US"/>
              </w:rPr>
              <w:t xml:space="preserve"> </w:t>
            </w:r>
            <w:proofErr w:type="spellStart"/>
            <w:r w:rsidRPr="005071A6">
              <w:rPr>
                <w:sz w:val="20"/>
                <w:lang w:val="en-US"/>
              </w:rPr>
              <w:t>Escriva</w:t>
            </w:r>
            <w:proofErr w:type="spellEnd"/>
            <w:r w:rsidRPr="005071A6">
              <w:rPr>
                <w:sz w:val="20"/>
                <w:lang w:val="en-US"/>
              </w:rPr>
              <w:t xml:space="preserve"> Drive</w:t>
            </w:r>
          </w:p>
          <w:p w:rsidR="007333BE" w:rsidRPr="005071A6" w:rsidRDefault="007333BE" w:rsidP="00BA0237">
            <w:pPr>
              <w:rPr>
                <w:sz w:val="20"/>
                <w:lang w:val="en-US"/>
              </w:rPr>
            </w:pPr>
            <w:r w:rsidRPr="005071A6">
              <w:rPr>
                <w:sz w:val="20"/>
                <w:lang w:val="en-US"/>
              </w:rPr>
              <w:t>Pasig City, Philippines</w:t>
            </w:r>
          </w:p>
          <w:p w:rsidR="007333BE" w:rsidRPr="005071A6" w:rsidRDefault="007333BE" w:rsidP="00BA0237">
            <w:pPr>
              <w:rPr>
                <w:sz w:val="20"/>
              </w:rPr>
            </w:pPr>
            <w:r>
              <w:rPr>
                <w:sz w:val="20"/>
              </w:rPr>
              <w:t>Tel: (</w:t>
            </w:r>
            <w:r w:rsidRPr="005071A6">
              <w:rPr>
                <w:sz w:val="20"/>
              </w:rPr>
              <w:t>632</w:t>
            </w:r>
            <w:r>
              <w:rPr>
                <w:sz w:val="20"/>
              </w:rPr>
              <w:t>) 631-3724 loc 310</w:t>
            </w:r>
          </w:p>
          <w:p w:rsidR="007333BE" w:rsidRPr="005071A6" w:rsidRDefault="007333BE" w:rsidP="00BA0237">
            <w:pPr>
              <w:rPr>
                <w:sz w:val="20"/>
              </w:rPr>
            </w:pPr>
            <w:r>
              <w:rPr>
                <w:sz w:val="20"/>
              </w:rPr>
              <w:t>Fax: (</w:t>
            </w:r>
            <w:r w:rsidRPr="005071A6">
              <w:rPr>
                <w:sz w:val="20"/>
              </w:rPr>
              <w:t>632</w:t>
            </w:r>
            <w:r>
              <w:rPr>
                <w:sz w:val="20"/>
              </w:rPr>
              <w:t xml:space="preserve">) </w:t>
            </w:r>
            <w:r w:rsidRPr="005071A6">
              <w:rPr>
                <w:sz w:val="20"/>
              </w:rPr>
              <w:t>631</w:t>
            </w:r>
            <w:r>
              <w:rPr>
                <w:sz w:val="20"/>
              </w:rPr>
              <w:t>-9108</w:t>
            </w:r>
          </w:p>
          <w:p w:rsidR="007333BE" w:rsidRPr="00A26A52" w:rsidRDefault="007333BE" w:rsidP="00A26A52">
            <w:pPr>
              <w:rPr>
                <w:sz w:val="20"/>
                <w:lang w:val="en-US"/>
              </w:rPr>
            </w:pPr>
            <w:r w:rsidRPr="005071A6">
              <w:rPr>
                <w:sz w:val="20"/>
                <w:lang w:val="en-US"/>
              </w:rPr>
              <w:t xml:space="preserve">E-mail:  </w:t>
            </w:r>
            <w:hyperlink r:id="rId45" w:history="1">
              <w:r w:rsidRPr="00E84BE4">
                <w:rPr>
                  <w:rStyle w:val="Hyperlink"/>
                  <w:sz w:val="20"/>
                  <w:lang w:val="en-US"/>
                </w:rPr>
                <w:t>RSReinoso@neda.gov.ph</w:t>
              </w:r>
            </w:hyperlink>
            <w:r w:rsidRPr="005071A6">
              <w:rPr>
                <w:sz w:val="20"/>
                <w:lang w:val="en-US"/>
              </w:rPr>
              <w:t xml:space="preserve">    </w:t>
            </w:r>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pPr>
              <w:rPr>
                <w:b/>
                <w:i/>
                <w:sz w:val="20"/>
              </w:rPr>
            </w:pPr>
            <w:bookmarkStart w:id="31" w:name="Row11"/>
            <w:r w:rsidRPr="0008533B">
              <w:rPr>
                <w:b/>
                <w:i/>
                <w:sz w:val="20"/>
              </w:rPr>
              <w:t xml:space="preserve">Implementation of WTO </w:t>
            </w:r>
            <w:r w:rsidRPr="0008533B">
              <w:rPr>
                <w:b/>
                <w:i/>
                <w:sz w:val="20"/>
              </w:rPr>
              <w:lastRenderedPageBreak/>
              <w:t>Obligations/ROOs</w:t>
            </w:r>
            <w:bookmarkEnd w:id="31"/>
          </w:p>
          <w:p w:rsidR="007333BE" w:rsidRPr="0008533B" w:rsidRDefault="007333BE">
            <w:pPr>
              <w:rPr>
                <w:b/>
                <w:i/>
                <w:sz w:val="20"/>
              </w:rPr>
            </w:pPr>
          </w:p>
        </w:tc>
        <w:tc>
          <w:tcPr>
            <w:tcW w:w="2100" w:type="pct"/>
          </w:tcPr>
          <w:p w:rsidR="007333BE" w:rsidRPr="00963FB0" w:rsidRDefault="007333BE" w:rsidP="00565664">
            <w:pPr>
              <w:rPr>
                <w:sz w:val="20"/>
              </w:rPr>
            </w:pPr>
            <w:bookmarkStart w:id="32" w:name="Cell21"/>
            <w:bookmarkEnd w:id="32"/>
            <w:r>
              <w:rPr>
                <w:sz w:val="20"/>
              </w:rPr>
              <w:lastRenderedPageBreak/>
              <w:t xml:space="preserve">Participated actively in the Ninth WTO Ministerial Conference where </w:t>
            </w:r>
            <w:r>
              <w:rPr>
                <w:sz w:val="20"/>
              </w:rPr>
              <w:lastRenderedPageBreak/>
              <w:t>the Bali Package was adopted.</w:t>
            </w:r>
          </w:p>
        </w:tc>
        <w:tc>
          <w:tcPr>
            <w:tcW w:w="2050" w:type="pct"/>
          </w:tcPr>
          <w:p w:rsidR="007333BE" w:rsidRPr="00963FB0" w:rsidRDefault="007333BE" w:rsidP="00963FB0">
            <w:pPr>
              <w:rPr>
                <w:sz w:val="20"/>
              </w:rPr>
            </w:pPr>
            <w:bookmarkStart w:id="33" w:name="Cell22"/>
            <w:bookmarkEnd w:id="33"/>
            <w:r w:rsidRPr="00963FB0">
              <w:rPr>
                <w:sz w:val="20"/>
              </w:rPr>
              <w:lastRenderedPageBreak/>
              <w:t xml:space="preserve">Continue to participate actively in the Doha Development Agenda </w:t>
            </w:r>
            <w:proofErr w:type="gramStart"/>
            <w:r w:rsidRPr="00963FB0">
              <w:rPr>
                <w:sz w:val="20"/>
              </w:rPr>
              <w:lastRenderedPageBreak/>
              <w:t xml:space="preserve">negotiations </w:t>
            </w:r>
            <w:r>
              <w:rPr>
                <w:sz w:val="20"/>
              </w:rPr>
              <w:t>.</w:t>
            </w:r>
            <w:proofErr w:type="gramEnd"/>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963FB0" w:rsidRDefault="008D4F45" w:rsidP="009E28DA">
            <w:pPr>
              <w:pStyle w:val="Heading9"/>
              <w:rPr>
                <w:rFonts w:ascii="Times New Roman" w:hAnsi="Times New Roman"/>
                <w:b w:val="0"/>
                <w:i w:val="0"/>
              </w:rPr>
            </w:pPr>
            <w:hyperlink r:id="rId46" w:history="1">
              <w:r w:rsidR="007333BE" w:rsidRPr="00BE7041">
                <w:rPr>
                  <w:rStyle w:val="Hyperlink"/>
                  <w:rFonts w:ascii="Times New Roman" w:hAnsi="Times New Roman"/>
                  <w:b w:val="0"/>
                  <w:i w:val="0"/>
                </w:rPr>
                <w:t>www.dti.gov.ph</w:t>
              </w:r>
            </w:hyperlink>
            <w:r w:rsidR="007333BE">
              <w:rPr>
                <w:rFonts w:ascii="Times New Roman" w:hAnsi="Times New Roman"/>
                <w:b w:val="0"/>
                <w:i w:val="0"/>
              </w:rPr>
              <w:t xml:space="preserve"> </w:t>
            </w:r>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Pr="00F9640C" w:rsidRDefault="007333BE" w:rsidP="00565664">
            <w:pPr>
              <w:rPr>
                <w:noProof/>
                <w:sz w:val="20"/>
              </w:rPr>
            </w:pPr>
            <w:r w:rsidRPr="00F9640C">
              <w:rPr>
                <w:noProof/>
                <w:sz w:val="20"/>
              </w:rPr>
              <w:t xml:space="preserve">The Director </w:t>
            </w:r>
          </w:p>
          <w:p w:rsidR="007333BE" w:rsidRPr="00F9640C" w:rsidRDefault="007333BE" w:rsidP="00565664">
            <w:pPr>
              <w:rPr>
                <w:noProof/>
                <w:sz w:val="20"/>
              </w:rPr>
            </w:pPr>
            <w:smartTag w:uri="urn:schemas-microsoft-com:office:smarttags" w:element="PersonName">
              <w:r w:rsidRPr="00F9640C">
                <w:rPr>
                  <w:noProof/>
                  <w:sz w:val="20"/>
                </w:rPr>
                <w:t>Bureau of International Trade Relations</w:t>
              </w:r>
            </w:smartTag>
          </w:p>
          <w:p w:rsidR="007333BE" w:rsidRPr="00F9640C" w:rsidRDefault="007333BE" w:rsidP="00565664">
            <w:pPr>
              <w:rPr>
                <w:noProof/>
                <w:sz w:val="20"/>
              </w:rPr>
            </w:pPr>
            <w:r w:rsidRPr="00F9640C">
              <w:rPr>
                <w:noProof/>
                <w:sz w:val="20"/>
              </w:rPr>
              <w:t>Department of Trade and Industry</w:t>
            </w:r>
          </w:p>
          <w:p w:rsidR="007333BE" w:rsidRPr="00F9640C" w:rsidRDefault="007333BE" w:rsidP="00565664">
            <w:pPr>
              <w:rPr>
                <w:noProof/>
                <w:sz w:val="20"/>
              </w:rPr>
            </w:pPr>
            <w:r w:rsidRPr="00F9640C">
              <w:rPr>
                <w:noProof/>
                <w:sz w:val="20"/>
              </w:rPr>
              <w:t>361 Senator Gil J. Puyat Avenue</w:t>
            </w:r>
          </w:p>
          <w:p w:rsidR="007333BE" w:rsidRPr="00F9640C" w:rsidRDefault="007333BE" w:rsidP="00565664">
            <w:pPr>
              <w:rPr>
                <w:noProof/>
                <w:sz w:val="20"/>
              </w:rPr>
            </w:pPr>
            <w:r w:rsidRPr="00F9640C">
              <w:rPr>
                <w:noProof/>
                <w:sz w:val="20"/>
              </w:rPr>
              <w:t>Makati City 1200 Philippines</w:t>
            </w:r>
          </w:p>
          <w:p w:rsidR="007333BE" w:rsidRPr="00F9640C" w:rsidRDefault="007333BE" w:rsidP="00565664">
            <w:pPr>
              <w:rPr>
                <w:noProof/>
                <w:sz w:val="20"/>
              </w:rPr>
            </w:pPr>
            <w:r>
              <w:rPr>
                <w:noProof/>
                <w:sz w:val="20"/>
              </w:rPr>
              <w:t>Tel: (632) 465-3300, 465-3356</w:t>
            </w:r>
          </w:p>
          <w:p w:rsidR="007333BE" w:rsidRPr="00963FB0" w:rsidRDefault="007333BE" w:rsidP="00565664">
            <w:pPr>
              <w:rPr>
                <w:noProof/>
                <w:sz w:val="20"/>
              </w:rPr>
            </w:pPr>
            <w:r w:rsidRPr="00F9640C">
              <w:rPr>
                <w:noProof/>
                <w:sz w:val="20"/>
              </w:rPr>
              <w:t>Fax: (632) 890-5149</w:t>
            </w:r>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pPr>
              <w:rPr>
                <w:b/>
                <w:i/>
                <w:sz w:val="20"/>
              </w:rPr>
            </w:pPr>
            <w:bookmarkStart w:id="34" w:name="Row12"/>
            <w:r w:rsidRPr="0008533B">
              <w:rPr>
                <w:b/>
                <w:i/>
                <w:sz w:val="20"/>
              </w:rPr>
              <w:t>Dispute Mediation</w:t>
            </w:r>
            <w:bookmarkEnd w:id="34"/>
          </w:p>
          <w:p w:rsidR="007333BE" w:rsidRPr="0008533B" w:rsidRDefault="007333BE">
            <w:pPr>
              <w:rPr>
                <w:b/>
                <w:i/>
                <w:color w:val="808080"/>
                <w:sz w:val="20"/>
              </w:rPr>
            </w:pPr>
          </w:p>
        </w:tc>
        <w:tc>
          <w:tcPr>
            <w:tcW w:w="2100" w:type="pct"/>
          </w:tcPr>
          <w:p w:rsidR="007333BE" w:rsidRPr="007C2D9E" w:rsidRDefault="007333BE" w:rsidP="009E630B">
            <w:pPr>
              <w:jc w:val="both"/>
              <w:rPr>
                <w:sz w:val="20"/>
              </w:rPr>
            </w:pPr>
            <w:bookmarkStart w:id="35" w:name="Cell23"/>
            <w:bookmarkEnd w:id="35"/>
          </w:p>
        </w:tc>
        <w:tc>
          <w:tcPr>
            <w:tcW w:w="2050" w:type="pct"/>
          </w:tcPr>
          <w:p w:rsidR="007333BE" w:rsidRPr="009C0865" w:rsidRDefault="007333BE">
            <w:pPr>
              <w:rPr>
                <w:color w:val="808080"/>
                <w:sz w:val="20"/>
              </w:rPr>
            </w:pPr>
            <w:bookmarkStart w:id="36" w:name="Cell24"/>
            <w:bookmarkEnd w:id="36"/>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C97FF8" w:rsidRDefault="008D4F45" w:rsidP="00C97FF8">
            <w:pPr>
              <w:pStyle w:val="Heading9"/>
              <w:rPr>
                <w:rFonts w:ascii="Times New Roman" w:hAnsi="Times New Roman"/>
                <w:b w:val="0"/>
                <w:i w:val="0"/>
              </w:rPr>
            </w:pPr>
            <w:hyperlink r:id="rId47" w:history="1">
              <w:r w:rsidR="007333BE" w:rsidRPr="00C97FF8">
                <w:rPr>
                  <w:rStyle w:val="Hyperlink"/>
                  <w:rFonts w:ascii="Times New Roman" w:hAnsi="Times New Roman"/>
                  <w:b w:val="0"/>
                  <w:i w:val="0"/>
                </w:rPr>
                <w:t>http://www.dti.gov.ph</w:t>
              </w:r>
            </w:hyperlink>
          </w:p>
          <w:p w:rsidR="007333BE" w:rsidRPr="00BD6243" w:rsidRDefault="008D4F45" w:rsidP="00C97FF8">
            <w:pPr>
              <w:rPr>
                <w:sz w:val="20"/>
              </w:rPr>
            </w:pPr>
            <w:hyperlink r:id="rId48" w:history="1">
              <w:r w:rsidR="007333BE" w:rsidRPr="00C97FF8">
                <w:rPr>
                  <w:rStyle w:val="Hyperlink"/>
                  <w:sz w:val="20"/>
                </w:rPr>
                <w:t>http://www.osg.gov.ph</w:t>
              </w:r>
            </w:hyperlink>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rsidP="009E28DA">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Pr="007F681C" w:rsidRDefault="007333BE" w:rsidP="007F681C">
            <w:pPr>
              <w:jc w:val="both"/>
              <w:rPr>
                <w:rFonts w:eastAsia="Arial Unicode MS"/>
                <w:sz w:val="20"/>
              </w:rPr>
            </w:pPr>
            <w:r>
              <w:rPr>
                <w:rFonts w:eastAsia="Arial Unicode MS"/>
                <w:sz w:val="20"/>
              </w:rPr>
              <w:t>T</w:t>
            </w:r>
            <w:r w:rsidRPr="007F681C">
              <w:rPr>
                <w:rFonts w:eastAsia="Arial Unicode MS"/>
                <w:sz w:val="20"/>
              </w:rPr>
              <w:t>he Chief State Counsel</w:t>
            </w:r>
          </w:p>
          <w:p w:rsidR="007333BE" w:rsidRPr="007F681C" w:rsidRDefault="007333BE" w:rsidP="007F681C">
            <w:pPr>
              <w:jc w:val="both"/>
              <w:rPr>
                <w:rFonts w:eastAsia="Arial Unicode MS"/>
                <w:sz w:val="20"/>
              </w:rPr>
            </w:pPr>
            <w:r w:rsidRPr="007F681C">
              <w:rPr>
                <w:rFonts w:eastAsia="Arial Unicode MS"/>
                <w:sz w:val="20"/>
              </w:rPr>
              <w:t>Department of Justice</w:t>
            </w:r>
          </w:p>
          <w:p w:rsidR="007333BE" w:rsidRPr="007F681C" w:rsidRDefault="007333BE" w:rsidP="007F681C">
            <w:pPr>
              <w:jc w:val="both"/>
              <w:rPr>
                <w:rFonts w:eastAsia="Arial Unicode MS"/>
                <w:sz w:val="20"/>
              </w:rPr>
            </w:pPr>
            <w:r w:rsidRPr="007F681C">
              <w:rPr>
                <w:rFonts w:eastAsia="Arial Unicode MS"/>
                <w:sz w:val="20"/>
              </w:rPr>
              <w:t xml:space="preserve">Padre </w:t>
            </w:r>
            <w:proofErr w:type="spellStart"/>
            <w:r w:rsidRPr="007F681C">
              <w:rPr>
                <w:rFonts w:eastAsia="Arial Unicode MS"/>
                <w:sz w:val="20"/>
              </w:rPr>
              <w:t>Faura</w:t>
            </w:r>
            <w:proofErr w:type="spellEnd"/>
            <w:r w:rsidRPr="007F681C">
              <w:rPr>
                <w:rFonts w:eastAsia="Arial Unicode MS"/>
                <w:sz w:val="20"/>
              </w:rPr>
              <w:t>, Manila, Philippines</w:t>
            </w:r>
          </w:p>
          <w:p w:rsidR="007333BE" w:rsidRPr="007F681C" w:rsidRDefault="007333BE" w:rsidP="007F681C">
            <w:pPr>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525</w:t>
            </w:r>
            <w:r>
              <w:rPr>
                <w:rFonts w:eastAsia="Arial Unicode MS"/>
                <w:sz w:val="20"/>
              </w:rPr>
              <w:t>-</w:t>
            </w:r>
            <w:r w:rsidRPr="007F681C">
              <w:rPr>
                <w:rFonts w:eastAsia="Arial Unicode MS"/>
                <w:sz w:val="20"/>
              </w:rPr>
              <w:t>0764, 536 0446</w:t>
            </w:r>
          </w:p>
          <w:p w:rsidR="007333BE" w:rsidRPr="007F681C" w:rsidRDefault="007333BE" w:rsidP="007F681C">
            <w:pPr>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525</w:t>
            </w:r>
            <w:r>
              <w:rPr>
                <w:rFonts w:eastAsia="Arial Unicode MS"/>
                <w:sz w:val="20"/>
              </w:rPr>
              <w:t>-</w:t>
            </w:r>
            <w:r w:rsidRPr="007F681C">
              <w:rPr>
                <w:rFonts w:eastAsia="Arial Unicode MS"/>
                <w:sz w:val="20"/>
              </w:rPr>
              <w:t>2218</w:t>
            </w:r>
          </w:p>
          <w:p w:rsidR="007333BE" w:rsidRPr="007F681C" w:rsidRDefault="007333BE" w:rsidP="007F681C">
            <w:pPr>
              <w:jc w:val="both"/>
              <w:rPr>
                <w:rFonts w:eastAsia="Arial Unicode MS"/>
                <w:sz w:val="20"/>
              </w:rPr>
            </w:pPr>
            <w:r w:rsidRPr="007F681C">
              <w:rPr>
                <w:rFonts w:eastAsia="Arial Unicode MS"/>
                <w:sz w:val="20"/>
              </w:rPr>
              <w:t xml:space="preserve">E-mail: </w:t>
            </w:r>
            <w:hyperlink r:id="rId49" w:history="1">
              <w:r w:rsidRPr="007F681C">
                <w:rPr>
                  <w:rStyle w:val="Hyperlink"/>
                  <w:rFonts w:eastAsia="Arial Unicode MS"/>
                  <w:sz w:val="20"/>
                </w:rPr>
                <w:t>rvparas@doj.gov.ph</w:t>
              </w:r>
            </w:hyperlink>
          </w:p>
          <w:p w:rsidR="007333BE" w:rsidRPr="007F681C" w:rsidRDefault="007333BE" w:rsidP="007F681C">
            <w:pPr>
              <w:jc w:val="both"/>
              <w:rPr>
                <w:rFonts w:eastAsia="Arial Unicode MS"/>
                <w:sz w:val="20"/>
              </w:rPr>
            </w:pPr>
          </w:p>
          <w:p w:rsidR="007333BE" w:rsidRPr="007F681C" w:rsidRDefault="007333BE" w:rsidP="007F681C">
            <w:pPr>
              <w:jc w:val="both"/>
              <w:rPr>
                <w:rFonts w:eastAsia="Arial Unicode MS"/>
                <w:sz w:val="20"/>
              </w:rPr>
            </w:pPr>
            <w:r w:rsidRPr="007F681C">
              <w:rPr>
                <w:rFonts w:eastAsia="Arial Unicode MS"/>
                <w:sz w:val="20"/>
              </w:rPr>
              <w:t>The Solicitor General</w:t>
            </w:r>
          </w:p>
          <w:p w:rsidR="007333BE" w:rsidRPr="007F681C" w:rsidRDefault="007333BE" w:rsidP="007F681C">
            <w:pPr>
              <w:jc w:val="both"/>
              <w:rPr>
                <w:rFonts w:eastAsia="Arial Unicode MS"/>
                <w:sz w:val="20"/>
              </w:rPr>
            </w:pPr>
            <w:r w:rsidRPr="007F681C">
              <w:rPr>
                <w:rFonts w:eastAsia="Arial Unicode MS"/>
                <w:sz w:val="20"/>
              </w:rPr>
              <w:t xml:space="preserve">Office of the Solicitor General </w:t>
            </w:r>
          </w:p>
          <w:p w:rsidR="007333BE" w:rsidRPr="007F681C" w:rsidRDefault="007333BE" w:rsidP="007F681C">
            <w:pPr>
              <w:jc w:val="both"/>
              <w:rPr>
                <w:rFonts w:eastAsia="Arial Unicode MS"/>
                <w:sz w:val="20"/>
              </w:rPr>
            </w:pPr>
            <w:r w:rsidRPr="007F681C">
              <w:rPr>
                <w:rFonts w:eastAsia="Arial Unicode MS"/>
                <w:sz w:val="20"/>
              </w:rPr>
              <w:t xml:space="preserve">134 </w:t>
            </w:r>
            <w:proofErr w:type="spellStart"/>
            <w:r w:rsidRPr="007F681C">
              <w:rPr>
                <w:rFonts w:eastAsia="Arial Unicode MS"/>
                <w:sz w:val="20"/>
              </w:rPr>
              <w:t>Amorsolo</w:t>
            </w:r>
            <w:proofErr w:type="spellEnd"/>
            <w:r w:rsidRPr="007F681C">
              <w:rPr>
                <w:rFonts w:eastAsia="Arial Unicode MS"/>
                <w:sz w:val="20"/>
              </w:rPr>
              <w:t xml:space="preserve"> Street, Legaspi Village, Makati City</w:t>
            </w:r>
          </w:p>
          <w:p w:rsidR="007333BE" w:rsidRPr="007F681C" w:rsidRDefault="007333BE" w:rsidP="007F681C">
            <w:pPr>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818</w:t>
            </w:r>
            <w:r>
              <w:rPr>
                <w:rFonts w:eastAsia="Arial Unicode MS"/>
                <w:sz w:val="20"/>
              </w:rPr>
              <w:t>-</w:t>
            </w:r>
            <w:r w:rsidRPr="007F681C">
              <w:rPr>
                <w:rFonts w:eastAsia="Arial Unicode MS"/>
                <w:sz w:val="20"/>
              </w:rPr>
              <w:t>6381</w:t>
            </w:r>
          </w:p>
          <w:p w:rsidR="007333BE" w:rsidRPr="007F681C" w:rsidRDefault="007333BE" w:rsidP="007F681C">
            <w:pPr>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817</w:t>
            </w:r>
            <w:r>
              <w:rPr>
                <w:rFonts w:eastAsia="Arial Unicode MS"/>
                <w:sz w:val="20"/>
              </w:rPr>
              <w:t>-</w:t>
            </w:r>
            <w:r w:rsidRPr="007F681C">
              <w:rPr>
                <w:rFonts w:eastAsia="Arial Unicode MS"/>
                <w:sz w:val="20"/>
              </w:rPr>
              <w:t>6037</w:t>
            </w:r>
          </w:p>
          <w:p w:rsidR="007333BE" w:rsidRPr="007F681C" w:rsidRDefault="007333BE" w:rsidP="007F681C">
            <w:pPr>
              <w:jc w:val="both"/>
              <w:rPr>
                <w:rFonts w:eastAsia="Arial Unicode MS"/>
                <w:sz w:val="20"/>
              </w:rPr>
            </w:pPr>
            <w:r w:rsidRPr="007F681C">
              <w:rPr>
                <w:rFonts w:eastAsia="Arial Unicode MS"/>
                <w:sz w:val="20"/>
              </w:rPr>
              <w:t xml:space="preserve">E-mail: </w:t>
            </w:r>
            <w:hyperlink r:id="rId50" w:history="1">
              <w:r w:rsidRPr="007F681C">
                <w:rPr>
                  <w:rStyle w:val="Hyperlink"/>
                  <w:rFonts w:eastAsia="Arial Unicode MS"/>
                  <w:sz w:val="20"/>
                </w:rPr>
                <w:t>docket@osg.gov.ph</w:t>
              </w:r>
            </w:hyperlink>
          </w:p>
          <w:p w:rsidR="007333BE" w:rsidRPr="007F681C" w:rsidRDefault="007333BE" w:rsidP="007F681C">
            <w:pPr>
              <w:jc w:val="both"/>
              <w:rPr>
                <w:rFonts w:eastAsia="Arial Unicode MS"/>
                <w:sz w:val="20"/>
              </w:rPr>
            </w:pPr>
          </w:p>
          <w:p w:rsidR="007333BE" w:rsidRPr="007F681C" w:rsidRDefault="007333BE" w:rsidP="007F681C">
            <w:pPr>
              <w:jc w:val="both"/>
              <w:rPr>
                <w:rFonts w:eastAsia="Arial Unicode MS"/>
                <w:sz w:val="20"/>
              </w:rPr>
            </w:pPr>
            <w:r w:rsidRPr="007F681C">
              <w:rPr>
                <w:rFonts w:eastAsia="Arial Unicode MS"/>
                <w:sz w:val="20"/>
              </w:rPr>
              <w:t>The President</w:t>
            </w:r>
          </w:p>
          <w:p w:rsidR="007333BE" w:rsidRPr="007F681C" w:rsidRDefault="007333BE" w:rsidP="007F681C">
            <w:pPr>
              <w:jc w:val="both"/>
              <w:rPr>
                <w:rFonts w:eastAsia="Arial Unicode MS"/>
                <w:sz w:val="20"/>
              </w:rPr>
            </w:pPr>
            <w:r w:rsidRPr="007F681C">
              <w:rPr>
                <w:rFonts w:eastAsia="Arial Unicode MS"/>
                <w:sz w:val="20"/>
              </w:rPr>
              <w:t>Philippine Dispute Resolution Center, Inc.</w:t>
            </w:r>
          </w:p>
          <w:p w:rsidR="007333BE" w:rsidRPr="007F681C" w:rsidRDefault="007333BE" w:rsidP="007F681C">
            <w:pPr>
              <w:jc w:val="both"/>
              <w:rPr>
                <w:rFonts w:eastAsia="Arial Unicode MS"/>
                <w:sz w:val="20"/>
              </w:rPr>
            </w:pPr>
            <w:r w:rsidRPr="007F681C">
              <w:rPr>
                <w:rFonts w:eastAsia="Arial Unicode MS"/>
                <w:sz w:val="20"/>
              </w:rPr>
              <w:t>3/F Commerce Industry Plaza</w:t>
            </w:r>
          </w:p>
          <w:p w:rsidR="007333BE" w:rsidRPr="007F681C" w:rsidRDefault="007333BE" w:rsidP="007F681C">
            <w:pPr>
              <w:jc w:val="both"/>
              <w:rPr>
                <w:rFonts w:eastAsia="Arial Unicode MS"/>
                <w:sz w:val="20"/>
              </w:rPr>
            </w:pPr>
            <w:r w:rsidRPr="007F681C">
              <w:rPr>
                <w:rFonts w:eastAsia="Arial Unicode MS"/>
                <w:sz w:val="20"/>
              </w:rPr>
              <w:t>1030 Campus Ave.  cor. Park Avenue</w:t>
            </w:r>
          </w:p>
          <w:p w:rsidR="007333BE" w:rsidRPr="007F681C" w:rsidRDefault="007333BE" w:rsidP="007F681C">
            <w:pPr>
              <w:jc w:val="both"/>
              <w:rPr>
                <w:rFonts w:eastAsia="Arial Unicode MS"/>
                <w:sz w:val="20"/>
              </w:rPr>
            </w:pPr>
            <w:proofErr w:type="spellStart"/>
            <w:r w:rsidRPr="007F681C">
              <w:rPr>
                <w:rFonts w:eastAsia="Arial Unicode MS"/>
                <w:sz w:val="20"/>
              </w:rPr>
              <w:t>Mckinley</w:t>
            </w:r>
            <w:proofErr w:type="spellEnd"/>
            <w:r w:rsidRPr="007F681C">
              <w:rPr>
                <w:rFonts w:eastAsia="Arial Unicode MS"/>
                <w:sz w:val="20"/>
              </w:rPr>
              <w:t xml:space="preserve"> Town </w:t>
            </w:r>
            <w:proofErr w:type="spellStart"/>
            <w:r w:rsidRPr="007F681C">
              <w:rPr>
                <w:rFonts w:eastAsia="Arial Unicode MS"/>
                <w:sz w:val="20"/>
              </w:rPr>
              <w:t>Center</w:t>
            </w:r>
            <w:proofErr w:type="spellEnd"/>
          </w:p>
          <w:p w:rsidR="007333BE" w:rsidRPr="007F681C" w:rsidRDefault="007333BE" w:rsidP="007F681C">
            <w:pPr>
              <w:jc w:val="both"/>
              <w:rPr>
                <w:rFonts w:eastAsia="Arial Unicode MS"/>
                <w:sz w:val="20"/>
              </w:rPr>
            </w:pPr>
            <w:r w:rsidRPr="007F681C">
              <w:rPr>
                <w:rFonts w:eastAsia="Arial Unicode MS"/>
                <w:sz w:val="20"/>
              </w:rPr>
              <w:t xml:space="preserve">Fort </w:t>
            </w:r>
            <w:proofErr w:type="spellStart"/>
            <w:r w:rsidRPr="007F681C">
              <w:rPr>
                <w:rFonts w:eastAsia="Arial Unicode MS"/>
                <w:sz w:val="20"/>
              </w:rPr>
              <w:t>Bonifacio</w:t>
            </w:r>
            <w:proofErr w:type="spellEnd"/>
            <w:r w:rsidRPr="007F681C">
              <w:rPr>
                <w:rFonts w:eastAsia="Arial Unicode MS"/>
                <w:sz w:val="20"/>
              </w:rPr>
              <w:t xml:space="preserve">, </w:t>
            </w:r>
            <w:proofErr w:type="spellStart"/>
            <w:r w:rsidRPr="007F681C">
              <w:rPr>
                <w:rFonts w:eastAsia="Arial Unicode MS"/>
                <w:sz w:val="20"/>
              </w:rPr>
              <w:t>Taguig</w:t>
            </w:r>
            <w:proofErr w:type="spellEnd"/>
            <w:r w:rsidRPr="007F681C">
              <w:rPr>
                <w:rFonts w:eastAsia="Arial Unicode MS"/>
                <w:sz w:val="20"/>
              </w:rPr>
              <w:t xml:space="preserve"> </w:t>
            </w:r>
            <w:proofErr w:type="spellStart"/>
            <w:r w:rsidRPr="007F681C">
              <w:rPr>
                <w:rFonts w:eastAsia="Arial Unicode MS"/>
                <w:sz w:val="20"/>
              </w:rPr>
              <w:t>Ciity</w:t>
            </w:r>
            <w:proofErr w:type="spellEnd"/>
          </w:p>
          <w:p w:rsidR="007333BE" w:rsidRPr="007F681C" w:rsidRDefault="007333BE" w:rsidP="007F681C">
            <w:pPr>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822</w:t>
            </w:r>
            <w:r>
              <w:rPr>
                <w:rFonts w:eastAsia="Arial Unicode MS"/>
                <w:sz w:val="20"/>
              </w:rPr>
              <w:t>-</w:t>
            </w:r>
            <w:r w:rsidRPr="007F681C">
              <w:rPr>
                <w:rFonts w:eastAsia="Arial Unicode MS"/>
                <w:sz w:val="20"/>
              </w:rPr>
              <w:t>4102</w:t>
            </w:r>
          </w:p>
          <w:p w:rsidR="007333BE" w:rsidRPr="007F681C" w:rsidRDefault="007333BE" w:rsidP="007F681C">
            <w:pPr>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822</w:t>
            </w:r>
            <w:r>
              <w:rPr>
                <w:rFonts w:eastAsia="Arial Unicode MS"/>
                <w:sz w:val="20"/>
              </w:rPr>
              <w:t>-</w:t>
            </w:r>
            <w:r w:rsidRPr="007F681C">
              <w:rPr>
                <w:rFonts w:eastAsia="Arial Unicode MS"/>
                <w:sz w:val="20"/>
              </w:rPr>
              <w:t>4102</w:t>
            </w:r>
          </w:p>
          <w:p w:rsidR="007333BE" w:rsidRPr="007F681C" w:rsidRDefault="007333BE" w:rsidP="007F681C">
            <w:pPr>
              <w:jc w:val="both"/>
              <w:rPr>
                <w:rFonts w:eastAsia="Arial Unicode MS"/>
                <w:sz w:val="20"/>
              </w:rPr>
            </w:pPr>
            <w:r w:rsidRPr="007F681C">
              <w:rPr>
                <w:rFonts w:eastAsia="Arial Unicode MS"/>
                <w:sz w:val="20"/>
              </w:rPr>
              <w:t xml:space="preserve">E-mail: </w:t>
            </w:r>
            <w:hyperlink r:id="rId51" w:history="1">
              <w:r w:rsidRPr="007F681C">
                <w:rPr>
                  <w:rStyle w:val="Hyperlink"/>
                  <w:rFonts w:eastAsia="Arial Unicode MS"/>
                  <w:sz w:val="20"/>
                </w:rPr>
                <w:t>secretariat@pdrci.org</w:t>
              </w:r>
            </w:hyperlink>
          </w:p>
          <w:p w:rsidR="007333BE" w:rsidRPr="007F681C" w:rsidRDefault="007333BE" w:rsidP="007F681C">
            <w:pPr>
              <w:jc w:val="both"/>
              <w:rPr>
                <w:rFonts w:eastAsia="Arial Unicode MS"/>
                <w:sz w:val="20"/>
              </w:rPr>
            </w:pPr>
          </w:p>
          <w:p w:rsidR="007333BE" w:rsidRPr="007F681C" w:rsidRDefault="007333BE" w:rsidP="007F681C">
            <w:pPr>
              <w:jc w:val="both"/>
              <w:rPr>
                <w:rFonts w:eastAsia="Arial Unicode MS"/>
                <w:sz w:val="20"/>
              </w:rPr>
            </w:pPr>
            <w:r w:rsidRPr="007F681C">
              <w:rPr>
                <w:rFonts w:eastAsia="Arial Unicode MS"/>
                <w:sz w:val="20"/>
              </w:rPr>
              <w:t xml:space="preserve">The Executive Director </w:t>
            </w:r>
          </w:p>
          <w:p w:rsidR="007333BE" w:rsidRPr="007F681C" w:rsidRDefault="007333BE" w:rsidP="007F681C">
            <w:pPr>
              <w:jc w:val="both"/>
              <w:rPr>
                <w:rFonts w:eastAsia="Arial Unicode MS"/>
                <w:sz w:val="20"/>
              </w:rPr>
            </w:pPr>
            <w:r w:rsidRPr="007F681C">
              <w:rPr>
                <w:rFonts w:eastAsia="Arial Unicode MS"/>
                <w:sz w:val="20"/>
              </w:rPr>
              <w:t>Construction Industry Arbitration Commission</w:t>
            </w:r>
          </w:p>
          <w:p w:rsidR="007333BE" w:rsidRPr="007F681C" w:rsidRDefault="007333BE" w:rsidP="007F681C">
            <w:pPr>
              <w:jc w:val="both"/>
              <w:rPr>
                <w:rFonts w:eastAsia="Arial Unicode MS"/>
                <w:sz w:val="20"/>
              </w:rPr>
            </w:pPr>
            <w:r w:rsidRPr="007F681C">
              <w:rPr>
                <w:rFonts w:eastAsia="Arial Unicode MS"/>
                <w:sz w:val="20"/>
              </w:rPr>
              <w:t>2/F Executive Centre Building</w:t>
            </w:r>
          </w:p>
          <w:p w:rsidR="007333BE" w:rsidRPr="007F681C" w:rsidRDefault="007333BE" w:rsidP="007F681C">
            <w:pPr>
              <w:jc w:val="both"/>
              <w:rPr>
                <w:rFonts w:eastAsia="Arial Unicode MS"/>
                <w:sz w:val="20"/>
              </w:rPr>
            </w:pPr>
            <w:r w:rsidRPr="007F681C">
              <w:rPr>
                <w:rFonts w:eastAsia="Arial Unicode MS"/>
                <w:sz w:val="20"/>
              </w:rPr>
              <w:t xml:space="preserve">369 Sen. Gil </w:t>
            </w:r>
            <w:proofErr w:type="spellStart"/>
            <w:r w:rsidRPr="007F681C">
              <w:rPr>
                <w:rFonts w:eastAsia="Arial Unicode MS"/>
                <w:sz w:val="20"/>
              </w:rPr>
              <w:t>Puyat</w:t>
            </w:r>
            <w:proofErr w:type="spellEnd"/>
            <w:r w:rsidRPr="007F681C">
              <w:rPr>
                <w:rFonts w:eastAsia="Arial Unicode MS"/>
                <w:sz w:val="20"/>
              </w:rPr>
              <w:t xml:space="preserve"> Ave. cor. Makati Ave.</w:t>
            </w:r>
          </w:p>
          <w:p w:rsidR="007333BE" w:rsidRPr="007F681C" w:rsidRDefault="007333BE" w:rsidP="007F681C">
            <w:pPr>
              <w:jc w:val="both"/>
              <w:rPr>
                <w:rFonts w:eastAsia="Arial Unicode MS"/>
                <w:sz w:val="20"/>
              </w:rPr>
            </w:pPr>
            <w:r w:rsidRPr="007F681C">
              <w:rPr>
                <w:rFonts w:eastAsia="Arial Unicode MS"/>
                <w:sz w:val="20"/>
              </w:rPr>
              <w:t>Makati City</w:t>
            </w:r>
          </w:p>
          <w:p w:rsidR="007333BE" w:rsidRPr="007F681C" w:rsidRDefault="007333BE" w:rsidP="007F681C">
            <w:pPr>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897</w:t>
            </w:r>
            <w:r>
              <w:rPr>
                <w:rFonts w:eastAsia="Arial Unicode MS"/>
                <w:sz w:val="20"/>
              </w:rPr>
              <w:t>-</w:t>
            </w:r>
            <w:r w:rsidRPr="007F681C">
              <w:rPr>
                <w:rFonts w:eastAsia="Arial Unicode MS"/>
                <w:sz w:val="20"/>
              </w:rPr>
              <w:t>9313</w:t>
            </w:r>
          </w:p>
          <w:p w:rsidR="007333BE" w:rsidRPr="007F681C" w:rsidRDefault="007333BE" w:rsidP="007F681C">
            <w:pPr>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897</w:t>
            </w:r>
            <w:r>
              <w:rPr>
                <w:rFonts w:eastAsia="Arial Unicode MS"/>
                <w:sz w:val="20"/>
              </w:rPr>
              <w:t>-</w:t>
            </w:r>
            <w:r w:rsidRPr="007F681C">
              <w:rPr>
                <w:rFonts w:eastAsia="Arial Unicode MS"/>
                <w:sz w:val="20"/>
              </w:rPr>
              <w:t>0853</w:t>
            </w:r>
          </w:p>
          <w:p w:rsidR="007333BE" w:rsidRPr="00A26A52" w:rsidRDefault="007333BE" w:rsidP="00A26A52">
            <w:pPr>
              <w:jc w:val="both"/>
              <w:rPr>
                <w:rFonts w:eastAsia="Arial Unicode MS"/>
                <w:sz w:val="20"/>
              </w:rPr>
            </w:pPr>
            <w:r w:rsidRPr="007F681C">
              <w:rPr>
                <w:rFonts w:eastAsia="Arial Unicode MS"/>
                <w:sz w:val="20"/>
              </w:rPr>
              <w:t xml:space="preserve">E-mail: </w:t>
            </w:r>
            <w:hyperlink r:id="rId52" w:history="1">
              <w:r w:rsidRPr="007F681C">
                <w:rPr>
                  <w:rStyle w:val="Hyperlink"/>
                  <w:rFonts w:eastAsia="Arial Unicode MS"/>
                  <w:sz w:val="20"/>
                </w:rPr>
                <w:t>ciac_ciac@yahoo.com</w:t>
              </w:r>
            </w:hyperlink>
          </w:p>
        </w:tc>
        <w:tc>
          <w:tcPr>
            <w:tcW w:w="2050" w:type="pct"/>
          </w:tcPr>
          <w:p w:rsidR="007333BE" w:rsidRPr="0008533B" w:rsidRDefault="007333BE" w:rsidP="009E28DA">
            <w:pPr>
              <w:pStyle w:val="Heading9"/>
              <w:rPr>
                <w:rFonts w:ascii="Times New Roman" w:hAnsi="Times New Roman"/>
                <w:b w:val="0"/>
              </w:rPr>
            </w:pPr>
          </w:p>
        </w:tc>
      </w:tr>
      <w:tr w:rsidR="007333BE" w:rsidRPr="0008533B" w:rsidTr="00FA15C7">
        <w:tc>
          <w:tcPr>
            <w:tcW w:w="850" w:type="pct"/>
          </w:tcPr>
          <w:p w:rsidR="007333BE" w:rsidRPr="0008533B" w:rsidRDefault="007333BE">
            <w:pPr>
              <w:pStyle w:val="Heading5"/>
              <w:spacing w:after="0"/>
              <w:rPr>
                <w:rFonts w:ascii="Times New Roman" w:hAnsi="Times New Roman"/>
                <w:i/>
              </w:rPr>
            </w:pPr>
            <w:bookmarkStart w:id="37" w:name="Row13"/>
            <w:r w:rsidRPr="0008533B">
              <w:rPr>
                <w:rFonts w:ascii="Times New Roman" w:hAnsi="Times New Roman"/>
                <w:i/>
              </w:rPr>
              <w:t xml:space="preserve">Mobility of Business </w:t>
            </w:r>
            <w:r w:rsidRPr="0008533B">
              <w:rPr>
                <w:rFonts w:ascii="Times New Roman" w:hAnsi="Times New Roman"/>
                <w:i/>
              </w:rPr>
              <w:lastRenderedPageBreak/>
              <w:t>People</w:t>
            </w:r>
            <w:bookmarkEnd w:id="37"/>
          </w:p>
          <w:p w:rsidR="007333BE" w:rsidRPr="0008533B" w:rsidRDefault="007333BE">
            <w:pPr>
              <w:rPr>
                <w:sz w:val="20"/>
              </w:rPr>
            </w:pPr>
          </w:p>
        </w:tc>
        <w:tc>
          <w:tcPr>
            <w:tcW w:w="2100" w:type="pct"/>
          </w:tcPr>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bookmarkStart w:id="38" w:name="Cell25"/>
            <w:bookmarkEnd w:id="38"/>
            <w:r w:rsidRPr="00CC24EE">
              <w:rPr>
                <w:color w:val="000000" w:themeColor="text1"/>
                <w:sz w:val="20"/>
                <w:szCs w:val="20"/>
                <w:lang w:val="en-AU"/>
              </w:rPr>
              <w:lastRenderedPageBreak/>
              <w:t>Relaxed visa policies for tourists and business persons.</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lastRenderedPageBreak/>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Implemented the on-line application system in securing Alien Employment Permit (AEP).</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Extended visa-free entry privilege from 21 days to 3</w:t>
            </w:r>
            <w:r w:rsidR="00881C61">
              <w:rPr>
                <w:color w:val="000000" w:themeColor="text1"/>
                <w:sz w:val="20"/>
                <w:szCs w:val="20"/>
                <w:lang w:val="en-AU"/>
              </w:rPr>
              <w:t>0</w:t>
            </w:r>
            <w:r w:rsidRPr="00CC24EE">
              <w:rPr>
                <w:color w:val="000000" w:themeColor="text1"/>
                <w:sz w:val="20"/>
                <w:szCs w:val="20"/>
                <w:lang w:val="en-AU"/>
              </w:rPr>
              <w:t xml:space="preserve"> days granted to 151 countries.</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Implemented the long-stay visitor visa extension (LSVVE) of six months from the expiration of authorized stay decreasing the volume of applicants for visa extensions.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Institutionalized a trusted traveller program for frequent international travellers in the processing of clearance by providing dedicated immigration counters in all international airports.</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xml:space="preserve"> Signed a memorandum of understanding with Australia to implement a Regional Movement Alert System (RMAS) as an integral component of border management in verifying in real time the status of travel documents directly with the issuing authority.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Implemented capacity building for immigration officers at par with immigration international standards.</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 </w:t>
            </w:r>
          </w:p>
          <w:p w:rsidR="007333BE" w:rsidRPr="00CC24EE" w:rsidRDefault="007333BE" w:rsidP="006E2CC6">
            <w:pPr>
              <w:pStyle w:val="yiv3696371760msonormal"/>
              <w:shd w:val="clear" w:color="auto" w:fill="FFFFFF"/>
              <w:spacing w:before="0" w:beforeAutospacing="0" w:after="0" w:afterAutospacing="0"/>
              <w:jc w:val="both"/>
              <w:rPr>
                <w:color w:val="000000" w:themeColor="text1"/>
                <w:sz w:val="20"/>
                <w:szCs w:val="20"/>
              </w:rPr>
            </w:pPr>
            <w:r w:rsidRPr="00CC24EE">
              <w:rPr>
                <w:color w:val="000000" w:themeColor="text1"/>
                <w:sz w:val="20"/>
                <w:szCs w:val="20"/>
                <w:lang w:val="en-AU"/>
              </w:rPr>
              <w:t>Emergency response travel facilitation (ERTF) to provide immediate relief to victims in times of naturals disasters by facilitating the mobility of emergency responders without compromising the national security. </w:t>
            </w:r>
          </w:p>
          <w:p w:rsidR="007333BE" w:rsidRPr="00CC24EE" w:rsidRDefault="007333BE" w:rsidP="006E2CC6">
            <w:pPr>
              <w:jc w:val="both"/>
              <w:rPr>
                <w:color w:val="000000" w:themeColor="text1"/>
                <w:sz w:val="20"/>
              </w:rPr>
            </w:pPr>
          </w:p>
        </w:tc>
        <w:tc>
          <w:tcPr>
            <w:tcW w:w="2050" w:type="pct"/>
          </w:tcPr>
          <w:p w:rsidR="007333BE" w:rsidRPr="00CC24EE" w:rsidRDefault="007333BE" w:rsidP="00C765CA">
            <w:pPr>
              <w:jc w:val="both"/>
              <w:rPr>
                <w:color w:val="000000" w:themeColor="text1"/>
                <w:sz w:val="20"/>
              </w:rPr>
            </w:pPr>
            <w:r w:rsidRPr="00CC24EE">
              <w:rPr>
                <w:color w:val="000000" w:themeColor="text1"/>
                <w:sz w:val="20"/>
              </w:rPr>
              <w:lastRenderedPageBreak/>
              <w:t xml:space="preserve">Sign an executive order for the Advanced Passenger Information </w:t>
            </w:r>
            <w:r w:rsidRPr="00CC24EE">
              <w:rPr>
                <w:color w:val="000000" w:themeColor="text1"/>
                <w:sz w:val="20"/>
              </w:rPr>
              <w:lastRenderedPageBreak/>
              <w:t xml:space="preserve">(API).  API and Passenger Name Record (PNR) </w:t>
            </w:r>
            <w:proofErr w:type="gramStart"/>
            <w:r w:rsidRPr="00CC24EE">
              <w:rPr>
                <w:color w:val="000000" w:themeColor="text1"/>
                <w:sz w:val="20"/>
              </w:rPr>
              <w:t>seeks</w:t>
            </w:r>
            <w:proofErr w:type="gramEnd"/>
            <w:r w:rsidRPr="00CC24EE">
              <w:rPr>
                <w:color w:val="000000" w:themeColor="text1"/>
                <w:sz w:val="20"/>
              </w:rPr>
              <w:t xml:space="preserve"> to identify and prevent the entry of suspected terrorists and to monitor and evaluate their travel frequency as well as their port of exit and entry.  </w:t>
            </w:r>
          </w:p>
          <w:p w:rsidR="007333BE" w:rsidRPr="00CC24EE" w:rsidRDefault="007333BE" w:rsidP="0062430E">
            <w:pPr>
              <w:jc w:val="both"/>
              <w:rPr>
                <w:color w:val="000000" w:themeColor="text1"/>
                <w:sz w:val="20"/>
              </w:rPr>
            </w:pPr>
          </w:p>
          <w:p w:rsidR="00CC24EE" w:rsidRPr="00CC24EE" w:rsidRDefault="00CC24EE" w:rsidP="00CC24EE">
            <w:pPr>
              <w:jc w:val="both"/>
              <w:rPr>
                <w:color w:val="000000" w:themeColor="text1"/>
                <w:sz w:val="20"/>
              </w:rPr>
            </w:pPr>
            <w:r w:rsidRPr="00CC24EE">
              <w:rPr>
                <w:color w:val="000000" w:themeColor="text1"/>
                <w:sz w:val="20"/>
              </w:rPr>
              <w:t xml:space="preserve">Implement the online application system in securing AEP. </w:t>
            </w:r>
          </w:p>
          <w:p w:rsidR="00CC24EE" w:rsidRPr="00CC24EE" w:rsidRDefault="00CC24EE" w:rsidP="00CC24EE">
            <w:pPr>
              <w:jc w:val="both"/>
              <w:rPr>
                <w:color w:val="000000" w:themeColor="text1"/>
                <w:sz w:val="20"/>
              </w:rPr>
            </w:pPr>
          </w:p>
          <w:p w:rsidR="00CC24EE" w:rsidRPr="00CC24EE" w:rsidRDefault="00CC24EE" w:rsidP="00CC24EE">
            <w:pPr>
              <w:jc w:val="both"/>
              <w:rPr>
                <w:color w:val="000000" w:themeColor="text1"/>
                <w:sz w:val="20"/>
              </w:rPr>
            </w:pPr>
            <w:r w:rsidRPr="00CC24EE">
              <w:rPr>
                <w:color w:val="000000" w:themeColor="text1"/>
                <w:sz w:val="20"/>
              </w:rPr>
              <w:t>Implement a Philippine Skilled Occupational Shortage List. Foreign nationals will be exempted from the publication requirement and payment of publication fee.</w:t>
            </w:r>
          </w:p>
          <w:p w:rsidR="00CC24EE" w:rsidRPr="00CC24EE" w:rsidRDefault="00CC24EE" w:rsidP="0062430E">
            <w:pPr>
              <w:jc w:val="both"/>
              <w:rPr>
                <w:color w:val="000000" w:themeColor="text1"/>
                <w:sz w:val="20"/>
              </w:rPr>
            </w:pPr>
          </w:p>
        </w:tc>
      </w:tr>
      <w:tr w:rsidR="007333BE" w:rsidRPr="0008533B" w:rsidTr="00FA15C7">
        <w:tc>
          <w:tcPr>
            <w:tcW w:w="850" w:type="pct"/>
          </w:tcPr>
          <w:p w:rsidR="007333BE" w:rsidRPr="0008533B" w:rsidRDefault="007333BE">
            <w:pPr>
              <w:pStyle w:val="Heading5"/>
              <w:spacing w:after="0"/>
              <w:rPr>
                <w:rFonts w:ascii="Times New Roman" w:hAnsi="Times New Roman"/>
                <w:i/>
                <w:color w:val="808080"/>
              </w:rPr>
            </w:pPr>
            <w:r w:rsidRPr="0008533B">
              <w:rPr>
                <w:rFonts w:ascii="Times New Roman" w:hAnsi="Times New Roman"/>
                <w:b w:val="0"/>
                <w:i/>
                <w:color w:val="808080"/>
              </w:rPr>
              <w:lastRenderedPageBreak/>
              <w:t xml:space="preserve">Website for further information:  </w:t>
            </w:r>
          </w:p>
        </w:tc>
        <w:tc>
          <w:tcPr>
            <w:tcW w:w="2100" w:type="pct"/>
          </w:tcPr>
          <w:p w:rsidR="007333BE" w:rsidRPr="0008533B" w:rsidRDefault="008D4F45">
            <w:pPr>
              <w:rPr>
                <w:sz w:val="20"/>
              </w:rPr>
            </w:pPr>
            <w:hyperlink r:id="rId53" w:history="1">
              <w:r w:rsidR="007333BE" w:rsidRPr="00E9439C">
                <w:rPr>
                  <w:rStyle w:val="Hyperlink"/>
                  <w:sz w:val="20"/>
                </w:rPr>
                <w:t>www.dfa.gov.ph</w:t>
              </w:r>
            </w:hyperlink>
            <w:r w:rsidR="007333BE">
              <w:rPr>
                <w:sz w:val="20"/>
              </w:rPr>
              <w:t xml:space="preserve"> </w:t>
            </w:r>
          </w:p>
        </w:tc>
        <w:tc>
          <w:tcPr>
            <w:tcW w:w="2050" w:type="pct"/>
          </w:tcPr>
          <w:p w:rsidR="007333BE" w:rsidRPr="0008533B" w:rsidRDefault="007333BE">
            <w:pPr>
              <w:rPr>
                <w:sz w:val="20"/>
              </w:rPr>
            </w:pPr>
          </w:p>
        </w:tc>
      </w:tr>
      <w:tr w:rsidR="007333BE" w:rsidRPr="0008533B" w:rsidTr="00FA15C7">
        <w:tc>
          <w:tcPr>
            <w:tcW w:w="850" w:type="pct"/>
          </w:tcPr>
          <w:p w:rsidR="007333BE" w:rsidRPr="0008533B" w:rsidRDefault="007333BE">
            <w:pPr>
              <w:pStyle w:val="Heading5"/>
              <w:spacing w:after="0"/>
              <w:rPr>
                <w:rFonts w:ascii="Times New Roman" w:hAnsi="Times New Roman"/>
                <w:i/>
                <w:color w:val="808080"/>
              </w:rPr>
            </w:pPr>
            <w:r w:rsidRPr="0008533B">
              <w:rPr>
                <w:rFonts w:ascii="Times New Roman" w:hAnsi="Times New Roman"/>
                <w:b w:val="0"/>
                <w:i/>
                <w:color w:val="808080"/>
              </w:rPr>
              <w:t>Contact point for further details:</w:t>
            </w:r>
          </w:p>
        </w:tc>
        <w:tc>
          <w:tcPr>
            <w:tcW w:w="2100" w:type="pct"/>
          </w:tcPr>
          <w:p w:rsidR="007333BE" w:rsidRPr="00886F1D" w:rsidRDefault="007333BE" w:rsidP="00886F1D">
            <w:pPr>
              <w:rPr>
                <w:sz w:val="20"/>
              </w:rPr>
            </w:pPr>
            <w:r w:rsidRPr="00886F1D">
              <w:rPr>
                <w:sz w:val="20"/>
              </w:rPr>
              <w:t>The Director</w:t>
            </w:r>
          </w:p>
          <w:p w:rsidR="007333BE" w:rsidRPr="00886F1D" w:rsidRDefault="007333BE" w:rsidP="00886F1D">
            <w:pPr>
              <w:rPr>
                <w:sz w:val="20"/>
              </w:rPr>
            </w:pPr>
            <w:r w:rsidRPr="00886F1D">
              <w:rPr>
                <w:sz w:val="20"/>
              </w:rPr>
              <w:t>Visa Division, Office of Consular Affairs</w:t>
            </w:r>
          </w:p>
          <w:p w:rsidR="007333BE" w:rsidRPr="00886F1D" w:rsidRDefault="007333BE" w:rsidP="00886F1D">
            <w:pPr>
              <w:rPr>
                <w:sz w:val="20"/>
              </w:rPr>
            </w:pPr>
            <w:proofErr w:type="spellStart"/>
            <w:r w:rsidRPr="00886F1D">
              <w:rPr>
                <w:sz w:val="20"/>
              </w:rPr>
              <w:t>Aseana</w:t>
            </w:r>
            <w:proofErr w:type="spellEnd"/>
            <w:r w:rsidRPr="00886F1D">
              <w:rPr>
                <w:sz w:val="20"/>
              </w:rPr>
              <w:t xml:space="preserve"> Business Park</w:t>
            </w:r>
          </w:p>
          <w:p w:rsidR="007333BE" w:rsidRPr="00886F1D" w:rsidRDefault="007333BE" w:rsidP="00886F1D">
            <w:pPr>
              <w:rPr>
                <w:sz w:val="20"/>
              </w:rPr>
            </w:pPr>
            <w:proofErr w:type="spellStart"/>
            <w:r w:rsidRPr="00886F1D">
              <w:rPr>
                <w:sz w:val="20"/>
              </w:rPr>
              <w:t>Diosdado</w:t>
            </w:r>
            <w:proofErr w:type="spellEnd"/>
            <w:r w:rsidRPr="00886F1D">
              <w:rPr>
                <w:sz w:val="20"/>
              </w:rPr>
              <w:t xml:space="preserve"> </w:t>
            </w:r>
            <w:proofErr w:type="spellStart"/>
            <w:r w:rsidRPr="00886F1D">
              <w:rPr>
                <w:sz w:val="20"/>
              </w:rPr>
              <w:t>Macapagal</w:t>
            </w:r>
            <w:proofErr w:type="spellEnd"/>
            <w:r w:rsidRPr="00886F1D">
              <w:rPr>
                <w:sz w:val="20"/>
              </w:rPr>
              <w:t xml:space="preserve"> Boulevard cor. </w:t>
            </w:r>
            <w:proofErr w:type="spellStart"/>
            <w:r w:rsidRPr="00886F1D">
              <w:rPr>
                <w:sz w:val="20"/>
              </w:rPr>
              <w:t>Bradco</w:t>
            </w:r>
            <w:proofErr w:type="spellEnd"/>
            <w:r w:rsidRPr="00886F1D">
              <w:rPr>
                <w:sz w:val="20"/>
              </w:rPr>
              <w:t xml:space="preserve"> Avenue</w:t>
            </w:r>
          </w:p>
          <w:p w:rsidR="007333BE" w:rsidRPr="00886F1D" w:rsidRDefault="007333BE" w:rsidP="00886F1D">
            <w:pPr>
              <w:rPr>
                <w:sz w:val="20"/>
              </w:rPr>
            </w:pPr>
            <w:proofErr w:type="spellStart"/>
            <w:r w:rsidRPr="00886F1D">
              <w:rPr>
                <w:sz w:val="20"/>
              </w:rPr>
              <w:t>Brgy</w:t>
            </w:r>
            <w:proofErr w:type="spellEnd"/>
            <w:r w:rsidRPr="00886F1D">
              <w:rPr>
                <w:sz w:val="20"/>
              </w:rPr>
              <w:t xml:space="preserve">. Tambo, </w:t>
            </w:r>
            <w:proofErr w:type="spellStart"/>
            <w:r w:rsidRPr="00886F1D">
              <w:rPr>
                <w:sz w:val="20"/>
              </w:rPr>
              <w:t>Parañaque</w:t>
            </w:r>
            <w:proofErr w:type="spellEnd"/>
            <w:r w:rsidRPr="00886F1D">
              <w:rPr>
                <w:sz w:val="20"/>
              </w:rPr>
              <w:t xml:space="preserve"> City</w:t>
            </w:r>
          </w:p>
          <w:p w:rsidR="007333BE" w:rsidRPr="00886F1D" w:rsidRDefault="007333BE" w:rsidP="00886F1D">
            <w:pPr>
              <w:rPr>
                <w:sz w:val="20"/>
              </w:rPr>
            </w:pPr>
            <w:r>
              <w:rPr>
                <w:sz w:val="20"/>
              </w:rPr>
              <w:t>Tel:  (</w:t>
            </w:r>
            <w:r w:rsidRPr="00886F1D">
              <w:rPr>
                <w:sz w:val="20"/>
              </w:rPr>
              <w:t>632</w:t>
            </w:r>
            <w:r>
              <w:rPr>
                <w:sz w:val="20"/>
              </w:rPr>
              <w:t xml:space="preserve">) </w:t>
            </w:r>
            <w:r w:rsidRPr="00886F1D">
              <w:rPr>
                <w:sz w:val="20"/>
              </w:rPr>
              <w:t>836</w:t>
            </w:r>
            <w:r>
              <w:rPr>
                <w:sz w:val="20"/>
              </w:rPr>
              <w:t>-</w:t>
            </w:r>
            <w:r w:rsidRPr="00886F1D">
              <w:rPr>
                <w:sz w:val="20"/>
              </w:rPr>
              <w:t>7763</w:t>
            </w:r>
          </w:p>
          <w:p w:rsidR="007333BE" w:rsidRPr="00886F1D" w:rsidRDefault="007333BE" w:rsidP="00886F1D">
            <w:pPr>
              <w:rPr>
                <w:sz w:val="20"/>
              </w:rPr>
            </w:pPr>
            <w:r>
              <w:rPr>
                <w:sz w:val="20"/>
              </w:rPr>
              <w:lastRenderedPageBreak/>
              <w:t>Fax:  (632) 527-</w:t>
            </w:r>
            <w:r w:rsidRPr="00886F1D">
              <w:rPr>
                <w:sz w:val="20"/>
              </w:rPr>
              <w:t>2130</w:t>
            </w:r>
          </w:p>
          <w:p w:rsidR="007333BE" w:rsidRPr="00886F1D" w:rsidRDefault="007333BE" w:rsidP="00886F1D">
            <w:pPr>
              <w:rPr>
                <w:sz w:val="20"/>
              </w:rPr>
            </w:pPr>
          </w:p>
          <w:p w:rsidR="007333BE" w:rsidRPr="00886F1D" w:rsidRDefault="007333BE" w:rsidP="00886F1D">
            <w:pPr>
              <w:rPr>
                <w:sz w:val="20"/>
              </w:rPr>
            </w:pPr>
            <w:r w:rsidRPr="00886F1D">
              <w:rPr>
                <w:sz w:val="20"/>
              </w:rPr>
              <w:t xml:space="preserve">The </w:t>
            </w:r>
            <w:proofErr w:type="spellStart"/>
            <w:r w:rsidRPr="00886F1D">
              <w:rPr>
                <w:sz w:val="20"/>
              </w:rPr>
              <w:t>Commisioner</w:t>
            </w:r>
            <w:proofErr w:type="spellEnd"/>
          </w:p>
          <w:p w:rsidR="007333BE" w:rsidRPr="00886F1D" w:rsidRDefault="007333BE" w:rsidP="00886F1D">
            <w:pPr>
              <w:rPr>
                <w:sz w:val="20"/>
              </w:rPr>
            </w:pPr>
            <w:r w:rsidRPr="00886F1D">
              <w:rPr>
                <w:sz w:val="20"/>
              </w:rPr>
              <w:t>Bureau of Immigration</w:t>
            </w:r>
          </w:p>
          <w:p w:rsidR="007333BE" w:rsidRPr="00886F1D" w:rsidRDefault="007333BE" w:rsidP="00886F1D">
            <w:pPr>
              <w:rPr>
                <w:sz w:val="20"/>
              </w:rPr>
            </w:pPr>
            <w:r w:rsidRPr="00886F1D">
              <w:rPr>
                <w:sz w:val="20"/>
              </w:rPr>
              <w:t>2/F Bureau of Immigration Bldg.</w:t>
            </w:r>
          </w:p>
          <w:p w:rsidR="007333BE" w:rsidRPr="00886F1D" w:rsidRDefault="007333BE" w:rsidP="00886F1D">
            <w:pPr>
              <w:rPr>
                <w:sz w:val="20"/>
              </w:rPr>
            </w:pPr>
            <w:proofErr w:type="spellStart"/>
            <w:r w:rsidRPr="00886F1D">
              <w:rPr>
                <w:sz w:val="20"/>
              </w:rPr>
              <w:t>Magallanes</w:t>
            </w:r>
            <w:proofErr w:type="spellEnd"/>
            <w:r w:rsidRPr="00886F1D">
              <w:rPr>
                <w:sz w:val="20"/>
              </w:rPr>
              <w:t xml:space="preserve"> Drive, Port Area</w:t>
            </w:r>
          </w:p>
          <w:p w:rsidR="007333BE" w:rsidRPr="00886F1D" w:rsidRDefault="007333BE" w:rsidP="00886F1D">
            <w:pPr>
              <w:rPr>
                <w:sz w:val="20"/>
              </w:rPr>
            </w:pPr>
            <w:r>
              <w:rPr>
                <w:sz w:val="20"/>
              </w:rPr>
              <w:t>Tel.:  (</w:t>
            </w:r>
            <w:r w:rsidRPr="00886F1D">
              <w:rPr>
                <w:sz w:val="20"/>
              </w:rPr>
              <w:t>632</w:t>
            </w:r>
            <w:r>
              <w:rPr>
                <w:sz w:val="20"/>
              </w:rPr>
              <w:t xml:space="preserve">) </w:t>
            </w:r>
            <w:r w:rsidRPr="00886F1D">
              <w:rPr>
                <w:sz w:val="20"/>
              </w:rPr>
              <w:t>527</w:t>
            </w:r>
            <w:r>
              <w:rPr>
                <w:sz w:val="20"/>
              </w:rPr>
              <w:t>-</w:t>
            </w:r>
            <w:r w:rsidRPr="00886F1D">
              <w:rPr>
                <w:sz w:val="20"/>
              </w:rPr>
              <w:t>3248</w:t>
            </w:r>
          </w:p>
          <w:p w:rsidR="007333BE" w:rsidRPr="00886F1D" w:rsidRDefault="007333BE" w:rsidP="00886F1D">
            <w:pPr>
              <w:rPr>
                <w:sz w:val="20"/>
              </w:rPr>
            </w:pPr>
          </w:p>
          <w:p w:rsidR="007333BE" w:rsidRPr="00886F1D" w:rsidRDefault="007333BE" w:rsidP="00886F1D">
            <w:pPr>
              <w:rPr>
                <w:sz w:val="20"/>
              </w:rPr>
            </w:pPr>
            <w:r w:rsidRPr="00886F1D">
              <w:rPr>
                <w:sz w:val="20"/>
              </w:rPr>
              <w:t>The Undersecretary</w:t>
            </w:r>
          </w:p>
          <w:p w:rsidR="007333BE" w:rsidRPr="00886F1D" w:rsidRDefault="007333BE" w:rsidP="00886F1D">
            <w:pPr>
              <w:rPr>
                <w:sz w:val="20"/>
              </w:rPr>
            </w:pPr>
            <w:r w:rsidRPr="00886F1D">
              <w:rPr>
                <w:sz w:val="20"/>
              </w:rPr>
              <w:t>Office of the Undersecretary for International Economic Relations</w:t>
            </w:r>
          </w:p>
          <w:p w:rsidR="007333BE" w:rsidRPr="00886F1D" w:rsidRDefault="007333BE" w:rsidP="00886F1D">
            <w:pPr>
              <w:rPr>
                <w:sz w:val="20"/>
              </w:rPr>
            </w:pPr>
            <w:r w:rsidRPr="00886F1D">
              <w:rPr>
                <w:sz w:val="20"/>
              </w:rPr>
              <w:t>Department of Foreign Affairs</w:t>
            </w:r>
          </w:p>
          <w:p w:rsidR="007333BE" w:rsidRPr="00886F1D" w:rsidRDefault="007333BE" w:rsidP="00886F1D">
            <w:pPr>
              <w:rPr>
                <w:sz w:val="20"/>
              </w:rPr>
            </w:pPr>
            <w:r w:rsidRPr="00886F1D">
              <w:rPr>
                <w:sz w:val="20"/>
              </w:rPr>
              <w:t xml:space="preserve">DFA Building , 2330 </w:t>
            </w:r>
            <w:proofErr w:type="spellStart"/>
            <w:r w:rsidRPr="00886F1D">
              <w:rPr>
                <w:sz w:val="20"/>
              </w:rPr>
              <w:t>Roxas</w:t>
            </w:r>
            <w:proofErr w:type="spellEnd"/>
            <w:r w:rsidRPr="00886F1D">
              <w:rPr>
                <w:sz w:val="20"/>
              </w:rPr>
              <w:t xml:space="preserve"> Boulevard</w:t>
            </w:r>
          </w:p>
          <w:p w:rsidR="007333BE" w:rsidRPr="00886F1D" w:rsidRDefault="007333BE" w:rsidP="00886F1D">
            <w:pPr>
              <w:rPr>
                <w:sz w:val="20"/>
              </w:rPr>
            </w:pPr>
            <w:r w:rsidRPr="00886F1D">
              <w:rPr>
                <w:sz w:val="20"/>
              </w:rPr>
              <w:t>Pasay City</w:t>
            </w:r>
          </w:p>
          <w:p w:rsidR="007333BE" w:rsidRPr="00886F1D" w:rsidRDefault="007333BE" w:rsidP="00886F1D">
            <w:pPr>
              <w:rPr>
                <w:sz w:val="20"/>
              </w:rPr>
            </w:pPr>
            <w:r>
              <w:rPr>
                <w:sz w:val="20"/>
              </w:rPr>
              <w:t>Tel.:  (</w:t>
            </w:r>
            <w:r w:rsidRPr="00886F1D">
              <w:rPr>
                <w:sz w:val="20"/>
              </w:rPr>
              <w:t>632</w:t>
            </w:r>
            <w:r>
              <w:rPr>
                <w:sz w:val="20"/>
              </w:rPr>
              <w:t xml:space="preserve">) </w:t>
            </w:r>
            <w:r w:rsidRPr="00886F1D">
              <w:rPr>
                <w:sz w:val="20"/>
              </w:rPr>
              <w:t>834</w:t>
            </w:r>
            <w:r>
              <w:rPr>
                <w:sz w:val="20"/>
              </w:rPr>
              <w:t>-</w:t>
            </w:r>
            <w:r w:rsidRPr="00886F1D">
              <w:rPr>
                <w:sz w:val="20"/>
              </w:rPr>
              <w:t>3045</w:t>
            </w:r>
          </w:p>
          <w:p w:rsidR="007333BE" w:rsidRPr="00886F1D" w:rsidRDefault="007333BE" w:rsidP="00886F1D">
            <w:pPr>
              <w:rPr>
                <w:sz w:val="20"/>
              </w:rPr>
            </w:pPr>
            <w:r>
              <w:rPr>
                <w:sz w:val="20"/>
              </w:rPr>
              <w:t>Fax: (</w:t>
            </w:r>
            <w:r w:rsidRPr="00886F1D">
              <w:rPr>
                <w:sz w:val="20"/>
              </w:rPr>
              <w:t>632</w:t>
            </w:r>
            <w:r>
              <w:rPr>
                <w:sz w:val="20"/>
              </w:rPr>
              <w:t xml:space="preserve">) </w:t>
            </w:r>
            <w:r w:rsidRPr="00886F1D">
              <w:rPr>
                <w:sz w:val="20"/>
              </w:rPr>
              <w:t>834</w:t>
            </w:r>
            <w:r>
              <w:rPr>
                <w:sz w:val="20"/>
              </w:rPr>
              <w:t>-</w:t>
            </w:r>
            <w:r w:rsidRPr="00886F1D">
              <w:rPr>
                <w:sz w:val="20"/>
              </w:rPr>
              <w:t>1451</w:t>
            </w:r>
          </w:p>
          <w:p w:rsidR="007333BE" w:rsidRDefault="007333BE" w:rsidP="00886F1D">
            <w:pPr>
              <w:rPr>
                <w:sz w:val="20"/>
              </w:rPr>
            </w:pPr>
            <w:r w:rsidRPr="00886F1D">
              <w:rPr>
                <w:sz w:val="20"/>
              </w:rPr>
              <w:t xml:space="preserve">E-mail: </w:t>
            </w:r>
            <w:hyperlink r:id="rId54" w:history="1">
              <w:r w:rsidRPr="00346AB6">
                <w:rPr>
                  <w:rStyle w:val="Hyperlink"/>
                  <w:sz w:val="20"/>
                </w:rPr>
                <w:t>apecphil@yahoo.com</w:t>
              </w:r>
            </w:hyperlink>
          </w:p>
          <w:p w:rsidR="007333BE" w:rsidRPr="00D448CD" w:rsidRDefault="007333BE" w:rsidP="00886F1D">
            <w:pPr>
              <w:rPr>
                <w:sz w:val="20"/>
              </w:rPr>
            </w:pPr>
          </w:p>
          <w:p w:rsidR="007333BE" w:rsidRPr="007D6C4A" w:rsidRDefault="007333BE" w:rsidP="00D448CD">
            <w:pPr>
              <w:rPr>
                <w:sz w:val="20"/>
              </w:rPr>
            </w:pPr>
            <w:r w:rsidRPr="007D6C4A">
              <w:rPr>
                <w:sz w:val="20"/>
              </w:rPr>
              <w:t>The Director</w:t>
            </w:r>
          </w:p>
          <w:p w:rsidR="007333BE" w:rsidRPr="007D6C4A" w:rsidRDefault="007333BE" w:rsidP="00D448CD">
            <w:pPr>
              <w:rPr>
                <w:sz w:val="20"/>
              </w:rPr>
            </w:pPr>
            <w:r w:rsidRPr="007D6C4A">
              <w:rPr>
                <w:sz w:val="20"/>
              </w:rPr>
              <w:t>Bureau of Local Employment</w:t>
            </w:r>
          </w:p>
          <w:p w:rsidR="007333BE" w:rsidRPr="007D6C4A" w:rsidRDefault="007333BE" w:rsidP="00D448CD">
            <w:pPr>
              <w:rPr>
                <w:sz w:val="20"/>
              </w:rPr>
            </w:pPr>
            <w:r w:rsidRPr="007D6C4A">
              <w:rPr>
                <w:sz w:val="20"/>
              </w:rPr>
              <w:t xml:space="preserve">Department of </w:t>
            </w:r>
            <w:proofErr w:type="spellStart"/>
            <w:r w:rsidRPr="007D6C4A">
              <w:rPr>
                <w:sz w:val="20"/>
              </w:rPr>
              <w:t>Labor</w:t>
            </w:r>
            <w:proofErr w:type="spellEnd"/>
            <w:r w:rsidRPr="007D6C4A">
              <w:rPr>
                <w:sz w:val="20"/>
              </w:rPr>
              <w:t xml:space="preserve"> and Employment</w:t>
            </w:r>
          </w:p>
          <w:p w:rsidR="007333BE" w:rsidRPr="007D6C4A" w:rsidRDefault="007333BE" w:rsidP="00D448CD">
            <w:pPr>
              <w:rPr>
                <w:sz w:val="20"/>
              </w:rPr>
            </w:pPr>
            <w:proofErr w:type="spellStart"/>
            <w:r w:rsidRPr="007D6C4A">
              <w:rPr>
                <w:sz w:val="20"/>
              </w:rPr>
              <w:t>Intramuros</w:t>
            </w:r>
            <w:proofErr w:type="spellEnd"/>
            <w:r w:rsidRPr="007D6C4A">
              <w:rPr>
                <w:sz w:val="20"/>
              </w:rPr>
              <w:t>, Manila</w:t>
            </w:r>
          </w:p>
          <w:p w:rsidR="007333BE" w:rsidRPr="007D6C4A" w:rsidRDefault="007333BE" w:rsidP="00D448CD">
            <w:pPr>
              <w:rPr>
                <w:sz w:val="20"/>
              </w:rPr>
            </w:pPr>
            <w:r w:rsidRPr="007D6C4A">
              <w:rPr>
                <w:sz w:val="20"/>
              </w:rPr>
              <w:t>Tel:  (632) 528-0087; 528-0108</w:t>
            </w:r>
          </w:p>
          <w:p w:rsidR="007333BE" w:rsidRPr="00886F1D" w:rsidRDefault="007333BE" w:rsidP="00886F1D">
            <w:pPr>
              <w:rPr>
                <w:sz w:val="20"/>
              </w:rPr>
            </w:pPr>
            <w:r w:rsidRPr="007D6C4A">
              <w:rPr>
                <w:sz w:val="20"/>
              </w:rPr>
              <w:t>Fax: (632) 527-2421</w:t>
            </w:r>
            <w:r w:rsidRPr="00D448CD">
              <w:rPr>
                <w:sz w:val="20"/>
              </w:rPr>
              <w:t xml:space="preserve"> </w:t>
            </w:r>
          </w:p>
        </w:tc>
        <w:tc>
          <w:tcPr>
            <w:tcW w:w="2050" w:type="pct"/>
          </w:tcPr>
          <w:p w:rsidR="007333BE" w:rsidRPr="0008533B" w:rsidRDefault="007333BE">
            <w:pPr>
              <w:rPr>
                <w:sz w:val="20"/>
              </w:rPr>
            </w:pPr>
          </w:p>
        </w:tc>
      </w:tr>
      <w:tr w:rsidR="007333BE" w:rsidRPr="0008533B" w:rsidTr="00FA15C7">
        <w:tc>
          <w:tcPr>
            <w:tcW w:w="850" w:type="pct"/>
          </w:tcPr>
          <w:p w:rsidR="007333BE" w:rsidRPr="0008533B" w:rsidRDefault="007333BE" w:rsidP="005C5ACF">
            <w:pPr>
              <w:pStyle w:val="Heading5"/>
              <w:spacing w:after="0"/>
              <w:rPr>
                <w:rFonts w:ascii="Times New Roman" w:hAnsi="Times New Roman"/>
                <w:i/>
              </w:rPr>
            </w:pPr>
            <w:r w:rsidRPr="0008533B">
              <w:rPr>
                <w:rFonts w:ascii="Times New Roman" w:hAnsi="Times New Roman"/>
                <w:i/>
              </w:rPr>
              <w:lastRenderedPageBreak/>
              <w:t>Official websites that gather economies’ information</w:t>
            </w:r>
          </w:p>
          <w:p w:rsidR="007333BE" w:rsidRPr="0008533B" w:rsidRDefault="007333BE">
            <w:pPr>
              <w:rPr>
                <w:b/>
                <w:i/>
                <w:sz w:val="20"/>
              </w:rPr>
            </w:pPr>
          </w:p>
        </w:tc>
        <w:tc>
          <w:tcPr>
            <w:tcW w:w="2100" w:type="pct"/>
          </w:tcPr>
          <w:p w:rsidR="007333BE" w:rsidRPr="00A41CAB" w:rsidRDefault="007333BE" w:rsidP="00A41CAB">
            <w:pPr>
              <w:rPr>
                <w:color w:val="000000"/>
                <w:sz w:val="20"/>
              </w:rPr>
            </w:pPr>
            <w:bookmarkStart w:id="39" w:name="Cell27"/>
            <w:bookmarkEnd w:id="39"/>
            <w:r w:rsidRPr="00A41CAB">
              <w:rPr>
                <w:color w:val="000000"/>
                <w:sz w:val="20"/>
              </w:rPr>
              <w:t>Philippine Institute for Development Studies</w:t>
            </w:r>
          </w:p>
          <w:p w:rsidR="007333BE" w:rsidRPr="00A41CAB" w:rsidRDefault="008D4F45" w:rsidP="00A41CAB">
            <w:pPr>
              <w:jc w:val="both"/>
              <w:rPr>
                <w:rFonts w:eastAsia="Times New Roman"/>
                <w:color w:val="000000"/>
                <w:sz w:val="20"/>
              </w:rPr>
            </w:pPr>
            <w:hyperlink r:id="rId55" w:history="1">
              <w:r w:rsidR="007333BE" w:rsidRPr="00A41CAB">
                <w:rPr>
                  <w:rStyle w:val="Hyperlink"/>
                  <w:sz w:val="20"/>
                </w:rPr>
                <w:t>www.pids.gov.ph</w:t>
              </w:r>
            </w:hyperlink>
          </w:p>
        </w:tc>
        <w:tc>
          <w:tcPr>
            <w:tcW w:w="2050" w:type="pct"/>
          </w:tcPr>
          <w:p w:rsidR="007333BE" w:rsidRPr="00A41CAB" w:rsidRDefault="007333BE" w:rsidP="00A41CAB">
            <w:pPr>
              <w:jc w:val="both"/>
              <w:rPr>
                <w:color w:val="808080"/>
                <w:sz w:val="20"/>
              </w:rPr>
            </w:pPr>
            <w:bookmarkStart w:id="40" w:name="Cell28"/>
            <w:bookmarkEnd w:id="40"/>
          </w:p>
        </w:tc>
      </w:tr>
      <w:tr w:rsidR="007333BE" w:rsidRPr="0008533B" w:rsidTr="00FA15C7">
        <w:tc>
          <w:tcPr>
            <w:tcW w:w="850" w:type="pct"/>
          </w:tcPr>
          <w:p w:rsidR="007333BE" w:rsidRPr="0008533B" w:rsidRDefault="007333BE" w:rsidP="0001261C">
            <w:pPr>
              <w:pStyle w:val="Heading9"/>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100" w:type="pct"/>
          </w:tcPr>
          <w:p w:rsidR="007333BE" w:rsidRPr="00A41CAB" w:rsidRDefault="007333BE" w:rsidP="00A41CAB">
            <w:pPr>
              <w:rPr>
                <w:sz w:val="20"/>
              </w:rPr>
            </w:pPr>
            <w:r w:rsidRPr="00A41CAB">
              <w:rPr>
                <w:color w:val="000000"/>
                <w:sz w:val="20"/>
              </w:rPr>
              <w:t>Philippine APEC Study Center Network</w:t>
            </w:r>
          </w:p>
          <w:p w:rsidR="007333BE" w:rsidRPr="00A41CAB" w:rsidRDefault="008D4F45" w:rsidP="00A41CAB">
            <w:pPr>
              <w:rPr>
                <w:sz w:val="20"/>
              </w:rPr>
            </w:pPr>
            <w:hyperlink r:id="rId56" w:history="1">
              <w:r w:rsidR="007333BE" w:rsidRPr="00A41CAB">
                <w:rPr>
                  <w:rStyle w:val="Hyperlink"/>
                  <w:sz w:val="20"/>
                </w:rPr>
                <w:t>http://pascn.pids.gov.ph/</w:t>
              </w:r>
            </w:hyperlink>
          </w:p>
          <w:p w:rsidR="007333BE" w:rsidRPr="00A41CAB" w:rsidRDefault="007333BE" w:rsidP="00A41CAB"/>
        </w:tc>
        <w:tc>
          <w:tcPr>
            <w:tcW w:w="2050" w:type="pct"/>
          </w:tcPr>
          <w:p w:rsidR="007333BE" w:rsidRPr="0008533B" w:rsidRDefault="007333BE" w:rsidP="0001261C">
            <w:pPr>
              <w:pStyle w:val="Heading9"/>
              <w:rPr>
                <w:rFonts w:ascii="Times New Roman" w:hAnsi="Times New Roman"/>
                <w:b w:val="0"/>
              </w:rPr>
            </w:pPr>
          </w:p>
        </w:tc>
      </w:tr>
      <w:tr w:rsidR="007333BE" w:rsidRPr="0008533B" w:rsidTr="00FA15C7">
        <w:tc>
          <w:tcPr>
            <w:tcW w:w="850" w:type="pct"/>
          </w:tcPr>
          <w:p w:rsidR="007333BE" w:rsidRPr="0008533B" w:rsidRDefault="007333BE" w:rsidP="0001261C">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Pr="00BA0237" w:rsidRDefault="007333BE" w:rsidP="0001261C">
            <w:pPr>
              <w:pStyle w:val="Heading9"/>
              <w:rPr>
                <w:rFonts w:ascii="Times New Roman" w:hAnsi="Times New Roman"/>
                <w:b w:val="0"/>
                <w:i w:val="0"/>
              </w:rPr>
            </w:pPr>
            <w:r w:rsidRPr="00BA0237">
              <w:rPr>
                <w:rFonts w:ascii="Times New Roman" w:hAnsi="Times New Roman"/>
                <w:b w:val="0"/>
                <w:i w:val="0"/>
              </w:rPr>
              <w:t>The Project Director</w:t>
            </w:r>
          </w:p>
          <w:p w:rsidR="007333BE" w:rsidRPr="00BA0237" w:rsidRDefault="007333BE" w:rsidP="000D5C3E">
            <w:pPr>
              <w:rPr>
                <w:sz w:val="20"/>
              </w:rPr>
            </w:pPr>
            <w:r w:rsidRPr="00BA0237">
              <w:rPr>
                <w:sz w:val="20"/>
              </w:rPr>
              <w:t>Philippine APEC Study Center Network</w:t>
            </w:r>
          </w:p>
          <w:p w:rsidR="007333BE" w:rsidRPr="00BA0237" w:rsidRDefault="007333BE" w:rsidP="000D5C3E">
            <w:pPr>
              <w:rPr>
                <w:sz w:val="20"/>
              </w:rPr>
            </w:pPr>
            <w:r w:rsidRPr="00BA0237">
              <w:rPr>
                <w:sz w:val="20"/>
              </w:rPr>
              <w:t xml:space="preserve">Room 306, NEDA </w:t>
            </w:r>
            <w:proofErr w:type="spellStart"/>
            <w:r w:rsidRPr="00BA0237">
              <w:rPr>
                <w:sz w:val="20"/>
              </w:rPr>
              <w:t>sa</w:t>
            </w:r>
            <w:proofErr w:type="spellEnd"/>
            <w:r w:rsidRPr="00BA0237">
              <w:rPr>
                <w:sz w:val="20"/>
              </w:rPr>
              <w:t xml:space="preserve"> Makati Building</w:t>
            </w:r>
          </w:p>
          <w:p w:rsidR="007333BE" w:rsidRPr="00BA0237" w:rsidRDefault="007333BE" w:rsidP="000D5C3E">
            <w:pPr>
              <w:rPr>
                <w:sz w:val="20"/>
              </w:rPr>
            </w:pPr>
            <w:r w:rsidRPr="00BA0237">
              <w:rPr>
                <w:sz w:val="20"/>
              </w:rPr>
              <w:t xml:space="preserve">106 </w:t>
            </w:r>
            <w:proofErr w:type="spellStart"/>
            <w:r w:rsidRPr="00BA0237">
              <w:rPr>
                <w:sz w:val="20"/>
              </w:rPr>
              <w:t>Amorsolo</w:t>
            </w:r>
            <w:proofErr w:type="spellEnd"/>
            <w:r w:rsidRPr="00BA0237">
              <w:rPr>
                <w:sz w:val="20"/>
              </w:rPr>
              <w:t xml:space="preserve"> Street, Legaspi Village</w:t>
            </w:r>
          </w:p>
          <w:p w:rsidR="007333BE" w:rsidRPr="00BA0237" w:rsidRDefault="007333BE" w:rsidP="000D5C3E">
            <w:pPr>
              <w:rPr>
                <w:sz w:val="20"/>
              </w:rPr>
            </w:pPr>
            <w:r w:rsidRPr="00BA0237">
              <w:rPr>
                <w:sz w:val="20"/>
              </w:rPr>
              <w:t>Makati City</w:t>
            </w:r>
          </w:p>
          <w:p w:rsidR="007333BE" w:rsidRPr="00BA0237" w:rsidRDefault="007333BE" w:rsidP="000D5C3E">
            <w:pPr>
              <w:rPr>
                <w:sz w:val="20"/>
              </w:rPr>
            </w:pPr>
            <w:r>
              <w:rPr>
                <w:sz w:val="20"/>
              </w:rPr>
              <w:t>Tel:  (</w:t>
            </w:r>
            <w:r w:rsidRPr="00BA0237">
              <w:rPr>
                <w:sz w:val="20"/>
              </w:rPr>
              <w:t>632</w:t>
            </w:r>
            <w:r>
              <w:rPr>
                <w:sz w:val="20"/>
              </w:rPr>
              <w:t xml:space="preserve">) </w:t>
            </w:r>
            <w:r w:rsidRPr="00BA0237">
              <w:rPr>
                <w:sz w:val="20"/>
              </w:rPr>
              <w:t>892</w:t>
            </w:r>
            <w:r>
              <w:rPr>
                <w:sz w:val="20"/>
              </w:rPr>
              <w:t>-</w:t>
            </w:r>
            <w:r w:rsidRPr="00BA0237">
              <w:rPr>
                <w:sz w:val="20"/>
              </w:rPr>
              <w:t>5817</w:t>
            </w:r>
          </w:p>
          <w:p w:rsidR="007333BE" w:rsidRPr="00A26A52" w:rsidRDefault="007333BE" w:rsidP="000D5C3E">
            <w:pPr>
              <w:rPr>
                <w:sz w:val="20"/>
              </w:rPr>
            </w:pPr>
            <w:r w:rsidRPr="00BA0237">
              <w:rPr>
                <w:sz w:val="20"/>
              </w:rPr>
              <w:t xml:space="preserve">Email: </w:t>
            </w:r>
            <w:hyperlink r:id="rId57" w:history="1">
              <w:r w:rsidRPr="00BA0237">
                <w:rPr>
                  <w:rStyle w:val="Hyperlink"/>
                  <w:sz w:val="20"/>
                </w:rPr>
                <w:t>emedalla@pids.gov.ph</w:t>
              </w:r>
            </w:hyperlink>
            <w:r w:rsidRPr="00BA0237">
              <w:rPr>
                <w:sz w:val="20"/>
              </w:rPr>
              <w:t xml:space="preserve">; </w:t>
            </w:r>
            <w:hyperlink r:id="rId58" w:history="1">
              <w:r w:rsidRPr="00BA0237">
                <w:rPr>
                  <w:rStyle w:val="Hyperlink"/>
                  <w:sz w:val="20"/>
                </w:rPr>
                <w:t>pascn@pidsnet.pids.gov.ph</w:t>
              </w:r>
            </w:hyperlink>
          </w:p>
        </w:tc>
        <w:tc>
          <w:tcPr>
            <w:tcW w:w="2050" w:type="pct"/>
          </w:tcPr>
          <w:p w:rsidR="007333BE" w:rsidRPr="0008533B" w:rsidRDefault="007333BE" w:rsidP="0001261C">
            <w:pPr>
              <w:pStyle w:val="Heading9"/>
              <w:rPr>
                <w:rFonts w:ascii="Times New Roman" w:hAnsi="Times New Roman"/>
                <w:b w:val="0"/>
              </w:rPr>
            </w:pPr>
          </w:p>
        </w:tc>
      </w:tr>
      <w:tr w:rsidR="007333BE" w:rsidRPr="0008533B" w:rsidTr="00FA15C7">
        <w:tc>
          <w:tcPr>
            <w:tcW w:w="850" w:type="pct"/>
          </w:tcPr>
          <w:p w:rsidR="007333BE" w:rsidRPr="0008533B" w:rsidRDefault="007333BE">
            <w:pPr>
              <w:rPr>
                <w:b/>
                <w:i/>
                <w:sz w:val="20"/>
              </w:rPr>
            </w:pPr>
            <w:bookmarkStart w:id="41" w:name="Row16"/>
            <w:r w:rsidRPr="0008533B">
              <w:rPr>
                <w:b/>
                <w:i/>
                <w:sz w:val="20"/>
              </w:rPr>
              <w:t>Transparency</w:t>
            </w:r>
            <w:bookmarkEnd w:id="41"/>
          </w:p>
          <w:p w:rsidR="007333BE" w:rsidRPr="0008533B" w:rsidRDefault="007333BE">
            <w:pPr>
              <w:rPr>
                <w:b/>
                <w:i/>
                <w:sz w:val="20"/>
              </w:rPr>
            </w:pPr>
          </w:p>
        </w:tc>
        <w:tc>
          <w:tcPr>
            <w:tcW w:w="2100" w:type="pct"/>
          </w:tcPr>
          <w:p w:rsidR="007333BE" w:rsidRPr="00EF228A" w:rsidRDefault="007333BE" w:rsidP="00AE4B25">
            <w:pPr>
              <w:jc w:val="both"/>
              <w:rPr>
                <w:color w:val="000000" w:themeColor="text1"/>
                <w:sz w:val="20"/>
              </w:rPr>
            </w:pPr>
            <w:bookmarkStart w:id="42" w:name="Cell31"/>
            <w:bookmarkEnd w:id="42"/>
            <w:r w:rsidRPr="00EF228A">
              <w:rPr>
                <w:color w:val="000000" w:themeColor="text1"/>
                <w:sz w:val="20"/>
              </w:rPr>
              <w:t>Continued to maintain transparency in all government actions as part of the democratic process.  Public hearings or consultations are conducted in the formulation of policies.  The private sector and civil society are represented in government councils/committees.</w:t>
            </w:r>
          </w:p>
          <w:p w:rsidR="007333BE" w:rsidRPr="00EF228A" w:rsidRDefault="007333BE" w:rsidP="00AE4B25">
            <w:pPr>
              <w:jc w:val="both"/>
              <w:rPr>
                <w:color w:val="000000" w:themeColor="text1"/>
                <w:sz w:val="20"/>
              </w:rPr>
            </w:pPr>
          </w:p>
          <w:p w:rsidR="007333BE" w:rsidRPr="00EF228A" w:rsidRDefault="007333BE" w:rsidP="00EF228A">
            <w:pPr>
              <w:rPr>
                <w:color w:val="000000" w:themeColor="text1"/>
                <w:sz w:val="20"/>
              </w:rPr>
            </w:pPr>
            <w:r w:rsidRPr="00EF228A">
              <w:rPr>
                <w:rFonts w:eastAsia="Times New Roman"/>
                <w:color w:val="000000" w:themeColor="text1"/>
                <w:sz w:val="20"/>
              </w:rPr>
              <w:t>Signed the Anti-Cybercrime Act of 2012 (Republic Act No 10175,</w:t>
            </w:r>
            <w:proofErr w:type="gramStart"/>
            <w:r w:rsidRPr="00EF228A">
              <w:rPr>
                <w:rFonts w:eastAsia="Times New Roman"/>
                <w:color w:val="000000" w:themeColor="text1"/>
                <w:sz w:val="20"/>
              </w:rPr>
              <w:t>)  September</w:t>
            </w:r>
            <w:proofErr w:type="gramEnd"/>
            <w:r w:rsidRPr="00EF228A">
              <w:rPr>
                <w:rFonts w:eastAsia="Times New Roman"/>
                <w:color w:val="000000" w:themeColor="text1"/>
                <w:sz w:val="20"/>
              </w:rPr>
              <w:t xml:space="preserve"> 2013. It is now being reviewed by the Supreme Court.</w:t>
            </w:r>
          </w:p>
          <w:p w:rsidR="007333BE" w:rsidRPr="00EF228A" w:rsidRDefault="007333BE" w:rsidP="00EF228A">
            <w:pPr>
              <w:jc w:val="both"/>
              <w:rPr>
                <w:color w:val="000000" w:themeColor="text1"/>
                <w:sz w:val="20"/>
              </w:rPr>
            </w:pPr>
          </w:p>
          <w:p w:rsidR="007333BE" w:rsidRPr="00EF228A" w:rsidRDefault="007333BE" w:rsidP="00AC54D0">
            <w:pPr>
              <w:jc w:val="both"/>
              <w:rPr>
                <w:rFonts w:eastAsia="Times New Roman"/>
                <w:color w:val="000000" w:themeColor="text1"/>
                <w:sz w:val="20"/>
                <w:shd w:val="clear" w:color="auto" w:fill="FFFFFF"/>
              </w:rPr>
            </w:pPr>
            <w:r w:rsidRPr="00EF228A">
              <w:rPr>
                <w:rFonts w:eastAsia="Times New Roman"/>
                <w:color w:val="000000" w:themeColor="text1"/>
                <w:sz w:val="20"/>
                <w:shd w:val="clear" w:color="auto" w:fill="FFFFFF"/>
              </w:rPr>
              <w:t xml:space="preserve">Launched </w:t>
            </w:r>
            <w:proofErr w:type="spellStart"/>
            <w:r w:rsidRPr="00EF228A">
              <w:rPr>
                <w:rFonts w:eastAsia="Times New Roman"/>
                <w:color w:val="000000" w:themeColor="text1"/>
                <w:sz w:val="20"/>
                <w:shd w:val="clear" w:color="auto" w:fill="FFFFFF"/>
              </w:rPr>
              <w:t>FAiTH</w:t>
            </w:r>
            <w:proofErr w:type="spellEnd"/>
            <w:r w:rsidRPr="00EF228A">
              <w:rPr>
                <w:rFonts w:eastAsia="Times New Roman"/>
                <w:color w:val="000000" w:themeColor="text1"/>
                <w:sz w:val="20"/>
                <w:shd w:val="clear" w:color="auto" w:fill="FFFFFF"/>
              </w:rPr>
              <w:t xml:space="preserve"> or Foreign Aid Transparency Hub which is an online portal of information on calamity aid and assistance received by the Philippines from nations and multilateral organizations. </w:t>
            </w:r>
          </w:p>
        </w:tc>
        <w:tc>
          <w:tcPr>
            <w:tcW w:w="2050" w:type="pct"/>
          </w:tcPr>
          <w:p w:rsidR="007333BE" w:rsidRPr="00AC54D0" w:rsidRDefault="007333BE" w:rsidP="00AC54D0">
            <w:pPr>
              <w:jc w:val="both"/>
              <w:rPr>
                <w:rFonts w:eastAsiaTheme="minorHAnsi"/>
                <w:sz w:val="20"/>
              </w:rPr>
            </w:pPr>
            <w:bookmarkStart w:id="43" w:name="Cell32"/>
            <w:bookmarkEnd w:id="43"/>
            <w:r>
              <w:rPr>
                <w:sz w:val="20"/>
              </w:rPr>
              <w:t>As set out in the Philippine Development Plan of 2011-2016, e</w:t>
            </w:r>
            <w:r w:rsidRPr="00AC54D0">
              <w:rPr>
                <w:sz w:val="20"/>
              </w:rPr>
              <w:t>ffective and honest</w:t>
            </w:r>
            <w:r w:rsidRPr="00AC54D0">
              <w:rPr>
                <w:rFonts w:eastAsiaTheme="minorHAnsi"/>
                <w:sz w:val="20"/>
              </w:rPr>
              <w:t xml:space="preserve"> </w:t>
            </w:r>
            <w:r w:rsidRPr="00AC54D0">
              <w:rPr>
                <w:sz w:val="20"/>
              </w:rPr>
              <w:t>governance will be promoted and</w:t>
            </w:r>
            <w:r w:rsidRPr="00AC54D0">
              <w:rPr>
                <w:rFonts w:eastAsiaTheme="minorHAnsi"/>
                <w:sz w:val="20"/>
              </w:rPr>
              <w:t xml:space="preserve"> </w:t>
            </w:r>
            <w:r w:rsidRPr="00AC54D0">
              <w:rPr>
                <w:sz w:val="20"/>
              </w:rPr>
              <w:t>practised through the following</w:t>
            </w:r>
            <w:r w:rsidRPr="00AC54D0">
              <w:rPr>
                <w:rFonts w:eastAsiaTheme="minorHAnsi"/>
                <w:sz w:val="20"/>
              </w:rPr>
              <w:t>:</w:t>
            </w:r>
          </w:p>
          <w:p w:rsidR="007333BE" w:rsidRPr="00AC54D0" w:rsidRDefault="007333BE" w:rsidP="00AC54D0">
            <w:pPr>
              <w:ind w:left="720"/>
              <w:jc w:val="both"/>
              <w:rPr>
                <w:rFonts w:eastAsiaTheme="minorHAnsi"/>
                <w:sz w:val="20"/>
              </w:rPr>
            </w:pPr>
            <w:r w:rsidRPr="00AC54D0">
              <w:rPr>
                <w:sz w:val="20"/>
              </w:rPr>
              <w:t>1. Ensure high-quality, efficient,</w:t>
            </w:r>
            <w:r w:rsidRPr="00AC54D0">
              <w:rPr>
                <w:rFonts w:eastAsiaTheme="minorHAnsi"/>
                <w:sz w:val="20"/>
              </w:rPr>
              <w:t xml:space="preserve"> </w:t>
            </w:r>
            <w:r w:rsidRPr="00AC54D0">
              <w:rPr>
                <w:sz w:val="20"/>
              </w:rPr>
              <w:t>transparent, accountable, financially</w:t>
            </w:r>
            <w:r w:rsidRPr="00AC54D0">
              <w:rPr>
                <w:rFonts w:eastAsiaTheme="minorHAnsi"/>
                <w:sz w:val="20"/>
              </w:rPr>
              <w:t xml:space="preserve"> and p</w:t>
            </w:r>
            <w:r w:rsidRPr="00AC54D0">
              <w:rPr>
                <w:sz w:val="20"/>
              </w:rPr>
              <w:t>hysically accessible and</w:t>
            </w:r>
            <w:r w:rsidRPr="00AC54D0">
              <w:rPr>
                <w:rFonts w:eastAsiaTheme="minorHAnsi"/>
                <w:sz w:val="20"/>
              </w:rPr>
              <w:t xml:space="preserve"> </w:t>
            </w:r>
            <w:proofErr w:type="spellStart"/>
            <w:r w:rsidRPr="00AC54D0">
              <w:rPr>
                <w:sz w:val="20"/>
              </w:rPr>
              <w:t>nondiscriminatory</w:t>
            </w:r>
            <w:proofErr w:type="spellEnd"/>
            <w:r w:rsidRPr="00AC54D0">
              <w:rPr>
                <w:sz w:val="20"/>
              </w:rPr>
              <w:t xml:space="preserve"> delivery of public</w:t>
            </w:r>
            <w:r w:rsidRPr="00AC54D0">
              <w:rPr>
                <w:rFonts w:eastAsiaTheme="minorHAnsi"/>
                <w:sz w:val="20"/>
              </w:rPr>
              <w:t xml:space="preserve"> </w:t>
            </w:r>
            <w:r w:rsidRPr="00AC54D0">
              <w:rPr>
                <w:sz w:val="20"/>
              </w:rPr>
              <w:t>service;</w:t>
            </w:r>
          </w:p>
          <w:p w:rsidR="007333BE" w:rsidRPr="00AC54D0" w:rsidRDefault="007333BE" w:rsidP="00AC54D0">
            <w:pPr>
              <w:ind w:left="720"/>
              <w:jc w:val="both"/>
              <w:rPr>
                <w:rFonts w:eastAsiaTheme="minorHAnsi"/>
                <w:sz w:val="20"/>
              </w:rPr>
            </w:pPr>
            <w:r w:rsidRPr="00AC54D0">
              <w:rPr>
                <w:sz w:val="20"/>
              </w:rPr>
              <w:t>2. Curb both bureaucratic and</w:t>
            </w:r>
            <w:r w:rsidRPr="00AC54D0">
              <w:rPr>
                <w:rFonts w:eastAsiaTheme="minorHAnsi"/>
                <w:sz w:val="20"/>
              </w:rPr>
              <w:t xml:space="preserve"> </w:t>
            </w:r>
            <w:r w:rsidRPr="00AC54D0">
              <w:rPr>
                <w:sz w:val="20"/>
              </w:rPr>
              <w:t>political corruption;</w:t>
            </w:r>
            <w:r w:rsidRPr="00AC54D0">
              <w:rPr>
                <w:rFonts w:eastAsiaTheme="minorHAnsi"/>
                <w:sz w:val="20"/>
              </w:rPr>
              <w:t xml:space="preserve"> </w:t>
            </w:r>
          </w:p>
          <w:p w:rsidR="007333BE" w:rsidRDefault="007333BE" w:rsidP="00AC54D0">
            <w:pPr>
              <w:ind w:left="720"/>
              <w:jc w:val="both"/>
              <w:rPr>
                <w:rFonts w:eastAsiaTheme="minorHAnsi"/>
                <w:sz w:val="20"/>
              </w:rPr>
            </w:pPr>
            <w:r w:rsidRPr="00AC54D0">
              <w:rPr>
                <w:sz w:val="20"/>
              </w:rPr>
              <w:t>3. Strengthen the rule of law; and</w:t>
            </w:r>
          </w:p>
          <w:p w:rsidR="007333BE" w:rsidRPr="00AC54D0" w:rsidRDefault="007333BE" w:rsidP="00AC54D0">
            <w:pPr>
              <w:ind w:left="720"/>
              <w:jc w:val="both"/>
              <w:rPr>
                <w:rFonts w:eastAsiaTheme="minorHAnsi"/>
                <w:sz w:val="20"/>
              </w:rPr>
            </w:pPr>
            <w:r w:rsidRPr="00AC54D0">
              <w:rPr>
                <w:sz w:val="20"/>
              </w:rPr>
              <w:t>4. Enhance citizens’ access to information and participation in</w:t>
            </w:r>
            <w:r w:rsidRPr="00AC54D0">
              <w:rPr>
                <w:rFonts w:eastAsiaTheme="minorHAnsi"/>
                <w:sz w:val="20"/>
              </w:rPr>
              <w:t xml:space="preserve"> </w:t>
            </w:r>
            <w:r w:rsidRPr="00AC54D0">
              <w:rPr>
                <w:sz w:val="20"/>
              </w:rPr>
              <w:t>governance.</w:t>
            </w:r>
          </w:p>
        </w:tc>
      </w:tr>
      <w:tr w:rsidR="007333BE" w:rsidRPr="0008533B" w:rsidTr="00FA15C7">
        <w:tc>
          <w:tcPr>
            <w:tcW w:w="850" w:type="pct"/>
          </w:tcPr>
          <w:p w:rsidR="007333BE" w:rsidRPr="0008533B" w:rsidRDefault="007333BE" w:rsidP="0001261C">
            <w:pPr>
              <w:pStyle w:val="Heading9"/>
              <w:rPr>
                <w:rFonts w:ascii="Times New Roman" w:hAnsi="Times New Roman"/>
                <w:b w:val="0"/>
                <w:color w:val="808080"/>
              </w:rPr>
            </w:pPr>
            <w:r w:rsidRPr="0008533B">
              <w:rPr>
                <w:rFonts w:ascii="Times New Roman" w:hAnsi="Times New Roman"/>
                <w:b w:val="0"/>
                <w:color w:val="808080"/>
              </w:rPr>
              <w:lastRenderedPageBreak/>
              <w:t xml:space="preserve">Website for further information:  </w:t>
            </w:r>
          </w:p>
        </w:tc>
        <w:tc>
          <w:tcPr>
            <w:tcW w:w="2100" w:type="pct"/>
          </w:tcPr>
          <w:p w:rsidR="007333BE" w:rsidRPr="00C418AA" w:rsidRDefault="008D4F45" w:rsidP="0001261C">
            <w:pPr>
              <w:pStyle w:val="Heading9"/>
              <w:rPr>
                <w:rFonts w:ascii="Times New Roman" w:hAnsi="Times New Roman"/>
                <w:b w:val="0"/>
              </w:rPr>
            </w:pPr>
            <w:hyperlink r:id="rId59" w:history="1">
              <w:r w:rsidR="007333BE" w:rsidRPr="00BE7041">
                <w:rPr>
                  <w:rStyle w:val="Hyperlink"/>
                  <w:rFonts w:ascii="Times New Roman" w:hAnsi="Times New Roman"/>
                  <w:b w:val="0"/>
                  <w:i w:val="0"/>
                </w:rPr>
                <w:t>www.gov.ph</w:t>
              </w:r>
            </w:hyperlink>
            <w:r w:rsidR="007333BE">
              <w:rPr>
                <w:rFonts w:ascii="Times New Roman" w:hAnsi="Times New Roman"/>
                <w:b w:val="0"/>
                <w:i w:val="0"/>
              </w:rPr>
              <w:t xml:space="preserve"> – </w:t>
            </w:r>
            <w:r w:rsidR="007333BE">
              <w:rPr>
                <w:rFonts w:ascii="Times New Roman" w:hAnsi="Times New Roman"/>
                <w:b w:val="0"/>
              </w:rPr>
              <w:t>Official Gazette</w:t>
            </w:r>
          </w:p>
          <w:p w:rsidR="007333BE" w:rsidRDefault="007333BE" w:rsidP="0001261C">
            <w:pPr>
              <w:pStyle w:val="Heading9"/>
            </w:pPr>
          </w:p>
          <w:p w:rsidR="007333BE" w:rsidRPr="00EF228A" w:rsidRDefault="008D4F45" w:rsidP="00EF228A">
            <w:pPr>
              <w:shd w:val="clear" w:color="auto" w:fill="FFFFFF"/>
              <w:spacing w:line="225" w:lineRule="atLeast"/>
              <w:rPr>
                <w:rFonts w:eastAsia="Times New Roman"/>
                <w:i/>
                <w:color w:val="000000" w:themeColor="text1"/>
                <w:sz w:val="20"/>
              </w:rPr>
            </w:pPr>
            <w:hyperlink r:id="rId60" w:history="1">
              <w:r w:rsidR="007333BE" w:rsidRPr="00880A6A">
                <w:rPr>
                  <w:rStyle w:val="Hyperlink"/>
                  <w:rFonts w:eastAsia="Times New Roman"/>
                  <w:sz w:val="20"/>
                  <w:lang w:val="en-US"/>
                </w:rPr>
                <w:t>www.gov.ph/</w:t>
              </w:r>
              <w:r w:rsidR="007333BE" w:rsidRPr="00880A6A">
                <w:rPr>
                  <w:rStyle w:val="Hyperlink"/>
                  <w:rFonts w:eastAsia="Times New Roman"/>
                  <w:b/>
                  <w:bCs/>
                  <w:sz w:val="20"/>
                  <w:lang w:val="en-US"/>
                </w:rPr>
                <w:t>2012</w:t>
              </w:r>
              <w:r w:rsidR="007333BE" w:rsidRPr="00880A6A">
                <w:rPr>
                  <w:rStyle w:val="Hyperlink"/>
                  <w:rFonts w:eastAsia="Times New Roman"/>
                  <w:sz w:val="20"/>
                  <w:lang w:val="en-US"/>
                </w:rPr>
                <w:t>/09/12/republic-</w:t>
              </w:r>
              <w:r w:rsidR="007333BE" w:rsidRPr="00880A6A">
                <w:rPr>
                  <w:rStyle w:val="Hyperlink"/>
                  <w:rFonts w:eastAsia="Times New Roman"/>
                  <w:b/>
                  <w:bCs/>
                  <w:sz w:val="20"/>
                  <w:lang w:val="en-US"/>
                </w:rPr>
                <w:t>act</w:t>
              </w:r>
              <w:r w:rsidR="007333BE" w:rsidRPr="00880A6A">
                <w:rPr>
                  <w:rStyle w:val="Hyperlink"/>
                  <w:rFonts w:eastAsia="Times New Roman"/>
                  <w:sz w:val="20"/>
                  <w:lang w:val="en-US"/>
                </w:rPr>
                <w:t>-no-10175</w:t>
              </w:r>
            </w:hyperlink>
            <w:r w:rsidR="007333BE" w:rsidRPr="002A03C2">
              <w:rPr>
                <w:rFonts w:eastAsia="Times New Roman"/>
                <w:color w:val="FF0000"/>
                <w:sz w:val="20"/>
              </w:rPr>
              <w:t xml:space="preserve"> </w:t>
            </w:r>
            <w:r w:rsidR="007333BE">
              <w:rPr>
                <w:rFonts w:eastAsia="Times New Roman"/>
                <w:color w:val="FF0000"/>
                <w:sz w:val="20"/>
              </w:rPr>
              <w:t xml:space="preserve"> </w:t>
            </w:r>
            <w:r w:rsidR="007333BE" w:rsidRPr="00EF228A">
              <w:rPr>
                <w:rFonts w:eastAsia="Times New Roman"/>
                <w:i/>
                <w:color w:val="000000" w:themeColor="text1"/>
                <w:sz w:val="20"/>
              </w:rPr>
              <w:t>- Anti-Cybercrime Act of 2012</w:t>
            </w:r>
          </w:p>
          <w:p w:rsidR="007333BE" w:rsidRDefault="007333BE" w:rsidP="00EF228A">
            <w:pPr>
              <w:shd w:val="clear" w:color="auto" w:fill="FFFFFF"/>
              <w:spacing w:line="225" w:lineRule="atLeast"/>
              <w:rPr>
                <w:rFonts w:eastAsia="Times New Roman"/>
                <w:color w:val="FF0000"/>
                <w:sz w:val="20"/>
                <w:lang w:val="en-US"/>
              </w:rPr>
            </w:pPr>
          </w:p>
          <w:p w:rsidR="007333BE" w:rsidRPr="002A03C2" w:rsidRDefault="008D4F45" w:rsidP="00EF228A">
            <w:pPr>
              <w:shd w:val="clear" w:color="auto" w:fill="FFFFFF"/>
              <w:spacing w:line="225" w:lineRule="atLeast"/>
              <w:rPr>
                <w:rFonts w:eastAsia="Times New Roman"/>
                <w:color w:val="FF0000"/>
                <w:sz w:val="20"/>
                <w:lang w:val="en-US"/>
              </w:rPr>
            </w:pPr>
            <w:hyperlink r:id="rId61" w:history="1">
              <w:r w:rsidR="007333BE" w:rsidRPr="00D05B4B">
                <w:rPr>
                  <w:rStyle w:val="Hyperlink"/>
                  <w:rFonts w:eastAsia="Times New Roman"/>
                  <w:sz w:val="20"/>
                  <w:shd w:val="clear" w:color="auto" w:fill="FFFFFF"/>
                </w:rPr>
                <w:t>www.gov.ph/faith</w:t>
              </w:r>
            </w:hyperlink>
            <w:r w:rsidR="007333BE">
              <w:rPr>
                <w:color w:val="FF0000"/>
                <w:sz w:val="20"/>
              </w:rPr>
              <w:t xml:space="preserve">  </w:t>
            </w:r>
            <w:r w:rsidR="007333BE" w:rsidRPr="00EF228A">
              <w:rPr>
                <w:i/>
                <w:color w:val="000000" w:themeColor="text1"/>
                <w:sz w:val="20"/>
              </w:rPr>
              <w:t xml:space="preserve">- </w:t>
            </w:r>
            <w:proofErr w:type="spellStart"/>
            <w:r w:rsidR="007333BE" w:rsidRPr="00EF228A">
              <w:rPr>
                <w:rFonts w:eastAsia="Times New Roman"/>
                <w:i/>
                <w:color w:val="000000" w:themeColor="text1"/>
                <w:sz w:val="20"/>
                <w:lang w:val="en-US"/>
              </w:rPr>
              <w:t>FAiTH</w:t>
            </w:r>
            <w:proofErr w:type="spellEnd"/>
            <w:r w:rsidR="007333BE" w:rsidRPr="00EF228A">
              <w:rPr>
                <w:rFonts w:eastAsia="Times New Roman"/>
                <w:i/>
                <w:color w:val="000000" w:themeColor="text1"/>
                <w:sz w:val="20"/>
                <w:lang w:val="en-US"/>
              </w:rPr>
              <w:t xml:space="preserve"> Project</w:t>
            </w:r>
          </w:p>
          <w:p w:rsidR="007333BE" w:rsidRPr="00EF228A" w:rsidRDefault="007333BE" w:rsidP="00EF228A"/>
        </w:tc>
        <w:tc>
          <w:tcPr>
            <w:tcW w:w="2050" w:type="pct"/>
          </w:tcPr>
          <w:p w:rsidR="007333BE" w:rsidRPr="0008533B" w:rsidRDefault="007333BE" w:rsidP="0001261C">
            <w:pPr>
              <w:pStyle w:val="Heading9"/>
              <w:rPr>
                <w:rFonts w:ascii="Times New Roman" w:hAnsi="Times New Roman"/>
                <w:b w:val="0"/>
              </w:rPr>
            </w:pPr>
          </w:p>
        </w:tc>
      </w:tr>
      <w:tr w:rsidR="007333BE" w:rsidRPr="0008533B" w:rsidTr="00FA15C7">
        <w:tc>
          <w:tcPr>
            <w:tcW w:w="850" w:type="pct"/>
          </w:tcPr>
          <w:p w:rsidR="007333BE" w:rsidRPr="0008533B" w:rsidRDefault="007333BE" w:rsidP="0001261C">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2100" w:type="pct"/>
          </w:tcPr>
          <w:p w:rsidR="007333BE" w:rsidRDefault="007333BE" w:rsidP="00B55572">
            <w:pPr>
              <w:rPr>
                <w:sz w:val="20"/>
              </w:rPr>
            </w:pPr>
            <w:r w:rsidRPr="000410E0">
              <w:rPr>
                <w:sz w:val="20"/>
              </w:rPr>
              <w:t>The Presidential Communications Development and Strategic Planning Office</w:t>
            </w:r>
          </w:p>
          <w:p w:rsidR="007333BE" w:rsidRDefault="007333BE" w:rsidP="00B55572">
            <w:pPr>
              <w:rPr>
                <w:sz w:val="20"/>
              </w:rPr>
            </w:pPr>
            <w:r w:rsidRPr="000410E0">
              <w:rPr>
                <w:sz w:val="20"/>
              </w:rPr>
              <w:t>3/F New Executive Building,</w:t>
            </w:r>
          </w:p>
          <w:p w:rsidR="007333BE" w:rsidRDefault="007333BE" w:rsidP="00B55572">
            <w:pPr>
              <w:rPr>
                <w:sz w:val="20"/>
              </w:rPr>
            </w:pPr>
            <w:r w:rsidRPr="000410E0">
              <w:rPr>
                <w:sz w:val="20"/>
              </w:rPr>
              <w:t xml:space="preserve">Jose P. Laurel St., </w:t>
            </w:r>
            <w:proofErr w:type="spellStart"/>
            <w:r w:rsidRPr="000410E0">
              <w:rPr>
                <w:sz w:val="20"/>
              </w:rPr>
              <w:t>Malacañang</w:t>
            </w:r>
            <w:proofErr w:type="spellEnd"/>
            <w:r w:rsidRPr="000410E0">
              <w:rPr>
                <w:sz w:val="20"/>
              </w:rPr>
              <w:t>, Manila</w:t>
            </w:r>
          </w:p>
          <w:p w:rsidR="007333BE" w:rsidRDefault="007333BE" w:rsidP="00B55572">
            <w:pPr>
              <w:rPr>
                <w:sz w:val="20"/>
              </w:rPr>
            </w:pPr>
            <w:r w:rsidRPr="000410E0">
              <w:rPr>
                <w:sz w:val="20"/>
              </w:rPr>
              <w:t xml:space="preserve">Tel. No.: </w:t>
            </w:r>
            <w:r>
              <w:rPr>
                <w:sz w:val="20"/>
              </w:rPr>
              <w:t>(</w:t>
            </w:r>
            <w:r w:rsidRPr="000410E0">
              <w:rPr>
                <w:sz w:val="20"/>
              </w:rPr>
              <w:t>632</w:t>
            </w:r>
            <w:r>
              <w:rPr>
                <w:sz w:val="20"/>
              </w:rPr>
              <w:t>) 7</w:t>
            </w:r>
            <w:r w:rsidRPr="000410E0">
              <w:rPr>
                <w:sz w:val="20"/>
              </w:rPr>
              <w:t>36</w:t>
            </w:r>
            <w:r>
              <w:rPr>
                <w:sz w:val="20"/>
              </w:rPr>
              <w:t>-</w:t>
            </w:r>
            <w:r w:rsidRPr="000410E0">
              <w:rPr>
                <w:sz w:val="20"/>
              </w:rPr>
              <w:t>0719</w:t>
            </w:r>
          </w:p>
          <w:p w:rsidR="007333BE" w:rsidRPr="00CF7A37" w:rsidRDefault="007333BE" w:rsidP="00B55572">
            <w:pPr>
              <w:rPr>
                <w:sz w:val="20"/>
              </w:rPr>
            </w:pPr>
            <w:r w:rsidRPr="000410E0">
              <w:rPr>
                <w:sz w:val="20"/>
              </w:rPr>
              <w:t xml:space="preserve">Fax No.: </w:t>
            </w:r>
            <w:r>
              <w:rPr>
                <w:sz w:val="20"/>
              </w:rPr>
              <w:t xml:space="preserve"> (</w:t>
            </w:r>
            <w:r w:rsidRPr="000410E0">
              <w:rPr>
                <w:sz w:val="20"/>
              </w:rPr>
              <w:t>632</w:t>
            </w:r>
            <w:r>
              <w:rPr>
                <w:sz w:val="20"/>
              </w:rPr>
              <w:t>) 735-</w:t>
            </w:r>
            <w:r w:rsidRPr="000410E0">
              <w:rPr>
                <w:sz w:val="20"/>
              </w:rPr>
              <w:t>6167</w:t>
            </w:r>
          </w:p>
        </w:tc>
        <w:tc>
          <w:tcPr>
            <w:tcW w:w="2050" w:type="pct"/>
          </w:tcPr>
          <w:p w:rsidR="007333BE" w:rsidRPr="0008533B" w:rsidRDefault="007333BE" w:rsidP="0001261C">
            <w:pPr>
              <w:pStyle w:val="Heading9"/>
              <w:rPr>
                <w:rFonts w:ascii="Times New Roman" w:hAnsi="Times New Roman"/>
                <w:b w:val="0"/>
              </w:rPr>
            </w:pPr>
          </w:p>
        </w:tc>
      </w:tr>
    </w:tbl>
    <w:p w:rsidR="008124AC" w:rsidRDefault="008124AC">
      <w:pPr>
        <w:rPr>
          <w:sz w:val="20"/>
        </w:rPr>
      </w:pPr>
    </w:p>
    <w:p w:rsidR="008124AC" w:rsidRDefault="008124AC">
      <w:pPr>
        <w:rPr>
          <w:sz w:val="20"/>
        </w:rPr>
      </w:pPr>
      <w:r>
        <w:rPr>
          <w:sz w:val="20"/>
        </w:rPr>
        <w:br w:type="page"/>
      </w:r>
    </w:p>
    <w:p w:rsidR="00CB6A57" w:rsidRPr="0008533B" w:rsidRDefault="00CB6A57">
      <w:pPr>
        <w:rPr>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30"/>
        <w:gridCol w:w="2760"/>
        <w:gridCol w:w="11040"/>
        <w:gridCol w:w="17"/>
      </w:tblGrid>
      <w:tr w:rsidR="00CB6A57" w:rsidRPr="0008533B" w:rsidTr="000A33A0">
        <w:trPr>
          <w:cantSplit/>
        </w:trPr>
        <w:tc>
          <w:tcPr>
            <w:tcW w:w="14581" w:type="dxa"/>
            <w:gridSpan w:val="5"/>
            <w:shd w:val="clear" w:color="auto" w:fill="DBE5F1" w:themeFill="accent1" w:themeFillTint="33"/>
          </w:tcPr>
          <w:p w:rsidR="00CB6A57" w:rsidRPr="0008533B" w:rsidRDefault="00CB6A57">
            <w:pPr>
              <w:rPr>
                <w:b/>
                <w:sz w:val="20"/>
              </w:rPr>
            </w:pPr>
          </w:p>
          <w:p w:rsidR="00CB6A57" w:rsidRPr="0008533B" w:rsidRDefault="00CB6A57">
            <w:pPr>
              <w:rPr>
                <w:b/>
                <w:sz w:val="20"/>
                <w:vertAlign w:val="superscript"/>
                <w:lang w:eastAsia="zh-TW"/>
              </w:rPr>
            </w:pPr>
            <w:r w:rsidRPr="0008533B">
              <w:rPr>
                <w:b/>
                <w:sz w:val="20"/>
              </w:rPr>
              <w:t xml:space="preserve">RTAs/FTAs </w:t>
            </w:r>
            <w:r w:rsidR="008F223D" w:rsidRPr="0008533B">
              <w:rPr>
                <w:b/>
                <w:sz w:val="20"/>
                <w:vertAlign w:val="superscript"/>
                <w:lang w:eastAsia="zh-TW"/>
              </w:rPr>
              <w:t xml:space="preserve"> </w:t>
            </w:r>
          </w:p>
          <w:p w:rsidR="00CB6A57" w:rsidRPr="0008533B" w:rsidRDefault="00CB6A57">
            <w:pPr>
              <w:rPr>
                <w:sz w:val="20"/>
                <w:lang w:val="en-US"/>
              </w:rPr>
            </w:pPr>
          </w:p>
        </w:tc>
      </w:tr>
      <w:tr w:rsidR="00CB6A57" w:rsidRPr="0008533B">
        <w:trPr>
          <w:gridAfter w:val="1"/>
          <w:wAfter w:w="17" w:type="dxa"/>
          <w:cantSplit/>
        </w:trPr>
        <w:tc>
          <w:tcPr>
            <w:tcW w:w="3524" w:type="dxa"/>
            <w:gridSpan w:val="3"/>
          </w:tcPr>
          <w:p w:rsidR="00CB6A57" w:rsidRPr="0008533B" w:rsidRDefault="00CB6A57" w:rsidP="00BF37B1">
            <w:pPr>
              <w:spacing w:before="120" w:after="120"/>
              <w:rPr>
                <w:b/>
                <w:i/>
                <w:sz w:val="20"/>
              </w:rPr>
            </w:pPr>
            <w:r w:rsidRPr="0008533B">
              <w:rPr>
                <w:b/>
                <w:i/>
                <w:sz w:val="20"/>
              </w:rPr>
              <w:t xml:space="preserve">- </w:t>
            </w:r>
            <w:bookmarkStart w:id="44" w:name="Row17"/>
            <w:r w:rsidRPr="0008533B">
              <w:rPr>
                <w:b/>
                <w:i/>
                <w:sz w:val="20"/>
              </w:rPr>
              <w:t>Description of current   agreements</w:t>
            </w:r>
            <w:bookmarkEnd w:id="44"/>
          </w:p>
        </w:tc>
        <w:tc>
          <w:tcPr>
            <w:tcW w:w="11040" w:type="dxa"/>
          </w:tcPr>
          <w:p w:rsidR="00CB6A57" w:rsidRPr="0008533B" w:rsidRDefault="00CB6A57" w:rsidP="00BF37B1">
            <w:pPr>
              <w:spacing w:before="120" w:after="120"/>
              <w:rPr>
                <w:i/>
                <w:sz w:val="20"/>
              </w:rPr>
            </w:pPr>
            <w:bookmarkStart w:id="45" w:name="Cell33"/>
            <w:bookmarkEnd w:id="45"/>
            <w:r w:rsidRPr="0008533B">
              <w:rPr>
                <w:i/>
                <w:sz w:val="20"/>
              </w:rPr>
              <w:t xml:space="preserve">Please use Part 1 of the RTA/FTA reporting template to provide a short description or hyperlinks to any new agreements and to report improvements to existing agreements.  </w:t>
            </w:r>
          </w:p>
        </w:tc>
      </w:tr>
      <w:tr w:rsidR="002A0BFB" w:rsidRPr="0008533B">
        <w:trPr>
          <w:gridAfter w:val="1"/>
          <w:wAfter w:w="17" w:type="dxa"/>
          <w:cantSplit/>
        </w:trPr>
        <w:tc>
          <w:tcPr>
            <w:tcW w:w="764" w:type="dxa"/>
            <w:gridSpan w:val="2"/>
            <w:vMerge w:val="restart"/>
          </w:tcPr>
          <w:p w:rsidR="002A0BFB" w:rsidRPr="0008533B" w:rsidRDefault="002A0BFB">
            <w:pPr>
              <w:rPr>
                <w:b/>
                <w:i/>
                <w:sz w:val="20"/>
              </w:rPr>
            </w:pPr>
          </w:p>
        </w:tc>
        <w:tc>
          <w:tcPr>
            <w:tcW w:w="2760" w:type="dxa"/>
          </w:tcPr>
          <w:p w:rsidR="002A0BFB" w:rsidRPr="0008533B" w:rsidRDefault="002A0BFB">
            <w:pPr>
              <w:rPr>
                <w:b/>
                <w:i/>
                <w:sz w:val="20"/>
              </w:rPr>
            </w:pPr>
            <w:bookmarkStart w:id="46" w:name="Agreement01"/>
          </w:p>
          <w:p w:rsidR="002A0BFB" w:rsidRPr="0008533B" w:rsidRDefault="002A0BFB">
            <w:pPr>
              <w:rPr>
                <w:b/>
                <w:i/>
                <w:sz w:val="20"/>
              </w:rPr>
            </w:pPr>
            <w:r w:rsidRPr="0008533B">
              <w:rPr>
                <w:b/>
                <w:i/>
                <w:sz w:val="20"/>
              </w:rPr>
              <w:t>Agreement #1</w:t>
            </w:r>
            <w:bookmarkEnd w:id="46"/>
          </w:p>
          <w:p w:rsidR="002A0BFB" w:rsidRPr="0008533B" w:rsidRDefault="002A0BFB">
            <w:pPr>
              <w:rPr>
                <w:b/>
                <w:i/>
                <w:sz w:val="20"/>
              </w:rPr>
            </w:pPr>
          </w:p>
        </w:tc>
        <w:tc>
          <w:tcPr>
            <w:tcW w:w="11040" w:type="dxa"/>
          </w:tcPr>
          <w:p w:rsidR="002A0BFB" w:rsidRPr="002A0BFB" w:rsidRDefault="002A0BFB" w:rsidP="0062430E">
            <w:pPr>
              <w:jc w:val="both"/>
              <w:rPr>
                <w:sz w:val="20"/>
              </w:rPr>
            </w:pPr>
            <w:bookmarkStart w:id="47" w:name="A01"/>
            <w:bookmarkEnd w:id="47"/>
          </w:p>
          <w:p w:rsidR="002A0BFB" w:rsidRPr="002A0BFB" w:rsidRDefault="002A0BFB" w:rsidP="0062430E">
            <w:pPr>
              <w:jc w:val="both"/>
              <w:rPr>
                <w:b/>
                <w:bCs/>
                <w:sz w:val="20"/>
              </w:rPr>
            </w:pPr>
            <w:r w:rsidRPr="002A0BFB">
              <w:rPr>
                <w:b/>
                <w:bCs/>
                <w:sz w:val="20"/>
              </w:rPr>
              <w:t>Philippines</w:t>
            </w:r>
            <w:r w:rsidR="002129BD">
              <w:rPr>
                <w:b/>
                <w:bCs/>
                <w:sz w:val="20"/>
              </w:rPr>
              <w:t>-Japan</w:t>
            </w:r>
            <w:r w:rsidRPr="002A0BFB">
              <w:rPr>
                <w:b/>
                <w:bCs/>
                <w:sz w:val="20"/>
              </w:rPr>
              <w:t xml:space="preserve"> Economic Partnership Agreement</w:t>
            </w:r>
          </w:p>
          <w:p w:rsidR="002A0BFB" w:rsidRPr="002A0BFB" w:rsidRDefault="002A0BFB" w:rsidP="0062430E">
            <w:pPr>
              <w:jc w:val="both"/>
              <w:rPr>
                <w:sz w:val="20"/>
              </w:rPr>
            </w:pPr>
          </w:p>
          <w:p w:rsidR="002A0BFB" w:rsidRPr="002A0BFB" w:rsidRDefault="002A0BFB" w:rsidP="0062430E">
            <w:pPr>
              <w:jc w:val="both"/>
              <w:rPr>
                <w:sz w:val="20"/>
              </w:rPr>
            </w:pPr>
            <w:r w:rsidRPr="002A0BFB">
              <w:rPr>
                <w:iCs/>
                <w:sz w:val="20"/>
              </w:rPr>
              <w:t>The Agreement was ratified by the Philippine Senate in October 2008 and entered into force in December 2008.</w:t>
            </w:r>
          </w:p>
          <w:p w:rsidR="002A0BFB" w:rsidRPr="002A0BFB" w:rsidRDefault="002A0BFB" w:rsidP="0062430E">
            <w:pPr>
              <w:jc w:val="both"/>
              <w:rPr>
                <w:sz w:val="20"/>
              </w:rPr>
            </w:pPr>
          </w:p>
          <w:p w:rsidR="00702193" w:rsidRDefault="002A0BFB" w:rsidP="0062430E">
            <w:pPr>
              <w:jc w:val="both"/>
              <w:rPr>
                <w:sz w:val="20"/>
              </w:rPr>
            </w:pPr>
            <w:r w:rsidRPr="002A0BFB">
              <w:rPr>
                <w:sz w:val="20"/>
              </w:rPr>
              <w:t>Copy o</w:t>
            </w:r>
            <w:r w:rsidR="00702193">
              <w:rPr>
                <w:sz w:val="20"/>
              </w:rPr>
              <w:t xml:space="preserve">f the agreement is available at </w:t>
            </w:r>
            <w:hyperlink r:id="rId62" w:history="1">
              <w:r w:rsidR="00702193" w:rsidRPr="004B4F2F">
                <w:rPr>
                  <w:rStyle w:val="Hyperlink"/>
                  <w:sz w:val="20"/>
                </w:rPr>
                <w:t>www.dti.gov.ph/dti/index.php?p=642</w:t>
              </w:r>
            </w:hyperlink>
            <w:r w:rsidR="00702193">
              <w:rPr>
                <w:sz w:val="20"/>
              </w:rPr>
              <w:t xml:space="preserve"> </w:t>
            </w:r>
          </w:p>
          <w:p w:rsidR="002A0BFB" w:rsidRPr="002A0BFB" w:rsidRDefault="002A0BFB" w:rsidP="0062430E">
            <w:pPr>
              <w:jc w:val="both"/>
              <w:rPr>
                <w:sz w:val="20"/>
              </w:rPr>
            </w:pPr>
          </w:p>
        </w:tc>
      </w:tr>
      <w:tr w:rsidR="002A0BFB" w:rsidRPr="0008533B">
        <w:trPr>
          <w:gridAfter w:val="1"/>
          <w:wAfter w:w="17" w:type="dxa"/>
          <w:cantSplit/>
        </w:trPr>
        <w:tc>
          <w:tcPr>
            <w:tcW w:w="764" w:type="dxa"/>
            <w:gridSpan w:val="2"/>
            <w:vMerge/>
          </w:tcPr>
          <w:p w:rsidR="002A0BFB" w:rsidRPr="0008533B" w:rsidRDefault="002A0BFB">
            <w:pPr>
              <w:rPr>
                <w:b/>
                <w:i/>
                <w:sz w:val="20"/>
              </w:rPr>
            </w:pPr>
          </w:p>
        </w:tc>
        <w:tc>
          <w:tcPr>
            <w:tcW w:w="2760" w:type="dxa"/>
          </w:tcPr>
          <w:p w:rsidR="002A0BFB" w:rsidRPr="0008533B" w:rsidRDefault="002A0BFB">
            <w:pPr>
              <w:rPr>
                <w:b/>
                <w:i/>
                <w:sz w:val="20"/>
              </w:rPr>
            </w:pPr>
            <w:bookmarkStart w:id="48" w:name="Agreement02"/>
          </w:p>
          <w:p w:rsidR="002A0BFB" w:rsidRPr="0008533B" w:rsidRDefault="002A0BFB">
            <w:pPr>
              <w:rPr>
                <w:b/>
                <w:i/>
                <w:sz w:val="20"/>
              </w:rPr>
            </w:pPr>
            <w:r w:rsidRPr="0008533B">
              <w:rPr>
                <w:b/>
                <w:i/>
                <w:sz w:val="20"/>
              </w:rPr>
              <w:t>Agreement #2</w:t>
            </w:r>
            <w:bookmarkEnd w:id="48"/>
          </w:p>
          <w:p w:rsidR="002A0BFB" w:rsidRPr="0008533B" w:rsidRDefault="002A0BFB">
            <w:pPr>
              <w:rPr>
                <w:b/>
                <w:i/>
                <w:sz w:val="20"/>
              </w:rPr>
            </w:pPr>
          </w:p>
        </w:tc>
        <w:tc>
          <w:tcPr>
            <w:tcW w:w="11040" w:type="dxa"/>
          </w:tcPr>
          <w:p w:rsidR="005D4C2B" w:rsidRDefault="005D4C2B" w:rsidP="0062430E">
            <w:pPr>
              <w:jc w:val="both"/>
              <w:rPr>
                <w:b/>
                <w:sz w:val="20"/>
              </w:rPr>
            </w:pPr>
            <w:bookmarkStart w:id="49" w:name="A02"/>
            <w:bookmarkEnd w:id="49"/>
          </w:p>
          <w:p w:rsidR="002A0BFB" w:rsidRDefault="00BC30A4" w:rsidP="0062430E">
            <w:pPr>
              <w:jc w:val="both"/>
              <w:rPr>
                <w:sz w:val="20"/>
              </w:rPr>
            </w:pPr>
            <w:r>
              <w:rPr>
                <w:b/>
                <w:sz w:val="20"/>
              </w:rPr>
              <w:t>ASEAN Free Trade Area</w:t>
            </w:r>
          </w:p>
          <w:p w:rsidR="00BC30A4" w:rsidRDefault="00BC30A4" w:rsidP="0062430E">
            <w:pPr>
              <w:jc w:val="both"/>
              <w:rPr>
                <w:sz w:val="20"/>
              </w:rPr>
            </w:pPr>
          </w:p>
          <w:p w:rsidR="00BC30A4" w:rsidRPr="001365DF" w:rsidRDefault="00BC30A4" w:rsidP="0062430E">
            <w:pPr>
              <w:autoSpaceDE w:val="0"/>
              <w:autoSpaceDN w:val="0"/>
              <w:adjustRightInd w:val="0"/>
              <w:jc w:val="both"/>
              <w:rPr>
                <w:color w:val="000000"/>
                <w:sz w:val="20"/>
              </w:rPr>
            </w:pPr>
            <w:r w:rsidRPr="001365DF">
              <w:rPr>
                <w:color w:val="000000"/>
                <w:sz w:val="20"/>
              </w:rPr>
              <w:t>The ASEAN Free Trade Area (AFTA) is a trade bloc among the Member States of the Association of Southeast Asian Nations (ASEAN). In January 1992, ASEAN Member States signed the Singapore Declaration, an agreement that mandates the creation of AFTA within 15 years.  AFTA became fully operational on 01 January 2003.</w:t>
            </w:r>
          </w:p>
          <w:p w:rsidR="00BC30A4" w:rsidRPr="001365DF" w:rsidRDefault="00BC30A4" w:rsidP="0062430E">
            <w:pPr>
              <w:jc w:val="both"/>
              <w:rPr>
                <w:sz w:val="20"/>
              </w:rPr>
            </w:pPr>
          </w:p>
          <w:p w:rsidR="00BC30A4" w:rsidRPr="001365DF" w:rsidRDefault="008D4F45" w:rsidP="0062430E">
            <w:pPr>
              <w:jc w:val="both"/>
              <w:rPr>
                <w:sz w:val="20"/>
              </w:rPr>
            </w:pPr>
            <w:hyperlink r:id="rId63" w:history="1">
              <w:r w:rsidR="009A547E" w:rsidRPr="004B4F2F">
                <w:rPr>
                  <w:rStyle w:val="Hyperlink"/>
                  <w:sz w:val="20"/>
                </w:rPr>
                <w:t>www.aseansec.org/19585.htm</w:t>
              </w:r>
            </w:hyperlink>
          </w:p>
          <w:p w:rsidR="00BC30A4" w:rsidRPr="00BC30A4" w:rsidRDefault="00BC30A4" w:rsidP="0062430E">
            <w:pPr>
              <w:jc w:val="both"/>
              <w:rPr>
                <w:sz w:val="20"/>
              </w:rPr>
            </w:pPr>
          </w:p>
        </w:tc>
      </w:tr>
      <w:tr w:rsidR="00BC30A4" w:rsidRPr="0008533B">
        <w:trPr>
          <w:gridAfter w:val="1"/>
          <w:wAfter w:w="17" w:type="dxa"/>
          <w:cantSplit/>
        </w:trPr>
        <w:tc>
          <w:tcPr>
            <w:tcW w:w="764" w:type="dxa"/>
            <w:gridSpan w:val="2"/>
            <w:vMerge/>
          </w:tcPr>
          <w:p w:rsidR="00BC30A4" w:rsidRPr="0008533B" w:rsidRDefault="00BC30A4">
            <w:pPr>
              <w:rPr>
                <w:b/>
                <w:i/>
                <w:sz w:val="20"/>
              </w:rPr>
            </w:pPr>
          </w:p>
        </w:tc>
        <w:tc>
          <w:tcPr>
            <w:tcW w:w="2760" w:type="dxa"/>
          </w:tcPr>
          <w:p w:rsidR="00BC30A4" w:rsidRPr="0008533B" w:rsidRDefault="00BC30A4">
            <w:pPr>
              <w:rPr>
                <w:b/>
                <w:i/>
                <w:sz w:val="20"/>
              </w:rPr>
            </w:pPr>
            <w:bookmarkStart w:id="50" w:name="Agreement03"/>
          </w:p>
          <w:p w:rsidR="00BC30A4" w:rsidRPr="0008533B" w:rsidRDefault="00BC30A4">
            <w:pPr>
              <w:rPr>
                <w:b/>
                <w:i/>
                <w:sz w:val="20"/>
              </w:rPr>
            </w:pPr>
            <w:r w:rsidRPr="0008533B">
              <w:rPr>
                <w:b/>
                <w:i/>
                <w:sz w:val="20"/>
              </w:rPr>
              <w:t>Agreement #3</w:t>
            </w:r>
            <w:bookmarkEnd w:id="50"/>
          </w:p>
          <w:p w:rsidR="00BC30A4" w:rsidRPr="0008533B" w:rsidRDefault="00BC30A4">
            <w:pPr>
              <w:rPr>
                <w:b/>
                <w:i/>
                <w:sz w:val="20"/>
              </w:rPr>
            </w:pPr>
          </w:p>
        </w:tc>
        <w:tc>
          <w:tcPr>
            <w:tcW w:w="11040" w:type="dxa"/>
          </w:tcPr>
          <w:p w:rsidR="00BC30A4" w:rsidRPr="002A0BFB" w:rsidRDefault="00BC30A4" w:rsidP="0062430E">
            <w:pPr>
              <w:jc w:val="both"/>
              <w:rPr>
                <w:sz w:val="20"/>
              </w:rPr>
            </w:pPr>
            <w:bookmarkStart w:id="51" w:name="A03"/>
            <w:bookmarkEnd w:id="51"/>
          </w:p>
          <w:p w:rsidR="00BC30A4" w:rsidRPr="002A0BFB" w:rsidRDefault="00BC30A4" w:rsidP="0062430E">
            <w:pPr>
              <w:jc w:val="both"/>
              <w:rPr>
                <w:sz w:val="20"/>
              </w:rPr>
            </w:pPr>
            <w:r w:rsidRPr="002A0BFB">
              <w:rPr>
                <w:b/>
                <w:bCs/>
                <w:sz w:val="20"/>
              </w:rPr>
              <w:t>ASEAN-Japan Comprehensive Partnership Agreement</w:t>
            </w:r>
          </w:p>
          <w:p w:rsidR="00BC30A4" w:rsidRPr="002A0BFB" w:rsidRDefault="00BC30A4" w:rsidP="0062430E">
            <w:pPr>
              <w:jc w:val="both"/>
              <w:rPr>
                <w:sz w:val="20"/>
              </w:rPr>
            </w:pPr>
          </w:p>
          <w:p w:rsidR="000538E1" w:rsidRPr="001365DF" w:rsidRDefault="000538E1" w:rsidP="0062430E">
            <w:pPr>
              <w:autoSpaceDE w:val="0"/>
              <w:autoSpaceDN w:val="0"/>
              <w:adjustRightInd w:val="0"/>
              <w:jc w:val="both"/>
              <w:rPr>
                <w:color w:val="000000"/>
                <w:sz w:val="20"/>
              </w:rPr>
            </w:pPr>
            <w:r w:rsidRPr="001365DF">
              <w:rPr>
                <w:color w:val="000000"/>
                <w:sz w:val="20"/>
              </w:rPr>
              <w:t>The ASEAN – Japan Comprehensive Economic Partnership Agreement (AJCEPA) provides for the</w:t>
            </w:r>
            <w:r>
              <w:rPr>
                <w:color w:val="000000"/>
                <w:sz w:val="20"/>
              </w:rPr>
              <w:t xml:space="preserve"> </w:t>
            </w:r>
            <w:r w:rsidRPr="001365DF">
              <w:rPr>
                <w:color w:val="000000"/>
                <w:sz w:val="20"/>
              </w:rPr>
              <w:t>establishment of a Free Trade Area (FTA) between ASEAN and Japan over a period of 10 years,</w:t>
            </w:r>
            <w:r>
              <w:rPr>
                <w:color w:val="000000"/>
                <w:sz w:val="20"/>
              </w:rPr>
              <w:t xml:space="preserve"> </w:t>
            </w:r>
            <w:r w:rsidRPr="001365DF">
              <w:rPr>
                <w:color w:val="000000"/>
                <w:sz w:val="20"/>
              </w:rPr>
              <w:t>taking into account the achievements of the bilateral Economic Partnership Agreements (EPAs)</w:t>
            </w:r>
            <w:r>
              <w:rPr>
                <w:color w:val="000000"/>
                <w:sz w:val="20"/>
              </w:rPr>
              <w:t xml:space="preserve"> </w:t>
            </w:r>
            <w:r w:rsidRPr="001365DF">
              <w:rPr>
                <w:color w:val="000000"/>
                <w:sz w:val="20"/>
              </w:rPr>
              <w:t xml:space="preserve">between certain ASEAN Member States and Japan, and the further progress of the ASEAN integration process.  Being a comprehensive economic partnership, the Agreement includes chapters on Trade in Goods, Sanitary and </w:t>
            </w:r>
            <w:proofErr w:type="spellStart"/>
            <w:r w:rsidRPr="001365DF">
              <w:rPr>
                <w:color w:val="000000"/>
                <w:sz w:val="20"/>
              </w:rPr>
              <w:t>Phyto</w:t>
            </w:r>
            <w:proofErr w:type="spellEnd"/>
            <w:r>
              <w:rPr>
                <w:color w:val="000000"/>
                <w:sz w:val="20"/>
              </w:rPr>
              <w:t>-</w:t>
            </w:r>
            <w:r w:rsidRPr="001365DF">
              <w:rPr>
                <w:color w:val="000000"/>
                <w:sz w:val="20"/>
              </w:rPr>
              <w:t>sanitary Measures, Technical Barriers to Trade, Trade in Services, Investment and Cooperation and Trade Facilitation.</w:t>
            </w:r>
          </w:p>
          <w:p w:rsidR="000538E1" w:rsidRPr="001365DF" w:rsidRDefault="000538E1" w:rsidP="0062430E">
            <w:pPr>
              <w:autoSpaceDE w:val="0"/>
              <w:autoSpaceDN w:val="0"/>
              <w:adjustRightInd w:val="0"/>
              <w:jc w:val="both"/>
              <w:rPr>
                <w:color w:val="000000"/>
                <w:sz w:val="20"/>
              </w:rPr>
            </w:pPr>
          </w:p>
          <w:p w:rsidR="000538E1" w:rsidRPr="001365DF" w:rsidRDefault="000538E1" w:rsidP="0062430E">
            <w:pPr>
              <w:autoSpaceDE w:val="0"/>
              <w:autoSpaceDN w:val="0"/>
              <w:adjustRightInd w:val="0"/>
              <w:jc w:val="both"/>
              <w:rPr>
                <w:iCs/>
                <w:color w:val="000000"/>
                <w:sz w:val="20"/>
              </w:rPr>
            </w:pPr>
            <w:r w:rsidRPr="001365DF">
              <w:rPr>
                <w:color w:val="000000"/>
                <w:sz w:val="20"/>
              </w:rPr>
              <w:t xml:space="preserve">The Agreement was signed on an ad-referendum basis, with the Philippines signing the Agreement on 02 April 2008. </w:t>
            </w:r>
            <w:r>
              <w:rPr>
                <w:color w:val="000000"/>
                <w:sz w:val="20"/>
              </w:rPr>
              <w:t xml:space="preserve">  </w:t>
            </w:r>
            <w:r w:rsidRPr="001365DF">
              <w:rPr>
                <w:iCs/>
                <w:color w:val="000000"/>
                <w:sz w:val="20"/>
              </w:rPr>
              <w:t xml:space="preserve">The </w:t>
            </w:r>
            <w:proofErr w:type="gramStart"/>
            <w:r>
              <w:rPr>
                <w:iCs/>
                <w:color w:val="000000"/>
                <w:sz w:val="20"/>
              </w:rPr>
              <w:t xml:space="preserve">Philippines </w:t>
            </w:r>
            <w:r w:rsidRPr="001365DF">
              <w:rPr>
                <w:iCs/>
                <w:color w:val="000000"/>
                <w:sz w:val="20"/>
              </w:rPr>
              <w:t>begun</w:t>
            </w:r>
            <w:proofErr w:type="gramEnd"/>
            <w:r w:rsidRPr="001365DF">
              <w:rPr>
                <w:iCs/>
                <w:color w:val="000000"/>
                <w:sz w:val="20"/>
              </w:rPr>
              <w:t xml:space="preserve"> implementation </w:t>
            </w:r>
            <w:r>
              <w:rPr>
                <w:iCs/>
                <w:color w:val="000000"/>
                <w:sz w:val="20"/>
              </w:rPr>
              <w:t xml:space="preserve">of the Agreement on </w:t>
            </w:r>
            <w:r w:rsidRPr="001365DF">
              <w:rPr>
                <w:iCs/>
                <w:color w:val="000000"/>
                <w:sz w:val="20"/>
              </w:rPr>
              <w:t>01</w:t>
            </w:r>
            <w:r>
              <w:rPr>
                <w:iCs/>
                <w:color w:val="000000"/>
                <w:sz w:val="20"/>
              </w:rPr>
              <w:t xml:space="preserve"> </w:t>
            </w:r>
            <w:r w:rsidRPr="001365DF">
              <w:rPr>
                <w:iCs/>
                <w:color w:val="000000"/>
                <w:sz w:val="20"/>
              </w:rPr>
              <w:t>July 2010.</w:t>
            </w:r>
          </w:p>
          <w:p w:rsidR="000538E1" w:rsidRPr="001365DF" w:rsidRDefault="000538E1" w:rsidP="0062430E">
            <w:pPr>
              <w:autoSpaceDE w:val="0"/>
              <w:autoSpaceDN w:val="0"/>
              <w:adjustRightInd w:val="0"/>
              <w:jc w:val="both"/>
              <w:rPr>
                <w:color w:val="000000"/>
                <w:sz w:val="20"/>
              </w:rPr>
            </w:pPr>
          </w:p>
          <w:p w:rsidR="000538E1" w:rsidRDefault="008D4F45" w:rsidP="0062430E">
            <w:pPr>
              <w:jc w:val="both"/>
              <w:rPr>
                <w:sz w:val="20"/>
              </w:rPr>
            </w:pPr>
            <w:hyperlink r:id="rId64" w:history="1">
              <w:r w:rsidR="00290E2F" w:rsidRPr="004B4F2F">
                <w:rPr>
                  <w:rStyle w:val="Hyperlink"/>
                  <w:sz w:val="20"/>
                </w:rPr>
                <w:t>www.aseansec.org/22572.htm</w:t>
              </w:r>
            </w:hyperlink>
          </w:p>
          <w:p w:rsidR="00BC30A4" w:rsidRPr="002A0BFB" w:rsidRDefault="00BC30A4" w:rsidP="0062430E">
            <w:pPr>
              <w:jc w:val="both"/>
              <w:rPr>
                <w:sz w:val="20"/>
              </w:rPr>
            </w:pPr>
          </w:p>
        </w:tc>
      </w:tr>
      <w:tr w:rsidR="00BC30A4" w:rsidRPr="0008533B">
        <w:trPr>
          <w:gridAfter w:val="1"/>
          <w:wAfter w:w="17" w:type="dxa"/>
          <w:cantSplit/>
        </w:trPr>
        <w:tc>
          <w:tcPr>
            <w:tcW w:w="764" w:type="dxa"/>
            <w:gridSpan w:val="2"/>
            <w:vMerge/>
          </w:tcPr>
          <w:p w:rsidR="00BC30A4" w:rsidRPr="0008533B" w:rsidRDefault="00BC30A4">
            <w:pPr>
              <w:rPr>
                <w:b/>
                <w:i/>
                <w:sz w:val="20"/>
              </w:rPr>
            </w:pPr>
          </w:p>
        </w:tc>
        <w:tc>
          <w:tcPr>
            <w:tcW w:w="2760" w:type="dxa"/>
          </w:tcPr>
          <w:p w:rsidR="00BC30A4" w:rsidRPr="0008533B" w:rsidRDefault="00BC30A4">
            <w:pPr>
              <w:rPr>
                <w:b/>
                <w:i/>
                <w:sz w:val="20"/>
              </w:rPr>
            </w:pPr>
            <w:bookmarkStart w:id="52" w:name="Agreement04"/>
          </w:p>
          <w:p w:rsidR="00BC30A4" w:rsidRPr="0008533B" w:rsidRDefault="00BC30A4">
            <w:pPr>
              <w:rPr>
                <w:b/>
                <w:i/>
                <w:sz w:val="20"/>
              </w:rPr>
            </w:pPr>
            <w:r w:rsidRPr="0008533B">
              <w:rPr>
                <w:b/>
                <w:i/>
                <w:sz w:val="20"/>
              </w:rPr>
              <w:t>Agreement #4</w:t>
            </w:r>
            <w:bookmarkEnd w:id="52"/>
          </w:p>
          <w:p w:rsidR="00BC30A4" w:rsidRPr="0008533B" w:rsidRDefault="00BC30A4">
            <w:pPr>
              <w:rPr>
                <w:b/>
                <w:i/>
                <w:sz w:val="20"/>
              </w:rPr>
            </w:pPr>
          </w:p>
        </w:tc>
        <w:tc>
          <w:tcPr>
            <w:tcW w:w="11040" w:type="dxa"/>
          </w:tcPr>
          <w:p w:rsidR="00BC30A4" w:rsidRPr="002A0BFB" w:rsidRDefault="00BC30A4" w:rsidP="0062430E">
            <w:pPr>
              <w:jc w:val="both"/>
              <w:rPr>
                <w:sz w:val="20"/>
              </w:rPr>
            </w:pPr>
            <w:bookmarkStart w:id="53" w:name="A04"/>
            <w:bookmarkEnd w:id="53"/>
          </w:p>
          <w:p w:rsidR="00BC30A4" w:rsidRPr="002A0BFB" w:rsidRDefault="00BC30A4" w:rsidP="0062430E">
            <w:pPr>
              <w:jc w:val="both"/>
              <w:rPr>
                <w:b/>
                <w:bCs/>
                <w:sz w:val="20"/>
              </w:rPr>
            </w:pPr>
            <w:r w:rsidRPr="002A0BFB">
              <w:rPr>
                <w:b/>
                <w:bCs/>
                <w:sz w:val="20"/>
              </w:rPr>
              <w:t>ASEAN-Korea Free Trade Agreement</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Framework Agreement on Comprehensive Economic Cooperation among ASEAN Member Countries (AMCs) and </w:t>
            </w:r>
            <w:smartTag w:uri="urn:schemas-microsoft-com:office:smarttags" w:element="place">
              <w:smartTag w:uri="urn:schemas-microsoft-com:office:smarttags" w:element="country-region">
                <w:r w:rsidRPr="002A0BFB">
                  <w:rPr>
                    <w:sz w:val="20"/>
                  </w:rPr>
                  <w:t>Korea</w:t>
                </w:r>
              </w:smartTag>
            </w:smartTag>
            <w:r w:rsidRPr="002A0BFB">
              <w:rPr>
                <w:sz w:val="20"/>
              </w:rPr>
              <w:t xml:space="preserve"> and the Annex on Cooperation was signed on </w:t>
            </w:r>
            <w:smartTag w:uri="urn:schemas-microsoft-com:office:smarttags" w:element="date">
              <w:smartTagPr>
                <w:attr w:name="Month" w:val="12"/>
                <w:attr w:name="Day" w:val="13"/>
                <w:attr w:name="Year" w:val="2005"/>
              </w:smartTagPr>
              <w:r w:rsidRPr="002A0BFB">
                <w:rPr>
                  <w:sz w:val="20"/>
                </w:rPr>
                <w:t>13 December 2005</w:t>
              </w:r>
            </w:smartTag>
            <w:r w:rsidRPr="002A0BFB">
              <w:rPr>
                <w:sz w:val="20"/>
              </w:rPr>
              <w:t xml:space="preserve">.  Please see </w:t>
            </w:r>
            <w:hyperlink r:id="rId65" w:history="1">
              <w:r w:rsidRPr="002A0BFB">
                <w:rPr>
                  <w:rStyle w:val="Hyperlink"/>
                  <w:sz w:val="20"/>
                </w:rPr>
                <w:t>www.aseansec.org/18063.htm</w:t>
              </w:r>
            </w:hyperlink>
            <w:r w:rsidRPr="002A0BFB">
              <w:rPr>
                <w:sz w:val="20"/>
              </w:rPr>
              <w:t xml:space="preserve"> and </w:t>
            </w:r>
            <w:hyperlink r:id="rId66" w:history="1">
              <w:r w:rsidRPr="002A0BFB">
                <w:rPr>
                  <w:rStyle w:val="Hyperlink"/>
                  <w:sz w:val="20"/>
                </w:rPr>
                <w:t>www.aseansec.org/18067.htm</w:t>
              </w:r>
            </w:hyperlink>
            <w:r w:rsidRPr="002A0BFB">
              <w:rPr>
                <w:sz w:val="20"/>
              </w:rPr>
              <w:t>.</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Dispute Settlement Mechanism under the Framework Agreement on Comprehensive Economic Cooperation among AMCs and </w:t>
            </w:r>
            <w:smartTag w:uri="urn:schemas-microsoft-com:office:smarttags" w:element="place">
              <w:smartTag w:uri="urn:schemas-microsoft-com:office:smarttags" w:element="country-region">
                <w:r w:rsidRPr="002A0BFB">
                  <w:rPr>
                    <w:sz w:val="20"/>
                  </w:rPr>
                  <w:t>Korea</w:t>
                </w:r>
              </w:smartTag>
            </w:smartTag>
            <w:r w:rsidRPr="002A0BFB">
              <w:rPr>
                <w:sz w:val="20"/>
              </w:rPr>
              <w:t xml:space="preserve"> was signed on </w:t>
            </w:r>
            <w:smartTag w:uri="urn:schemas-microsoft-com:office:smarttags" w:element="date">
              <w:smartTagPr>
                <w:attr w:name="Month" w:val="12"/>
                <w:attr w:name="Day" w:val="13"/>
                <w:attr w:name="Year" w:val="2005"/>
              </w:smartTagPr>
              <w:r w:rsidRPr="002A0BFB">
                <w:rPr>
                  <w:sz w:val="20"/>
                </w:rPr>
                <w:t>13 December 2005</w:t>
              </w:r>
            </w:smartTag>
            <w:r w:rsidRPr="002A0BFB">
              <w:rPr>
                <w:sz w:val="20"/>
              </w:rPr>
              <w:t xml:space="preserve">.  Please see </w:t>
            </w:r>
            <w:hyperlink r:id="rId67" w:history="1">
              <w:r w:rsidRPr="002A0BFB">
                <w:rPr>
                  <w:rStyle w:val="Hyperlink"/>
                  <w:sz w:val="20"/>
                </w:rPr>
                <w:t>www.aseansec.org/18129.htm</w:t>
              </w:r>
            </w:hyperlink>
            <w:r w:rsidRPr="002A0BFB">
              <w:rPr>
                <w:sz w:val="20"/>
              </w:rPr>
              <w:t xml:space="preserve">. </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Trade in Goods under the Framework Agreement on Comprehensive Economic Cooperation among AMCs and </w:t>
            </w:r>
            <w:smartTag w:uri="urn:schemas-microsoft-com:office:smarttags" w:element="place">
              <w:smartTag w:uri="urn:schemas-microsoft-com:office:smarttags" w:element="country-region">
                <w:r w:rsidRPr="002A0BFB">
                  <w:rPr>
                    <w:sz w:val="20"/>
                  </w:rPr>
                  <w:t>Korea</w:t>
                </w:r>
              </w:smartTag>
            </w:smartTag>
            <w:r w:rsidRPr="002A0BFB">
              <w:rPr>
                <w:sz w:val="20"/>
              </w:rPr>
              <w:t xml:space="preserve"> was signed in August 2006.  Please see </w:t>
            </w:r>
            <w:hyperlink r:id="rId68" w:history="1">
              <w:r w:rsidRPr="002A0BFB">
                <w:rPr>
                  <w:rStyle w:val="Hyperlink"/>
                  <w:sz w:val="20"/>
                </w:rPr>
                <w:t>www.aseansec.org/akfta.htm</w:t>
              </w:r>
            </w:hyperlink>
            <w:r w:rsidRPr="002A0BFB">
              <w:rPr>
                <w:sz w:val="20"/>
              </w:rPr>
              <w:t xml:space="preserve">. </w:t>
            </w:r>
          </w:p>
          <w:p w:rsidR="00BC30A4" w:rsidRPr="002A0BFB" w:rsidRDefault="00BC30A4" w:rsidP="0062430E">
            <w:pPr>
              <w:jc w:val="both"/>
              <w:rPr>
                <w:sz w:val="20"/>
              </w:rPr>
            </w:pPr>
          </w:p>
        </w:tc>
      </w:tr>
      <w:tr w:rsidR="00BC30A4" w:rsidRPr="0008533B">
        <w:trPr>
          <w:gridAfter w:val="1"/>
          <w:wAfter w:w="17" w:type="dxa"/>
          <w:cantSplit/>
        </w:trPr>
        <w:tc>
          <w:tcPr>
            <w:tcW w:w="764" w:type="dxa"/>
            <w:gridSpan w:val="2"/>
            <w:vMerge/>
          </w:tcPr>
          <w:p w:rsidR="00BC30A4" w:rsidRPr="0008533B" w:rsidRDefault="00BC30A4">
            <w:pPr>
              <w:rPr>
                <w:b/>
                <w:i/>
                <w:sz w:val="20"/>
              </w:rPr>
            </w:pPr>
          </w:p>
        </w:tc>
        <w:tc>
          <w:tcPr>
            <w:tcW w:w="2760" w:type="dxa"/>
          </w:tcPr>
          <w:p w:rsidR="00BC30A4" w:rsidRPr="0008533B" w:rsidRDefault="00BC30A4">
            <w:pPr>
              <w:rPr>
                <w:b/>
                <w:i/>
                <w:sz w:val="20"/>
              </w:rPr>
            </w:pPr>
            <w:bookmarkStart w:id="54" w:name="Agreement05"/>
          </w:p>
          <w:p w:rsidR="00BC30A4" w:rsidRPr="0008533B" w:rsidRDefault="00BC30A4">
            <w:pPr>
              <w:rPr>
                <w:b/>
                <w:i/>
                <w:sz w:val="20"/>
              </w:rPr>
            </w:pPr>
            <w:r w:rsidRPr="0008533B">
              <w:rPr>
                <w:b/>
                <w:i/>
                <w:sz w:val="20"/>
              </w:rPr>
              <w:t>Agreement #5</w:t>
            </w:r>
            <w:bookmarkEnd w:id="54"/>
          </w:p>
          <w:p w:rsidR="00BC30A4" w:rsidRPr="0008533B" w:rsidRDefault="00BC30A4">
            <w:pPr>
              <w:rPr>
                <w:b/>
                <w:i/>
                <w:sz w:val="20"/>
              </w:rPr>
            </w:pPr>
          </w:p>
        </w:tc>
        <w:tc>
          <w:tcPr>
            <w:tcW w:w="11040" w:type="dxa"/>
          </w:tcPr>
          <w:p w:rsidR="00BC30A4" w:rsidRPr="002A0BFB" w:rsidRDefault="00BC30A4" w:rsidP="0062430E">
            <w:pPr>
              <w:jc w:val="both"/>
              <w:rPr>
                <w:sz w:val="20"/>
              </w:rPr>
            </w:pPr>
            <w:bookmarkStart w:id="55" w:name="A05"/>
            <w:bookmarkEnd w:id="55"/>
          </w:p>
          <w:p w:rsidR="00BC30A4" w:rsidRPr="002A0BFB" w:rsidRDefault="00BC30A4" w:rsidP="0062430E">
            <w:pPr>
              <w:jc w:val="both"/>
              <w:rPr>
                <w:b/>
                <w:bCs/>
                <w:sz w:val="20"/>
              </w:rPr>
            </w:pPr>
            <w:r w:rsidRPr="002A0BFB">
              <w:rPr>
                <w:b/>
                <w:bCs/>
                <w:sz w:val="20"/>
              </w:rPr>
              <w:t xml:space="preserve">ASEAN-India Comprehensive Economic Partnership </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Trade in Goods Under the Framework Agreement on Comprehensive Economic Cooperation Between the Association of Southeast Asian Nations and the </w:t>
            </w:r>
            <w:smartTag w:uri="urn:schemas-microsoft-com:office:smarttags" w:element="place">
              <w:smartTag w:uri="urn:schemas-microsoft-com:office:smarttags" w:element="PlaceType">
                <w:r w:rsidRPr="002A0BFB">
                  <w:rPr>
                    <w:sz w:val="20"/>
                  </w:rPr>
                  <w:t>Republic</w:t>
                </w:r>
              </w:smartTag>
              <w:r w:rsidRPr="002A0BFB">
                <w:rPr>
                  <w:sz w:val="20"/>
                </w:rPr>
                <w:t xml:space="preserve"> of </w:t>
              </w:r>
              <w:smartTag w:uri="urn:schemas-microsoft-com:office:smarttags" w:element="PlaceName">
                <w:r w:rsidRPr="002A0BFB">
                  <w:rPr>
                    <w:sz w:val="20"/>
                  </w:rPr>
                  <w:t>India</w:t>
                </w:r>
              </w:smartTag>
            </w:smartTag>
            <w:r w:rsidRPr="002A0BFB">
              <w:rPr>
                <w:sz w:val="20"/>
              </w:rPr>
              <w:t xml:space="preserve"> was signed on 13 August 2009. Please see </w:t>
            </w:r>
            <w:hyperlink r:id="rId69" w:history="1">
              <w:r w:rsidRPr="002A0BFB">
                <w:rPr>
                  <w:rStyle w:val="Hyperlink"/>
                  <w:sz w:val="20"/>
                </w:rPr>
                <w:t>www.aseansec.org/22677.pdf</w:t>
              </w:r>
            </w:hyperlink>
            <w:r w:rsidRPr="002A0BFB">
              <w:rPr>
                <w:sz w:val="20"/>
              </w:rPr>
              <w:t xml:space="preserve"> </w:t>
            </w:r>
            <w:r w:rsidR="00165ED3">
              <w:rPr>
                <w:sz w:val="20"/>
              </w:rPr>
              <w:t xml:space="preserve"> </w:t>
            </w:r>
            <w:r w:rsidRPr="002A0BFB">
              <w:rPr>
                <w:sz w:val="20"/>
              </w:rPr>
              <w:t>for the full text of the agreement.</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Dispute Settlement Mechanism under the Framework Agreement on Comprehensive Economic Cooperation Between the Association of Southeast Asian Nations and the </w:t>
            </w:r>
            <w:smartTag w:uri="urn:schemas-microsoft-com:office:smarttags" w:element="place">
              <w:smartTag w:uri="urn:schemas-microsoft-com:office:smarttags" w:element="PlaceType">
                <w:r w:rsidRPr="002A0BFB">
                  <w:rPr>
                    <w:sz w:val="20"/>
                  </w:rPr>
                  <w:t>Republic</w:t>
                </w:r>
              </w:smartTag>
              <w:r w:rsidRPr="002A0BFB">
                <w:rPr>
                  <w:sz w:val="20"/>
                </w:rPr>
                <w:t xml:space="preserve"> of </w:t>
              </w:r>
              <w:smartTag w:uri="urn:schemas-microsoft-com:office:smarttags" w:element="PlaceName">
                <w:r w:rsidRPr="002A0BFB">
                  <w:rPr>
                    <w:sz w:val="20"/>
                  </w:rPr>
                  <w:t>India</w:t>
                </w:r>
              </w:smartTag>
            </w:smartTag>
            <w:r w:rsidRPr="002A0BFB">
              <w:rPr>
                <w:sz w:val="20"/>
              </w:rPr>
              <w:t xml:space="preserve"> was signed on 13 August 2009.  Please refer to </w:t>
            </w:r>
            <w:hyperlink r:id="rId70" w:history="1">
              <w:r w:rsidRPr="002A0BFB">
                <w:rPr>
                  <w:rStyle w:val="Hyperlink"/>
                  <w:sz w:val="20"/>
                </w:rPr>
                <w:t>www.aseansec.org/22679.pdf</w:t>
              </w:r>
            </w:hyperlink>
            <w:r w:rsidRPr="002A0BFB">
              <w:rPr>
                <w:sz w:val="20"/>
              </w:rPr>
              <w:t xml:space="preserve">. </w:t>
            </w:r>
          </w:p>
          <w:p w:rsidR="00BC30A4" w:rsidRPr="002A0BFB" w:rsidRDefault="00BC30A4" w:rsidP="0062430E">
            <w:pPr>
              <w:jc w:val="both"/>
              <w:rPr>
                <w:sz w:val="20"/>
              </w:rPr>
            </w:pPr>
          </w:p>
        </w:tc>
      </w:tr>
      <w:tr w:rsidR="00BC30A4" w:rsidRPr="0008533B">
        <w:trPr>
          <w:gridAfter w:val="1"/>
          <w:wAfter w:w="17" w:type="dxa"/>
          <w:cantSplit/>
        </w:trPr>
        <w:tc>
          <w:tcPr>
            <w:tcW w:w="764" w:type="dxa"/>
            <w:gridSpan w:val="2"/>
            <w:vMerge/>
          </w:tcPr>
          <w:p w:rsidR="00BC30A4" w:rsidRPr="0008533B" w:rsidRDefault="00BC30A4">
            <w:pPr>
              <w:rPr>
                <w:b/>
                <w:i/>
                <w:sz w:val="20"/>
              </w:rPr>
            </w:pPr>
          </w:p>
        </w:tc>
        <w:tc>
          <w:tcPr>
            <w:tcW w:w="2760" w:type="dxa"/>
          </w:tcPr>
          <w:p w:rsidR="00BC30A4" w:rsidRPr="0008533B" w:rsidRDefault="00BC30A4">
            <w:pPr>
              <w:rPr>
                <w:b/>
                <w:i/>
                <w:sz w:val="20"/>
              </w:rPr>
            </w:pPr>
            <w:bookmarkStart w:id="56" w:name="Agreement06"/>
          </w:p>
          <w:p w:rsidR="00BC30A4" w:rsidRPr="0008533B" w:rsidRDefault="00BC30A4">
            <w:pPr>
              <w:rPr>
                <w:b/>
                <w:i/>
                <w:sz w:val="20"/>
              </w:rPr>
            </w:pPr>
            <w:r w:rsidRPr="0008533B">
              <w:rPr>
                <w:b/>
                <w:i/>
                <w:sz w:val="20"/>
              </w:rPr>
              <w:t>Agreement #6</w:t>
            </w:r>
            <w:bookmarkEnd w:id="56"/>
          </w:p>
          <w:p w:rsidR="00BC30A4" w:rsidRPr="0008533B" w:rsidRDefault="00BC30A4">
            <w:pPr>
              <w:rPr>
                <w:b/>
                <w:i/>
                <w:sz w:val="20"/>
              </w:rPr>
            </w:pPr>
          </w:p>
        </w:tc>
        <w:tc>
          <w:tcPr>
            <w:tcW w:w="11040" w:type="dxa"/>
          </w:tcPr>
          <w:p w:rsidR="00BC30A4" w:rsidRPr="002A0BFB" w:rsidRDefault="00BC30A4" w:rsidP="0062430E">
            <w:pPr>
              <w:jc w:val="both"/>
              <w:rPr>
                <w:sz w:val="20"/>
              </w:rPr>
            </w:pPr>
            <w:bookmarkStart w:id="57" w:name="A06"/>
            <w:bookmarkEnd w:id="57"/>
          </w:p>
          <w:p w:rsidR="00BC30A4" w:rsidRPr="002A0BFB" w:rsidRDefault="00BC30A4" w:rsidP="0062430E">
            <w:pPr>
              <w:jc w:val="both"/>
              <w:rPr>
                <w:b/>
                <w:sz w:val="20"/>
              </w:rPr>
            </w:pPr>
            <w:r w:rsidRPr="002A0BFB">
              <w:rPr>
                <w:b/>
                <w:sz w:val="20"/>
              </w:rPr>
              <w:t xml:space="preserve">ASEAN-Australia-New </w:t>
            </w:r>
            <w:smartTag w:uri="urn:schemas-microsoft-com:office:smarttags" w:element="place">
              <w:r w:rsidRPr="002A0BFB">
                <w:rPr>
                  <w:b/>
                  <w:sz w:val="20"/>
                </w:rPr>
                <w:t>Zealand</w:t>
              </w:r>
            </w:smartTag>
            <w:r w:rsidRPr="002A0BFB">
              <w:rPr>
                <w:b/>
                <w:sz w:val="20"/>
              </w:rPr>
              <w:t xml:space="preserve"> Free Trade Agreement</w:t>
            </w:r>
          </w:p>
          <w:p w:rsidR="00BC30A4" w:rsidRPr="002A0BFB" w:rsidRDefault="00BC30A4" w:rsidP="0062430E">
            <w:pPr>
              <w:jc w:val="both"/>
              <w:rPr>
                <w:bCs/>
                <w:sz w:val="20"/>
              </w:rPr>
            </w:pPr>
          </w:p>
          <w:p w:rsidR="00BC30A4" w:rsidRPr="002A0BFB" w:rsidRDefault="00BC30A4" w:rsidP="0062430E">
            <w:pPr>
              <w:jc w:val="both"/>
              <w:rPr>
                <w:bCs/>
                <w:sz w:val="20"/>
              </w:rPr>
            </w:pPr>
            <w:r w:rsidRPr="002A0BFB">
              <w:rPr>
                <w:bCs/>
                <w:sz w:val="20"/>
              </w:rPr>
              <w:t xml:space="preserve">The Agreement Establishing the ASEAN-Australia-New Zealand Free Trade Area was signed on 27 February 2009.  Please see </w:t>
            </w:r>
            <w:hyperlink r:id="rId71" w:history="1">
              <w:r w:rsidRPr="002A0BFB">
                <w:rPr>
                  <w:rStyle w:val="Hyperlink"/>
                  <w:bCs/>
                  <w:sz w:val="20"/>
                </w:rPr>
                <w:t>www.aseansec.org/22260.pdf</w:t>
              </w:r>
            </w:hyperlink>
            <w:r w:rsidRPr="002A0BFB">
              <w:rPr>
                <w:bCs/>
                <w:sz w:val="20"/>
              </w:rPr>
              <w:t xml:space="preserve"> for the main agreement.  </w:t>
            </w:r>
          </w:p>
          <w:p w:rsidR="00BC30A4" w:rsidRPr="002A0BFB" w:rsidRDefault="00BC30A4" w:rsidP="0062430E">
            <w:pPr>
              <w:jc w:val="both"/>
              <w:rPr>
                <w:bCs/>
                <w:sz w:val="20"/>
              </w:rPr>
            </w:pPr>
          </w:p>
          <w:p w:rsidR="00BC30A4" w:rsidRPr="002A0BFB" w:rsidRDefault="00BC30A4" w:rsidP="0062430E">
            <w:pPr>
              <w:jc w:val="both"/>
              <w:rPr>
                <w:bCs/>
                <w:sz w:val="20"/>
              </w:rPr>
            </w:pPr>
            <w:r w:rsidRPr="002A0BFB">
              <w:rPr>
                <w:bCs/>
                <w:sz w:val="20"/>
              </w:rPr>
              <w:t xml:space="preserve">For the Annexes to the agreement, please see </w:t>
            </w:r>
            <w:hyperlink r:id="rId72" w:history="1">
              <w:r w:rsidRPr="002A0BFB">
                <w:rPr>
                  <w:rStyle w:val="Hyperlink"/>
                  <w:bCs/>
                  <w:sz w:val="20"/>
                </w:rPr>
                <w:t>www.aseansec.org/22262.htm</w:t>
              </w:r>
            </w:hyperlink>
            <w:r w:rsidRPr="002A0BFB">
              <w:rPr>
                <w:bCs/>
                <w:sz w:val="20"/>
              </w:rPr>
              <w:t>.</w:t>
            </w:r>
          </w:p>
          <w:p w:rsidR="00BC30A4" w:rsidRPr="002A0BFB" w:rsidRDefault="00BC30A4" w:rsidP="0062430E">
            <w:pPr>
              <w:jc w:val="both"/>
              <w:rPr>
                <w:bCs/>
                <w:sz w:val="20"/>
              </w:rPr>
            </w:pPr>
          </w:p>
          <w:p w:rsidR="00BC30A4" w:rsidRPr="002A0BFB" w:rsidRDefault="00BC30A4" w:rsidP="0062430E">
            <w:pPr>
              <w:jc w:val="both"/>
              <w:rPr>
                <w:bCs/>
                <w:sz w:val="20"/>
              </w:rPr>
            </w:pPr>
            <w:r w:rsidRPr="002A0BFB">
              <w:rPr>
                <w:bCs/>
                <w:sz w:val="20"/>
              </w:rPr>
              <w:t xml:space="preserve">For the Implementing Arrangement of the ASEAN-Australia-New Zealand Free Trade Area Economic Cooperation Work Programme, please see </w:t>
            </w:r>
            <w:hyperlink r:id="rId73" w:history="1">
              <w:r w:rsidRPr="002A0BFB">
                <w:rPr>
                  <w:rStyle w:val="Hyperlink"/>
                  <w:bCs/>
                  <w:sz w:val="20"/>
                </w:rPr>
                <w:t>www.aseansec.org/22287.pdf</w:t>
              </w:r>
            </w:hyperlink>
            <w:r w:rsidRPr="002A0BFB">
              <w:rPr>
                <w:bCs/>
                <w:sz w:val="20"/>
              </w:rPr>
              <w:t>.</w:t>
            </w:r>
          </w:p>
          <w:p w:rsidR="00BC30A4" w:rsidRPr="002A0BFB" w:rsidRDefault="00BC30A4" w:rsidP="0062430E">
            <w:pPr>
              <w:jc w:val="both"/>
              <w:rPr>
                <w:bCs/>
                <w:sz w:val="20"/>
              </w:rPr>
            </w:pPr>
          </w:p>
          <w:p w:rsidR="00BC30A4" w:rsidRPr="002A0BFB" w:rsidRDefault="00BC30A4" w:rsidP="0062430E">
            <w:pPr>
              <w:jc w:val="both"/>
              <w:rPr>
                <w:sz w:val="20"/>
              </w:rPr>
            </w:pPr>
            <w:r w:rsidRPr="002A0BFB">
              <w:rPr>
                <w:sz w:val="20"/>
              </w:rPr>
              <w:t xml:space="preserve">For the Understanding on Article 1 (Reduction and/or Elimination of Customs Duties) of Chapter 2 (Trade In Goods) of the Agreement Establishing the ASEAN-Australia-New Zealand Free Trade Area, please see </w:t>
            </w:r>
            <w:hyperlink r:id="rId74" w:history="1">
              <w:r w:rsidRPr="002A0BFB">
                <w:rPr>
                  <w:rStyle w:val="Hyperlink"/>
                  <w:sz w:val="20"/>
                </w:rPr>
                <w:t>www.aseansec.org/22308.pdf</w:t>
              </w:r>
            </w:hyperlink>
            <w:r w:rsidRPr="002A0BFB">
              <w:rPr>
                <w:sz w:val="20"/>
              </w:rPr>
              <w:t xml:space="preserve">. </w:t>
            </w:r>
          </w:p>
          <w:p w:rsidR="00BC30A4" w:rsidRPr="002A0BFB" w:rsidRDefault="00BC30A4" w:rsidP="0062430E">
            <w:pPr>
              <w:jc w:val="both"/>
              <w:rPr>
                <w:sz w:val="20"/>
              </w:rPr>
            </w:pPr>
          </w:p>
        </w:tc>
      </w:tr>
      <w:tr w:rsidR="00BC30A4" w:rsidRPr="0008533B">
        <w:trPr>
          <w:gridAfter w:val="1"/>
          <w:wAfter w:w="17" w:type="dxa"/>
          <w:cantSplit/>
        </w:trPr>
        <w:tc>
          <w:tcPr>
            <w:tcW w:w="3524" w:type="dxa"/>
            <w:gridSpan w:val="3"/>
          </w:tcPr>
          <w:p w:rsidR="00BC30A4" w:rsidRPr="0008533B" w:rsidRDefault="00BC30A4">
            <w:pPr>
              <w:rPr>
                <w:b/>
                <w:i/>
                <w:sz w:val="20"/>
              </w:rPr>
            </w:pPr>
          </w:p>
          <w:p w:rsidR="00BC30A4" w:rsidRPr="0008533B" w:rsidRDefault="00BC30A4">
            <w:pPr>
              <w:rPr>
                <w:b/>
                <w:i/>
                <w:sz w:val="20"/>
              </w:rPr>
            </w:pPr>
            <w:r w:rsidRPr="0008533B">
              <w:rPr>
                <w:b/>
                <w:i/>
                <w:sz w:val="20"/>
              </w:rPr>
              <w:t xml:space="preserve">- </w:t>
            </w:r>
            <w:bookmarkStart w:id="58" w:name="future"/>
            <w:r w:rsidRPr="0008533B">
              <w:rPr>
                <w:b/>
                <w:i/>
                <w:sz w:val="20"/>
              </w:rPr>
              <w:t>Future plans</w:t>
            </w:r>
            <w:bookmarkEnd w:id="58"/>
          </w:p>
          <w:p w:rsidR="00BC30A4" w:rsidRPr="0008533B" w:rsidRDefault="00BC30A4">
            <w:pPr>
              <w:rPr>
                <w:b/>
                <w:i/>
                <w:sz w:val="20"/>
              </w:rPr>
            </w:pPr>
          </w:p>
        </w:tc>
        <w:tc>
          <w:tcPr>
            <w:tcW w:w="11040" w:type="dxa"/>
          </w:tcPr>
          <w:p w:rsidR="00BC30A4" w:rsidRPr="00A371AE" w:rsidRDefault="00BC30A4" w:rsidP="0062430E">
            <w:pPr>
              <w:jc w:val="both"/>
              <w:rPr>
                <w:sz w:val="20"/>
              </w:rPr>
            </w:pPr>
            <w:bookmarkStart w:id="59" w:name="cell34"/>
            <w:bookmarkEnd w:id="59"/>
          </w:p>
          <w:p w:rsidR="00BC30A4" w:rsidRPr="00A371AE" w:rsidRDefault="00A371AE" w:rsidP="0062430E">
            <w:pPr>
              <w:jc w:val="both"/>
              <w:rPr>
                <w:sz w:val="20"/>
              </w:rPr>
            </w:pPr>
            <w:r w:rsidRPr="00A371AE">
              <w:rPr>
                <w:sz w:val="20"/>
              </w:rPr>
              <w:t xml:space="preserve">The Philippines is firmly committed to fair and liberal trade and have </w:t>
            </w:r>
            <w:proofErr w:type="spellStart"/>
            <w:r>
              <w:rPr>
                <w:sz w:val="20"/>
              </w:rPr>
              <w:t>uphaled</w:t>
            </w:r>
            <w:proofErr w:type="spellEnd"/>
            <w:r>
              <w:rPr>
                <w:sz w:val="20"/>
              </w:rPr>
              <w:t xml:space="preserve"> this position </w:t>
            </w:r>
            <w:r w:rsidRPr="00A371AE">
              <w:rPr>
                <w:sz w:val="20"/>
              </w:rPr>
              <w:t>consistently in bilateral, regional and multilateral fora.  The Philippines also remains committed to the multilateral trading system of the WTO even as the country seeks to further expand trade particularly with possible dialogue partners</w:t>
            </w:r>
          </w:p>
          <w:p w:rsidR="00A371AE" w:rsidRPr="00A371AE" w:rsidRDefault="00A371AE" w:rsidP="0062430E">
            <w:pPr>
              <w:jc w:val="both"/>
              <w:rPr>
                <w:sz w:val="20"/>
              </w:rPr>
            </w:pPr>
          </w:p>
        </w:tc>
      </w:tr>
      <w:tr w:rsidR="00BC30A4" w:rsidRPr="0008533B">
        <w:trPr>
          <w:gridAfter w:val="1"/>
          <w:wAfter w:w="17" w:type="dxa"/>
          <w:cantSplit/>
        </w:trPr>
        <w:tc>
          <w:tcPr>
            <w:tcW w:w="3524" w:type="dxa"/>
            <w:gridSpan w:val="3"/>
          </w:tcPr>
          <w:p w:rsidR="00BC30A4" w:rsidRPr="0008533B" w:rsidRDefault="00BC30A4" w:rsidP="0001261C">
            <w:pPr>
              <w:pStyle w:val="Heading9"/>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11040" w:type="dxa"/>
          </w:tcPr>
          <w:p w:rsidR="00BC30A4" w:rsidRPr="009C5E18" w:rsidRDefault="008D4F45" w:rsidP="00405B0B">
            <w:pPr>
              <w:pStyle w:val="Heading9"/>
              <w:rPr>
                <w:rFonts w:ascii="Times New Roman" w:hAnsi="Times New Roman"/>
                <w:b w:val="0"/>
                <w:i w:val="0"/>
                <w:color w:val="000000" w:themeColor="text1"/>
              </w:rPr>
            </w:pPr>
            <w:hyperlink r:id="rId75" w:history="1">
              <w:r w:rsidR="009C5E18" w:rsidRPr="00103D0D">
                <w:rPr>
                  <w:rStyle w:val="Hyperlink"/>
                  <w:rFonts w:ascii="Times New Roman" w:hAnsi="Times New Roman"/>
                  <w:b w:val="0"/>
                  <w:i w:val="0"/>
                </w:rPr>
                <w:t>http://www.dti.gov.ph/dti/index.php?p=680</w:t>
              </w:r>
            </w:hyperlink>
            <w:r w:rsidR="009C5E18">
              <w:rPr>
                <w:rFonts w:ascii="Times New Roman" w:hAnsi="Times New Roman"/>
                <w:b w:val="0"/>
                <w:i w:val="0"/>
                <w:color w:val="FF0000"/>
              </w:rPr>
              <w:t xml:space="preserve"> </w:t>
            </w:r>
            <w:r w:rsidR="00405B0B">
              <w:rPr>
                <w:rFonts w:ascii="Times New Roman" w:hAnsi="Times New Roman"/>
                <w:b w:val="0"/>
                <w:i w:val="0"/>
                <w:color w:val="FF0000"/>
              </w:rPr>
              <w:t xml:space="preserve"> - </w:t>
            </w:r>
            <w:r w:rsidR="009C5E18" w:rsidRPr="009C5E18">
              <w:rPr>
                <w:rFonts w:ascii="Times New Roman" w:hAnsi="Times New Roman"/>
                <w:b w:val="0"/>
                <w:i w:val="0"/>
                <w:color w:val="000000" w:themeColor="text1"/>
              </w:rPr>
              <w:t>Department of Trade and Industry</w:t>
            </w:r>
            <w:r w:rsidR="00405B0B">
              <w:rPr>
                <w:rFonts w:ascii="Times New Roman" w:hAnsi="Times New Roman"/>
                <w:b w:val="0"/>
                <w:i w:val="0"/>
                <w:color w:val="000000" w:themeColor="text1"/>
              </w:rPr>
              <w:t xml:space="preserve">: </w:t>
            </w:r>
            <w:r w:rsidR="009C5E18" w:rsidRPr="009C5E18">
              <w:rPr>
                <w:rFonts w:ascii="Times New Roman" w:hAnsi="Times New Roman"/>
                <w:b w:val="0"/>
                <w:i w:val="0"/>
                <w:color w:val="000000" w:themeColor="text1"/>
              </w:rPr>
              <w:t xml:space="preserve"> Philippine Tariffs and Rules of Origin</w:t>
            </w:r>
          </w:p>
        </w:tc>
      </w:tr>
      <w:tr w:rsidR="00BC30A4" w:rsidRPr="0008533B">
        <w:trPr>
          <w:gridAfter w:val="1"/>
          <w:wAfter w:w="17" w:type="dxa"/>
          <w:cantSplit/>
        </w:trPr>
        <w:tc>
          <w:tcPr>
            <w:tcW w:w="3524" w:type="dxa"/>
            <w:gridSpan w:val="3"/>
          </w:tcPr>
          <w:p w:rsidR="00BC30A4" w:rsidRPr="0008533B" w:rsidRDefault="00BC30A4" w:rsidP="0001261C">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11040" w:type="dxa"/>
          </w:tcPr>
          <w:p w:rsidR="00F9640C" w:rsidRPr="00F9640C" w:rsidRDefault="00F9640C" w:rsidP="00F9640C">
            <w:pPr>
              <w:rPr>
                <w:noProof/>
                <w:sz w:val="20"/>
              </w:rPr>
            </w:pPr>
            <w:r w:rsidRPr="00F9640C">
              <w:rPr>
                <w:noProof/>
                <w:sz w:val="20"/>
              </w:rPr>
              <w:t xml:space="preserve">The Director </w:t>
            </w:r>
          </w:p>
          <w:p w:rsidR="00F9640C" w:rsidRPr="00F9640C" w:rsidRDefault="00F9640C" w:rsidP="00F9640C">
            <w:pPr>
              <w:rPr>
                <w:noProof/>
                <w:sz w:val="20"/>
              </w:rPr>
            </w:pPr>
            <w:smartTag w:uri="urn:schemas-microsoft-com:office:smarttags" w:element="PersonName">
              <w:r w:rsidRPr="00F9640C">
                <w:rPr>
                  <w:noProof/>
                  <w:sz w:val="20"/>
                </w:rPr>
                <w:t>Bureau of International Trade Relations</w:t>
              </w:r>
            </w:smartTag>
          </w:p>
          <w:p w:rsidR="00F9640C" w:rsidRPr="00F9640C" w:rsidRDefault="00F9640C" w:rsidP="00F9640C">
            <w:pPr>
              <w:rPr>
                <w:noProof/>
                <w:sz w:val="20"/>
              </w:rPr>
            </w:pPr>
            <w:r w:rsidRPr="00F9640C">
              <w:rPr>
                <w:noProof/>
                <w:sz w:val="20"/>
              </w:rPr>
              <w:t>Department of Trade and Industry</w:t>
            </w:r>
          </w:p>
          <w:p w:rsidR="00F9640C" w:rsidRPr="00F9640C" w:rsidRDefault="00F9640C" w:rsidP="00F9640C">
            <w:pPr>
              <w:rPr>
                <w:noProof/>
                <w:sz w:val="20"/>
              </w:rPr>
            </w:pPr>
            <w:r w:rsidRPr="00F9640C">
              <w:rPr>
                <w:noProof/>
                <w:sz w:val="20"/>
              </w:rPr>
              <w:t>361 Senator Gil J. Puyat Avenue</w:t>
            </w:r>
          </w:p>
          <w:p w:rsidR="00F9640C" w:rsidRPr="00F9640C" w:rsidRDefault="00F9640C" w:rsidP="00F9640C">
            <w:pPr>
              <w:rPr>
                <w:noProof/>
                <w:sz w:val="20"/>
              </w:rPr>
            </w:pPr>
            <w:r w:rsidRPr="00F9640C">
              <w:rPr>
                <w:noProof/>
                <w:sz w:val="20"/>
              </w:rPr>
              <w:t>Makati City 1200 Philippines</w:t>
            </w:r>
          </w:p>
          <w:p w:rsidR="00F9640C" w:rsidRPr="00F9640C" w:rsidRDefault="000E59F0" w:rsidP="00F9640C">
            <w:pPr>
              <w:rPr>
                <w:noProof/>
                <w:sz w:val="20"/>
              </w:rPr>
            </w:pPr>
            <w:r>
              <w:rPr>
                <w:noProof/>
                <w:sz w:val="20"/>
              </w:rPr>
              <w:t>Tel: (632) 465-3300, 465-3356</w:t>
            </w:r>
          </w:p>
          <w:p w:rsidR="00BC30A4" w:rsidRPr="00AD4744" w:rsidRDefault="00F9640C" w:rsidP="00AD4744">
            <w:pPr>
              <w:rPr>
                <w:noProof/>
                <w:sz w:val="20"/>
              </w:rPr>
            </w:pPr>
            <w:r w:rsidRPr="00F9640C">
              <w:rPr>
                <w:noProof/>
                <w:sz w:val="20"/>
              </w:rPr>
              <w:t>Fax: (632) 890-5149</w:t>
            </w:r>
          </w:p>
        </w:tc>
      </w:tr>
      <w:tr w:rsidR="000D5CB7" w:rsidRPr="0008533B">
        <w:trPr>
          <w:gridAfter w:val="1"/>
          <w:wAfter w:w="17" w:type="dxa"/>
          <w:cantSplit/>
        </w:trPr>
        <w:tc>
          <w:tcPr>
            <w:tcW w:w="3524" w:type="dxa"/>
            <w:gridSpan w:val="3"/>
          </w:tcPr>
          <w:p w:rsidR="000D5CB7" w:rsidRPr="0008533B" w:rsidRDefault="000D5CB7" w:rsidP="00AC3F22">
            <w:pPr>
              <w:spacing w:before="120" w:after="120"/>
              <w:rPr>
                <w:b/>
                <w:i/>
                <w:sz w:val="20"/>
              </w:rPr>
            </w:pPr>
            <w:r w:rsidRPr="0008533B">
              <w:rPr>
                <w:b/>
                <w:i/>
                <w:sz w:val="20"/>
              </w:rPr>
              <w:t>- Agreements under negotiation</w:t>
            </w:r>
          </w:p>
          <w:p w:rsidR="000D5CB7" w:rsidRPr="0008533B" w:rsidRDefault="000D5CB7" w:rsidP="00AC3F22">
            <w:pPr>
              <w:spacing w:before="120" w:after="120"/>
              <w:rPr>
                <w:b/>
                <w:i/>
                <w:sz w:val="20"/>
              </w:rPr>
            </w:pPr>
          </w:p>
        </w:tc>
        <w:tc>
          <w:tcPr>
            <w:tcW w:w="11040" w:type="dxa"/>
          </w:tcPr>
          <w:p w:rsidR="000D5CB7" w:rsidRPr="0008533B" w:rsidRDefault="000D5CB7" w:rsidP="00AC3F22">
            <w:pPr>
              <w:spacing w:before="120" w:after="120"/>
              <w:rPr>
                <w:i/>
                <w:sz w:val="20"/>
              </w:rPr>
            </w:pPr>
            <w:r w:rsidRPr="0008533B">
              <w:rPr>
                <w:i/>
                <w:sz w:val="20"/>
              </w:rPr>
              <w:t xml:space="preserve">Please provide information on agreements that are currently under negotiation </w:t>
            </w:r>
            <w:proofErr w:type="spellStart"/>
            <w:r w:rsidRPr="0008533B">
              <w:rPr>
                <w:i/>
                <w:sz w:val="20"/>
              </w:rPr>
              <w:t>eg</w:t>
            </w:r>
            <w:proofErr w:type="spellEnd"/>
            <w:r w:rsidRPr="0008533B">
              <w:rPr>
                <w:i/>
                <w:sz w:val="20"/>
              </w:rPr>
              <w:t xml:space="preserve"> issues being covered in the negotiation and the status of the negotiation. </w:t>
            </w:r>
          </w:p>
        </w:tc>
      </w:tr>
      <w:tr w:rsidR="000D5CB7" w:rsidRPr="0008533B" w:rsidTr="000D5CB7">
        <w:trPr>
          <w:gridAfter w:val="1"/>
          <w:wAfter w:w="17" w:type="dxa"/>
          <w:cantSplit/>
        </w:trPr>
        <w:tc>
          <w:tcPr>
            <w:tcW w:w="734" w:type="dxa"/>
          </w:tcPr>
          <w:p w:rsidR="000D5CB7" w:rsidRPr="0008533B" w:rsidRDefault="000D5CB7" w:rsidP="00AC3F22">
            <w:pPr>
              <w:rPr>
                <w:b/>
                <w:i/>
                <w:sz w:val="20"/>
              </w:rPr>
            </w:pPr>
          </w:p>
        </w:tc>
        <w:tc>
          <w:tcPr>
            <w:tcW w:w="2790" w:type="dxa"/>
            <w:gridSpan w:val="2"/>
          </w:tcPr>
          <w:p w:rsidR="000D5CB7" w:rsidRPr="0008533B" w:rsidRDefault="000D5CB7" w:rsidP="000D5CB7">
            <w:pPr>
              <w:rPr>
                <w:b/>
                <w:i/>
                <w:sz w:val="20"/>
              </w:rPr>
            </w:pPr>
            <w:r w:rsidRPr="0008533B">
              <w:rPr>
                <w:b/>
                <w:i/>
                <w:sz w:val="20"/>
              </w:rPr>
              <w:t>Agreement #1</w:t>
            </w:r>
          </w:p>
          <w:p w:rsidR="000D5CB7" w:rsidRPr="0008533B" w:rsidRDefault="000D5CB7" w:rsidP="00AC3F22">
            <w:pPr>
              <w:rPr>
                <w:b/>
                <w:i/>
                <w:sz w:val="20"/>
              </w:rPr>
            </w:pPr>
          </w:p>
        </w:tc>
        <w:tc>
          <w:tcPr>
            <w:tcW w:w="11040" w:type="dxa"/>
          </w:tcPr>
          <w:p w:rsidR="00306196" w:rsidRPr="00FC6244" w:rsidRDefault="00306196" w:rsidP="00FC6244">
            <w:pPr>
              <w:pStyle w:val="ListParagraph"/>
              <w:ind w:left="0"/>
              <w:rPr>
                <w:rStyle w:val="apple-converted-space"/>
                <w:rFonts w:ascii="Times New Roman" w:hAnsi="Times New Roman"/>
                <w:color w:val="000000"/>
                <w:sz w:val="20"/>
                <w:szCs w:val="20"/>
                <w:shd w:val="clear" w:color="auto" w:fill="FFFFFF"/>
              </w:rPr>
            </w:pPr>
            <w:r w:rsidRPr="00FC6244">
              <w:rPr>
                <w:rFonts w:ascii="Times New Roman" w:hAnsi="Times New Roman"/>
                <w:b/>
                <w:bCs/>
                <w:color w:val="000000"/>
                <w:sz w:val="20"/>
                <w:szCs w:val="20"/>
                <w:shd w:val="clear" w:color="auto" w:fill="FFFFFF"/>
              </w:rPr>
              <w:t>Regional Comprehensive Economic Partnership (RCEP)</w:t>
            </w:r>
            <w:r w:rsidRPr="00FC6244">
              <w:rPr>
                <w:rStyle w:val="apple-converted-space"/>
                <w:rFonts w:ascii="Times New Roman" w:hAnsi="Times New Roman"/>
                <w:color w:val="000000"/>
                <w:sz w:val="20"/>
                <w:szCs w:val="20"/>
                <w:shd w:val="clear" w:color="auto" w:fill="FFFFFF"/>
              </w:rPr>
              <w:t> </w:t>
            </w:r>
          </w:p>
          <w:p w:rsidR="00306196" w:rsidRPr="00FC6244" w:rsidRDefault="00306196" w:rsidP="00FC6244">
            <w:pPr>
              <w:pStyle w:val="ListParagraph"/>
              <w:ind w:left="0"/>
              <w:rPr>
                <w:rStyle w:val="apple-converted-space"/>
                <w:rFonts w:ascii="Times New Roman" w:hAnsi="Times New Roman"/>
                <w:color w:val="000000"/>
                <w:sz w:val="20"/>
                <w:szCs w:val="20"/>
                <w:shd w:val="clear" w:color="auto" w:fill="FFFFFF"/>
              </w:rPr>
            </w:pPr>
          </w:p>
          <w:p w:rsidR="008124AC" w:rsidRPr="00FC6244" w:rsidRDefault="00306196" w:rsidP="00FC6244">
            <w:pPr>
              <w:pStyle w:val="ListParagraph"/>
              <w:ind w:left="0"/>
              <w:rPr>
                <w:rFonts w:ascii="Times New Roman" w:hAnsi="Times New Roman"/>
                <w:color w:val="000000"/>
                <w:sz w:val="20"/>
                <w:szCs w:val="20"/>
                <w:shd w:val="clear" w:color="auto" w:fill="FFFFFF"/>
              </w:rPr>
            </w:pPr>
            <w:r w:rsidRPr="00FC6244">
              <w:rPr>
                <w:rStyle w:val="apple-converted-space"/>
                <w:rFonts w:ascii="Times New Roman" w:hAnsi="Times New Roman"/>
                <w:color w:val="000000"/>
                <w:sz w:val="20"/>
                <w:szCs w:val="20"/>
                <w:shd w:val="clear" w:color="auto" w:fill="FFFFFF"/>
              </w:rPr>
              <w:t>Launched in November 2012, RCEP is an FTA agreement being negotiate</w:t>
            </w:r>
            <w:r w:rsidR="008124AC" w:rsidRPr="00FC6244">
              <w:rPr>
                <w:rStyle w:val="apple-converted-space"/>
                <w:rFonts w:ascii="Times New Roman" w:hAnsi="Times New Roman"/>
                <w:color w:val="000000"/>
                <w:sz w:val="20"/>
                <w:szCs w:val="20"/>
                <w:shd w:val="clear" w:color="auto" w:fill="FFFFFF"/>
              </w:rPr>
              <w:t>d by 10 ASEAN</w:t>
            </w:r>
            <w:r w:rsidRPr="00FC6244">
              <w:rPr>
                <w:rStyle w:val="apple-converted-space"/>
                <w:rFonts w:ascii="Times New Roman" w:hAnsi="Times New Roman"/>
                <w:color w:val="000000"/>
                <w:sz w:val="20"/>
                <w:szCs w:val="20"/>
                <w:shd w:val="clear" w:color="auto" w:fill="FFFFFF"/>
              </w:rPr>
              <w:t xml:space="preserve"> Member States and </w:t>
            </w:r>
            <w:proofErr w:type="gramStart"/>
            <w:r w:rsidRPr="00FC6244">
              <w:rPr>
                <w:rStyle w:val="apple-converted-space"/>
                <w:rFonts w:ascii="Times New Roman" w:hAnsi="Times New Roman"/>
                <w:color w:val="000000"/>
                <w:sz w:val="20"/>
                <w:szCs w:val="20"/>
                <w:shd w:val="clear" w:color="auto" w:fill="FFFFFF"/>
              </w:rPr>
              <w:t>its</w:t>
            </w:r>
            <w:proofErr w:type="gramEnd"/>
            <w:r w:rsidRPr="00FC6244">
              <w:rPr>
                <w:rStyle w:val="apple-converted-space"/>
                <w:rFonts w:ascii="Times New Roman" w:hAnsi="Times New Roman"/>
                <w:color w:val="000000"/>
                <w:sz w:val="20"/>
                <w:szCs w:val="20"/>
                <w:shd w:val="clear" w:color="auto" w:fill="FFFFFF"/>
              </w:rPr>
              <w:t xml:space="preserve"> FTA Partners (Australia, China, India, Japan, Korea and New Zealand) with a target conclusion by the end of 2015.  </w:t>
            </w:r>
            <w:r w:rsidRPr="00FC6244">
              <w:rPr>
                <w:rFonts w:ascii="Times New Roman" w:hAnsi="Times New Roman"/>
                <w:color w:val="000000"/>
                <w:sz w:val="20"/>
                <w:szCs w:val="20"/>
                <w:shd w:val="clear" w:color="auto" w:fill="FFFFFF"/>
              </w:rPr>
              <w:t>At the launch of negotiations in 2012</w:t>
            </w:r>
            <w:proofErr w:type="gramStart"/>
            <w:r w:rsidRPr="00FC6244">
              <w:rPr>
                <w:rFonts w:ascii="Times New Roman" w:hAnsi="Times New Roman"/>
                <w:color w:val="000000"/>
                <w:sz w:val="20"/>
                <w:szCs w:val="20"/>
                <w:shd w:val="clear" w:color="auto" w:fill="FFFFFF"/>
              </w:rPr>
              <w:t>,  the</w:t>
            </w:r>
            <w:proofErr w:type="gramEnd"/>
            <w:r w:rsidRPr="00FC6244">
              <w:rPr>
                <w:rFonts w:ascii="Times New Roman" w:hAnsi="Times New Roman"/>
                <w:color w:val="000000"/>
                <w:sz w:val="20"/>
                <w:szCs w:val="20"/>
                <w:shd w:val="clear" w:color="auto" w:fill="FFFFFF"/>
              </w:rPr>
              <w:t xml:space="preserve"> </w:t>
            </w:r>
            <w:r w:rsidR="000901B5">
              <w:rPr>
                <w:rFonts w:ascii="Times New Roman" w:hAnsi="Times New Roman"/>
                <w:color w:val="000000"/>
                <w:sz w:val="20"/>
                <w:szCs w:val="20"/>
                <w:shd w:val="clear" w:color="auto" w:fill="FFFFFF"/>
              </w:rPr>
              <w:t xml:space="preserve">RCEP </w:t>
            </w:r>
            <w:r w:rsidRPr="00FC6244">
              <w:rPr>
                <w:rFonts w:ascii="Times New Roman" w:hAnsi="Times New Roman"/>
                <w:color w:val="000000"/>
                <w:sz w:val="20"/>
                <w:szCs w:val="20"/>
                <w:shd w:val="clear" w:color="auto" w:fill="FFFFFF"/>
              </w:rPr>
              <w:t xml:space="preserve">Leaders endorsed the "Guiding Principles and Objectives for Negotiating the Regional Comprehensive Economic Partnership." </w:t>
            </w:r>
            <w:r w:rsidR="008124AC" w:rsidRPr="00FC6244">
              <w:rPr>
                <w:rFonts w:ascii="Times New Roman" w:hAnsi="Times New Roman"/>
                <w:color w:val="000000"/>
                <w:sz w:val="20"/>
                <w:szCs w:val="20"/>
                <w:shd w:val="clear" w:color="auto" w:fill="FFFFFF"/>
              </w:rPr>
              <w:t>(</w:t>
            </w:r>
            <w:hyperlink r:id="rId76" w:history="1">
              <w:r w:rsidR="008124AC" w:rsidRPr="00FC6244">
                <w:rPr>
                  <w:rStyle w:val="Hyperlink"/>
                  <w:rFonts w:ascii="Times New Roman" w:hAnsi="Times New Roman"/>
                  <w:sz w:val="20"/>
                  <w:szCs w:val="20"/>
                </w:rPr>
                <w:t>http://www.asean.org/news/item/twentyfirst-asean-summit-phnom-penh-cambodia-18-november-2012</w:t>
              </w:r>
            </w:hyperlink>
            <w:r w:rsidR="008124AC" w:rsidRPr="00FC6244">
              <w:rPr>
                <w:rFonts w:ascii="Times New Roman" w:hAnsi="Times New Roman"/>
                <w:sz w:val="20"/>
                <w:szCs w:val="20"/>
              </w:rPr>
              <w:t>)</w:t>
            </w:r>
          </w:p>
          <w:p w:rsidR="008124AC" w:rsidRPr="00FC6244" w:rsidRDefault="008124AC" w:rsidP="00FC6244">
            <w:pPr>
              <w:pStyle w:val="ListParagraph"/>
              <w:ind w:left="0"/>
              <w:rPr>
                <w:rFonts w:ascii="Times New Roman" w:hAnsi="Times New Roman"/>
                <w:color w:val="000000"/>
                <w:sz w:val="20"/>
                <w:szCs w:val="20"/>
                <w:shd w:val="clear" w:color="auto" w:fill="FFFFFF"/>
              </w:rPr>
            </w:pPr>
          </w:p>
          <w:p w:rsidR="000E59F0" w:rsidRPr="000E59F0" w:rsidRDefault="000E59F0" w:rsidP="00FC6244">
            <w:pPr>
              <w:jc w:val="both"/>
              <w:rPr>
                <w:sz w:val="20"/>
              </w:rPr>
            </w:pPr>
            <w:r w:rsidRPr="000E59F0">
              <w:rPr>
                <w:bCs/>
                <w:color w:val="000000"/>
                <w:sz w:val="20"/>
                <w:shd w:val="clear" w:color="auto" w:fill="FFFFFF"/>
              </w:rPr>
              <w:t xml:space="preserve">To date, there have been two rounds of negotiations on RCEP (May and September 2013) led by a Trade Negotiating Committee (RCEP TNC). Three working groups were established in May 2013 in the areas of Trade in Goods, Trade in Services and Investment. </w:t>
            </w:r>
            <w:proofErr w:type="gramStart"/>
            <w:r w:rsidRPr="000E59F0">
              <w:rPr>
                <w:bCs/>
                <w:color w:val="000000"/>
                <w:sz w:val="20"/>
                <w:shd w:val="clear" w:color="auto" w:fill="FFFFFF"/>
              </w:rPr>
              <w:t>The  RCEP</w:t>
            </w:r>
            <w:proofErr w:type="gramEnd"/>
            <w:r w:rsidRPr="000E59F0">
              <w:rPr>
                <w:bCs/>
                <w:color w:val="000000"/>
                <w:sz w:val="20"/>
                <w:shd w:val="clear" w:color="auto" w:fill="FFFFFF"/>
              </w:rPr>
              <w:t xml:space="preserve"> will also cover Economic and Technical Cooperation, Intellectual Property, Competition, Dispute Settlement, Other Issues to be mutually agreed among Parties. </w:t>
            </w:r>
          </w:p>
          <w:p w:rsidR="008124AC" w:rsidRPr="00FC6244" w:rsidRDefault="008124AC" w:rsidP="00FC6244">
            <w:pPr>
              <w:jc w:val="both"/>
              <w:rPr>
                <w:sz w:val="20"/>
              </w:rPr>
            </w:pPr>
          </w:p>
          <w:p w:rsidR="008124AC" w:rsidRPr="00FC6244" w:rsidRDefault="008124AC" w:rsidP="00FC6244">
            <w:pPr>
              <w:jc w:val="both"/>
              <w:rPr>
                <w:sz w:val="20"/>
              </w:rPr>
            </w:pPr>
            <w:r w:rsidRPr="00FC6244">
              <w:rPr>
                <w:sz w:val="20"/>
              </w:rPr>
              <w:t>The third round of negotiations will take place in January 2014.</w:t>
            </w:r>
          </w:p>
          <w:p w:rsidR="00306196" w:rsidRPr="0008533B" w:rsidRDefault="00306196" w:rsidP="000D5CB7">
            <w:pPr>
              <w:rPr>
                <w:b/>
                <w:i/>
                <w:sz w:val="20"/>
              </w:rPr>
            </w:pPr>
          </w:p>
        </w:tc>
      </w:tr>
    </w:tbl>
    <w:p w:rsidR="00CB6A57" w:rsidRDefault="00CB6A57">
      <w:pPr>
        <w:pStyle w:val="Title"/>
        <w:jc w:val="both"/>
        <w:rPr>
          <w:sz w:val="20"/>
        </w:rPr>
      </w:pPr>
    </w:p>
    <w:sectPr w:rsidR="00CB6A57" w:rsidSect="009C1EEE">
      <w:headerReference w:type="even" r:id="rId77"/>
      <w:headerReference w:type="default" r:id="rId78"/>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C04" w:rsidRDefault="004A2C04">
      <w:r>
        <w:separator/>
      </w:r>
    </w:p>
  </w:endnote>
  <w:endnote w:type="continuationSeparator" w:id="0">
    <w:p w:rsidR="004A2C04" w:rsidRDefault="004A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C04" w:rsidRDefault="004A2C04">
      <w:r>
        <w:separator/>
      </w:r>
    </w:p>
  </w:footnote>
  <w:footnote w:type="continuationSeparator" w:id="0">
    <w:p w:rsidR="004A2C04" w:rsidRDefault="004A2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04" w:rsidRPr="00D05848" w:rsidRDefault="004A2C04"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8D4F45">
      <w:rPr>
        <w:b/>
        <w:noProof/>
      </w:rPr>
      <w:t>34</w:t>
    </w:r>
    <w:r w:rsidRPr="00193F7C">
      <w:rPr>
        <w:b/>
      </w:rPr>
      <w:fldChar w:fldCharType="end"/>
    </w:r>
    <w:r>
      <w:rPr>
        <w:b/>
        <w:sz w:val="20"/>
        <w:szCs w:val="20"/>
      </w:rPr>
      <w:t xml:space="preserve"> | </w:t>
    </w:r>
    <w:r>
      <w:t xml:space="preserve">PAGE </w:t>
    </w:r>
    <w:r>
      <w:rPr>
        <w:b/>
        <w:sz w:val="20"/>
        <w:szCs w:val="20"/>
      </w:rPr>
      <w:tab/>
    </w:r>
    <w:r>
      <w:rPr>
        <w:b/>
        <w:sz w:val="20"/>
        <w:szCs w:val="20"/>
      </w:rPr>
      <w:tab/>
    </w:r>
    <w:r>
      <w:t>REPUBLIC OF THE PHILIPPINES</w:t>
    </w:r>
    <w:r w:rsidRPr="00D05848">
      <w:tab/>
    </w:r>
    <w:r>
      <w:tab/>
    </w:r>
  </w:p>
  <w:p w:rsidR="004A2C04" w:rsidRDefault="004A2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04" w:rsidRPr="00D05848" w:rsidRDefault="004A2C04" w:rsidP="00750D35">
    <w:pPr>
      <w:pStyle w:val="RptHeader-Calibri"/>
      <w:tabs>
        <w:tab w:val="clear" w:pos="8640"/>
        <w:tab w:val="right" w:pos="13860"/>
      </w:tabs>
    </w:pPr>
    <w:r>
      <w:t>REPUBLIC OF THE PHILIPPINES</w:t>
    </w:r>
    <w:r w:rsidRPr="00D05848">
      <w:tab/>
    </w:r>
    <w:r>
      <w:tab/>
      <w:t>PAGE</w:t>
    </w:r>
    <w:r w:rsidRPr="00D05848">
      <w:t xml:space="preserve"> | </w:t>
    </w:r>
    <w:r w:rsidRPr="00193F7C">
      <w:rPr>
        <w:b/>
      </w:rPr>
      <w:fldChar w:fldCharType="begin"/>
    </w:r>
    <w:r w:rsidRPr="00193F7C">
      <w:rPr>
        <w:b/>
      </w:rPr>
      <w:instrText xml:space="preserve"> PAGE   \* MERGEFORMAT </w:instrText>
    </w:r>
    <w:r w:rsidRPr="00193F7C">
      <w:rPr>
        <w:b/>
      </w:rPr>
      <w:fldChar w:fldCharType="separate"/>
    </w:r>
    <w:r w:rsidR="008D4F45">
      <w:rPr>
        <w:b/>
        <w:noProof/>
      </w:rPr>
      <w:t>1</w:t>
    </w:r>
    <w:r w:rsidRPr="00193F7C">
      <w:rPr>
        <w:b/>
      </w:rPr>
      <w:fldChar w:fldCharType="end"/>
    </w:r>
  </w:p>
  <w:p w:rsidR="004A2C04" w:rsidRDefault="004A2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939"/>
    <w:multiLevelType w:val="hybridMultilevel"/>
    <w:tmpl w:val="8AB6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E54A5A"/>
    <w:multiLevelType w:val="hybridMultilevel"/>
    <w:tmpl w:val="CA7A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F620A"/>
    <w:multiLevelType w:val="hybridMultilevel"/>
    <w:tmpl w:val="B19AD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317C57"/>
    <w:multiLevelType w:val="hybridMultilevel"/>
    <w:tmpl w:val="EE7A688A"/>
    <w:lvl w:ilvl="0" w:tplc="21FC28CE">
      <w:start w:val="98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D2197B"/>
    <w:multiLevelType w:val="multilevel"/>
    <w:tmpl w:val="3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3D7D05"/>
    <w:multiLevelType w:val="hybridMultilevel"/>
    <w:tmpl w:val="55DADE16"/>
    <w:lvl w:ilvl="0" w:tplc="04090005">
      <w:start w:val="1"/>
      <w:numFmt w:val="bullet"/>
      <w:lvlText w:val=""/>
      <w:lvlJc w:val="left"/>
      <w:pPr>
        <w:tabs>
          <w:tab w:val="num" w:pos="360"/>
        </w:tabs>
        <w:ind w:left="360" w:hanging="360"/>
      </w:pPr>
      <w:rPr>
        <w:rFonts w:ascii="Wingdings" w:hAnsi="Wingdings" w:hint="default"/>
      </w:rPr>
    </w:lvl>
    <w:lvl w:ilvl="1" w:tplc="B40A90F2">
      <w:start w:val="1"/>
      <w:numFmt w:val="decimal"/>
      <w:lvlText w:val="(%2)"/>
      <w:lvlJc w:val="left"/>
      <w:pPr>
        <w:tabs>
          <w:tab w:val="num" w:pos="1095"/>
        </w:tabs>
        <w:ind w:left="1095" w:hanging="375"/>
      </w:pPr>
      <w:rPr>
        <w:rFonts w:ascii="Georgia" w:hAnsi="Georgia" w:hint="default"/>
        <w:b/>
        <w:i w:val="0"/>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2F86B78"/>
    <w:multiLevelType w:val="hybridMultilevel"/>
    <w:tmpl w:val="B5E21C12"/>
    <w:lvl w:ilvl="0" w:tplc="34090001">
      <w:start w:val="1"/>
      <w:numFmt w:val="bullet"/>
      <w:lvlText w:val=""/>
      <w:lvlJc w:val="left"/>
      <w:pPr>
        <w:ind w:left="1080" w:hanging="360"/>
      </w:pPr>
      <w:rPr>
        <w:rFonts w:ascii="Symbol" w:hAnsi="Symbol" w:hint="default"/>
      </w:rPr>
    </w:lvl>
    <w:lvl w:ilvl="1" w:tplc="34090005">
      <w:start w:val="1"/>
      <w:numFmt w:val="bullet"/>
      <w:lvlText w:val=""/>
      <w:lvlJc w:val="left"/>
      <w:pPr>
        <w:ind w:left="1800" w:hanging="360"/>
      </w:pPr>
      <w:rPr>
        <w:rFonts w:ascii="Wingdings" w:hAnsi="Wingdings" w:hint="default"/>
      </w:rPr>
    </w:lvl>
    <w:lvl w:ilvl="2" w:tplc="34090001">
      <w:start w:val="1"/>
      <w:numFmt w:val="bullet"/>
      <w:lvlText w:val=""/>
      <w:lvlJc w:val="left"/>
      <w:pPr>
        <w:ind w:left="2520" w:hanging="360"/>
      </w:pPr>
      <w:rPr>
        <w:rFonts w:ascii="Symbol" w:hAnsi="Symbol"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8">
    <w:nsid w:val="141176B3"/>
    <w:multiLevelType w:val="multilevel"/>
    <w:tmpl w:val="F56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794F"/>
    <w:multiLevelType w:val="hybridMultilevel"/>
    <w:tmpl w:val="817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0C27BF"/>
    <w:multiLevelType w:val="hybridMultilevel"/>
    <w:tmpl w:val="1916C3F2"/>
    <w:lvl w:ilvl="0" w:tplc="370E818A">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12">
    <w:nsid w:val="195225E3"/>
    <w:multiLevelType w:val="hybridMultilevel"/>
    <w:tmpl w:val="52B8F642"/>
    <w:lvl w:ilvl="0" w:tplc="6D78F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DC62A0"/>
    <w:multiLevelType w:val="hybridMultilevel"/>
    <w:tmpl w:val="D51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C4F60"/>
    <w:multiLevelType w:val="hybridMultilevel"/>
    <w:tmpl w:val="9446B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D64012"/>
    <w:multiLevelType w:val="hybridMultilevel"/>
    <w:tmpl w:val="622CB7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8877C2D"/>
    <w:multiLevelType w:val="hybridMultilevel"/>
    <w:tmpl w:val="4720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17C34"/>
    <w:multiLevelType w:val="hybridMultilevel"/>
    <w:tmpl w:val="358EE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67219"/>
    <w:multiLevelType w:val="hybridMultilevel"/>
    <w:tmpl w:val="84C89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14F96"/>
    <w:multiLevelType w:val="hybridMultilevel"/>
    <w:tmpl w:val="07A806CA"/>
    <w:lvl w:ilvl="0" w:tplc="8CEA949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2E9F4B02"/>
    <w:multiLevelType w:val="hybridMultilevel"/>
    <w:tmpl w:val="B71A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C33BB3"/>
    <w:multiLevelType w:val="hybridMultilevel"/>
    <w:tmpl w:val="92AEA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5C7604"/>
    <w:multiLevelType w:val="hybridMultilevel"/>
    <w:tmpl w:val="8E3E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81CC2"/>
    <w:multiLevelType w:val="hybridMultilevel"/>
    <w:tmpl w:val="D7F8F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E9288F"/>
    <w:multiLevelType w:val="hybridMultilevel"/>
    <w:tmpl w:val="7486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2A5F95"/>
    <w:multiLevelType w:val="multilevel"/>
    <w:tmpl w:val="2BA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487313"/>
    <w:multiLevelType w:val="hybridMultilevel"/>
    <w:tmpl w:val="E4F8B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932EFF"/>
    <w:multiLevelType w:val="hybridMultilevel"/>
    <w:tmpl w:val="57306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0DB6661"/>
    <w:multiLevelType w:val="hybridMultilevel"/>
    <w:tmpl w:val="E8D6DF18"/>
    <w:lvl w:ilvl="0" w:tplc="2F3686CC">
      <w:start w:val="5"/>
      <w:numFmt w:val="bullet"/>
      <w:lvlText w:val="-"/>
      <w:lvlJc w:val="left"/>
      <w:pPr>
        <w:ind w:left="360" w:hanging="360"/>
      </w:pPr>
      <w:rPr>
        <w:rFonts w:ascii="Times New Roman" w:hAnsi="Times New Roman" w:cs="Times New Roman"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57730B0"/>
    <w:multiLevelType w:val="hybridMultilevel"/>
    <w:tmpl w:val="19AAED22"/>
    <w:lvl w:ilvl="0" w:tplc="E40ADF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nsid w:val="4BE67C44"/>
    <w:multiLevelType w:val="hybridMultilevel"/>
    <w:tmpl w:val="0D9A4830"/>
    <w:lvl w:ilvl="0" w:tplc="370E818A">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1800CF"/>
    <w:multiLevelType w:val="hybridMultilevel"/>
    <w:tmpl w:val="55DADE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E526769"/>
    <w:multiLevelType w:val="hybridMultilevel"/>
    <w:tmpl w:val="CE6C7F3A"/>
    <w:lvl w:ilvl="0" w:tplc="66ECDD50">
      <w:start w:val="5"/>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ECD5F7A"/>
    <w:multiLevelType w:val="hybridMultilevel"/>
    <w:tmpl w:val="57EC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5D1F4A4A"/>
    <w:multiLevelType w:val="hybridMultilevel"/>
    <w:tmpl w:val="F9D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785F74"/>
    <w:multiLevelType w:val="hybridMultilevel"/>
    <w:tmpl w:val="584CE39C"/>
    <w:lvl w:ilvl="0" w:tplc="7E3C5A2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833062"/>
    <w:multiLevelType w:val="hybridMultilevel"/>
    <w:tmpl w:val="A3A8EE44"/>
    <w:lvl w:ilvl="0" w:tplc="86586402">
      <w:start w:val="1"/>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7C116DE"/>
    <w:multiLevelType w:val="hybridMultilevel"/>
    <w:tmpl w:val="E1BA2906"/>
    <w:lvl w:ilvl="0" w:tplc="57BE70FC">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0">
    <w:nsid w:val="6D650739"/>
    <w:multiLevelType w:val="hybridMultilevel"/>
    <w:tmpl w:val="AE1CEAE6"/>
    <w:lvl w:ilvl="0" w:tplc="A074324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11107"/>
    <w:multiLevelType w:val="hybridMultilevel"/>
    <w:tmpl w:val="BF2802C2"/>
    <w:lvl w:ilvl="0" w:tplc="2F3686CC">
      <w:start w:val="5"/>
      <w:numFmt w:val="bullet"/>
      <w:lvlText w:val="-"/>
      <w:lvlJc w:val="left"/>
      <w:pPr>
        <w:ind w:left="36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530A8F"/>
    <w:multiLevelType w:val="hybridMultilevel"/>
    <w:tmpl w:val="8C889F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6EE69B6"/>
    <w:multiLevelType w:val="multilevel"/>
    <w:tmpl w:val="865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EC4851"/>
    <w:multiLevelType w:val="hybridMultilevel"/>
    <w:tmpl w:val="A3C2B64A"/>
    <w:lvl w:ilvl="0" w:tplc="E5BCEFEE">
      <w:start w:val="1"/>
      <w:numFmt w:val="decimal"/>
      <w:lvlText w:val="(%1)"/>
      <w:lvlJc w:val="left"/>
      <w:pPr>
        <w:ind w:left="720" w:hanging="360"/>
      </w:pPr>
      <w:rPr>
        <w:rFonts w:ascii="Arial" w:hAnsi="Arial" w:cs="Arial" w:hint="default"/>
        <w:i w:val="0"/>
        <w:sz w:val="18"/>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nsid w:val="7EBA6B88"/>
    <w:multiLevelType w:val="hybridMultilevel"/>
    <w:tmpl w:val="22D0E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4"/>
  </w:num>
  <w:num w:numId="3">
    <w:abstractNumId w:val="6"/>
  </w:num>
  <w:num w:numId="4">
    <w:abstractNumId w:val="11"/>
  </w:num>
  <w:num w:numId="5">
    <w:abstractNumId w:val="42"/>
  </w:num>
  <w:num w:numId="6">
    <w:abstractNumId w:val="14"/>
  </w:num>
  <w:num w:numId="7">
    <w:abstractNumId w:val="9"/>
  </w:num>
  <w:num w:numId="8">
    <w:abstractNumId w:val="4"/>
  </w:num>
  <w:num w:numId="9">
    <w:abstractNumId w:val="21"/>
  </w:num>
  <w:num w:numId="10">
    <w:abstractNumId w:val="40"/>
  </w:num>
  <w:num w:numId="11">
    <w:abstractNumId w:val="31"/>
  </w:num>
  <w:num w:numId="12">
    <w:abstractNumId w:val="5"/>
  </w:num>
  <w:num w:numId="13">
    <w:abstractNumId w:val="8"/>
  </w:num>
  <w:num w:numId="14">
    <w:abstractNumId w:val="43"/>
  </w:num>
  <w:num w:numId="15">
    <w:abstractNumId w:val="25"/>
  </w:num>
  <w:num w:numId="16">
    <w:abstractNumId w:val="38"/>
  </w:num>
  <w:num w:numId="17">
    <w:abstractNumId w:val="1"/>
  </w:num>
  <w:num w:numId="18">
    <w:abstractNumId w:val="29"/>
  </w:num>
  <w:num w:numId="19">
    <w:abstractNumId w:val="44"/>
  </w:num>
  <w:num w:numId="20">
    <w:abstractNumId w:val="36"/>
  </w:num>
  <w:num w:numId="21">
    <w:abstractNumId w:val="39"/>
  </w:num>
  <w:num w:numId="22">
    <w:abstractNumId w:val="2"/>
  </w:num>
  <w:num w:numId="23">
    <w:abstractNumId w:val="22"/>
  </w:num>
  <w:num w:numId="24">
    <w:abstractNumId w:val="20"/>
  </w:num>
  <w:num w:numId="25">
    <w:abstractNumId w:val="24"/>
  </w:num>
  <w:num w:numId="26">
    <w:abstractNumId w:val="18"/>
  </w:num>
  <w:num w:numId="27">
    <w:abstractNumId w:val="13"/>
  </w:num>
  <w:num w:numId="28">
    <w:abstractNumId w:val="0"/>
  </w:num>
  <w:num w:numId="29">
    <w:abstractNumId w:val="19"/>
  </w:num>
  <w:num w:numId="30">
    <w:abstractNumId w:val="16"/>
  </w:num>
  <w:num w:numId="31">
    <w:abstractNumId w:val="0"/>
  </w:num>
  <w:num w:numId="32">
    <w:abstractNumId w:val="33"/>
  </w:num>
  <w:num w:numId="33">
    <w:abstractNumId w:val="7"/>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5"/>
  </w:num>
  <w:num w:numId="38">
    <w:abstractNumId w:val="45"/>
  </w:num>
  <w:num w:numId="39">
    <w:abstractNumId w:val="12"/>
  </w:num>
  <w:num w:numId="40">
    <w:abstractNumId w:val="26"/>
  </w:num>
  <w:num w:numId="41">
    <w:abstractNumId w:val="17"/>
  </w:num>
  <w:num w:numId="42">
    <w:abstractNumId w:val="10"/>
  </w:num>
  <w:num w:numId="43">
    <w:abstractNumId w:val="30"/>
  </w:num>
  <w:num w:numId="44">
    <w:abstractNumId w:val="28"/>
  </w:num>
  <w:num w:numId="45">
    <w:abstractNumId w:val="41"/>
  </w:num>
  <w:num w:numId="46">
    <w:abstractNumId w:val="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71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1261C"/>
    <w:rsid w:val="0001636B"/>
    <w:rsid w:val="00025781"/>
    <w:rsid w:val="0003240C"/>
    <w:rsid w:val="00035E6B"/>
    <w:rsid w:val="00036B31"/>
    <w:rsid w:val="00041A56"/>
    <w:rsid w:val="00043FC0"/>
    <w:rsid w:val="000461AC"/>
    <w:rsid w:val="0004641E"/>
    <w:rsid w:val="00046B2D"/>
    <w:rsid w:val="00051881"/>
    <w:rsid w:val="000538E1"/>
    <w:rsid w:val="00066458"/>
    <w:rsid w:val="00066CF5"/>
    <w:rsid w:val="0007047F"/>
    <w:rsid w:val="00077629"/>
    <w:rsid w:val="000776BB"/>
    <w:rsid w:val="00077892"/>
    <w:rsid w:val="00083A33"/>
    <w:rsid w:val="0008533B"/>
    <w:rsid w:val="000878FC"/>
    <w:rsid w:val="000901B5"/>
    <w:rsid w:val="00090838"/>
    <w:rsid w:val="000A31A1"/>
    <w:rsid w:val="000A33A0"/>
    <w:rsid w:val="000B108D"/>
    <w:rsid w:val="000B1A39"/>
    <w:rsid w:val="000C364C"/>
    <w:rsid w:val="000D5C3E"/>
    <w:rsid w:val="000D5CB7"/>
    <w:rsid w:val="000D6E7B"/>
    <w:rsid w:val="000D7039"/>
    <w:rsid w:val="000E59F0"/>
    <w:rsid w:val="000E7C34"/>
    <w:rsid w:val="000F35C9"/>
    <w:rsid w:val="000F4CE5"/>
    <w:rsid w:val="00101C67"/>
    <w:rsid w:val="0010413C"/>
    <w:rsid w:val="00114F76"/>
    <w:rsid w:val="00126360"/>
    <w:rsid w:val="001322B0"/>
    <w:rsid w:val="0013401C"/>
    <w:rsid w:val="001417AD"/>
    <w:rsid w:val="00153049"/>
    <w:rsid w:val="00155B24"/>
    <w:rsid w:val="00160533"/>
    <w:rsid w:val="00163269"/>
    <w:rsid w:val="00165ED3"/>
    <w:rsid w:val="0017425C"/>
    <w:rsid w:val="001879DB"/>
    <w:rsid w:val="001919CF"/>
    <w:rsid w:val="00193F7C"/>
    <w:rsid w:val="001A1859"/>
    <w:rsid w:val="001B3E25"/>
    <w:rsid w:val="001D27FF"/>
    <w:rsid w:val="001E059B"/>
    <w:rsid w:val="001E11A8"/>
    <w:rsid w:val="001F1820"/>
    <w:rsid w:val="001F22A2"/>
    <w:rsid w:val="00201A91"/>
    <w:rsid w:val="002129BD"/>
    <w:rsid w:val="00214363"/>
    <w:rsid w:val="00222C06"/>
    <w:rsid w:val="002232DA"/>
    <w:rsid w:val="00232A06"/>
    <w:rsid w:val="002400F3"/>
    <w:rsid w:val="00240A32"/>
    <w:rsid w:val="00253F11"/>
    <w:rsid w:val="00255767"/>
    <w:rsid w:val="0026785C"/>
    <w:rsid w:val="00274BBD"/>
    <w:rsid w:val="00281606"/>
    <w:rsid w:val="002825A0"/>
    <w:rsid w:val="0028445C"/>
    <w:rsid w:val="00290E2F"/>
    <w:rsid w:val="00291A17"/>
    <w:rsid w:val="002A0BFB"/>
    <w:rsid w:val="002B0726"/>
    <w:rsid w:val="002B4174"/>
    <w:rsid w:val="002B7B2D"/>
    <w:rsid w:val="002D38B1"/>
    <w:rsid w:val="002D5D8B"/>
    <w:rsid w:val="002E3256"/>
    <w:rsid w:val="002F5A97"/>
    <w:rsid w:val="002F7095"/>
    <w:rsid w:val="002F7A75"/>
    <w:rsid w:val="00303EA9"/>
    <w:rsid w:val="00305596"/>
    <w:rsid w:val="003059F3"/>
    <w:rsid w:val="00306196"/>
    <w:rsid w:val="00307807"/>
    <w:rsid w:val="00316FD3"/>
    <w:rsid w:val="003358D0"/>
    <w:rsid w:val="003512D8"/>
    <w:rsid w:val="00354739"/>
    <w:rsid w:val="00360522"/>
    <w:rsid w:val="00360821"/>
    <w:rsid w:val="00362042"/>
    <w:rsid w:val="00365F8A"/>
    <w:rsid w:val="00366D8E"/>
    <w:rsid w:val="0037493B"/>
    <w:rsid w:val="003853DF"/>
    <w:rsid w:val="00393029"/>
    <w:rsid w:val="00396829"/>
    <w:rsid w:val="00396EBB"/>
    <w:rsid w:val="003A639B"/>
    <w:rsid w:val="003B3DAF"/>
    <w:rsid w:val="003C0A39"/>
    <w:rsid w:val="003C4C66"/>
    <w:rsid w:val="003C5864"/>
    <w:rsid w:val="003D7ADA"/>
    <w:rsid w:val="003F2F49"/>
    <w:rsid w:val="004042DB"/>
    <w:rsid w:val="00405B0B"/>
    <w:rsid w:val="00410345"/>
    <w:rsid w:val="00413B45"/>
    <w:rsid w:val="004164BF"/>
    <w:rsid w:val="004226D5"/>
    <w:rsid w:val="00435906"/>
    <w:rsid w:val="00435BD6"/>
    <w:rsid w:val="004446CF"/>
    <w:rsid w:val="00463CE1"/>
    <w:rsid w:val="0046672F"/>
    <w:rsid w:val="00470714"/>
    <w:rsid w:val="00481916"/>
    <w:rsid w:val="00493AF3"/>
    <w:rsid w:val="00494970"/>
    <w:rsid w:val="00494D48"/>
    <w:rsid w:val="004965B9"/>
    <w:rsid w:val="004971B1"/>
    <w:rsid w:val="004A2C04"/>
    <w:rsid w:val="004A504B"/>
    <w:rsid w:val="004B0C73"/>
    <w:rsid w:val="004B15C9"/>
    <w:rsid w:val="004C3F0E"/>
    <w:rsid w:val="004C4CAA"/>
    <w:rsid w:val="004C6EB4"/>
    <w:rsid w:val="004D37CF"/>
    <w:rsid w:val="004E11F1"/>
    <w:rsid w:val="004E22F3"/>
    <w:rsid w:val="005065BF"/>
    <w:rsid w:val="005071A6"/>
    <w:rsid w:val="00513E68"/>
    <w:rsid w:val="00517710"/>
    <w:rsid w:val="00517F21"/>
    <w:rsid w:val="00523FC0"/>
    <w:rsid w:val="005303E5"/>
    <w:rsid w:val="00532816"/>
    <w:rsid w:val="005352A2"/>
    <w:rsid w:val="00535B70"/>
    <w:rsid w:val="005443BD"/>
    <w:rsid w:val="00552C1E"/>
    <w:rsid w:val="00552DD3"/>
    <w:rsid w:val="00555AD8"/>
    <w:rsid w:val="0055719F"/>
    <w:rsid w:val="0055751C"/>
    <w:rsid w:val="0056342C"/>
    <w:rsid w:val="00565664"/>
    <w:rsid w:val="005658CF"/>
    <w:rsid w:val="0057063F"/>
    <w:rsid w:val="0057518E"/>
    <w:rsid w:val="005813D2"/>
    <w:rsid w:val="0058258F"/>
    <w:rsid w:val="00584009"/>
    <w:rsid w:val="00595E2C"/>
    <w:rsid w:val="005A2221"/>
    <w:rsid w:val="005A523F"/>
    <w:rsid w:val="005A6A9A"/>
    <w:rsid w:val="005C5ACF"/>
    <w:rsid w:val="005C6168"/>
    <w:rsid w:val="005C7905"/>
    <w:rsid w:val="005D4C2B"/>
    <w:rsid w:val="005D5C60"/>
    <w:rsid w:val="005F768D"/>
    <w:rsid w:val="00606D7D"/>
    <w:rsid w:val="0062430E"/>
    <w:rsid w:val="00624385"/>
    <w:rsid w:val="00633DFD"/>
    <w:rsid w:val="00646C05"/>
    <w:rsid w:val="00646F38"/>
    <w:rsid w:val="00665428"/>
    <w:rsid w:val="006779A5"/>
    <w:rsid w:val="006B0DD7"/>
    <w:rsid w:val="006B5C92"/>
    <w:rsid w:val="006C1A3D"/>
    <w:rsid w:val="006C2F68"/>
    <w:rsid w:val="006C49A2"/>
    <w:rsid w:val="006D2F24"/>
    <w:rsid w:val="006D5DD5"/>
    <w:rsid w:val="006E2CC6"/>
    <w:rsid w:val="007009A1"/>
    <w:rsid w:val="00702193"/>
    <w:rsid w:val="00716E00"/>
    <w:rsid w:val="007177C0"/>
    <w:rsid w:val="007333BE"/>
    <w:rsid w:val="00743028"/>
    <w:rsid w:val="00750D35"/>
    <w:rsid w:val="00751D6A"/>
    <w:rsid w:val="007535A6"/>
    <w:rsid w:val="0076120B"/>
    <w:rsid w:val="0076180E"/>
    <w:rsid w:val="00766A2B"/>
    <w:rsid w:val="0077712F"/>
    <w:rsid w:val="00784034"/>
    <w:rsid w:val="007860AA"/>
    <w:rsid w:val="00791CD0"/>
    <w:rsid w:val="007B1B22"/>
    <w:rsid w:val="007B4C34"/>
    <w:rsid w:val="007C2D9E"/>
    <w:rsid w:val="007C3E79"/>
    <w:rsid w:val="007C4D9B"/>
    <w:rsid w:val="007D65B1"/>
    <w:rsid w:val="007D6C4A"/>
    <w:rsid w:val="007F4337"/>
    <w:rsid w:val="007F4FCB"/>
    <w:rsid w:val="007F681C"/>
    <w:rsid w:val="007F7D70"/>
    <w:rsid w:val="008024A3"/>
    <w:rsid w:val="008043D0"/>
    <w:rsid w:val="008124AC"/>
    <w:rsid w:val="00823A70"/>
    <w:rsid w:val="00836CCB"/>
    <w:rsid w:val="00841FFF"/>
    <w:rsid w:val="00853A07"/>
    <w:rsid w:val="00860703"/>
    <w:rsid w:val="008719C7"/>
    <w:rsid w:val="00872054"/>
    <w:rsid w:val="00875F96"/>
    <w:rsid w:val="00875FFA"/>
    <w:rsid w:val="00881C61"/>
    <w:rsid w:val="00882B1F"/>
    <w:rsid w:val="00886F1D"/>
    <w:rsid w:val="00891010"/>
    <w:rsid w:val="00891E10"/>
    <w:rsid w:val="00892E46"/>
    <w:rsid w:val="00895546"/>
    <w:rsid w:val="00895FF7"/>
    <w:rsid w:val="008A1F40"/>
    <w:rsid w:val="008B757D"/>
    <w:rsid w:val="008C118F"/>
    <w:rsid w:val="008D4F45"/>
    <w:rsid w:val="008E29BD"/>
    <w:rsid w:val="008F223D"/>
    <w:rsid w:val="008F7089"/>
    <w:rsid w:val="008F799E"/>
    <w:rsid w:val="009044FF"/>
    <w:rsid w:val="00904676"/>
    <w:rsid w:val="00905066"/>
    <w:rsid w:val="009069EA"/>
    <w:rsid w:val="0091018D"/>
    <w:rsid w:val="009102DB"/>
    <w:rsid w:val="00911FBA"/>
    <w:rsid w:val="009140D5"/>
    <w:rsid w:val="00937E36"/>
    <w:rsid w:val="00950932"/>
    <w:rsid w:val="009559A8"/>
    <w:rsid w:val="00963FB0"/>
    <w:rsid w:val="0097241D"/>
    <w:rsid w:val="00976518"/>
    <w:rsid w:val="00981771"/>
    <w:rsid w:val="009953A5"/>
    <w:rsid w:val="009960AD"/>
    <w:rsid w:val="00996A66"/>
    <w:rsid w:val="009A0AF5"/>
    <w:rsid w:val="009A547E"/>
    <w:rsid w:val="009C0865"/>
    <w:rsid w:val="009C1EEE"/>
    <w:rsid w:val="009C3CC4"/>
    <w:rsid w:val="009C4B44"/>
    <w:rsid w:val="009C5E18"/>
    <w:rsid w:val="009D538C"/>
    <w:rsid w:val="009E1689"/>
    <w:rsid w:val="009E28DA"/>
    <w:rsid w:val="009E630B"/>
    <w:rsid w:val="009E7439"/>
    <w:rsid w:val="00A01AA4"/>
    <w:rsid w:val="00A04F9B"/>
    <w:rsid w:val="00A21AE7"/>
    <w:rsid w:val="00A250E7"/>
    <w:rsid w:val="00A26A52"/>
    <w:rsid w:val="00A302F6"/>
    <w:rsid w:val="00A34AD9"/>
    <w:rsid w:val="00A35EFD"/>
    <w:rsid w:val="00A371AE"/>
    <w:rsid w:val="00A41CAB"/>
    <w:rsid w:val="00A43EBD"/>
    <w:rsid w:val="00A4610B"/>
    <w:rsid w:val="00A74C6F"/>
    <w:rsid w:val="00A75B99"/>
    <w:rsid w:val="00A81976"/>
    <w:rsid w:val="00A94F6A"/>
    <w:rsid w:val="00A9550A"/>
    <w:rsid w:val="00AA612B"/>
    <w:rsid w:val="00AC3F22"/>
    <w:rsid w:val="00AC54D0"/>
    <w:rsid w:val="00AC60B0"/>
    <w:rsid w:val="00AD4744"/>
    <w:rsid w:val="00AE3F6D"/>
    <w:rsid w:val="00AE4B25"/>
    <w:rsid w:val="00B078BB"/>
    <w:rsid w:val="00B101B9"/>
    <w:rsid w:val="00B12943"/>
    <w:rsid w:val="00B149BF"/>
    <w:rsid w:val="00B222A9"/>
    <w:rsid w:val="00B264BE"/>
    <w:rsid w:val="00B34E82"/>
    <w:rsid w:val="00B36EA4"/>
    <w:rsid w:val="00B47461"/>
    <w:rsid w:val="00B55572"/>
    <w:rsid w:val="00B65B42"/>
    <w:rsid w:val="00B72FF6"/>
    <w:rsid w:val="00B741BD"/>
    <w:rsid w:val="00B84D26"/>
    <w:rsid w:val="00BA0237"/>
    <w:rsid w:val="00BA52A1"/>
    <w:rsid w:val="00BB3108"/>
    <w:rsid w:val="00BB42A4"/>
    <w:rsid w:val="00BC12AE"/>
    <w:rsid w:val="00BC30A4"/>
    <w:rsid w:val="00BD6243"/>
    <w:rsid w:val="00BE2716"/>
    <w:rsid w:val="00BE689A"/>
    <w:rsid w:val="00BF0426"/>
    <w:rsid w:val="00BF344F"/>
    <w:rsid w:val="00BF37B1"/>
    <w:rsid w:val="00C0495E"/>
    <w:rsid w:val="00C11233"/>
    <w:rsid w:val="00C418AA"/>
    <w:rsid w:val="00C50792"/>
    <w:rsid w:val="00C52482"/>
    <w:rsid w:val="00C57C14"/>
    <w:rsid w:val="00C60BA7"/>
    <w:rsid w:val="00C64524"/>
    <w:rsid w:val="00C6530E"/>
    <w:rsid w:val="00C65AD1"/>
    <w:rsid w:val="00C765CA"/>
    <w:rsid w:val="00C805E1"/>
    <w:rsid w:val="00C83F9F"/>
    <w:rsid w:val="00C848A4"/>
    <w:rsid w:val="00C9571D"/>
    <w:rsid w:val="00C97A76"/>
    <w:rsid w:val="00C97FF8"/>
    <w:rsid w:val="00CB03A1"/>
    <w:rsid w:val="00CB0C28"/>
    <w:rsid w:val="00CB6A57"/>
    <w:rsid w:val="00CC085F"/>
    <w:rsid w:val="00CC24EE"/>
    <w:rsid w:val="00CC4BE0"/>
    <w:rsid w:val="00CD5EA6"/>
    <w:rsid w:val="00CE0E84"/>
    <w:rsid w:val="00CF2DA2"/>
    <w:rsid w:val="00CF7A37"/>
    <w:rsid w:val="00D0329A"/>
    <w:rsid w:val="00D05457"/>
    <w:rsid w:val="00D179F6"/>
    <w:rsid w:val="00D2079E"/>
    <w:rsid w:val="00D268F3"/>
    <w:rsid w:val="00D30D82"/>
    <w:rsid w:val="00D41CEB"/>
    <w:rsid w:val="00D448CD"/>
    <w:rsid w:val="00D51AB9"/>
    <w:rsid w:val="00D528E5"/>
    <w:rsid w:val="00D555D0"/>
    <w:rsid w:val="00D62D74"/>
    <w:rsid w:val="00D70A6A"/>
    <w:rsid w:val="00D74BB4"/>
    <w:rsid w:val="00D815E9"/>
    <w:rsid w:val="00D82868"/>
    <w:rsid w:val="00DB480D"/>
    <w:rsid w:val="00DC41E5"/>
    <w:rsid w:val="00DC75FC"/>
    <w:rsid w:val="00DD10D6"/>
    <w:rsid w:val="00DD17E1"/>
    <w:rsid w:val="00DD3B23"/>
    <w:rsid w:val="00DD6CB4"/>
    <w:rsid w:val="00DD714B"/>
    <w:rsid w:val="00DE3659"/>
    <w:rsid w:val="00DF02F8"/>
    <w:rsid w:val="00DF38B6"/>
    <w:rsid w:val="00DF47F6"/>
    <w:rsid w:val="00E065EE"/>
    <w:rsid w:val="00E1753F"/>
    <w:rsid w:val="00E2159E"/>
    <w:rsid w:val="00E23920"/>
    <w:rsid w:val="00E24B00"/>
    <w:rsid w:val="00E278DD"/>
    <w:rsid w:val="00E27E58"/>
    <w:rsid w:val="00E53688"/>
    <w:rsid w:val="00E56F5B"/>
    <w:rsid w:val="00E84BA7"/>
    <w:rsid w:val="00E958BE"/>
    <w:rsid w:val="00E977B5"/>
    <w:rsid w:val="00E97973"/>
    <w:rsid w:val="00EA0DE2"/>
    <w:rsid w:val="00EB2B33"/>
    <w:rsid w:val="00EB72E2"/>
    <w:rsid w:val="00EC1E5D"/>
    <w:rsid w:val="00EC4F01"/>
    <w:rsid w:val="00EE52E7"/>
    <w:rsid w:val="00EF228A"/>
    <w:rsid w:val="00EF5038"/>
    <w:rsid w:val="00F03210"/>
    <w:rsid w:val="00F2261B"/>
    <w:rsid w:val="00F35BB1"/>
    <w:rsid w:val="00F419C0"/>
    <w:rsid w:val="00F5551C"/>
    <w:rsid w:val="00F64D30"/>
    <w:rsid w:val="00F82878"/>
    <w:rsid w:val="00F860A9"/>
    <w:rsid w:val="00F95B77"/>
    <w:rsid w:val="00F9640C"/>
    <w:rsid w:val="00FA15C7"/>
    <w:rsid w:val="00FC6244"/>
    <w:rsid w:val="00FD1097"/>
    <w:rsid w:val="00FE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Char">
    <w:name w:val="Char"/>
    <w:basedOn w:val="Normal"/>
    <w:rsid w:val="00A371AE"/>
    <w:pPr>
      <w:spacing w:after="160" w:line="240" w:lineRule="exact"/>
    </w:pPr>
    <w:rPr>
      <w:rFonts w:ascii="Verdana" w:eastAsia="Times New Roman" w:hAnsi="Verdana"/>
      <w:sz w:val="20"/>
      <w:lang w:val="en-GB"/>
    </w:rPr>
  </w:style>
  <w:style w:type="character" w:customStyle="1" w:styleId="Heading9Char">
    <w:name w:val="Heading 9 Char"/>
    <w:basedOn w:val="DefaultParagraphFont"/>
    <w:link w:val="Heading9"/>
    <w:rsid w:val="008C118F"/>
    <w:rPr>
      <w:rFonts w:ascii="Arial" w:hAnsi="Arial"/>
      <w:b/>
      <w:i/>
      <w:lang w:val="en-AU"/>
    </w:rPr>
  </w:style>
  <w:style w:type="paragraph" w:customStyle="1" w:styleId="Default">
    <w:name w:val="Default"/>
    <w:rsid w:val="009140D5"/>
    <w:pPr>
      <w:autoSpaceDE w:val="0"/>
      <w:autoSpaceDN w:val="0"/>
      <w:adjustRightInd w:val="0"/>
    </w:pPr>
    <w:rPr>
      <w:rFonts w:ascii="Candara" w:eastAsiaTheme="minorHAnsi" w:hAnsi="Candara" w:cs="Candara"/>
      <w:color w:val="000000"/>
      <w:sz w:val="24"/>
      <w:szCs w:val="24"/>
    </w:rPr>
  </w:style>
  <w:style w:type="character" w:customStyle="1" w:styleId="apple-converted-space">
    <w:name w:val="apple-converted-space"/>
    <w:basedOn w:val="DefaultParagraphFont"/>
    <w:rsid w:val="00306196"/>
  </w:style>
  <w:style w:type="paragraph" w:customStyle="1" w:styleId="yiv3696371760msonormal">
    <w:name w:val="yiv3696371760msonormal"/>
    <w:basedOn w:val="Normal"/>
    <w:rsid w:val="004D37CF"/>
    <w:pPr>
      <w:spacing w:before="100" w:beforeAutospacing="1" w:after="100" w:afterAutospacing="1"/>
    </w:pPr>
    <w:rPr>
      <w:rFonts w:eastAsia="Times New Roman"/>
      <w:szCs w:val="24"/>
      <w:lang w:val="en-US"/>
    </w:rPr>
  </w:style>
  <w:style w:type="paragraph" w:styleId="NoSpacing">
    <w:name w:val="No Spacing"/>
    <w:uiPriority w:val="1"/>
    <w:qFormat/>
    <w:rsid w:val="00A9550A"/>
    <w:rPr>
      <w:rFonts w:asciiTheme="minorHAnsi" w:eastAsiaTheme="minorHAnsi" w:hAnsiTheme="minorHAnsi" w:cstheme="minorBidi"/>
      <w:sz w:val="22"/>
      <w:szCs w:val="22"/>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Char">
    <w:name w:val="Char"/>
    <w:basedOn w:val="Normal"/>
    <w:rsid w:val="00A371AE"/>
    <w:pPr>
      <w:spacing w:after="160" w:line="240" w:lineRule="exact"/>
    </w:pPr>
    <w:rPr>
      <w:rFonts w:ascii="Verdana" w:eastAsia="Times New Roman" w:hAnsi="Verdana"/>
      <w:sz w:val="20"/>
      <w:lang w:val="en-GB"/>
    </w:rPr>
  </w:style>
  <w:style w:type="character" w:customStyle="1" w:styleId="Heading9Char">
    <w:name w:val="Heading 9 Char"/>
    <w:basedOn w:val="DefaultParagraphFont"/>
    <w:link w:val="Heading9"/>
    <w:rsid w:val="008C118F"/>
    <w:rPr>
      <w:rFonts w:ascii="Arial" w:hAnsi="Arial"/>
      <w:b/>
      <w:i/>
      <w:lang w:val="en-AU"/>
    </w:rPr>
  </w:style>
  <w:style w:type="paragraph" w:customStyle="1" w:styleId="Default">
    <w:name w:val="Default"/>
    <w:rsid w:val="009140D5"/>
    <w:pPr>
      <w:autoSpaceDE w:val="0"/>
      <w:autoSpaceDN w:val="0"/>
      <w:adjustRightInd w:val="0"/>
    </w:pPr>
    <w:rPr>
      <w:rFonts w:ascii="Candara" w:eastAsiaTheme="minorHAnsi" w:hAnsi="Candara" w:cs="Candara"/>
      <w:color w:val="000000"/>
      <w:sz w:val="24"/>
      <w:szCs w:val="24"/>
    </w:rPr>
  </w:style>
  <w:style w:type="character" w:customStyle="1" w:styleId="apple-converted-space">
    <w:name w:val="apple-converted-space"/>
    <w:basedOn w:val="DefaultParagraphFont"/>
    <w:rsid w:val="00306196"/>
  </w:style>
  <w:style w:type="paragraph" w:customStyle="1" w:styleId="yiv3696371760msonormal">
    <w:name w:val="yiv3696371760msonormal"/>
    <w:basedOn w:val="Normal"/>
    <w:rsid w:val="004D37CF"/>
    <w:pPr>
      <w:spacing w:before="100" w:beforeAutospacing="1" w:after="100" w:afterAutospacing="1"/>
    </w:pPr>
    <w:rPr>
      <w:rFonts w:eastAsia="Times New Roman"/>
      <w:szCs w:val="24"/>
      <w:lang w:val="en-US"/>
    </w:rPr>
  </w:style>
  <w:style w:type="paragraph" w:styleId="NoSpacing">
    <w:name w:val="No Spacing"/>
    <w:uiPriority w:val="1"/>
    <w:qFormat/>
    <w:rsid w:val="00A9550A"/>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15609">
      <w:bodyDiv w:val="1"/>
      <w:marLeft w:val="0"/>
      <w:marRight w:val="0"/>
      <w:marTop w:val="0"/>
      <w:marBottom w:val="0"/>
      <w:divBdr>
        <w:top w:val="none" w:sz="0" w:space="0" w:color="auto"/>
        <w:left w:val="none" w:sz="0" w:space="0" w:color="auto"/>
        <w:bottom w:val="none" w:sz="0" w:space="0" w:color="auto"/>
        <w:right w:val="none" w:sz="0" w:space="0" w:color="auto"/>
      </w:divBdr>
    </w:div>
    <w:div w:id="650333714">
      <w:bodyDiv w:val="1"/>
      <w:marLeft w:val="0"/>
      <w:marRight w:val="0"/>
      <w:marTop w:val="0"/>
      <w:marBottom w:val="0"/>
      <w:divBdr>
        <w:top w:val="none" w:sz="0" w:space="0" w:color="auto"/>
        <w:left w:val="none" w:sz="0" w:space="0" w:color="auto"/>
        <w:bottom w:val="none" w:sz="0" w:space="0" w:color="auto"/>
        <w:right w:val="none" w:sz="0" w:space="0" w:color="auto"/>
      </w:divBdr>
    </w:div>
    <w:div w:id="14290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b_eprd@yahoo.com" TargetMode="External"/><Relationship Id="rId21" Type="http://schemas.openxmlformats.org/officeDocument/2006/relationships/hyperlink" Target="mailto:jravalo@bsp.gov.ph" TargetMode="External"/><Relationship Id="rId42" Type="http://schemas.openxmlformats.org/officeDocument/2006/relationships/hyperlink" Target="mailto:contacts@procurementservice.org" TargetMode="External"/><Relationship Id="rId47" Type="http://schemas.openxmlformats.org/officeDocument/2006/relationships/hyperlink" Target="http://www.dti.gov.ph" TargetMode="External"/><Relationship Id="rId63" Type="http://schemas.openxmlformats.org/officeDocument/2006/relationships/hyperlink" Target="http://www.aseansec.org/19585.htm" TargetMode="External"/><Relationship Id="rId68" Type="http://schemas.openxmlformats.org/officeDocument/2006/relationships/hyperlink" Target="http://www.aseansec.org/akfta.htm" TargetMode="External"/><Relationship Id="rId16" Type="http://schemas.openxmlformats.org/officeDocument/2006/relationships/hyperlink" Target="http://www.bsp.gov.ph/regulations.asp?id=3112" TargetMode="External"/><Relationship Id="rId11" Type="http://schemas.openxmlformats.org/officeDocument/2006/relationships/hyperlink" Target="http://www.intercommerce.com.ph" TargetMode="External"/><Relationship Id="rId24" Type="http://schemas.openxmlformats.org/officeDocument/2006/relationships/hyperlink" Target="mailto:oadm@marina.gov.ph" TargetMode="External"/><Relationship Id="rId32" Type="http://schemas.openxmlformats.org/officeDocument/2006/relationships/hyperlink" Target="http://www.bafps.da.gov.ph" TargetMode="External"/><Relationship Id="rId37" Type="http://schemas.openxmlformats.org/officeDocument/2006/relationships/hyperlink" Target="mailto:competition@doj.gov.ph" TargetMode="External"/><Relationship Id="rId40" Type="http://schemas.openxmlformats.org/officeDocument/2006/relationships/hyperlink" Target="mailto:gppb@gppb.gov.ph" TargetMode="External"/><Relationship Id="rId45" Type="http://schemas.openxmlformats.org/officeDocument/2006/relationships/hyperlink" Target="mailto:RSReinoso@neda.gov.ph" TargetMode="External"/><Relationship Id="rId53" Type="http://schemas.openxmlformats.org/officeDocument/2006/relationships/hyperlink" Target="http://www.dfa.gov.ph" TargetMode="External"/><Relationship Id="rId58" Type="http://schemas.openxmlformats.org/officeDocument/2006/relationships/hyperlink" Target="mailto:pascn@pidsnet.pids.gov.ph" TargetMode="External"/><Relationship Id="rId66" Type="http://schemas.openxmlformats.org/officeDocument/2006/relationships/hyperlink" Target="http://www.aseansec.org/18067.htm" TargetMode="External"/><Relationship Id="rId74" Type="http://schemas.openxmlformats.org/officeDocument/2006/relationships/hyperlink" Target="http://www.aseansec.org/22308.pdf"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gov.ph/faith" TargetMode="External"/><Relationship Id="rId19" Type="http://schemas.openxmlformats.org/officeDocument/2006/relationships/hyperlink" Target="http://www.bsp.gov.ph/downloads/laws/RA10574.pdf" TargetMode="External"/><Relationship Id="rId14" Type="http://schemas.openxmlformats.org/officeDocument/2006/relationships/hyperlink" Target="mailto:epad.polreser@lycos.com" TargetMode="External"/><Relationship Id="rId22" Type="http://schemas.openxmlformats.org/officeDocument/2006/relationships/hyperlink" Target="http://www.doe.gov.ph" TargetMode="External"/><Relationship Id="rId27" Type="http://schemas.openxmlformats.org/officeDocument/2006/relationships/hyperlink" Target="http://www.boi.gov.ph" TargetMode="External"/><Relationship Id="rId30" Type="http://schemas.openxmlformats.org/officeDocument/2006/relationships/hyperlink" Target="http://www.pao.dti.gov.ph" TargetMode="External"/><Relationship Id="rId35" Type="http://schemas.openxmlformats.org/officeDocument/2006/relationships/hyperlink" Target="http://www.ipophil.gov.ph" TargetMode="External"/><Relationship Id="rId43" Type="http://schemas.openxmlformats.org/officeDocument/2006/relationships/hyperlink" Target="mailto:ecgir@procurementservice.org" TargetMode="External"/><Relationship Id="rId48" Type="http://schemas.openxmlformats.org/officeDocument/2006/relationships/hyperlink" Target="http://www.osg.gov.ph" TargetMode="External"/><Relationship Id="rId56" Type="http://schemas.openxmlformats.org/officeDocument/2006/relationships/hyperlink" Target="http://pascn.pids.gov.ph/" TargetMode="External"/><Relationship Id="rId64" Type="http://schemas.openxmlformats.org/officeDocument/2006/relationships/hyperlink" Target="http://www.aseansec.org/22572.htm" TargetMode="External"/><Relationship Id="rId69" Type="http://schemas.openxmlformats.org/officeDocument/2006/relationships/hyperlink" Target="http://www.aseansec.org/22677.pdf"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secretariat@pdrci.org" TargetMode="External"/><Relationship Id="rId72" Type="http://schemas.openxmlformats.org/officeDocument/2006/relationships/hyperlink" Target="http://www.aseansec.org/22262.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sra.gov.ph" TargetMode="External"/><Relationship Id="rId17" Type="http://schemas.openxmlformats.org/officeDocument/2006/relationships/hyperlink" Target="http://www.bsp.gov.ph/regulations.asp?id=3205" TargetMode="External"/><Relationship Id="rId25" Type="http://schemas.openxmlformats.org/officeDocument/2006/relationships/hyperlink" Target="http://cab.gov.ph" TargetMode="External"/><Relationship Id="rId33" Type="http://schemas.openxmlformats.org/officeDocument/2006/relationships/hyperlink" Target="mailto:bafpsda@yahoo.com" TargetMode="External"/><Relationship Id="rId38" Type="http://schemas.openxmlformats.org/officeDocument/2006/relationships/hyperlink" Target="mailto:gls.doj@gmail.com" TargetMode="External"/><Relationship Id="rId46" Type="http://schemas.openxmlformats.org/officeDocument/2006/relationships/hyperlink" Target="http://www.dti.gov.ph" TargetMode="External"/><Relationship Id="rId59" Type="http://schemas.openxmlformats.org/officeDocument/2006/relationships/hyperlink" Target="http://www.gov.ph" TargetMode="External"/><Relationship Id="rId67" Type="http://schemas.openxmlformats.org/officeDocument/2006/relationships/hyperlink" Target="http://www.aseansec.org/18129.htm" TargetMode="External"/><Relationship Id="rId20" Type="http://schemas.openxmlformats.org/officeDocument/2006/relationships/hyperlink" Target="mailto:pangeles@bsp.gov.ph" TargetMode="External"/><Relationship Id="rId41" Type="http://schemas.openxmlformats.org/officeDocument/2006/relationships/hyperlink" Target="mailto:rsreinoso@neda.gov.ph" TargetMode="External"/><Relationship Id="rId54" Type="http://schemas.openxmlformats.org/officeDocument/2006/relationships/hyperlink" Target="mailto:apecphil@yahoo.com" TargetMode="External"/><Relationship Id="rId62" Type="http://schemas.openxmlformats.org/officeDocument/2006/relationships/hyperlink" Target="http://www.dti.gov.ph/dti/index.php?p=642" TargetMode="External"/><Relationship Id="rId70" Type="http://schemas.openxmlformats.org/officeDocument/2006/relationships/hyperlink" Target="http://www.aseansec.org/22679.pdf" TargetMode="External"/><Relationship Id="rId75" Type="http://schemas.openxmlformats.org/officeDocument/2006/relationships/hyperlink" Target="http://www.dti.gov.ph/dti/index.php?p=68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rahead@sra.gov.ph" TargetMode="External"/><Relationship Id="rId23" Type="http://schemas.openxmlformats.org/officeDocument/2006/relationships/hyperlink" Target="http://www.marina.gov.ph" TargetMode="External"/><Relationship Id="rId28" Type="http://schemas.openxmlformats.org/officeDocument/2006/relationships/hyperlink" Target="http://www.bps.dti.gov.ph" TargetMode="External"/><Relationship Id="rId36" Type="http://schemas.openxmlformats.org/officeDocument/2006/relationships/hyperlink" Target="http://www.doj.gov.ph" TargetMode="External"/><Relationship Id="rId49" Type="http://schemas.openxmlformats.org/officeDocument/2006/relationships/hyperlink" Target="mailto:rvparas@doj.gov.ph" TargetMode="External"/><Relationship Id="rId57" Type="http://schemas.openxmlformats.org/officeDocument/2006/relationships/hyperlink" Target="mailto:emedalla@pids.gov.ph" TargetMode="External"/><Relationship Id="rId10" Type="http://schemas.openxmlformats.org/officeDocument/2006/relationships/hyperlink" Target="http://www.tariffcomission.gov.ph" TargetMode="External"/><Relationship Id="rId31" Type="http://schemas.openxmlformats.org/officeDocument/2006/relationships/hyperlink" Target="http://www.fda.gov.ph" TargetMode="External"/><Relationship Id="rId44" Type="http://schemas.openxmlformats.org/officeDocument/2006/relationships/hyperlink" Target="http://www.neda.gov.ph" TargetMode="External"/><Relationship Id="rId52" Type="http://schemas.openxmlformats.org/officeDocument/2006/relationships/hyperlink" Target="mailto:ciac_ciac@yahoo.com" TargetMode="External"/><Relationship Id="rId60" Type="http://schemas.openxmlformats.org/officeDocument/2006/relationships/hyperlink" Target="http://www.gov.ph/2012/09/12/republic-act-no-10175" TargetMode="External"/><Relationship Id="rId65" Type="http://schemas.openxmlformats.org/officeDocument/2006/relationships/hyperlink" Target="http://www.aseansec.org/18063.htm" TargetMode="External"/><Relationship Id="rId73" Type="http://schemas.openxmlformats.org/officeDocument/2006/relationships/hyperlink" Target="http://www.aseansec.org/22287.pdf" TargetMode="External"/><Relationship Id="rId78"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ariffcommission.gov.ph/tariff_finder/" TargetMode="External"/><Relationship Id="rId13" Type="http://schemas.openxmlformats.org/officeDocument/2006/relationships/hyperlink" Target="mailto:vero.librojo@yahoo.com" TargetMode="External"/><Relationship Id="rId18" Type="http://schemas.openxmlformats.org/officeDocument/2006/relationships/hyperlink" Target="http://www.bsp.gov.ph/downloads/regulations/attachments/2013/c809.pdf" TargetMode="External"/><Relationship Id="rId39" Type="http://schemas.openxmlformats.org/officeDocument/2006/relationships/hyperlink" Target="http://www.gppb.gov.ph" TargetMode="External"/><Relationship Id="rId34" Type="http://schemas.openxmlformats.org/officeDocument/2006/relationships/hyperlink" Target="mailto:BOCCommissioner@customs.gov.ph" TargetMode="External"/><Relationship Id="rId50" Type="http://schemas.openxmlformats.org/officeDocument/2006/relationships/hyperlink" Target="mailto:docket@osg.gov.ph" TargetMode="External"/><Relationship Id="rId55" Type="http://schemas.openxmlformats.org/officeDocument/2006/relationships/hyperlink" Target="http://www.pids.gov.ph" TargetMode="External"/><Relationship Id="rId76" Type="http://schemas.openxmlformats.org/officeDocument/2006/relationships/hyperlink" Target="http://www.asean.org/news/item/twentyfirst-asean-summit-phnom-penh-cambodia-18-november-2012" TargetMode="External"/><Relationship Id="rId7" Type="http://schemas.openxmlformats.org/officeDocument/2006/relationships/footnotes" Target="footnotes.xml"/><Relationship Id="rId71" Type="http://schemas.openxmlformats.org/officeDocument/2006/relationships/hyperlink" Target="http://www.aseansec.org/22260.pdf" TargetMode="External"/><Relationship Id="rId2" Type="http://schemas.openxmlformats.org/officeDocument/2006/relationships/numbering" Target="numbering.xml"/><Relationship Id="rId29" Type="http://schemas.openxmlformats.org/officeDocument/2006/relationships/hyperlink" Target="http://www.bps.dti.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D8A1-4ABD-41AD-B073-D4AE93C1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8279</Words>
  <Characters>47193</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55362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Bernadine Zhang Yuhua</cp:lastModifiedBy>
  <cp:revision>2</cp:revision>
  <cp:lastPrinted>2011-12-09T02:01:00Z</cp:lastPrinted>
  <dcterms:created xsi:type="dcterms:W3CDTF">2014-02-17T08:39:00Z</dcterms:created>
  <dcterms:modified xsi:type="dcterms:W3CDTF">2014-02-17T08:39:00Z</dcterms:modified>
</cp:coreProperties>
</file>