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Tr="000A33A0">
        <w:trPr>
          <w:tblHeader/>
        </w:trPr>
        <w:tc>
          <w:tcPr>
            <w:tcW w:w="14564" w:type="dxa"/>
            <w:shd w:val="clear" w:color="auto" w:fill="DBE5F1" w:themeFill="accent1" w:themeFillTint="33"/>
          </w:tcPr>
          <w:p w:rsidR="00CB6A57" w:rsidRPr="000A33A0" w:rsidRDefault="00CB6A57" w:rsidP="00390FAC">
            <w:pPr>
              <w:spacing w:before="120" w:after="120"/>
              <w:jc w:val="center"/>
              <w:rPr>
                <w:rFonts w:asciiTheme="minorHAnsi" w:hAnsiTheme="minorHAnsi"/>
                <w:b/>
                <w:sz w:val="20"/>
              </w:rPr>
            </w:pPr>
            <w:r w:rsidRPr="000A33A0">
              <w:rPr>
                <w:rFonts w:asciiTheme="minorHAnsi" w:hAnsiTheme="minorHAnsi"/>
                <w:b/>
                <w:sz w:val="20"/>
              </w:rPr>
              <w:t xml:space="preserve">Individual Action Plan Update </w:t>
            </w:r>
            <w:r w:rsidR="00390FAC">
              <w:rPr>
                <w:rFonts w:asciiTheme="minorHAnsi" w:hAnsiTheme="minorHAnsi"/>
                <w:b/>
                <w:sz w:val="20"/>
              </w:rPr>
              <w:t>for Canada for 2014</w:t>
            </w:r>
            <w:r w:rsidR="00D179F6"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D179F6" w:rsidRPr="000A33A0">
              <w:rPr>
                <w:rFonts w:asciiTheme="minorHAnsi" w:hAnsiTheme="minorHAnsi"/>
                <w:b/>
                <w:sz w:val="20"/>
              </w:rPr>
            </w:r>
            <w:r w:rsidR="00D179F6" w:rsidRPr="000A33A0">
              <w:rPr>
                <w:rFonts w:asciiTheme="minorHAnsi" w:hAnsiTheme="minorHAnsi"/>
                <w:b/>
                <w:sz w:val="20"/>
              </w:rPr>
              <w:fldChar w:fldCharType="end"/>
            </w:r>
          </w:p>
        </w:tc>
      </w:tr>
      <w:tr w:rsidR="00CB6A57">
        <w:trPr>
          <w:tblHeader/>
        </w:trPr>
        <w:tc>
          <w:tcPr>
            <w:tcW w:w="14564" w:type="dxa"/>
          </w:tcPr>
          <w:p w:rsidR="00CB6A57" w:rsidRPr="00BF37B1" w:rsidRDefault="00CB6A57">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0A33A0" w:rsidTr="000A33A0">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0A33A0" w:rsidRDefault="00CB6A57" w:rsidP="006E6390">
            <w:pPr>
              <w:spacing w:before="60" w:after="60"/>
              <w:jc w:val="center"/>
              <w:rPr>
                <w:rFonts w:asciiTheme="minorHAnsi" w:hAnsiTheme="minorHAnsi"/>
                <w:b/>
                <w:sz w:val="20"/>
                <w:vertAlign w:val="superscript"/>
                <w:lang w:eastAsia="zh-TW"/>
              </w:rPr>
            </w:pPr>
            <w:r w:rsidRPr="000A33A0">
              <w:rPr>
                <w:rFonts w:asciiTheme="minorHAnsi" w:hAnsiTheme="minorHAnsi"/>
                <w:b/>
                <w:sz w:val="20"/>
              </w:rPr>
              <w:t>Improvements made since</w:t>
            </w:r>
            <w:r w:rsidRPr="000A33A0">
              <w:rPr>
                <w:rFonts w:asciiTheme="minorHAnsi" w:hAnsiTheme="minorHAnsi"/>
                <w:b/>
                <w:sz w:val="20"/>
                <w:lang w:eastAsia="zh-TW"/>
              </w:rPr>
              <w:t xml:space="preserve"> </w:t>
            </w:r>
            <w:r w:rsidR="006E6390">
              <w:rPr>
                <w:rFonts w:asciiTheme="minorHAnsi" w:hAnsiTheme="minorHAnsi"/>
                <w:b/>
                <w:sz w:val="20"/>
                <w:lang w:eastAsia="zh-TW"/>
              </w:rPr>
              <w:t>2012</w:t>
            </w:r>
            <w:r w:rsidRPr="000A33A0">
              <w:rPr>
                <w:rFonts w:asciiTheme="minorHAnsi" w:hAnsiTheme="minorHAnsi"/>
                <w:b/>
                <w:sz w:val="20"/>
              </w:rPr>
              <w:t xml:space="preserve"> IAP </w:t>
            </w:r>
          </w:p>
        </w:tc>
        <w:tc>
          <w:tcPr>
            <w:tcW w:w="5670"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trPr>
          <w:trHeight w:val="648"/>
        </w:trPr>
        <w:tc>
          <w:tcPr>
            <w:tcW w:w="3524" w:type="dxa"/>
          </w:tcPr>
          <w:p w:rsidR="00CB6A57" w:rsidRPr="00BF37B1" w:rsidRDefault="00CB6A57">
            <w:pPr>
              <w:pStyle w:val="Heading9"/>
              <w:rPr>
                <w:rFonts w:asciiTheme="minorHAnsi" w:hAnsiTheme="minorHAnsi"/>
              </w:rPr>
            </w:pPr>
            <w:bookmarkStart w:id="1" w:name="Row01"/>
            <w:r w:rsidRPr="00BF37B1">
              <w:rPr>
                <w:rFonts w:asciiTheme="minorHAnsi" w:hAnsiTheme="minorHAnsi"/>
              </w:rPr>
              <w:t>Tariffs</w:t>
            </w:r>
            <w:bookmarkEnd w:id="1"/>
          </w:p>
        </w:tc>
        <w:tc>
          <w:tcPr>
            <w:tcW w:w="5387" w:type="dxa"/>
          </w:tcPr>
          <w:p w:rsidR="009507D9" w:rsidRPr="007312CB" w:rsidRDefault="009507D9" w:rsidP="007312CB">
            <w:pPr>
              <w:pStyle w:val="ListParagraph"/>
              <w:numPr>
                <w:ilvl w:val="0"/>
                <w:numId w:val="6"/>
              </w:numPr>
              <w:ind w:left="338" w:hanging="284"/>
              <w:rPr>
                <w:rFonts w:asciiTheme="minorHAnsi" w:hAnsiTheme="minorHAnsi" w:cs="Arial"/>
                <w:sz w:val="20"/>
              </w:rPr>
            </w:pPr>
            <w:bookmarkStart w:id="2" w:name="Cell01"/>
            <w:bookmarkEnd w:id="2"/>
            <w:r w:rsidRPr="007312CB">
              <w:rPr>
                <w:rFonts w:asciiTheme="minorHAnsi" w:hAnsiTheme="minorHAnsi" w:cs="Arial"/>
                <w:sz w:val="20"/>
              </w:rPr>
              <w:t xml:space="preserve">Amendments to the Customs Tariff to simplify its structure, and reduce the customs processing burden by consolidating similar tariff items that have the same tariff rates and by removing end-use provisions where appropriate.  Effective 1 January 2012.  </w:t>
            </w:r>
          </w:p>
          <w:p w:rsidR="009507D9" w:rsidRPr="007312CB" w:rsidRDefault="009507D9" w:rsidP="007312CB">
            <w:pPr>
              <w:pStyle w:val="ListParagraph"/>
              <w:numPr>
                <w:ilvl w:val="0"/>
                <w:numId w:val="6"/>
              </w:numPr>
              <w:ind w:left="338" w:hanging="284"/>
              <w:rPr>
                <w:rFonts w:asciiTheme="minorHAnsi" w:hAnsiTheme="minorHAnsi" w:cs="Arial"/>
                <w:sz w:val="20"/>
              </w:rPr>
            </w:pPr>
            <w:r w:rsidRPr="007312CB">
              <w:rPr>
                <w:rFonts w:asciiTheme="minorHAnsi" w:hAnsiTheme="minorHAnsi" w:cs="Arial"/>
                <w:sz w:val="20"/>
              </w:rPr>
              <w:t xml:space="preserve">Creation of new tariff items/lines to facilitate the importation of low-value non-commercial shipments arriving by post or courier (HS 98.25).  Effective 1 January 2012.  </w:t>
            </w:r>
          </w:p>
          <w:p w:rsidR="009507D9" w:rsidRPr="007312CB" w:rsidRDefault="009507D9" w:rsidP="007312CB">
            <w:pPr>
              <w:pStyle w:val="ListParagraph"/>
              <w:numPr>
                <w:ilvl w:val="0"/>
                <w:numId w:val="6"/>
              </w:numPr>
              <w:ind w:left="338" w:hanging="284"/>
              <w:rPr>
                <w:rFonts w:asciiTheme="minorHAnsi" w:hAnsiTheme="minorHAnsi" w:cs="Arial"/>
                <w:sz w:val="20"/>
              </w:rPr>
            </w:pPr>
            <w:r w:rsidRPr="007312CB">
              <w:rPr>
                <w:rFonts w:asciiTheme="minorHAnsi" w:hAnsiTheme="minorHAnsi" w:cs="Arial"/>
                <w:sz w:val="20"/>
              </w:rPr>
              <w:t xml:space="preserve">Elimination of import tariffs on certain petroleum oils used as fuels in the production of energy and electricity.  </w:t>
            </w:r>
            <w:proofErr w:type="spellStart"/>
            <w:r w:rsidRPr="007312CB">
              <w:rPr>
                <w:rFonts w:asciiTheme="minorHAnsi" w:hAnsiTheme="minorHAnsi" w:cs="Arial"/>
                <w:sz w:val="20"/>
              </w:rPr>
              <w:t>Effectieve</w:t>
            </w:r>
            <w:proofErr w:type="spellEnd"/>
            <w:r w:rsidRPr="007312CB">
              <w:rPr>
                <w:rFonts w:asciiTheme="minorHAnsi" w:hAnsiTheme="minorHAnsi" w:cs="Arial"/>
                <w:sz w:val="20"/>
              </w:rPr>
              <w:t xml:space="preserve"> 30 March 2012.  </w:t>
            </w:r>
          </w:p>
          <w:p w:rsidR="009507D9" w:rsidRPr="007312CB" w:rsidRDefault="009507D9" w:rsidP="007312CB">
            <w:pPr>
              <w:pStyle w:val="ListParagraph"/>
              <w:numPr>
                <w:ilvl w:val="0"/>
                <w:numId w:val="6"/>
              </w:numPr>
              <w:ind w:left="338" w:hanging="284"/>
              <w:rPr>
                <w:rFonts w:asciiTheme="minorHAnsi" w:hAnsiTheme="minorHAnsi" w:cs="Arial"/>
                <w:sz w:val="20"/>
              </w:rPr>
            </w:pPr>
            <w:r w:rsidRPr="007312CB">
              <w:rPr>
                <w:rFonts w:asciiTheme="minorHAnsi" w:hAnsiTheme="minorHAnsi" w:cs="Arial"/>
                <w:sz w:val="20"/>
              </w:rPr>
              <w:t xml:space="preserve">Elimination of import tariffs on 4 tariff lines of goods used in manufacturing.  Effective 28 September 2012.  </w:t>
            </w:r>
          </w:p>
          <w:p w:rsidR="009507D9" w:rsidRPr="007312CB" w:rsidRDefault="009507D9" w:rsidP="007312CB">
            <w:pPr>
              <w:pStyle w:val="ListParagraph"/>
              <w:numPr>
                <w:ilvl w:val="0"/>
                <w:numId w:val="6"/>
              </w:numPr>
              <w:ind w:left="338" w:hanging="284"/>
              <w:rPr>
                <w:rFonts w:asciiTheme="minorHAnsi" w:hAnsiTheme="minorHAnsi" w:cs="Arial"/>
                <w:sz w:val="20"/>
              </w:rPr>
            </w:pPr>
            <w:r w:rsidRPr="007312CB">
              <w:rPr>
                <w:rFonts w:asciiTheme="minorHAnsi" w:hAnsiTheme="minorHAnsi" w:cs="Arial"/>
                <w:sz w:val="20"/>
              </w:rPr>
              <w:t>Effective 8 March 2013</w:t>
            </w:r>
            <w:r w:rsidR="00A31219">
              <w:rPr>
                <w:rFonts w:asciiTheme="minorHAnsi" w:hAnsiTheme="minorHAnsi" w:cs="Arial"/>
                <w:sz w:val="20"/>
              </w:rPr>
              <w:t>,</w:t>
            </w:r>
            <w:r w:rsidRPr="007312CB">
              <w:rPr>
                <w:rFonts w:asciiTheme="minorHAnsi" w:hAnsiTheme="minorHAnsi" w:cs="Arial"/>
                <w:sz w:val="20"/>
              </w:rPr>
              <w:t xml:space="preserve">  Canada has fully implemented its commitment </w:t>
            </w:r>
            <w:r w:rsidR="00A31219" w:rsidRPr="0095681A">
              <w:rPr>
                <w:rFonts w:asciiTheme="minorHAnsi" w:hAnsiTheme="minorHAnsi" w:cs="Arial"/>
                <w:sz w:val="20"/>
              </w:rPr>
              <w:t>to reduce tariffs to 5% or less on 54 Environmental Goods, as agreed by APEC Leaders in 2012, well in advance of the 2015 timeframe</w:t>
            </w:r>
            <w:r w:rsidRPr="0095681A">
              <w:rPr>
                <w:rFonts w:asciiTheme="minorHAnsi" w:hAnsiTheme="minorHAnsi" w:cs="Arial"/>
                <w:sz w:val="20"/>
              </w:rPr>
              <w:t>.</w:t>
            </w:r>
            <w:r w:rsidRPr="007312CB">
              <w:rPr>
                <w:rFonts w:asciiTheme="minorHAnsi" w:hAnsiTheme="minorHAnsi" w:cs="Arial"/>
                <w:sz w:val="20"/>
              </w:rPr>
              <w:t xml:space="preserve">  </w:t>
            </w:r>
          </w:p>
          <w:p w:rsidR="007312CB" w:rsidRPr="007312CB" w:rsidRDefault="009507D9" w:rsidP="007312CB">
            <w:pPr>
              <w:pStyle w:val="ListParagraph"/>
              <w:numPr>
                <w:ilvl w:val="0"/>
                <w:numId w:val="6"/>
              </w:numPr>
              <w:ind w:left="338" w:hanging="284"/>
              <w:rPr>
                <w:rFonts w:asciiTheme="minorHAnsi" w:hAnsiTheme="minorHAnsi" w:cs="Arial"/>
                <w:color w:val="0000FF"/>
                <w:sz w:val="20"/>
                <w:u w:val="single"/>
              </w:rPr>
            </w:pPr>
            <w:r w:rsidRPr="007312CB">
              <w:rPr>
                <w:rFonts w:asciiTheme="minorHAnsi" w:hAnsiTheme="minorHAnsi" w:cs="Arial"/>
                <w:sz w:val="20"/>
              </w:rPr>
              <w:t xml:space="preserve">Elimination of import tariffs on tariff lines covering certain baby clothing and certain sports &amp; athletic equipment.  Effective 1 April 2013.  </w:t>
            </w:r>
          </w:p>
          <w:p w:rsidR="007312CB" w:rsidRPr="007312CB" w:rsidRDefault="007312CB" w:rsidP="007312CB">
            <w:pPr>
              <w:pStyle w:val="ListParagraph"/>
              <w:ind w:left="338"/>
              <w:rPr>
                <w:rFonts w:asciiTheme="minorHAnsi" w:hAnsiTheme="minorHAnsi" w:cs="Arial"/>
                <w:color w:val="0000FF"/>
                <w:sz w:val="20"/>
                <w:u w:val="single"/>
              </w:rPr>
            </w:pPr>
          </w:p>
        </w:tc>
        <w:tc>
          <w:tcPr>
            <w:tcW w:w="5670" w:type="dxa"/>
          </w:tcPr>
          <w:p w:rsidR="00C52482" w:rsidRPr="00BF37B1" w:rsidRDefault="001F22A2" w:rsidP="009E28DA">
            <w:pPr>
              <w:rPr>
                <w:rFonts w:asciiTheme="minorHAnsi" w:hAnsiTheme="minorHAnsi" w:cs="Arial"/>
                <w:color w:val="808080"/>
                <w:sz w:val="20"/>
              </w:rPr>
            </w:pPr>
            <w:bookmarkStart w:id="3" w:name="Cell02"/>
            <w:bookmarkEnd w:id="3"/>
            <w:r w:rsidRPr="00BF37B1">
              <w:rPr>
                <w:rFonts w:asciiTheme="minorHAnsi" w:hAnsiTheme="minorHAnsi" w:cs="Arial"/>
                <w:i/>
                <w:color w:val="808080"/>
                <w:sz w:val="20"/>
              </w:rPr>
              <w:t>Provide brief points only</w:t>
            </w:r>
          </w:p>
        </w:tc>
      </w:tr>
      <w:tr w:rsidR="00C52482" w:rsidRPr="009E28DA" w:rsidTr="009E28DA">
        <w:trPr>
          <w:trHeight w:val="212"/>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 xml:space="preserve">Website for further information:  </w:t>
            </w:r>
          </w:p>
        </w:tc>
        <w:tc>
          <w:tcPr>
            <w:tcW w:w="5387" w:type="dxa"/>
          </w:tcPr>
          <w:p w:rsidR="00C52482" w:rsidRDefault="000B5046">
            <w:pPr>
              <w:rPr>
                <w:rFonts w:asciiTheme="minorHAnsi" w:hAnsiTheme="minorHAnsi" w:cs="Arial"/>
                <w:sz w:val="20"/>
              </w:rPr>
            </w:pPr>
            <w:hyperlink r:id="rId8" w:history="1">
              <w:r w:rsidR="007312CB" w:rsidRPr="003270C2">
                <w:rPr>
                  <w:rStyle w:val="Hyperlink"/>
                  <w:rFonts w:asciiTheme="minorHAnsi" w:hAnsiTheme="minorHAnsi" w:cs="Arial"/>
                  <w:sz w:val="20"/>
                </w:rPr>
                <w:t>http://www.budget.gc.ca</w:t>
              </w:r>
            </w:hyperlink>
          </w:p>
          <w:p w:rsidR="007312CB" w:rsidRPr="007312CB" w:rsidRDefault="000B5046">
            <w:pPr>
              <w:rPr>
                <w:rFonts w:asciiTheme="minorHAnsi" w:hAnsiTheme="minorHAnsi" w:cs="Arial"/>
                <w:sz w:val="20"/>
              </w:rPr>
            </w:pPr>
            <w:hyperlink r:id="rId9" w:history="1">
              <w:r w:rsidR="007312CB" w:rsidRPr="003270C2">
                <w:rPr>
                  <w:rStyle w:val="Hyperlink"/>
                  <w:rFonts w:asciiTheme="minorHAnsi" w:hAnsiTheme="minorHAnsi" w:cs="Arial"/>
                  <w:sz w:val="20"/>
                </w:rPr>
                <w:t>http://www.fin.gc.ca</w:t>
              </w:r>
            </w:hyperlink>
            <w:r w:rsidR="007312CB">
              <w:rPr>
                <w:rFonts w:asciiTheme="minorHAnsi" w:hAnsiTheme="minorHAnsi" w:cs="Arial"/>
                <w:sz w:val="20"/>
              </w:rPr>
              <w:t xml:space="preserve"> </w:t>
            </w:r>
          </w:p>
        </w:tc>
        <w:tc>
          <w:tcPr>
            <w:tcW w:w="5670" w:type="dxa"/>
          </w:tcPr>
          <w:p w:rsidR="00C52482" w:rsidRPr="00BF37B1" w:rsidRDefault="00C52482">
            <w:pPr>
              <w:rPr>
                <w:rFonts w:asciiTheme="minorHAnsi" w:hAnsiTheme="minorHAnsi" w:cs="Arial"/>
                <w:i/>
                <w:sz w:val="20"/>
              </w:rPr>
            </w:pPr>
          </w:p>
        </w:tc>
      </w:tr>
      <w:tr w:rsidR="00C52482" w:rsidRPr="009E28DA" w:rsidTr="009E28DA">
        <w:trPr>
          <w:trHeight w:val="230"/>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Contact point for further details:</w:t>
            </w:r>
          </w:p>
        </w:tc>
        <w:tc>
          <w:tcPr>
            <w:tcW w:w="5387" w:type="dxa"/>
          </w:tcPr>
          <w:p w:rsidR="007312CB" w:rsidRPr="00BF37B1" w:rsidRDefault="007312CB">
            <w:pPr>
              <w:rPr>
                <w:rFonts w:asciiTheme="minorHAnsi" w:hAnsiTheme="minorHAnsi" w:cs="Arial"/>
                <w:i/>
                <w:sz w:val="20"/>
              </w:rPr>
            </w:pPr>
          </w:p>
        </w:tc>
        <w:tc>
          <w:tcPr>
            <w:tcW w:w="5670" w:type="dxa"/>
          </w:tcPr>
          <w:p w:rsidR="00C52482" w:rsidRPr="00BF37B1" w:rsidRDefault="00C52482">
            <w:pPr>
              <w:rPr>
                <w:rFonts w:asciiTheme="minorHAnsi" w:hAnsiTheme="minorHAnsi" w:cs="Arial"/>
                <w:i/>
                <w:sz w:val="20"/>
              </w:rPr>
            </w:pPr>
          </w:p>
        </w:tc>
      </w:tr>
      <w:tr w:rsidR="001F22A2">
        <w:trPr>
          <w:trHeight w:val="627"/>
        </w:trPr>
        <w:tc>
          <w:tcPr>
            <w:tcW w:w="3524" w:type="dxa"/>
          </w:tcPr>
          <w:p w:rsidR="001F22A2" w:rsidRPr="00BF37B1" w:rsidRDefault="001F22A2">
            <w:pPr>
              <w:rPr>
                <w:rFonts w:asciiTheme="minorHAnsi" w:hAnsiTheme="minorHAnsi"/>
                <w:b/>
                <w:i/>
                <w:sz w:val="20"/>
              </w:rPr>
            </w:pPr>
            <w:bookmarkStart w:id="4" w:name="Row2"/>
            <w:r w:rsidRPr="00BF37B1">
              <w:rPr>
                <w:rFonts w:asciiTheme="minorHAnsi" w:hAnsiTheme="minorHAnsi"/>
                <w:b/>
                <w:i/>
                <w:sz w:val="20"/>
              </w:rPr>
              <w:t>Non-Tariff Measures</w:t>
            </w:r>
            <w:bookmarkEnd w:id="4"/>
          </w:p>
        </w:tc>
        <w:tc>
          <w:tcPr>
            <w:tcW w:w="5387" w:type="dxa"/>
          </w:tcPr>
          <w:p w:rsidR="001F22A2" w:rsidRPr="00BF37B1" w:rsidRDefault="00537646">
            <w:pPr>
              <w:rPr>
                <w:rFonts w:asciiTheme="minorHAnsi" w:hAnsiTheme="minorHAnsi"/>
                <w:color w:val="808080"/>
                <w:sz w:val="20"/>
              </w:rPr>
            </w:pPr>
            <w:bookmarkStart w:id="5" w:name="Cell03"/>
            <w:bookmarkEnd w:id="5"/>
            <w:r>
              <w:rPr>
                <w:rFonts w:asciiTheme="minorHAnsi" w:hAnsiTheme="minorHAnsi"/>
                <w:color w:val="808080"/>
                <w:sz w:val="20"/>
              </w:rPr>
              <w:t>No new information to report.</w:t>
            </w:r>
          </w:p>
        </w:tc>
        <w:tc>
          <w:tcPr>
            <w:tcW w:w="5670" w:type="dxa"/>
          </w:tcPr>
          <w:p w:rsidR="001F22A2" w:rsidRPr="007312CB" w:rsidRDefault="001F22A2">
            <w:pPr>
              <w:rPr>
                <w:rFonts w:asciiTheme="minorHAnsi" w:hAnsiTheme="minorHAnsi"/>
                <w:color w:val="808080"/>
                <w:sz w:val="20"/>
              </w:rPr>
            </w:pPr>
            <w:bookmarkStart w:id="6" w:name="Cell04"/>
            <w:bookmarkEnd w:id="6"/>
          </w:p>
        </w:tc>
      </w:tr>
      <w:tr w:rsidR="00C65AD1" w:rsidRPr="009E28DA" w:rsidTr="009E28DA">
        <w:trPr>
          <w:trHeight w:val="200"/>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C65AD1" w:rsidRPr="00BF37B1" w:rsidRDefault="00C65AD1" w:rsidP="009E28DA">
            <w:pPr>
              <w:pStyle w:val="Heading9"/>
              <w:rPr>
                <w:rFonts w:asciiTheme="minorHAnsi" w:hAnsiTheme="minorHAnsi"/>
                <w:b w:val="0"/>
              </w:rPr>
            </w:pPr>
          </w:p>
        </w:tc>
        <w:tc>
          <w:tcPr>
            <w:tcW w:w="5670" w:type="dxa"/>
          </w:tcPr>
          <w:p w:rsidR="00C65AD1" w:rsidRPr="00BF37B1" w:rsidRDefault="00C65AD1" w:rsidP="009E28DA">
            <w:pPr>
              <w:pStyle w:val="Heading9"/>
              <w:rPr>
                <w:rFonts w:asciiTheme="minorHAnsi" w:hAnsiTheme="minorHAnsi"/>
                <w:b w:val="0"/>
              </w:rPr>
            </w:pPr>
          </w:p>
        </w:tc>
      </w:tr>
      <w:tr w:rsidR="00C65AD1" w:rsidRPr="009E28DA" w:rsidTr="009E28DA">
        <w:trPr>
          <w:trHeight w:val="245"/>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t>Contact p</w:t>
            </w:r>
            <w:r w:rsidR="00C52482" w:rsidRPr="00BF37B1">
              <w:rPr>
                <w:rFonts w:asciiTheme="minorHAnsi" w:hAnsiTheme="minorHAnsi"/>
                <w:b w:val="0"/>
                <w:color w:val="808080"/>
              </w:rPr>
              <w:t>oint for further details</w:t>
            </w:r>
            <w:r w:rsidRPr="00BF37B1">
              <w:rPr>
                <w:rFonts w:asciiTheme="minorHAnsi" w:hAnsiTheme="minorHAnsi"/>
                <w:b w:val="0"/>
                <w:color w:val="808080"/>
              </w:rPr>
              <w:t xml:space="preserve">: </w:t>
            </w:r>
          </w:p>
        </w:tc>
        <w:tc>
          <w:tcPr>
            <w:tcW w:w="5387" w:type="dxa"/>
          </w:tcPr>
          <w:p w:rsidR="00C65AD1" w:rsidRPr="00BF37B1" w:rsidRDefault="00C65AD1" w:rsidP="009E28DA">
            <w:pPr>
              <w:pStyle w:val="Heading9"/>
              <w:rPr>
                <w:rFonts w:asciiTheme="minorHAnsi" w:hAnsiTheme="minorHAnsi"/>
                <w:b w:val="0"/>
              </w:rPr>
            </w:pPr>
          </w:p>
        </w:tc>
        <w:tc>
          <w:tcPr>
            <w:tcW w:w="5670" w:type="dxa"/>
          </w:tcPr>
          <w:p w:rsidR="00C65AD1" w:rsidRPr="00BF37B1" w:rsidRDefault="00C65AD1"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7" w:name="Row3"/>
            <w:r w:rsidRPr="00BF37B1">
              <w:rPr>
                <w:rFonts w:asciiTheme="minorHAnsi" w:hAnsiTheme="minorHAnsi"/>
                <w:b/>
                <w:i/>
                <w:sz w:val="20"/>
              </w:rPr>
              <w:t>Services</w:t>
            </w:r>
            <w:bookmarkEnd w:id="7"/>
          </w:p>
          <w:p w:rsidR="001F22A2" w:rsidRPr="00BF37B1" w:rsidRDefault="001F22A2">
            <w:pPr>
              <w:rPr>
                <w:rFonts w:asciiTheme="minorHAnsi" w:hAnsiTheme="minorHAnsi"/>
                <w:b/>
                <w:i/>
                <w:sz w:val="20"/>
              </w:rPr>
            </w:pPr>
          </w:p>
        </w:tc>
        <w:tc>
          <w:tcPr>
            <w:tcW w:w="5387" w:type="dxa"/>
          </w:tcPr>
          <w:p w:rsidR="00A31219" w:rsidRDefault="00A31219" w:rsidP="00A31219">
            <w:pPr>
              <w:rPr>
                <w:rFonts w:asciiTheme="minorHAnsi" w:hAnsiTheme="minorHAnsi"/>
                <w:sz w:val="20"/>
              </w:rPr>
            </w:pPr>
            <w:bookmarkStart w:id="8" w:name="Cell05"/>
            <w:bookmarkEnd w:id="8"/>
            <w:r>
              <w:rPr>
                <w:rFonts w:asciiTheme="minorHAnsi" w:hAnsiTheme="minorHAnsi"/>
                <w:sz w:val="20"/>
              </w:rPr>
              <w:t xml:space="preserve">On March 18, 2013, Canada announced its participation in the negotiations of a Trade in Services Agreement (TISA). The TISA negotiations currently include 11 APEC members. An agreement in this context will complement other initiatives that the Government of Canada is undertaking to open up markets and potentially provide more market access and legal stability where markets are already open but not subject to trade agreements. </w:t>
            </w:r>
          </w:p>
          <w:p w:rsidR="00A31219" w:rsidRDefault="00A31219" w:rsidP="00A31219">
            <w:pPr>
              <w:rPr>
                <w:rFonts w:asciiTheme="minorHAnsi" w:hAnsiTheme="minorHAnsi"/>
                <w:sz w:val="20"/>
              </w:rPr>
            </w:pPr>
          </w:p>
          <w:p w:rsidR="001F22A2" w:rsidRPr="00BF37B1" w:rsidRDefault="00A31219" w:rsidP="00A31219">
            <w:pPr>
              <w:rPr>
                <w:rFonts w:asciiTheme="minorHAnsi" w:hAnsiTheme="minorHAnsi"/>
                <w:color w:val="808080"/>
                <w:sz w:val="20"/>
              </w:rPr>
            </w:pPr>
            <w:r>
              <w:rPr>
                <w:rFonts w:asciiTheme="minorHAnsi" w:hAnsiTheme="minorHAnsi"/>
                <w:sz w:val="20"/>
              </w:rPr>
              <w:t>On April 1, 2013, Canada ratified a free trade agreement with Panama, which includes commitments in the area of services trade. On October 18, 2013, Canada reached an agreement in principle with the European Union on a Comprehensive Economic and Trade Agreement, which covers trade in services.  On November 5, 2013, Canada signed a Free Trade Agreement with Honduras, which covers trade in services and is still to be ratified.</w:t>
            </w:r>
          </w:p>
        </w:tc>
        <w:tc>
          <w:tcPr>
            <w:tcW w:w="5670" w:type="dxa"/>
          </w:tcPr>
          <w:p w:rsidR="001F22A2" w:rsidRPr="00BF37B1" w:rsidRDefault="001F22A2">
            <w:pPr>
              <w:rPr>
                <w:rFonts w:asciiTheme="minorHAnsi" w:hAnsiTheme="minorHAnsi"/>
                <w:color w:val="808080"/>
                <w:sz w:val="20"/>
              </w:rPr>
            </w:pPr>
            <w:bookmarkStart w:id="9" w:name="Cell06"/>
            <w:bookmarkEnd w:id="9"/>
          </w:p>
        </w:tc>
      </w:tr>
      <w:tr w:rsidR="001A1859" w:rsidRPr="009E28DA">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 xml:space="preserve">Website for further information:  </w:t>
            </w:r>
          </w:p>
        </w:tc>
        <w:tc>
          <w:tcPr>
            <w:tcW w:w="5387" w:type="dxa"/>
          </w:tcPr>
          <w:p w:rsidR="00A31219" w:rsidRDefault="000B5046" w:rsidP="00A31219">
            <w:pPr>
              <w:rPr>
                <w:rFonts w:asciiTheme="minorHAnsi" w:hAnsiTheme="minorHAnsi" w:cs="Arial"/>
                <w:sz w:val="20"/>
              </w:rPr>
            </w:pPr>
            <w:hyperlink r:id="rId10" w:history="1">
              <w:r w:rsidR="00A31219">
                <w:rPr>
                  <w:rStyle w:val="Hyperlink"/>
                  <w:rFonts w:asciiTheme="minorHAnsi" w:hAnsiTheme="minorHAnsi" w:cs="Arial"/>
                  <w:sz w:val="20"/>
                </w:rPr>
                <w:t>http://www.international.gc.ca/trade-agreements-accords-commerciaux/topics-domaines/services/tisa-acs.aspx?lang=eng</w:t>
              </w:r>
            </w:hyperlink>
            <w:r w:rsidR="00A31219">
              <w:rPr>
                <w:rFonts w:asciiTheme="minorHAnsi" w:hAnsiTheme="minorHAnsi" w:cs="Arial"/>
                <w:sz w:val="20"/>
              </w:rPr>
              <w:t xml:space="preserve"> </w:t>
            </w:r>
          </w:p>
          <w:p w:rsidR="00A31219" w:rsidRDefault="00A31219" w:rsidP="00A31219">
            <w:pPr>
              <w:rPr>
                <w:rFonts w:asciiTheme="minorHAnsi" w:hAnsiTheme="minorHAnsi" w:cs="Arial"/>
                <w:sz w:val="20"/>
              </w:rPr>
            </w:pPr>
          </w:p>
          <w:p w:rsidR="001A1859" w:rsidRPr="00BF37B1" w:rsidRDefault="000B5046" w:rsidP="00A31219">
            <w:pPr>
              <w:rPr>
                <w:rFonts w:asciiTheme="minorHAnsi" w:hAnsiTheme="minorHAnsi" w:cs="Arial"/>
                <w:i/>
                <w:sz w:val="20"/>
              </w:rPr>
            </w:pPr>
            <w:hyperlink r:id="rId11" w:history="1">
              <w:r w:rsidR="00A31219">
                <w:rPr>
                  <w:rStyle w:val="Hyperlink"/>
                  <w:rFonts w:asciiTheme="minorHAnsi" w:hAnsiTheme="minorHAnsi" w:cs="Arial"/>
                  <w:sz w:val="20"/>
                </w:rPr>
                <w:t>http://www.international.gc.ca/trade-agreements-accords-commerciaux/agr-acc/panama/index.aspx?lang=eng</w:t>
              </w:r>
            </w:hyperlink>
          </w:p>
        </w:tc>
        <w:tc>
          <w:tcPr>
            <w:tcW w:w="5670" w:type="dxa"/>
          </w:tcPr>
          <w:p w:rsidR="001A1859" w:rsidRPr="00BF37B1" w:rsidRDefault="001A1859">
            <w:pPr>
              <w:rPr>
                <w:rFonts w:asciiTheme="minorHAnsi" w:hAnsiTheme="minorHAnsi" w:cs="Arial"/>
                <w:i/>
                <w:sz w:val="20"/>
              </w:rPr>
            </w:pPr>
          </w:p>
        </w:tc>
      </w:tr>
      <w:tr w:rsidR="001A1859" w:rsidRPr="009E28DA">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Contact point for further details:</w:t>
            </w:r>
          </w:p>
        </w:tc>
        <w:tc>
          <w:tcPr>
            <w:tcW w:w="5387" w:type="dxa"/>
          </w:tcPr>
          <w:p w:rsidR="001A1859" w:rsidRPr="00BF37B1" w:rsidRDefault="001A1859">
            <w:pPr>
              <w:rPr>
                <w:rFonts w:asciiTheme="minorHAnsi" w:hAnsiTheme="minorHAnsi" w:cs="Arial"/>
                <w:i/>
                <w:sz w:val="20"/>
              </w:rPr>
            </w:pPr>
          </w:p>
        </w:tc>
        <w:tc>
          <w:tcPr>
            <w:tcW w:w="5670" w:type="dxa"/>
          </w:tcPr>
          <w:p w:rsidR="001A1859" w:rsidRPr="00BF37B1" w:rsidRDefault="001A1859">
            <w:pPr>
              <w:rPr>
                <w:rFonts w:asciiTheme="minorHAnsi" w:hAnsiTheme="minorHAnsi" w:cs="Arial"/>
                <w:i/>
                <w:sz w:val="20"/>
              </w:rPr>
            </w:pPr>
          </w:p>
        </w:tc>
      </w:tr>
      <w:tr w:rsidR="001F22A2">
        <w:tc>
          <w:tcPr>
            <w:tcW w:w="3524" w:type="dxa"/>
          </w:tcPr>
          <w:p w:rsidR="001F22A2" w:rsidRPr="00BF37B1" w:rsidRDefault="001F22A2">
            <w:pPr>
              <w:rPr>
                <w:rFonts w:asciiTheme="minorHAnsi" w:hAnsiTheme="minorHAnsi"/>
                <w:b/>
                <w:i/>
                <w:sz w:val="20"/>
              </w:rPr>
            </w:pPr>
            <w:bookmarkStart w:id="10" w:name="Row4"/>
            <w:r w:rsidRPr="00BF37B1">
              <w:rPr>
                <w:rFonts w:asciiTheme="minorHAnsi" w:hAnsiTheme="minorHAnsi"/>
                <w:b/>
                <w:i/>
                <w:sz w:val="20"/>
              </w:rPr>
              <w:t>Investment</w:t>
            </w:r>
            <w:bookmarkEnd w:id="10"/>
          </w:p>
          <w:p w:rsidR="001F22A2" w:rsidRPr="00BF37B1" w:rsidRDefault="001F22A2">
            <w:pPr>
              <w:rPr>
                <w:rFonts w:asciiTheme="minorHAnsi" w:hAnsiTheme="minorHAnsi"/>
                <w:b/>
                <w:i/>
                <w:sz w:val="20"/>
              </w:rPr>
            </w:pPr>
          </w:p>
        </w:tc>
        <w:tc>
          <w:tcPr>
            <w:tcW w:w="5387" w:type="dxa"/>
          </w:tcPr>
          <w:p w:rsidR="00A31219" w:rsidRDefault="00A31219" w:rsidP="00A31219">
            <w:pPr>
              <w:pStyle w:val="NormalWeb"/>
              <w:shd w:val="clear" w:color="auto" w:fill="FFFFFF"/>
              <w:rPr>
                <w:rFonts w:asciiTheme="minorHAnsi" w:hAnsiTheme="minorHAnsi" w:cstheme="minorHAnsi"/>
                <w:sz w:val="20"/>
                <w:szCs w:val="20"/>
                <w:lang w:val="en"/>
              </w:rPr>
            </w:pPr>
            <w:bookmarkStart w:id="11" w:name="Cell07"/>
            <w:bookmarkEnd w:id="11"/>
            <w:r>
              <w:rPr>
                <w:rFonts w:asciiTheme="minorHAnsi" w:hAnsiTheme="minorHAnsi" w:cstheme="minorHAnsi"/>
                <w:sz w:val="20"/>
                <w:szCs w:val="20"/>
                <w:lang w:val="en"/>
              </w:rPr>
              <w:t xml:space="preserve">Pursuant to the </w:t>
            </w:r>
            <w:r>
              <w:rPr>
                <w:rStyle w:val="Emphasis"/>
                <w:rFonts w:asciiTheme="minorHAnsi" w:hAnsiTheme="minorHAnsi" w:cstheme="minorHAnsi"/>
                <w:sz w:val="20"/>
                <w:szCs w:val="20"/>
                <w:lang w:val="en"/>
              </w:rPr>
              <w:t>Investment Canada Act</w:t>
            </w:r>
            <w:r>
              <w:rPr>
                <w:rFonts w:asciiTheme="minorHAnsi" w:hAnsiTheme="minorHAnsi" w:cstheme="minorHAnsi"/>
                <w:sz w:val="20"/>
                <w:szCs w:val="20"/>
                <w:lang w:val="en"/>
              </w:rPr>
              <w:t xml:space="preserve">, new thresholds for review for </w:t>
            </w:r>
            <w:r>
              <w:rPr>
                <w:rStyle w:val="HTMLAcronym"/>
                <w:rFonts w:asciiTheme="minorHAnsi" w:hAnsiTheme="minorHAnsi" w:cstheme="minorHAnsi"/>
                <w:sz w:val="20"/>
                <w:szCs w:val="20"/>
                <w:lang w:val="en"/>
              </w:rPr>
              <w:t>WTO</w:t>
            </w:r>
            <w:r>
              <w:rPr>
                <w:rFonts w:asciiTheme="minorHAnsi" w:hAnsiTheme="minorHAnsi" w:cstheme="minorHAnsi"/>
                <w:sz w:val="20"/>
                <w:szCs w:val="20"/>
                <w:lang w:val="en"/>
              </w:rPr>
              <w:t xml:space="preserve"> member investors, or where a Canadian business is ultimately controlled by a </w:t>
            </w:r>
            <w:r>
              <w:rPr>
                <w:rStyle w:val="HTMLAcronym"/>
                <w:rFonts w:asciiTheme="minorHAnsi" w:hAnsiTheme="minorHAnsi" w:cstheme="minorHAnsi"/>
                <w:sz w:val="20"/>
                <w:szCs w:val="20"/>
                <w:lang w:val="en"/>
              </w:rPr>
              <w:t>WTO</w:t>
            </w:r>
            <w:r>
              <w:rPr>
                <w:rFonts w:asciiTheme="minorHAnsi" w:hAnsiTheme="minorHAnsi" w:cstheme="minorHAnsi"/>
                <w:sz w:val="20"/>
                <w:szCs w:val="20"/>
                <w:lang w:val="en"/>
              </w:rPr>
              <w:t xml:space="preserve"> member (other than a Canadian) prior to its acquisition, must be determined and become effective on January 1 of each year. The amount is equivalent to the growth in Nominal Gross Domestic Product at market prices as published by Statistics Canada for specified periods, multiplied by the amount determined for the previous year.</w:t>
            </w:r>
          </w:p>
          <w:p w:rsidR="001F22A2" w:rsidRPr="00BF37B1" w:rsidRDefault="00A31219" w:rsidP="00A31219">
            <w:pPr>
              <w:rPr>
                <w:rFonts w:asciiTheme="minorHAnsi" w:hAnsiTheme="minorHAnsi"/>
                <w:color w:val="808080"/>
                <w:sz w:val="20"/>
              </w:rPr>
            </w:pPr>
            <w:r>
              <w:rPr>
                <w:rFonts w:asciiTheme="minorHAnsi" w:hAnsiTheme="minorHAnsi" w:cstheme="minorHAnsi"/>
                <w:sz w:val="20"/>
                <w:lang w:val="en"/>
              </w:rPr>
              <w:lastRenderedPageBreak/>
              <w:t xml:space="preserve">The amount for the </w:t>
            </w:r>
            <w:proofErr w:type="gramStart"/>
            <w:r>
              <w:rPr>
                <w:rFonts w:asciiTheme="minorHAnsi" w:hAnsiTheme="minorHAnsi" w:cstheme="minorHAnsi"/>
                <w:sz w:val="20"/>
                <w:lang w:val="en"/>
              </w:rPr>
              <w:t>year  2013</w:t>
            </w:r>
            <w:proofErr w:type="gramEnd"/>
            <w:r>
              <w:rPr>
                <w:rFonts w:asciiTheme="minorHAnsi" w:hAnsiTheme="minorHAnsi" w:cstheme="minorHAnsi"/>
                <w:sz w:val="20"/>
                <w:lang w:val="en"/>
              </w:rPr>
              <w:t xml:space="preserve"> is 344 million dollars and the amount was published in the Canada Gazette Part I on January 12, 2013, page 52.</w:t>
            </w:r>
          </w:p>
        </w:tc>
        <w:tc>
          <w:tcPr>
            <w:tcW w:w="5670" w:type="dxa"/>
          </w:tcPr>
          <w:p w:rsidR="001F22A2" w:rsidRPr="00BF37B1" w:rsidRDefault="007312CB">
            <w:pPr>
              <w:rPr>
                <w:rFonts w:asciiTheme="minorHAnsi" w:hAnsiTheme="minorHAnsi"/>
                <w:color w:val="808080"/>
                <w:sz w:val="20"/>
              </w:rPr>
            </w:pPr>
            <w:bookmarkStart w:id="12" w:name="Cell08"/>
            <w:bookmarkEnd w:id="12"/>
            <w:r>
              <w:rPr>
                <w:rFonts w:asciiTheme="minorHAnsi" w:hAnsiTheme="minorHAnsi" w:cs="Arial"/>
                <w:i/>
                <w:color w:val="808080"/>
                <w:sz w:val="20"/>
              </w:rPr>
              <w:lastRenderedPageBreak/>
              <w:t>NA</w:t>
            </w:r>
          </w:p>
        </w:tc>
      </w:tr>
      <w:tr w:rsidR="001A1859" w:rsidRPr="009E28DA">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A1859" w:rsidRPr="009E28DA">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3" w:name="Row5"/>
            <w:r w:rsidRPr="00BF37B1">
              <w:rPr>
                <w:rFonts w:asciiTheme="minorHAnsi" w:hAnsiTheme="minorHAnsi"/>
                <w:b/>
                <w:i/>
                <w:sz w:val="20"/>
              </w:rPr>
              <w:t>Standards and Conformance</w:t>
            </w:r>
            <w:bookmarkEnd w:id="13"/>
          </w:p>
          <w:p w:rsidR="001F22A2" w:rsidRPr="00BF37B1" w:rsidRDefault="001F22A2">
            <w:pPr>
              <w:rPr>
                <w:rFonts w:asciiTheme="minorHAnsi" w:hAnsiTheme="minorHAnsi"/>
                <w:b/>
                <w:i/>
                <w:sz w:val="20"/>
              </w:rPr>
            </w:pPr>
          </w:p>
        </w:tc>
        <w:tc>
          <w:tcPr>
            <w:tcW w:w="5387" w:type="dxa"/>
          </w:tcPr>
          <w:p w:rsidR="00390FAC" w:rsidRDefault="00390FAC" w:rsidP="007312CB">
            <w:pPr>
              <w:numPr>
                <w:ilvl w:val="0"/>
                <w:numId w:val="5"/>
              </w:numPr>
              <w:tabs>
                <w:tab w:val="clear" w:pos="360"/>
                <w:tab w:val="num" w:pos="196"/>
              </w:tabs>
              <w:spacing w:before="100" w:beforeAutospacing="1" w:after="100" w:afterAutospacing="1"/>
              <w:ind w:left="196" w:hanging="196"/>
              <w:rPr>
                <w:rFonts w:asciiTheme="minorHAnsi" w:eastAsia="Times New Roman" w:hAnsiTheme="minorHAnsi" w:cstheme="minorHAnsi"/>
                <w:sz w:val="20"/>
                <w:lang w:eastAsia="en-CA"/>
              </w:rPr>
            </w:pPr>
            <w:bookmarkStart w:id="14" w:name="Cell09"/>
            <w:bookmarkEnd w:id="14"/>
            <w:r>
              <w:rPr>
                <w:rFonts w:asciiTheme="minorHAnsi" w:eastAsia="Times New Roman" w:hAnsiTheme="minorHAnsi" w:cstheme="minorHAnsi"/>
                <w:sz w:val="20"/>
                <w:lang w:val="en-GB" w:eastAsia="en-GB"/>
              </w:rPr>
              <w:t xml:space="preserve">The Standards Council of Canada (SCC) accredits Canada’s standards-development organizations and approves National Standards of Canada.  In addition, SCC accredits over </w:t>
            </w:r>
            <w:r>
              <w:rPr>
                <w:rFonts w:asciiTheme="minorHAnsi" w:eastAsia="Times New Roman" w:hAnsiTheme="minorHAnsi" w:cstheme="minorHAnsi"/>
                <w:sz w:val="20"/>
                <w:lang w:eastAsia="en-GB"/>
              </w:rPr>
              <w:t>over 400 conformity assessment bodies, which test or certify millions of products or services or systems for the Canadian and international marketplace.</w:t>
            </w:r>
          </w:p>
          <w:p w:rsidR="00390FAC" w:rsidRDefault="00390FAC" w:rsidP="007312CB">
            <w:pPr>
              <w:numPr>
                <w:ilvl w:val="0"/>
                <w:numId w:val="5"/>
              </w:numPr>
              <w:tabs>
                <w:tab w:val="clear" w:pos="360"/>
                <w:tab w:val="num" w:pos="196"/>
              </w:tabs>
              <w:spacing w:before="100" w:beforeAutospacing="1" w:after="100" w:afterAutospacing="1"/>
              <w:ind w:left="196" w:hanging="196"/>
              <w:rPr>
                <w:rFonts w:asciiTheme="minorHAnsi" w:eastAsia="Times New Roman" w:hAnsiTheme="minorHAnsi" w:cstheme="minorHAnsi"/>
                <w:sz w:val="20"/>
                <w:lang w:eastAsia="en-CA"/>
              </w:rPr>
            </w:pPr>
            <w:r>
              <w:rPr>
                <w:rFonts w:asciiTheme="minorHAnsi" w:eastAsia="Times New Roman" w:hAnsiTheme="minorHAnsi" w:cstheme="minorHAnsi"/>
                <w:sz w:val="20"/>
                <w:lang w:val="en-GB" w:eastAsia="en-GB"/>
              </w:rPr>
              <w:t xml:space="preserve">Canada (through) SCC maintained strategic participation in International Organisation for Standardisation (ISO) and International </w:t>
            </w:r>
            <w:proofErr w:type="spellStart"/>
            <w:r>
              <w:rPr>
                <w:rFonts w:asciiTheme="minorHAnsi" w:eastAsia="Times New Roman" w:hAnsiTheme="minorHAnsi" w:cstheme="minorHAnsi"/>
                <w:sz w:val="20"/>
                <w:lang w:val="en-GB" w:eastAsia="en-GB"/>
              </w:rPr>
              <w:t>Electrotechnical</w:t>
            </w:r>
            <w:proofErr w:type="spellEnd"/>
            <w:r>
              <w:rPr>
                <w:rFonts w:asciiTheme="minorHAnsi" w:eastAsia="Times New Roman" w:hAnsiTheme="minorHAnsi" w:cstheme="minorHAnsi"/>
                <w:sz w:val="20"/>
                <w:lang w:val="en-GB" w:eastAsia="en-GB"/>
              </w:rPr>
              <w:t xml:space="preserve"> Commission (IEC) technical committees </w:t>
            </w:r>
          </w:p>
          <w:p w:rsidR="00390FAC" w:rsidRDefault="00390FAC" w:rsidP="007312CB">
            <w:pPr>
              <w:numPr>
                <w:ilvl w:val="0"/>
                <w:numId w:val="5"/>
              </w:numPr>
              <w:tabs>
                <w:tab w:val="clear" w:pos="360"/>
                <w:tab w:val="num" w:pos="196"/>
              </w:tabs>
              <w:spacing w:before="100" w:beforeAutospacing="1" w:after="100" w:afterAutospacing="1"/>
              <w:ind w:left="196" w:hanging="196"/>
              <w:rPr>
                <w:rFonts w:asciiTheme="minorHAnsi" w:eastAsia="Times New Roman" w:hAnsiTheme="minorHAnsi" w:cstheme="minorHAnsi"/>
                <w:sz w:val="20"/>
                <w:lang w:eastAsia="en-CA"/>
              </w:rPr>
            </w:pPr>
            <w:r>
              <w:rPr>
                <w:rFonts w:asciiTheme="minorHAnsi" w:eastAsia="Times New Roman" w:hAnsiTheme="minorHAnsi" w:cstheme="minorHAnsi"/>
                <w:sz w:val="20"/>
                <w:lang w:val="en-GB" w:eastAsia="en-GB"/>
              </w:rPr>
              <w:t>In 2012, renewed its cooperation arrangement with the Korean Agency for Technology and Standards (KATS) and in 2013, SCC renewed its cooperation arrangement with the Mongolian Agency for Standardization and Metrology (MASM).</w:t>
            </w:r>
          </w:p>
          <w:p w:rsidR="00390FAC" w:rsidRDefault="00390FAC" w:rsidP="007312CB">
            <w:pPr>
              <w:numPr>
                <w:ilvl w:val="0"/>
                <w:numId w:val="5"/>
              </w:numPr>
              <w:tabs>
                <w:tab w:val="clear" w:pos="360"/>
                <w:tab w:val="num" w:pos="196"/>
              </w:tabs>
              <w:spacing w:before="100" w:beforeAutospacing="1" w:after="100" w:afterAutospacing="1"/>
              <w:ind w:left="196" w:hanging="196"/>
              <w:rPr>
                <w:rFonts w:ascii="Calibri" w:eastAsia="Times New Roman" w:hAnsi="Calibri" w:cstheme="minorHAnsi"/>
                <w:sz w:val="20"/>
                <w:lang w:eastAsia="en-CA"/>
              </w:rPr>
            </w:pPr>
            <w:r>
              <w:rPr>
                <w:rFonts w:asciiTheme="minorHAnsi" w:eastAsia="Times New Roman" w:hAnsiTheme="minorHAnsi" w:cstheme="minorHAnsi"/>
                <w:sz w:val="20"/>
                <w:lang w:val="en-GB" w:eastAsia="en-GB"/>
              </w:rPr>
              <w:t xml:space="preserve">SCC provided standardization-related technical assistance to Peru’s national standards body, </w:t>
            </w:r>
            <w:r>
              <w:rPr>
                <w:rStyle w:val="st"/>
                <w:rFonts w:ascii="Calibri" w:hAnsi="Calibri" w:cs="Arial"/>
                <w:color w:val="222222"/>
                <w:sz w:val="20"/>
              </w:rPr>
              <w:t>the National Institute for the Defence of Competition and the Protection of Intellectual Property (INDECOPI), through the Canada-Americas Trade-Related Technical Assistance (CATRTA) program.</w:t>
            </w:r>
          </w:p>
          <w:p w:rsidR="00390FAC" w:rsidRDefault="00390FAC" w:rsidP="007312CB">
            <w:pPr>
              <w:numPr>
                <w:ilvl w:val="0"/>
                <w:numId w:val="5"/>
              </w:numPr>
              <w:tabs>
                <w:tab w:val="clear" w:pos="360"/>
                <w:tab w:val="num" w:pos="196"/>
              </w:tabs>
              <w:spacing w:before="100" w:beforeAutospacing="1"/>
              <w:ind w:left="196" w:hanging="196"/>
              <w:rPr>
                <w:rFonts w:asciiTheme="minorHAnsi" w:eastAsia="Times New Roman" w:hAnsiTheme="minorHAnsi" w:cstheme="minorHAnsi"/>
                <w:sz w:val="20"/>
                <w:lang w:eastAsia="en-CA"/>
              </w:rPr>
            </w:pPr>
            <w:r>
              <w:rPr>
                <w:rFonts w:asciiTheme="minorHAnsi" w:eastAsia="Times New Roman" w:hAnsiTheme="minorHAnsi" w:cstheme="minorHAnsi"/>
                <w:sz w:val="20"/>
                <w:lang w:val="en-GB" w:eastAsia="en-GB"/>
              </w:rPr>
              <w:t>SCC continues to be actively involved in a number of multilateral accreditation arrangements, including the International Accreditation Forum (IAF), the International Laboratory Accreditation Cooperation (ILAC), and the Asia-Pacific Laboratory Accreditation Cooperation (APLAC).</w:t>
            </w:r>
          </w:p>
          <w:p w:rsidR="007312CB" w:rsidRDefault="007312CB" w:rsidP="00390FAC">
            <w:pPr>
              <w:rPr>
                <w:rFonts w:asciiTheme="minorHAnsi" w:eastAsia="Times New Roman" w:hAnsiTheme="minorHAnsi" w:cstheme="minorHAnsi"/>
                <w:sz w:val="20"/>
                <w:lang w:val="en-GB" w:eastAsia="en-GB"/>
              </w:rPr>
            </w:pPr>
          </w:p>
          <w:p w:rsidR="001F22A2" w:rsidRPr="00BF37B1" w:rsidRDefault="00390FAC" w:rsidP="00390FAC">
            <w:pPr>
              <w:rPr>
                <w:rFonts w:asciiTheme="minorHAnsi" w:hAnsiTheme="minorHAnsi"/>
                <w:color w:val="808080"/>
                <w:sz w:val="20"/>
              </w:rPr>
            </w:pPr>
            <w:r>
              <w:rPr>
                <w:rFonts w:asciiTheme="minorHAnsi" w:eastAsia="Times New Roman" w:hAnsiTheme="minorHAnsi" w:cstheme="minorHAnsi"/>
                <w:sz w:val="20"/>
                <w:lang w:val="en-GB" w:eastAsia="en-GB"/>
              </w:rPr>
              <w:t xml:space="preserve">Canada maintained its international influence with the appointment of SCC’s CEO, John Walter, as the ISO Vice-President of Policy, for a three-year term, effective January, 2014. </w:t>
            </w:r>
          </w:p>
        </w:tc>
        <w:tc>
          <w:tcPr>
            <w:tcW w:w="5670" w:type="dxa"/>
          </w:tcPr>
          <w:p w:rsidR="00390FAC" w:rsidRDefault="00390FAC" w:rsidP="00390FAC">
            <w:pPr>
              <w:rPr>
                <w:rFonts w:eastAsia="Batang"/>
                <w:sz w:val="20"/>
                <w:lang w:val="en-CA" w:eastAsia="en-CA"/>
              </w:rPr>
            </w:pPr>
            <w:bookmarkStart w:id="15" w:name="Cell10"/>
            <w:bookmarkEnd w:id="15"/>
            <w:r>
              <w:rPr>
                <w:rFonts w:asciiTheme="minorHAnsi" w:eastAsia="Batang" w:hAnsiTheme="minorHAnsi"/>
                <w:bCs/>
                <w:sz w:val="20"/>
                <w:lang w:eastAsia="en-CA"/>
              </w:rPr>
              <w:t>Canada’s goal is to continue to increase the harmonization between new Canadian standards and those adopted by international organisations such as ISO and the IEC, whenever appropriate.</w:t>
            </w:r>
          </w:p>
          <w:p w:rsidR="001F22A2" w:rsidRPr="00390FAC" w:rsidRDefault="001F22A2">
            <w:pPr>
              <w:rPr>
                <w:rFonts w:asciiTheme="minorHAnsi" w:hAnsiTheme="minorHAnsi"/>
                <w:color w:val="808080"/>
                <w:sz w:val="20"/>
                <w:lang w:val="en-CA"/>
              </w:rPr>
            </w:pPr>
          </w:p>
        </w:tc>
      </w:tr>
      <w:tr w:rsidR="001A1859"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390FAC" w:rsidRDefault="000B5046" w:rsidP="009E28DA">
            <w:pPr>
              <w:pStyle w:val="Heading9"/>
              <w:rPr>
                <w:rFonts w:asciiTheme="minorHAnsi" w:hAnsiTheme="minorHAnsi"/>
                <w:b w:val="0"/>
                <w:i w:val="0"/>
              </w:rPr>
            </w:pPr>
            <w:hyperlink r:id="rId12" w:history="1">
              <w:r w:rsidR="00390FAC">
                <w:rPr>
                  <w:rStyle w:val="Hyperlink"/>
                  <w:rFonts w:asciiTheme="minorHAnsi" w:hAnsiTheme="minorHAnsi"/>
                  <w:b w:val="0"/>
                  <w:i w:val="0"/>
                </w:rPr>
                <w:t>http://www.scc.ca/</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Default="000B5046" w:rsidP="009E28DA">
            <w:pPr>
              <w:pStyle w:val="Heading9"/>
              <w:rPr>
                <w:rStyle w:val="Hyperlink"/>
                <w:rFonts w:asciiTheme="minorHAnsi" w:hAnsiTheme="minorHAnsi"/>
                <w:b w:val="0"/>
              </w:rPr>
            </w:pPr>
            <w:hyperlink r:id="rId13" w:history="1">
              <w:r w:rsidR="00390FAC" w:rsidRPr="003B2253">
                <w:rPr>
                  <w:rStyle w:val="Hyperlink"/>
                  <w:rFonts w:asciiTheme="minorHAnsi" w:hAnsiTheme="minorHAnsi"/>
                  <w:b w:val="0"/>
                </w:rPr>
                <w:t>info@scc.ca</w:t>
              </w:r>
            </w:hyperlink>
          </w:p>
          <w:p w:rsidR="00ED5FE7" w:rsidRPr="00ED5FE7" w:rsidRDefault="00ED5FE7" w:rsidP="00ED5FE7"/>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16" w:name="Row6"/>
            <w:r w:rsidRPr="00BF37B1">
              <w:rPr>
                <w:rFonts w:asciiTheme="minorHAnsi" w:hAnsiTheme="minorHAnsi"/>
                <w:b/>
                <w:i/>
                <w:sz w:val="20"/>
              </w:rPr>
              <w:t>Customs Procedures</w:t>
            </w:r>
            <w:bookmarkEnd w:id="16"/>
          </w:p>
          <w:p w:rsidR="001F22A2" w:rsidRPr="00BF37B1" w:rsidRDefault="001F22A2">
            <w:pPr>
              <w:rPr>
                <w:rFonts w:asciiTheme="minorHAnsi" w:hAnsiTheme="minorHAnsi"/>
                <w:b/>
                <w:i/>
                <w:sz w:val="20"/>
              </w:rPr>
            </w:pPr>
          </w:p>
        </w:tc>
        <w:tc>
          <w:tcPr>
            <w:tcW w:w="5387" w:type="dxa"/>
          </w:tcPr>
          <w:p w:rsidR="00A87E26" w:rsidRPr="00A87E26" w:rsidRDefault="00A87E26" w:rsidP="00A87E26">
            <w:pPr>
              <w:rPr>
                <w:rFonts w:asciiTheme="minorHAnsi" w:hAnsiTheme="minorHAnsi"/>
                <w:sz w:val="20"/>
              </w:rPr>
            </w:pPr>
            <w:bookmarkStart w:id="17" w:name="Cell11"/>
            <w:bookmarkEnd w:id="17"/>
            <w:r w:rsidRPr="00A87E26">
              <w:rPr>
                <w:rFonts w:asciiTheme="minorHAnsi" w:hAnsiTheme="minorHAnsi"/>
                <w:sz w:val="20"/>
              </w:rPr>
              <w:t>The CBSA conducted extensive engagement activities with U.S. Customs and Border Protection (U.S. CBP) and other key partners to ensure the successful implementation of initiatives under the Beyond the Border: A Shared Vision for Perimeter Security and Economic Competitiveness initiative. For example, the CBSA launched three pilots to target high-risk cargo destined to the U.S. as part of the Integrated Cargo Security Strategy.</w:t>
            </w:r>
          </w:p>
          <w:p w:rsidR="00A87E26" w:rsidRPr="00A87E26" w:rsidRDefault="00A87E26" w:rsidP="00A87E26">
            <w:pPr>
              <w:rPr>
                <w:rFonts w:asciiTheme="minorHAnsi" w:hAnsiTheme="minorHAnsi"/>
                <w:sz w:val="20"/>
              </w:rPr>
            </w:pPr>
          </w:p>
          <w:p w:rsidR="00A87E26" w:rsidRPr="00A87E26" w:rsidRDefault="00A87E26" w:rsidP="00A87E26">
            <w:pPr>
              <w:rPr>
                <w:rFonts w:asciiTheme="minorHAnsi" w:hAnsiTheme="minorHAnsi"/>
                <w:sz w:val="20"/>
              </w:rPr>
            </w:pPr>
            <w:r w:rsidRPr="00A87E26">
              <w:rPr>
                <w:rFonts w:asciiTheme="minorHAnsi" w:hAnsiTheme="minorHAnsi"/>
                <w:sz w:val="20"/>
              </w:rPr>
              <w:t xml:space="preserve">Under the </w:t>
            </w:r>
            <w:proofErr w:type="spellStart"/>
            <w:r w:rsidRPr="00A87E26">
              <w:rPr>
                <w:rFonts w:asciiTheme="minorHAnsi" w:hAnsiTheme="minorHAnsi"/>
                <w:sz w:val="20"/>
              </w:rPr>
              <w:t>eManifest</w:t>
            </w:r>
            <w:proofErr w:type="spellEnd"/>
            <w:r w:rsidRPr="00A87E26">
              <w:rPr>
                <w:rFonts w:asciiTheme="minorHAnsi" w:hAnsiTheme="minorHAnsi"/>
                <w:sz w:val="20"/>
              </w:rPr>
              <w:t xml:space="preserve"> initiative, the CBSA deployed an electronic system for rail carriers to provide advance cargo and conveyance data on commercial goods coming into Canada and actively engaged the largest carriers, which have begun transmission. The Agency also conducted stakeholder outreach to encourage highway carriers to voluntarily transmit </w:t>
            </w:r>
            <w:proofErr w:type="spellStart"/>
            <w:r w:rsidRPr="00A87E26">
              <w:rPr>
                <w:rFonts w:asciiTheme="minorHAnsi" w:hAnsiTheme="minorHAnsi"/>
                <w:sz w:val="20"/>
              </w:rPr>
              <w:t>eManifest</w:t>
            </w:r>
            <w:proofErr w:type="spellEnd"/>
            <w:r w:rsidRPr="00A87E26">
              <w:rPr>
                <w:rFonts w:asciiTheme="minorHAnsi" w:hAnsiTheme="minorHAnsi"/>
                <w:sz w:val="20"/>
              </w:rPr>
              <w:t xml:space="preserve"> data prior to the mandatory implementation date. Moreover, work was undertaken to deploy electronic systems that will allow freight forwarders in all modes of transportation to transmit advance house bill data to the CBSA. </w:t>
            </w:r>
          </w:p>
          <w:p w:rsidR="00A87E26" w:rsidRPr="00A87E26" w:rsidRDefault="00A87E26" w:rsidP="00A87E26">
            <w:pPr>
              <w:rPr>
                <w:rFonts w:asciiTheme="minorHAnsi" w:hAnsiTheme="minorHAnsi"/>
                <w:sz w:val="20"/>
              </w:rPr>
            </w:pPr>
          </w:p>
          <w:p w:rsidR="001F22A2" w:rsidRPr="00A87E26" w:rsidRDefault="00A87E26" w:rsidP="00A87E26">
            <w:pPr>
              <w:rPr>
                <w:rFonts w:asciiTheme="minorHAnsi" w:hAnsiTheme="minorHAnsi"/>
                <w:sz w:val="20"/>
              </w:rPr>
            </w:pPr>
            <w:r w:rsidRPr="00A87E26">
              <w:rPr>
                <w:rFonts w:asciiTheme="minorHAnsi" w:hAnsiTheme="minorHAnsi"/>
                <w:sz w:val="20"/>
              </w:rPr>
              <w:t>In the area of Authorized Economic Operators, work continued toward the harmonization of Canada's Partners in Protection (PIP) program with the U.S. Customs-Trade Partnership Against Terrorism (C-TPAT) program. Key areas of progress included the development of a joint application process that will allow current members of either program, as well as new applicants, to obtain a harmonized membership for both programs using a single application process.</w:t>
            </w:r>
          </w:p>
        </w:tc>
        <w:tc>
          <w:tcPr>
            <w:tcW w:w="5670" w:type="dxa"/>
          </w:tcPr>
          <w:p w:rsidR="00A87E26" w:rsidRPr="00A87E26" w:rsidRDefault="00A87E26" w:rsidP="00A87E26">
            <w:pPr>
              <w:rPr>
                <w:rFonts w:asciiTheme="minorHAnsi" w:hAnsiTheme="minorHAnsi" w:cs="Arial"/>
                <w:sz w:val="20"/>
              </w:rPr>
            </w:pPr>
            <w:bookmarkStart w:id="18" w:name="Cell12"/>
            <w:bookmarkEnd w:id="18"/>
            <w:r w:rsidRPr="00A87E26">
              <w:rPr>
                <w:rFonts w:asciiTheme="minorHAnsi" w:hAnsiTheme="minorHAnsi" w:cs="Arial"/>
                <w:sz w:val="20"/>
              </w:rPr>
              <w:t>As part of the Beyond the Border Action Plan, Canada and the U.S. have commenced the development of an integrated, multimodal customs and transportation security regime to reduce duplication and move activities away from their shared border. Once implemented, this regime will enhance the security supply chains, starting at the earliest possible point, ensuring the integrity of the “screened” cargo through to its destination. The initiative includes the mutual recognition of air cargo systems, the integration of advance data requirements for advance security screening and, finally, a joint strategy to address health, safety and security risks associated with inbound shipments from offshore.</w:t>
            </w:r>
          </w:p>
          <w:p w:rsidR="00A87E26" w:rsidRPr="00A87E26" w:rsidRDefault="00A87E26" w:rsidP="00A87E26">
            <w:pPr>
              <w:rPr>
                <w:rFonts w:asciiTheme="minorHAnsi" w:hAnsiTheme="minorHAnsi"/>
                <w:sz w:val="20"/>
              </w:rPr>
            </w:pPr>
          </w:p>
          <w:p w:rsidR="00A87E26" w:rsidRPr="00A87E26" w:rsidRDefault="00A87E26" w:rsidP="00A87E26">
            <w:pPr>
              <w:rPr>
                <w:rFonts w:asciiTheme="minorHAnsi" w:hAnsiTheme="minorHAnsi"/>
                <w:sz w:val="20"/>
              </w:rPr>
            </w:pPr>
            <w:r w:rsidRPr="00A87E26">
              <w:rPr>
                <w:rFonts w:asciiTheme="minorHAnsi" w:hAnsiTheme="minorHAnsi"/>
                <w:sz w:val="20"/>
              </w:rPr>
              <w:t xml:space="preserve">Under the Beyond the Border Action Plan, Canada and the U.S. will align their respective single window programs for imports entering their territory. Each country will seek to integrate the requirements of all government partners into their Single Window systems using a common design based on World Customs Organization (WCO) principles. The Single Window Initiative will leverage all the infrastructure improvements made through </w:t>
            </w:r>
            <w:proofErr w:type="spellStart"/>
            <w:r w:rsidRPr="00A87E26">
              <w:rPr>
                <w:rFonts w:asciiTheme="minorHAnsi" w:hAnsiTheme="minorHAnsi"/>
                <w:sz w:val="20"/>
              </w:rPr>
              <w:t>eManifest</w:t>
            </w:r>
            <w:proofErr w:type="spellEnd"/>
            <w:r w:rsidRPr="00A87E26">
              <w:rPr>
                <w:rFonts w:asciiTheme="minorHAnsi" w:hAnsiTheme="minorHAnsi"/>
                <w:sz w:val="20"/>
              </w:rPr>
              <w:t xml:space="preserve"> to not only streamline and improve the importation process for businesses but also to provide opportunities to develop Government of Canada coordinated risk assessment processes. </w:t>
            </w:r>
          </w:p>
          <w:p w:rsidR="001F22A2" w:rsidRPr="00A87E26" w:rsidRDefault="001F22A2">
            <w:pPr>
              <w:rPr>
                <w:rFonts w:asciiTheme="minorHAnsi" w:hAnsiTheme="minorHAnsi"/>
                <w:sz w:val="20"/>
              </w:rPr>
            </w:pPr>
          </w:p>
        </w:tc>
      </w:tr>
      <w:tr w:rsidR="001A1859"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A87E26" w:rsidRDefault="000B5046" w:rsidP="009E28DA">
            <w:pPr>
              <w:pStyle w:val="Heading9"/>
              <w:rPr>
                <w:rFonts w:asciiTheme="minorHAnsi" w:hAnsiTheme="minorHAnsi"/>
                <w:b w:val="0"/>
                <w:i w:val="0"/>
              </w:rPr>
            </w:pPr>
            <w:hyperlink r:id="rId14" w:history="1">
              <w:r w:rsidR="00A87E26" w:rsidRPr="00A87E26">
                <w:rPr>
                  <w:rStyle w:val="Hyperlink"/>
                  <w:rFonts w:asciiTheme="minorHAnsi" w:hAnsiTheme="minorHAnsi"/>
                  <w:b w:val="0"/>
                  <w:i w:val="0"/>
                </w:rPr>
                <w:t>http://actionplan.gc.ca/en/page/bbg-tpf/trade-facilitation-economic-growth-and-jobs</w:t>
              </w:r>
            </w:hyperlink>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Default="000B5046" w:rsidP="009E28DA">
            <w:pPr>
              <w:pStyle w:val="Heading9"/>
              <w:rPr>
                <w:b w:val="0"/>
                <w:i w:val="0"/>
              </w:rPr>
            </w:pPr>
            <w:hyperlink r:id="rId15" w:history="1">
              <w:r w:rsidR="00A87E26" w:rsidRPr="00A87E26">
                <w:rPr>
                  <w:rStyle w:val="Hyperlink"/>
                  <w:rFonts w:asciiTheme="minorHAnsi" w:hAnsiTheme="minorHAnsi"/>
                  <w:b w:val="0"/>
                  <w:i w:val="0"/>
                </w:rPr>
                <w:t>AsiaPacDesk-BureauAsie_Pac@cbsa-asfc.gc.ca</w:t>
              </w:r>
            </w:hyperlink>
          </w:p>
          <w:p w:rsidR="00ED5FE7" w:rsidRPr="007312CB" w:rsidRDefault="00ED5FE7" w:rsidP="007312CB"/>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ED5FE7" w:rsidRDefault="00ED5FE7">
            <w:pPr>
              <w:rPr>
                <w:rFonts w:asciiTheme="minorHAnsi" w:hAnsiTheme="minorHAnsi"/>
                <w:b/>
                <w:i/>
                <w:sz w:val="20"/>
              </w:rPr>
            </w:pPr>
            <w:bookmarkStart w:id="19" w:name="Row7"/>
          </w:p>
          <w:p w:rsidR="001F22A2" w:rsidRPr="00BF37B1" w:rsidRDefault="001F22A2">
            <w:pPr>
              <w:rPr>
                <w:rFonts w:asciiTheme="minorHAnsi" w:hAnsiTheme="minorHAnsi"/>
                <w:b/>
                <w:i/>
                <w:sz w:val="20"/>
              </w:rPr>
            </w:pPr>
            <w:r w:rsidRPr="00BF37B1">
              <w:rPr>
                <w:rFonts w:asciiTheme="minorHAnsi" w:hAnsiTheme="minorHAnsi"/>
                <w:b/>
                <w:i/>
                <w:sz w:val="20"/>
              </w:rPr>
              <w:lastRenderedPageBreak/>
              <w:t>Intellectual Property Rights</w:t>
            </w:r>
            <w:bookmarkEnd w:id="19"/>
          </w:p>
          <w:p w:rsidR="001F22A2" w:rsidRPr="00BF37B1" w:rsidRDefault="001F22A2">
            <w:pPr>
              <w:rPr>
                <w:rFonts w:asciiTheme="minorHAnsi" w:hAnsiTheme="minorHAnsi"/>
                <w:b/>
                <w:i/>
                <w:sz w:val="20"/>
              </w:rPr>
            </w:pPr>
          </w:p>
        </w:tc>
        <w:tc>
          <w:tcPr>
            <w:tcW w:w="5387" w:type="dxa"/>
          </w:tcPr>
          <w:p w:rsidR="00ED5FE7" w:rsidRDefault="00ED5FE7">
            <w:pPr>
              <w:rPr>
                <w:rFonts w:ascii="Calibri" w:hAnsi="Calibri" w:cs="Arial"/>
                <w:sz w:val="20"/>
              </w:rPr>
            </w:pPr>
            <w:bookmarkStart w:id="20" w:name="Cell13"/>
            <w:bookmarkEnd w:id="20"/>
          </w:p>
          <w:p w:rsidR="001F22A2" w:rsidRDefault="00A52D71">
            <w:pPr>
              <w:rPr>
                <w:rFonts w:ascii="Calibri" w:hAnsi="Calibri" w:cs="Arial"/>
                <w:sz w:val="20"/>
              </w:rPr>
            </w:pPr>
            <w:r>
              <w:rPr>
                <w:rFonts w:ascii="Calibri" w:hAnsi="Calibri" w:cs="Arial"/>
                <w:sz w:val="20"/>
              </w:rPr>
              <w:lastRenderedPageBreak/>
              <w:t>On November 7, 2012, most of the provisions of the Copyright Modernization Act (the Act) came into force.  The Act provides copyright industries with a clear framework in which to invest in creative content, reach new markets, engage in new business models and combat infringement in a digital environment, including protection for digital locks and a new civil liability for sites that knowingly support online copyright infringement.  The government is working to bring the remaining provisions of the Act into force over the coming year.  The new legislation requires that Parliament review the Copyright Act every five years.  This five-year review will provide parliamentarians with the opportunity to raise copyright issues that may emerge in the future.</w:t>
            </w:r>
          </w:p>
          <w:p w:rsidR="00560257" w:rsidRDefault="00560257">
            <w:pPr>
              <w:rPr>
                <w:rFonts w:ascii="Calibri" w:hAnsi="Calibri" w:cs="Arial"/>
                <w:sz w:val="20"/>
              </w:rPr>
            </w:pPr>
          </w:p>
          <w:p w:rsidR="00560257" w:rsidRPr="000B5046" w:rsidRDefault="000B5046">
            <w:pPr>
              <w:rPr>
                <w:rFonts w:ascii="Calibri" w:hAnsi="Calibri" w:cs="Arial"/>
                <w:sz w:val="20"/>
              </w:rPr>
            </w:pPr>
            <w:r>
              <w:rPr>
                <w:rFonts w:ascii="Calibri" w:hAnsi="Calibri" w:cs="Arial"/>
                <w:sz w:val="20"/>
              </w:rPr>
              <w:t xml:space="preserve">On October 28, 2013 the Government of Canada introduced Bill C-8 the </w:t>
            </w:r>
            <w:r>
              <w:rPr>
                <w:rFonts w:ascii="Calibri" w:hAnsi="Calibri" w:cs="Arial"/>
                <w:i/>
                <w:iCs/>
                <w:sz w:val="20"/>
              </w:rPr>
              <w:t xml:space="preserve">Combating Counterfeit Products Act </w:t>
            </w:r>
            <w:r>
              <w:rPr>
                <w:rFonts w:ascii="Calibri" w:hAnsi="Calibri" w:cs="Arial"/>
                <w:iCs/>
                <w:sz w:val="20"/>
              </w:rPr>
              <w:t>(</w:t>
            </w:r>
            <w:r>
              <w:rPr>
                <w:rFonts w:ascii="Calibri" w:hAnsi="Calibri" w:cs="Arial"/>
                <w:i/>
                <w:iCs/>
                <w:sz w:val="20"/>
              </w:rPr>
              <w:t>CCPA</w:t>
            </w:r>
            <w:r>
              <w:rPr>
                <w:rFonts w:ascii="Calibri" w:hAnsi="Calibri" w:cs="Arial"/>
                <w:iCs/>
                <w:sz w:val="20"/>
              </w:rPr>
              <w:t>).</w:t>
            </w:r>
            <w:r w:rsidRPr="000B5046">
              <w:rPr>
                <w:rFonts w:asciiTheme="minorHAnsi" w:eastAsia="Times New Roman" w:hAnsiTheme="minorHAnsi" w:cstheme="minorHAnsi"/>
                <w:sz w:val="20"/>
                <w:szCs w:val="24"/>
                <w:lang w:val="en-CA" w:eastAsia="en-CA"/>
              </w:rPr>
              <w:t xml:space="preserve">  Bill C-8 amends the Copyright Act and the Trade-marks Act to add new civil and criminal remedies and new border measures in both Acts, in order to strengthen the enforcement of copyright and trade-mark rights and to curtail commercial activity involving infringing copies and counterfeit trade-marked goods.</w:t>
            </w:r>
          </w:p>
          <w:p w:rsidR="00A31219" w:rsidRPr="00BF37B1" w:rsidRDefault="00A31219" w:rsidP="00A31219">
            <w:pPr>
              <w:rPr>
                <w:rFonts w:asciiTheme="minorHAnsi" w:hAnsiTheme="minorHAnsi"/>
                <w:color w:val="808080"/>
                <w:sz w:val="20"/>
              </w:rPr>
            </w:pPr>
          </w:p>
        </w:tc>
        <w:tc>
          <w:tcPr>
            <w:tcW w:w="5670" w:type="dxa"/>
          </w:tcPr>
          <w:p w:rsidR="00ED5FE7" w:rsidRDefault="00ED5FE7" w:rsidP="00A52D71">
            <w:pPr>
              <w:rPr>
                <w:rFonts w:ascii="Calibri" w:hAnsi="Calibri" w:cs="Arial"/>
                <w:sz w:val="20"/>
              </w:rPr>
            </w:pPr>
            <w:bookmarkStart w:id="21" w:name="Cell14"/>
            <w:bookmarkEnd w:id="21"/>
          </w:p>
          <w:p w:rsidR="00A52D71" w:rsidRDefault="00A52D71" w:rsidP="00A52D71">
            <w:pPr>
              <w:rPr>
                <w:rFonts w:ascii="Calibri" w:hAnsi="Calibri" w:cs="Arial"/>
                <w:iCs/>
                <w:sz w:val="20"/>
              </w:rPr>
            </w:pPr>
          </w:p>
          <w:p w:rsidR="001F22A2" w:rsidRPr="00BF37B1" w:rsidRDefault="00A52D71" w:rsidP="00A52D71">
            <w:pPr>
              <w:rPr>
                <w:rFonts w:asciiTheme="minorHAnsi" w:hAnsiTheme="minorHAnsi"/>
                <w:color w:val="808080"/>
                <w:sz w:val="20"/>
              </w:rPr>
            </w:pPr>
            <w:r>
              <w:rPr>
                <w:rFonts w:ascii="Calibri" w:hAnsi="Calibri"/>
                <w:sz w:val="20"/>
                <w:lang w:val="en-CA"/>
              </w:rPr>
              <w:t xml:space="preserve">In 2012-13, the Parliamentary Standing Committee on Industry, Science and Technology reviewed Canada’s IP laws and released a report entitled </w:t>
            </w:r>
            <w:r>
              <w:rPr>
                <w:rFonts w:ascii="Calibri" w:hAnsi="Calibri"/>
                <w:i/>
                <w:sz w:val="20"/>
                <w:lang w:val="en-CA"/>
              </w:rPr>
              <w:t>Intellectual Property Regime in Canada</w:t>
            </w:r>
            <w:r>
              <w:rPr>
                <w:rFonts w:ascii="Calibri" w:hAnsi="Calibri"/>
                <w:sz w:val="20"/>
                <w:lang w:val="en-CA"/>
              </w:rPr>
              <w:t>.  The report recommended a number of areas where additional progress could be made. In response to the Committee’s study, the Government of Canada committed to consulting stakeholders on a range of issues aimed at modernizing Canada’s IP system and its administration.  For example, to examine how Canada can better align its IP framework with that of our international counterparts, the Government of Canada has committed to consulting on changes to Canada’s trademarks and patent regimes that may be required to position Canada to be consistent with the Madrid Protocol, Singapore Treaty and Patent Law Treaty.</w:t>
            </w:r>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A52D71" w:rsidRPr="00075134" w:rsidRDefault="000B5046" w:rsidP="00A52D71">
            <w:pPr>
              <w:pStyle w:val="Heading9"/>
              <w:rPr>
                <w:rFonts w:ascii="Calibri" w:hAnsi="Calibri"/>
                <w:b w:val="0"/>
                <w:i w:val="0"/>
              </w:rPr>
            </w:pPr>
            <w:hyperlink r:id="rId16" w:history="1">
              <w:r w:rsidR="00A52D71" w:rsidRPr="00075134">
                <w:rPr>
                  <w:rStyle w:val="Hyperlink"/>
                  <w:rFonts w:ascii="Calibri" w:hAnsi="Calibri"/>
                  <w:b w:val="0"/>
                  <w:i w:val="0"/>
                </w:rPr>
                <w:t>http://laws-lois.justice.gc.ca/eng/annualstatutes/2012_20/page-1.html</w:t>
              </w:r>
            </w:hyperlink>
          </w:p>
          <w:p w:rsidR="00A31219" w:rsidRPr="00075134" w:rsidRDefault="00A31219" w:rsidP="00A31219">
            <w:pPr>
              <w:pStyle w:val="Heading9"/>
              <w:rPr>
                <w:rFonts w:asciiTheme="minorHAnsi" w:hAnsiTheme="minorHAnsi"/>
                <w:b w:val="0"/>
                <w:i w:val="0"/>
              </w:rPr>
            </w:pPr>
          </w:p>
          <w:p w:rsidR="000B5046" w:rsidRPr="0049319A" w:rsidRDefault="000B5046" w:rsidP="000B5046">
            <w:pPr>
              <w:pStyle w:val="Heading9"/>
              <w:rPr>
                <w:rFonts w:asciiTheme="minorHAnsi" w:hAnsiTheme="minorHAnsi"/>
                <w:b w:val="0"/>
              </w:rPr>
            </w:pPr>
            <w:r w:rsidRPr="0049319A">
              <w:rPr>
                <w:rFonts w:asciiTheme="minorHAnsi" w:hAnsiTheme="minorHAnsi"/>
                <w:b w:val="0"/>
              </w:rPr>
              <w:t>Combating Counterfeit Products Act Bill C-8:</w:t>
            </w:r>
          </w:p>
          <w:p w:rsidR="001A1859" w:rsidRPr="00075134" w:rsidRDefault="000B5046" w:rsidP="000B5046">
            <w:pPr>
              <w:pStyle w:val="Heading9"/>
              <w:rPr>
                <w:rFonts w:asciiTheme="minorHAnsi" w:hAnsiTheme="minorHAnsi"/>
                <w:b w:val="0"/>
                <w:i w:val="0"/>
              </w:rPr>
            </w:pPr>
            <w:hyperlink r:id="rId17" w:history="1">
              <w:r w:rsidRPr="004E74AF">
                <w:rPr>
                  <w:rStyle w:val="Hyperlink"/>
                  <w:rFonts w:asciiTheme="minorHAnsi" w:hAnsiTheme="minorHAnsi"/>
                  <w:b w:val="0"/>
                </w:rPr>
                <w:t>http://www.parl.gc.ca/LegisInfo/BillDetails.aspx?Language=E&amp;Mode=1&amp;billId=6266835</w:t>
              </w:r>
            </w:hyperlink>
            <w:r>
              <w:rPr>
                <w:rFonts w:asciiTheme="minorHAnsi" w:hAnsiTheme="minorHAnsi"/>
                <w:b w:val="0"/>
              </w:rPr>
              <w:t xml:space="preserve"> </w:t>
            </w:r>
            <w:bookmarkStart w:id="22" w:name="_GoBack"/>
            <w:bookmarkEnd w:id="22"/>
          </w:p>
        </w:tc>
        <w:tc>
          <w:tcPr>
            <w:tcW w:w="5670" w:type="dxa"/>
          </w:tcPr>
          <w:p w:rsidR="001A1859" w:rsidRPr="00075134" w:rsidRDefault="000B5046" w:rsidP="00A52D71">
            <w:pPr>
              <w:pStyle w:val="Heading9"/>
              <w:rPr>
                <w:rFonts w:asciiTheme="minorHAnsi" w:hAnsiTheme="minorHAnsi"/>
                <w:b w:val="0"/>
                <w:i w:val="0"/>
              </w:rPr>
            </w:pPr>
            <w:hyperlink r:id="rId18" w:history="1">
              <w:r w:rsidRPr="004E74AF">
                <w:rPr>
                  <w:rStyle w:val="Hyperlink"/>
                  <w:rFonts w:ascii="Calibri" w:hAnsi="Calibri"/>
                  <w:b w:val="0"/>
                  <w:i w:val="0"/>
                </w:rPr>
                <w:t>http://www.parl.gc.ca/HousePublications/Publication.aspx?DocId=6237704</w:t>
              </w:r>
            </w:hyperlink>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3" w:name="Row8"/>
            <w:bookmarkEnd w:id="23"/>
            <w:r w:rsidRPr="00BF37B1">
              <w:rPr>
                <w:rFonts w:asciiTheme="minorHAnsi" w:hAnsiTheme="minorHAnsi"/>
                <w:b/>
                <w:i/>
                <w:sz w:val="20"/>
              </w:rPr>
              <w:t>Competition Policy</w:t>
            </w:r>
          </w:p>
          <w:p w:rsidR="001F22A2" w:rsidRPr="00BF37B1" w:rsidRDefault="001F22A2">
            <w:pPr>
              <w:rPr>
                <w:rFonts w:asciiTheme="minorHAnsi" w:hAnsiTheme="minorHAnsi"/>
                <w:b/>
                <w:i/>
                <w:sz w:val="20"/>
              </w:rPr>
            </w:pPr>
          </w:p>
        </w:tc>
        <w:tc>
          <w:tcPr>
            <w:tcW w:w="5387" w:type="dxa"/>
          </w:tcPr>
          <w:p w:rsidR="001F22A2" w:rsidRPr="00BF37B1" w:rsidRDefault="00537646">
            <w:pPr>
              <w:rPr>
                <w:rFonts w:asciiTheme="minorHAnsi" w:hAnsiTheme="minorHAnsi"/>
                <w:color w:val="808080"/>
                <w:sz w:val="20"/>
              </w:rPr>
            </w:pPr>
            <w:bookmarkStart w:id="24" w:name="Cell15"/>
            <w:bookmarkEnd w:id="24"/>
            <w:r>
              <w:rPr>
                <w:rFonts w:asciiTheme="minorHAnsi" w:hAnsiTheme="minorHAnsi" w:cs="Arial"/>
                <w:i/>
                <w:color w:val="808080"/>
                <w:sz w:val="20"/>
              </w:rPr>
              <w:t>No new information to report</w:t>
            </w:r>
          </w:p>
        </w:tc>
        <w:tc>
          <w:tcPr>
            <w:tcW w:w="5670" w:type="dxa"/>
          </w:tcPr>
          <w:p w:rsidR="001F22A2" w:rsidRPr="00BF37B1" w:rsidRDefault="001F22A2">
            <w:pPr>
              <w:rPr>
                <w:rFonts w:asciiTheme="minorHAnsi" w:hAnsiTheme="minorHAnsi"/>
                <w:color w:val="808080"/>
                <w:sz w:val="20"/>
              </w:rPr>
            </w:pPr>
            <w:bookmarkStart w:id="25" w:name="Cell16"/>
            <w:bookmarkEnd w:id="25"/>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26" w:name="Row9"/>
            <w:r w:rsidRPr="00BF37B1">
              <w:rPr>
                <w:rFonts w:asciiTheme="minorHAnsi" w:hAnsiTheme="minorHAnsi"/>
                <w:b/>
                <w:i/>
                <w:sz w:val="20"/>
              </w:rPr>
              <w:t>Government Procurement</w:t>
            </w:r>
            <w:bookmarkEnd w:id="26"/>
          </w:p>
          <w:p w:rsidR="001F22A2" w:rsidRPr="00BF37B1" w:rsidRDefault="001F22A2">
            <w:pPr>
              <w:rPr>
                <w:rFonts w:asciiTheme="minorHAnsi" w:hAnsiTheme="minorHAnsi"/>
                <w:b/>
                <w:i/>
                <w:sz w:val="20"/>
              </w:rPr>
            </w:pPr>
          </w:p>
        </w:tc>
        <w:tc>
          <w:tcPr>
            <w:tcW w:w="5387" w:type="dxa"/>
          </w:tcPr>
          <w:p w:rsidR="001F22A2" w:rsidRPr="00BF37B1" w:rsidRDefault="00537646">
            <w:pPr>
              <w:rPr>
                <w:rFonts w:asciiTheme="minorHAnsi" w:hAnsiTheme="minorHAnsi"/>
                <w:color w:val="808080"/>
                <w:sz w:val="20"/>
              </w:rPr>
            </w:pPr>
            <w:bookmarkStart w:id="27" w:name="Cell17"/>
            <w:bookmarkEnd w:id="27"/>
            <w:r>
              <w:rPr>
                <w:rFonts w:asciiTheme="minorHAnsi" w:hAnsiTheme="minorHAnsi" w:cs="Arial"/>
                <w:i/>
                <w:color w:val="808080"/>
                <w:sz w:val="20"/>
              </w:rPr>
              <w:t>No new information to report</w:t>
            </w:r>
          </w:p>
        </w:tc>
        <w:tc>
          <w:tcPr>
            <w:tcW w:w="5670" w:type="dxa"/>
          </w:tcPr>
          <w:p w:rsidR="001F22A2" w:rsidRPr="00BF37B1" w:rsidRDefault="001F22A2">
            <w:pPr>
              <w:rPr>
                <w:rFonts w:asciiTheme="minorHAnsi" w:hAnsiTheme="minorHAnsi"/>
                <w:color w:val="808080"/>
                <w:sz w:val="20"/>
              </w:rPr>
            </w:pPr>
            <w:bookmarkStart w:id="28" w:name="Cell18"/>
            <w:bookmarkEnd w:id="28"/>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9E28DA">
            <w:pPr>
              <w:pStyle w:val="Heading9"/>
              <w:rPr>
                <w:rFonts w:asciiTheme="minorHAnsi" w:hAnsiTheme="minorHAnsi"/>
                <w:b w:val="0"/>
                <w:color w:val="808080"/>
              </w:rPr>
            </w:pPr>
          </w:p>
        </w:tc>
        <w:tc>
          <w:tcPr>
            <w:tcW w:w="5670" w:type="dxa"/>
          </w:tcPr>
          <w:p w:rsidR="001A1859" w:rsidRPr="00BF37B1" w:rsidRDefault="001A1859" w:rsidP="009E28DA">
            <w:pPr>
              <w:pStyle w:val="Heading9"/>
              <w:rPr>
                <w:rFonts w:asciiTheme="minorHAnsi" w:hAnsiTheme="minorHAnsi"/>
                <w:b w:val="0"/>
                <w:color w:val="808080"/>
              </w:rPr>
            </w:pPr>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color w:val="808080"/>
              </w:rPr>
            </w:pPr>
          </w:p>
        </w:tc>
        <w:tc>
          <w:tcPr>
            <w:tcW w:w="5670" w:type="dxa"/>
          </w:tcPr>
          <w:p w:rsidR="001A1859" w:rsidRPr="00BF37B1" w:rsidRDefault="001A1859" w:rsidP="009E28DA">
            <w:pPr>
              <w:pStyle w:val="Heading9"/>
              <w:rPr>
                <w:rFonts w:asciiTheme="minorHAnsi" w:hAnsiTheme="minorHAnsi"/>
                <w:b w:val="0"/>
                <w:color w:val="808080"/>
              </w:rPr>
            </w:pPr>
          </w:p>
        </w:tc>
      </w:tr>
      <w:tr w:rsidR="001F22A2">
        <w:tc>
          <w:tcPr>
            <w:tcW w:w="3524" w:type="dxa"/>
          </w:tcPr>
          <w:p w:rsidR="001F22A2" w:rsidRPr="00BF37B1" w:rsidRDefault="001F22A2">
            <w:pPr>
              <w:rPr>
                <w:rFonts w:asciiTheme="minorHAnsi" w:hAnsiTheme="minorHAnsi"/>
                <w:b/>
                <w:i/>
                <w:sz w:val="20"/>
              </w:rPr>
            </w:pPr>
            <w:bookmarkStart w:id="29" w:name="Row10"/>
            <w:r w:rsidRPr="00BF37B1">
              <w:rPr>
                <w:rFonts w:asciiTheme="minorHAnsi" w:hAnsiTheme="minorHAnsi"/>
                <w:b/>
                <w:i/>
                <w:sz w:val="20"/>
              </w:rPr>
              <w:t>Deregulation/Regulatory Review</w:t>
            </w:r>
            <w:bookmarkEnd w:id="29"/>
          </w:p>
          <w:p w:rsidR="001F22A2" w:rsidRPr="00BF37B1" w:rsidRDefault="001F22A2">
            <w:pPr>
              <w:rPr>
                <w:rFonts w:asciiTheme="minorHAnsi" w:hAnsiTheme="minorHAnsi"/>
                <w:b/>
                <w:i/>
                <w:sz w:val="20"/>
              </w:rPr>
            </w:pPr>
          </w:p>
        </w:tc>
        <w:tc>
          <w:tcPr>
            <w:tcW w:w="5387" w:type="dxa"/>
          </w:tcPr>
          <w:p w:rsidR="001F22A2" w:rsidRPr="00BF37B1" w:rsidRDefault="00537646">
            <w:pPr>
              <w:rPr>
                <w:rFonts w:asciiTheme="minorHAnsi" w:hAnsiTheme="minorHAnsi"/>
                <w:color w:val="808080"/>
                <w:sz w:val="20"/>
              </w:rPr>
            </w:pPr>
            <w:bookmarkStart w:id="30" w:name="Cell19"/>
            <w:bookmarkEnd w:id="30"/>
            <w:r>
              <w:rPr>
                <w:rFonts w:asciiTheme="minorHAnsi" w:hAnsiTheme="minorHAnsi" w:cs="Arial"/>
                <w:i/>
                <w:color w:val="808080"/>
                <w:sz w:val="20"/>
              </w:rPr>
              <w:lastRenderedPageBreak/>
              <w:t>No new information to report</w:t>
            </w:r>
          </w:p>
        </w:tc>
        <w:tc>
          <w:tcPr>
            <w:tcW w:w="5670" w:type="dxa"/>
          </w:tcPr>
          <w:p w:rsidR="001F22A2" w:rsidRPr="00BF37B1" w:rsidRDefault="001F22A2">
            <w:pPr>
              <w:rPr>
                <w:rFonts w:asciiTheme="minorHAnsi" w:hAnsiTheme="minorHAnsi"/>
                <w:color w:val="808080"/>
                <w:sz w:val="20"/>
              </w:rPr>
            </w:pPr>
            <w:bookmarkStart w:id="31" w:name="Cell20"/>
            <w:bookmarkEnd w:id="31"/>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8F223D"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32" w:name="Row11"/>
            <w:r w:rsidRPr="00BF37B1">
              <w:rPr>
                <w:rFonts w:asciiTheme="minorHAnsi" w:hAnsiTheme="minorHAnsi"/>
                <w:b/>
                <w:i/>
                <w:sz w:val="20"/>
              </w:rPr>
              <w:t>Implementation of WTO Obligations/ROOs</w:t>
            </w:r>
            <w:bookmarkEnd w:id="32"/>
          </w:p>
        </w:tc>
        <w:tc>
          <w:tcPr>
            <w:tcW w:w="5387" w:type="dxa"/>
          </w:tcPr>
          <w:p w:rsidR="001F22A2" w:rsidRPr="00BF37B1" w:rsidRDefault="00537646">
            <w:pPr>
              <w:rPr>
                <w:rFonts w:asciiTheme="minorHAnsi" w:hAnsiTheme="minorHAnsi"/>
                <w:color w:val="808080"/>
                <w:sz w:val="20"/>
              </w:rPr>
            </w:pPr>
            <w:bookmarkStart w:id="33" w:name="Cell21"/>
            <w:bookmarkEnd w:id="33"/>
            <w:r>
              <w:rPr>
                <w:rFonts w:asciiTheme="minorHAnsi" w:hAnsiTheme="minorHAnsi" w:cs="Arial"/>
                <w:i/>
                <w:color w:val="808080"/>
                <w:sz w:val="20"/>
              </w:rPr>
              <w:t>No new information to report</w:t>
            </w:r>
          </w:p>
        </w:tc>
        <w:tc>
          <w:tcPr>
            <w:tcW w:w="5670" w:type="dxa"/>
          </w:tcPr>
          <w:p w:rsidR="001F22A2" w:rsidRPr="00BF37B1" w:rsidRDefault="001F22A2">
            <w:pPr>
              <w:rPr>
                <w:rFonts w:asciiTheme="minorHAnsi" w:hAnsiTheme="minorHAnsi"/>
                <w:color w:val="808080"/>
                <w:sz w:val="20"/>
              </w:rPr>
            </w:pPr>
            <w:bookmarkStart w:id="34" w:name="Cell22"/>
            <w:bookmarkEnd w:id="34"/>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01261C" w:rsidRPr="00B72FF6">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rsidRPr="00B72FF6">
        <w:tc>
          <w:tcPr>
            <w:tcW w:w="3524" w:type="dxa"/>
          </w:tcPr>
          <w:p w:rsidR="001F22A2" w:rsidRPr="00BF37B1" w:rsidRDefault="001F22A2">
            <w:pPr>
              <w:rPr>
                <w:rFonts w:asciiTheme="minorHAnsi" w:hAnsiTheme="minorHAnsi"/>
                <w:b/>
                <w:i/>
                <w:sz w:val="20"/>
              </w:rPr>
            </w:pPr>
            <w:bookmarkStart w:id="35" w:name="Row12"/>
            <w:r w:rsidRPr="00BF37B1">
              <w:rPr>
                <w:rFonts w:asciiTheme="minorHAnsi" w:hAnsiTheme="minorHAnsi"/>
                <w:b/>
                <w:i/>
                <w:sz w:val="20"/>
              </w:rPr>
              <w:t>Dispute Mediation</w:t>
            </w:r>
            <w:bookmarkEnd w:id="35"/>
          </w:p>
          <w:p w:rsidR="001F22A2" w:rsidRPr="00BF37B1" w:rsidRDefault="001F22A2">
            <w:pPr>
              <w:rPr>
                <w:rFonts w:asciiTheme="minorHAnsi" w:hAnsiTheme="minorHAnsi"/>
                <w:b/>
                <w:i/>
                <w:color w:val="808080"/>
                <w:sz w:val="20"/>
              </w:rPr>
            </w:pPr>
          </w:p>
        </w:tc>
        <w:tc>
          <w:tcPr>
            <w:tcW w:w="5387" w:type="dxa"/>
          </w:tcPr>
          <w:p w:rsidR="001F22A2" w:rsidRPr="00BF37B1" w:rsidRDefault="00537646">
            <w:pPr>
              <w:rPr>
                <w:rFonts w:asciiTheme="minorHAnsi" w:hAnsiTheme="minorHAnsi"/>
                <w:color w:val="808080"/>
                <w:sz w:val="20"/>
              </w:rPr>
            </w:pPr>
            <w:bookmarkStart w:id="36" w:name="Cell23"/>
            <w:bookmarkEnd w:id="36"/>
            <w:r>
              <w:rPr>
                <w:rFonts w:asciiTheme="minorHAnsi" w:hAnsiTheme="minorHAnsi" w:cs="Arial"/>
                <w:i/>
                <w:color w:val="808080"/>
                <w:sz w:val="20"/>
              </w:rPr>
              <w:t>No new information to report</w:t>
            </w:r>
          </w:p>
        </w:tc>
        <w:tc>
          <w:tcPr>
            <w:tcW w:w="5670" w:type="dxa"/>
          </w:tcPr>
          <w:p w:rsidR="001F22A2" w:rsidRPr="00BF37B1" w:rsidRDefault="001F22A2">
            <w:pPr>
              <w:rPr>
                <w:rFonts w:asciiTheme="minorHAnsi" w:hAnsiTheme="minorHAnsi"/>
                <w:color w:val="808080"/>
                <w:sz w:val="20"/>
              </w:rPr>
            </w:pPr>
            <w:bookmarkStart w:id="37" w:name="Cell24"/>
            <w:bookmarkEnd w:id="37"/>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1A1859" w:rsidRPr="00BF37B1" w:rsidRDefault="001A1859" w:rsidP="008F223D">
            <w:pPr>
              <w:pStyle w:val="Heading9"/>
              <w:ind w:firstLine="720"/>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01261C" w:rsidRPr="0001261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9E28DA">
            <w:pPr>
              <w:pStyle w:val="Heading9"/>
              <w:rPr>
                <w:rFonts w:asciiTheme="minorHAnsi" w:hAnsiTheme="minorHAnsi"/>
                <w:b w:val="0"/>
              </w:rPr>
            </w:pPr>
          </w:p>
        </w:tc>
        <w:tc>
          <w:tcPr>
            <w:tcW w:w="5670" w:type="dxa"/>
          </w:tcPr>
          <w:p w:rsidR="001A1859" w:rsidRPr="00BF37B1" w:rsidRDefault="001A1859" w:rsidP="009E28DA">
            <w:pPr>
              <w:pStyle w:val="Heading9"/>
              <w:rPr>
                <w:rFonts w:asciiTheme="minorHAnsi" w:hAnsiTheme="minorHAnsi"/>
                <w:b w:val="0"/>
              </w:rPr>
            </w:pPr>
          </w:p>
        </w:tc>
      </w:tr>
      <w:tr w:rsidR="001F22A2">
        <w:tc>
          <w:tcPr>
            <w:tcW w:w="3524" w:type="dxa"/>
          </w:tcPr>
          <w:p w:rsidR="001F22A2" w:rsidRPr="002913E4" w:rsidRDefault="001F22A2" w:rsidP="002913E4">
            <w:pPr>
              <w:pStyle w:val="Heading5"/>
              <w:spacing w:after="0"/>
              <w:rPr>
                <w:rFonts w:asciiTheme="minorHAnsi" w:hAnsiTheme="minorHAnsi"/>
                <w:i/>
              </w:rPr>
            </w:pPr>
            <w:bookmarkStart w:id="38" w:name="Row13"/>
            <w:r w:rsidRPr="00BF37B1">
              <w:rPr>
                <w:rFonts w:asciiTheme="minorHAnsi" w:hAnsiTheme="minorHAnsi"/>
                <w:i/>
              </w:rPr>
              <w:t>Mobility of Business People</w:t>
            </w:r>
            <w:bookmarkEnd w:id="38"/>
          </w:p>
        </w:tc>
        <w:tc>
          <w:tcPr>
            <w:tcW w:w="5387" w:type="dxa"/>
          </w:tcPr>
          <w:p w:rsidR="00E76854" w:rsidRPr="00E76854" w:rsidRDefault="00E76854" w:rsidP="00E76854">
            <w:pPr>
              <w:rPr>
                <w:rFonts w:ascii="Calibri" w:hAnsi="Calibri" w:cs="Calibri"/>
                <w:sz w:val="20"/>
              </w:rPr>
            </w:pPr>
            <w:bookmarkStart w:id="39" w:name="Cell25"/>
            <w:bookmarkEnd w:id="39"/>
            <w:r w:rsidRPr="00E76854">
              <w:rPr>
                <w:rFonts w:ascii="Calibri" w:hAnsi="Calibri" w:cs="Calibri"/>
                <w:sz w:val="20"/>
              </w:rPr>
              <w:t>55 countries and territories are visa exempt for travel to</w:t>
            </w:r>
          </w:p>
          <w:p w:rsidR="00E76854" w:rsidRPr="00E76854" w:rsidRDefault="00E76854" w:rsidP="00E76854">
            <w:pPr>
              <w:rPr>
                <w:rFonts w:ascii="Calibri" w:hAnsi="Calibri" w:cs="Calibri"/>
                <w:sz w:val="20"/>
              </w:rPr>
            </w:pPr>
            <w:r w:rsidRPr="00E76854">
              <w:rPr>
                <w:rFonts w:ascii="Calibri" w:hAnsi="Calibri" w:cs="Calibri"/>
                <w:sz w:val="20"/>
              </w:rPr>
              <w:t>Canada.</w:t>
            </w:r>
            <w:r>
              <w:rPr>
                <w:rFonts w:ascii="Calibri" w:hAnsi="Calibri" w:cs="Calibri"/>
                <w:sz w:val="20"/>
              </w:rPr>
              <w:t xml:space="preserve"> </w:t>
            </w:r>
            <w:r w:rsidRPr="00E76854">
              <w:rPr>
                <w:rFonts w:ascii="Calibri" w:hAnsi="Calibri" w:cs="Calibri"/>
                <w:sz w:val="20"/>
              </w:rPr>
              <w:t>The following APEC economies qualify for a visa exemption for travel to Canada : Australia, Brunei</w:t>
            </w:r>
          </w:p>
          <w:p w:rsidR="00E76854" w:rsidRPr="00E76854" w:rsidRDefault="00E76854" w:rsidP="00E76854">
            <w:pPr>
              <w:rPr>
                <w:rFonts w:ascii="Calibri" w:hAnsi="Calibri" w:cs="Calibri"/>
                <w:sz w:val="20"/>
              </w:rPr>
            </w:pPr>
            <w:r w:rsidRPr="00E76854">
              <w:rPr>
                <w:rFonts w:ascii="Calibri" w:hAnsi="Calibri" w:cs="Calibri"/>
                <w:sz w:val="20"/>
              </w:rPr>
              <w:t>Darussalam, Hong Kong,</w:t>
            </w:r>
            <w:r>
              <w:rPr>
                <w:rFonts w:ascii="Calibri" w:hAnsi="Calibri" w:cs="Calibri"/>
                <w:sz w:val="20"/>
              </w:rPr>
              <w:t xml:space="preserve"> </w:t>
            </w:r>
            <w:r w:rsidRPr="00E76854">
              <w:rPr>
                <w:rFonts w:ascii="Calibri" w:hAnsi="Calibri" w:cs="Calibri"/>
                <w:sz w:val="20"/>
              </w:rPr>
              <w:t>Japan, Korea, New Zealand,</w:t>
            </w:r>
          </w:p>
          <w:p w:rsidR="00E76854" w:rsidRPr="00E76854" w:rsidRDefault="00E76854" w:rsidP="00E76854">
            <w:pPr>
              <w:rPr>
                <w:rFonts w:ascii="Calibri" w:hAnsi="Calibri" w:cs="Calibri"/>
                <w:sz w:val="20"/>
              </w:rPr>
            </w:pPr>
            <w:r w:rsidRPr="00E76854">
              <w:rPr>
                <w:rFonts w:ascii="Calibri" w:hAnsi="Calibri" w:cs="Calibri"/>
                <w:sz w:val="20"/>
              </w:rPr>
              <w:t>Papua New Guinea,</w:t>
            </w:r>
            <w:r>
              <w:rPr>
                <w:rFonts w:ascii="Calibri" w:hAnsi="Calibri" w:cs="Calibri"/>
                <w:sz w:val="20"/>
              </w:rPr>
              <w:t xml:space="preserve"> </w:t>
            </w:r>
            <w:r w:rsidRPr="00E76854">
              <w:rPr>
                <w:rFonts w:ascii="Calibri" w:hAnsi="Calibri" w:cs="Calibri"/>
                <w:sz w:val="20"/>
              </w:rPr>
              <w:t>Singapore, the U.S., and Chinese Taipei* (since November 2010)</w:t>
            </w:r>
            <w:r>
              <w:rPr>
                <w:rFonts w:ascii="Calibri" w:hAnsi="Calibri" w:cs="Calibri"/>
                <w:sz w:val="20"/>
              </w:rPr>
              <w:t>.</w:t>
            </w:r>
          </w:p>
          <w:p w:rsidR="00E76854" w:rsidRPr="00E76854" w:rsidRDefault="00E76854" w:rsidP="00E76854">
            <w:pPr>
              <w:rPr>
                <w:rFonts w:ascii="Calibri" w:hAnsi="Calibri" w:cs="Calibri"/>
                <w:sz w:val="20"/>
              </w:rPr>
            </w:pPr>
          </w:p>
          <w:p w:rsidR="00E76854" w:rsidRPr="00E76854" w:rsidRDefault="00E76854" w:rsidP="00E76854">
            <w:pPr>
              <w:rPr>
                <w:rFonts w:ascii="Calibri" w:hAnsi="Calibri" w:cs="Calibri"/>
                <w:sz w:val="20"/>
              </w:rPr>
            </w:pPr>
            <w:r w:rsidRPr="00E76854">
              <w:rPr>
                <w:rFonts w:ascii="Calibri" w:hAnsi="Calibri" w:cs="Calibri"/>
                <w:sz w:val="20"/>
              </w:rPr>
              <w:t>*holders of an ordinary passport that contains a personal identification number</w:t>
            </w:r>
          </w:p>
          <w:p w:rsidR="00E76854" w:rsidRPr="00E76854" w:rsidRDefault="00E76854" w:rsidP="00E76854">
            <w:pPr>
              <w:rPr>
                <w:rFonts w:ascii="Calibri" w:hAnsi="Calibri" w:cs="Calibri"/>
                <w:sz w:val="20"/>
              </w:rPr>
            </w:pPr>
          </w:p>
          <w:p w:rsidR="00E76854" w:rsidRPr="00E76854" w:rsidRDefault="00E76854" w:rsidP="00E76854">
            <w:pPr>
              <w:rPr>
                <w:rFonts w:ascii="Calibri" w:hAnsi="Calibri" w:cs="Calibri"/>
                <w:sz w:val="20"/>
              </w:rPr>
            </w:pPr>
            <w:r w:rsidRPr="00E76854">
              <w:rPr>
                <w:rFonts w:ascii="Calibri" w:hAnsi="Calibri" w:cs="Calibri"/>
                <w:sz w:val="20"/>
              </w:rPr>
              <w:t>Canada continues to facilitate APEC Business Traveller Card (ABTC) members through special service counters at its eight major international airports.</w:t>
            </w:r>
          </w:p>
          <w:p w:rsidR="00E76854" w:rsidRPr="00E76854" w:rsidRDefault="00E76854" w:rsidP="00E76854">
            <w:pPr>
              <w:rPr>
                <w:rFonts w:ascii="Calibri" w:hAnsi="Calibri" w:cs="Calibri"/>
                <w:sz w:val="20"/>
              </w:rPr>
            </w:pPr>
          </w:p>
          <w:p w:rsidR="00E76854" w:rsidRPr="00E76854" w:rsidRDefault="00E76854" w:rsidP="00E76854">
            <w:pPr>
              <w:rPr>
                <w:rFonts w:ascii="Calibri" w:hAnsi="Calibri" w:cs="Calibri"/>
                <w:iCs/>
                <w:sz w:val="20"/>
              </w:rPr>
            </w:pPr>
            <w:r w:rsidRPr="00E76854">
              <w:rPr>
                <w:rFonts w:ascii="Calibri" w:hAnsi="Calibri" w:cs="Calibri"/>
                <w:sz w:val="20"/>
              </w:rPr>
              <w:t>Canada’s transitional membership has been extended until 2014</w:t>
            </w:r>
            <w:r w:rsidRPr="00E76854">
              <w:rPr>
                <w:rFonts w:ascii="Calibri" w:hAnsi="Calibri" w:cs="Calibri"/>
                <w:iCs/>
                <w:sz w:val="20"/>
              </w:rPr>
              <w:t>.</w:t>
            </w:r>
          </w:p>
          <w:p w:rsidR="00E76854" w:rsidRPr="00E76854" w:rsidRDefault="00E76854" w:rsidP="00E76854">
            <w:pPr>
              <w:rPr>
                <w:rFonts w:ascii="Calibri" w:hAnsi="Calibri" w:cs="Calibri"/>
                <w:sz w:val="20"/>
              </w:rPr>
            </w:pPr>
          </w:p>
          <w:p w:rsidR="001F22A2" w:rsidRPr="00BF37B1" w:rsidRDefault="00E76854" w:rsidP="00E76854">
            <w:pPr>
              <w:rPr>
                <w:rFonts w:asciiTheme="minorHAnsi" w:hAnsiTheme="minorHAnsi"/>
                <w:color w:val="808080"/>
                <w:sz w:val="20"/>
              </w:rPr>
            </w:pPr>
            <w:r w:rsidRPr="00E76854">
              <w:rPr>
                <w:rFonts w:ascii="Calibri" w:hAnsi="Calibri" w:cs="Calibri"/>
                <w:bCs/>
                <w:sz w:val="20"/>
              </w:rPr>
              <w:t>In January 2013 the Business Mobility Group removed time limitations on transitional membership; consequently, there is no longer an expiry date for Canada’s transitional membership status.</w:t>
            </w:r>
          </w:p>
        </w:tc>
        <w:tc>
          <w:tcPr>
            <w:tcW w:w="5670" w:type="dxa"/>
          </w:tcPr>
          <w:p w:rsidR="00E76854" w:rsidRPr="00E76854" w:rsidRDefault="00E76854" w:rsidP="00E76854">
            <w:pPr>
              <w:rPr>
                <w:rFonts w:ascii="Calibri" w:hAnsi="Calibri" w:cs="Calibri"/>
                <w:sz w:val="20"/>
              </w:rPr>
            </w:pPr>
            <w:bookmarkStart w:id="40" w:name="Cell26"/>
            <w:bookmarkEnd w:id="40"/>
            <w:r w:rsidRPr="00E76854">
              <w:rPr>
                <w:rFonts w:ascii="Calibri" w:hAnsi="Calibri" w:cs="Calibri"/>
                <w:sz w:val="20"/>
              </w:rPr>
              <w:t xml:space="preserve">Canada has committed to piloting a domestic ABTC scheme offering Canadian businessmen the same level of service that Canada currently offers other APEC economies </w:t>
            </w:r>
          </w:p>
          <w:p w:rsidR="00E76854" w:rsidRPr="00E76854" w:rsidRDefault="00E76854" w:rsidP="00E76854">
            <w:pPr>
              <w:rPr>
                <w:rFonts w:ascii="Calibri" w:hAnsi="Calibri" w:cs="Calibri"/>
                <w:sz w:val="20"/>
                <w:lang w:val="en-CA"/>
              </w:rPr>
            </w:pPr>
          </w:p>
          <w:p w:rsidR="00E76854" w:rsidRPr="00E76854" w:rsidRDefault="00E76854" w:rsidP="00E76854">
            <w:pPr>
              <w:rPr>
                <w:rFonts w:ascii="Calibri" w:hAnsi="Calibri" w:cs="Calibri"/>
                <w:sz w:val="20"/>
              </w:rPr>
            </w:pPr>
            <w:r w:rsidRPr="00E76854">
              <w:rPr>
                <w:rFonts w:ascii="Calibri" w:hAnsi="Calibri" w:cs="Calibri"/>
                <w:sz w:val="20"/>
              </w:rPr>
              <w:t>The pilot will be available to Canadian business travellers only.</w:t>
            </w:r>
          </w:p>
          <w:p w:rsidR="00E76854" w:rsidRPr="00E76854" w:rsidRDefault="00E76854" w:rsidP="00E76854">
            <w:pPr>
              <w:rPr>
                <w:rFonts w:ascii="Calibri" w:hAnsi="Calibri" w:cs="Calibri"/>
                <w:sz w:val="20"/>
              </w:rPr>
            </w:pPr>
          </w:p>
          <w:p w:rsidR="00E76854" w:rsidRPr="00E76854" w:rsidRDefault="00E76854" w:rsidP="00E76854">
            <w:pPr>
              <w:rPr>
                <w:rFonts w:ascii="Calibri" w:hAnsi="Calibri" w:cs="Calibri"/>
                <w:sz w:val="20"/>
              </w:rPr>
            </w:pPr>
            <w:r w:rsidRPr="00E76854">
              <w:rPr>
                <w:rFonts w:ascii="Calibri" w:hAnsi="Calibri" w:cs="Calibri"/>
                <w:sz w:val="20"/>
              </w:rPr>
              <w:t>The pilot will offer participants the same level of service currently offered to ABTC holders when they arrive in Canada.</w:t>
            </w:r>
          </w:p>
          <w:p w:rsidR="00E76854" w:rsidRPr="00E76854" w:rsidRDefault="00E76854" w:rsidP="00E76854">
            <w:pPr>
              <w:rPr>
                <w:rFonts w:ascii="Calibri" w:hAnsi="Calibri" w:cs="Calibri"/>
                <w:sz w:val="20"/>
              </w:rPr>
            </w:pPr>
          </w:p>
          <w:p w:rsidR="00E76854" w:rsidRPr="00E76854" w:rsidRDefault="00E76854" w:rsidP="00E76854">
            <w:pPr>
              <w:rPr>
                <w:rFonts w:ascii="Calibri" w:hAnsi="Calibri" w:cs="Calibri"/>
                <w:sz w:val="20"/>
              </w:rPr>
            </w:pPr>
            <w:r w:rsidRPr="00E76854">
              <w:rPr>
                <w:rFonts w:ascii="Calibri" w:hAnsi="Calibri" w:cs="Calibri"/>
                <w:sz w:val="20"/>
              </w:rPr>
              <w:t>At the 2013 Leaders’ Summit, Prime Minister Harper announced that the pilot is scheduled for implementation in Winter 2013</w:t>
            </w:r>
            <w:r w:rsidRPr="00BF6E06">
              <w:rPr>
                <w:rFonts w:ascii="Calibri" w:hAnsi="Calibri" w:cs="Calibri"/>
                <w:bCs/>
                <w:sz w:val="20"/>
              </w:rPr>
              <w:t>-14</w:t>
            </w:r>
            <w:r w:rsidRPr="00E76854">
              <w:rPr>
                <w:rFonts w:ascii="Calibri" w:hAnsi="Calibri" w:cs="Calibri"/>
                <w:sz w:val="20"/>
              </w:rPr>
              <w:t>.</w:t>
            </w:r>
          </w:p>
          <w:p w:rsidR="001F22A2" w:rsidRPr="00BF37B1" w:rsidRDefault="001F22A2">
            <w:pPr>
              <w:rPr>
                <w:rFonts w:asciiTheme="minorHAnsi" w:hAnsiTheme="minorHAnsi"/>
                <w:color w:val="808080"/>
                <w:sz w:val="20"/>
              </w:rPr>
            </w:pPr>
          </w:p>
        </w:tc>
      </w:tr>
      <w:tr w:rsidR="001A1859" w:rsidRPr="00B72FF6">
        <w:tc>
          <w:tcPr>
            <w:tcW w:w="3524" w:type="dxa"/>
          </w:tcPr>
          <w:p w:rsidR="001A1859" w:rsidRPr="00BF37B1" w:rsidRDefault="001A1859">
            <w:pPr>
              <w:pStyle w:val="Heading5"/>
              <w:spacing w:after="0"/>
              <w:rPr>
                <w:rFonts w:asciiTheme="minorHAnsi" w:hAnsiTheme="minorHAnsi"/>
                <w:i/>
                <w:color w:val="808080"/>
              </w:rPr>
            </w:pPr>
            <w:r w:rsidRPr="00BF37B1">
              <w:rPr>
                <w:rFonts w:asciiTheme="minorHAnsi" w:hAnsiTheme="minorHAnsi"/>
                <w:b w:val="0"/>
                <w:i/>
                <w:color w:val="808080"/>
              </w:rPr>
              <w:t xml:space="preserve">Website for further information:  </w:t>
            </w:r>
          </w:p>
        </w:tc>
        <w:tc>
          <w:tcPr>
            <w:tcW w:w="5387" w:type="dxa"/>
          </w:tcPr>
          <w:p w:rsidR="001A1859" w:rsidRPr="00BF37B1" w:rsidRDefault="001A1859">
            <w:pPr>
              <w:rPr>
                <w:rFonts w:asciiTheme="minorHAnsi" w:hAnsiTheme="minorHAnsi" w:cs="Arial"/>
                <w:sz w:val="20"/>
              </w:rPr>
            </w:pPr>
          </w:p>
        </w:tc>
        <w:tc>
          <w:tcPr>
            <w:tcW w:w="5670" w:type="dxa"/>
          </w:tcPr>
          <w:p w:rsidR="001A1859" w:rsidRPr="00BF37B1" w:rsidRDefault="001A1859">
            <w:pPr>
              <w:rPr>
                <w:rFonts w:asciiTheme="minorHAnsi" w:hAnsiTheme="minorHAnsi" w:cs="Arial"/>
                <w:sz w:val="20"/>
              </w:rPr>
            </w:pPr>
          </w:p>
        </w:tc>
      </w:tr>
      <w:tr w:rsidR="008F223D" w:rsidRPr="00B72FF6">
        <w:tc>
          <w:tcPr>
            <w:tcW w:w="3524" w:type="dxa"/>
          </w:tcPr>
          <w:p w:rsidR="001A1859" w:rsidRPr="00BF37B1" w:rsidRDefault="001A1859">
            <w:pPr>
              <w:pStyle w:val="Heading5"/>
              <w:spacing w:after="0"/>
              <w:rPr>
                <w:rFonts w:asciiTheme="minorHAnsi" w:hAnsiTheme="minorHAnsi"/>
                <w:i/>
                <w:color w:val="808080"/>
              </w:rPr>
            </w:pPr>
            <w:r w:rsidRPr="00BF37B1">
              <w:rPr>
                <w:rFonts w:asciiTheme="minorHAnsi" w:hAnsiTheme="minorHAnsi"/>
                <w:b w:val="0"/>
                <w:i/>
                <w:color w:val="808080"/>
              </w:rPr>
              <w:t>Contact point for further details:</w:t>
            </w:r>
          </w:p>
        </w:tc>
        <w:tc>
          <w:tcPr>
            <w:tcW w:w="5387" w:type="dxa"/>
          </w:tcPr>
          <w:p w:rsidR="001B1EB6" w:rsidRDefault="000B5046" w:rsidP="001B1EB6">
            <w:pPr>
              <w:pStyle w:val="Heading9"/>
              <w:rPr>
                <w:b w:val="0"/>
                <w:i w:val="0"/>
              </w:rPr>
            </w:pPr>
            <w:hyperlink r:id="rId19" w:history="1">
              <w:r w:rsidR="001B1EB6" w:rsidRPr="00A87E26">
                <w:rPr>
                  <w:rStyle w:val="Hyperlink"/>
                  <w:rFonts w:asciiTheme="minorHAnsi" w:hAnsiTheme="minorHAnsi"/>
                  <w:b w:val="0"/>
                  <w:i w:val="0"/>
                </w:rPr>
                <w:t>AsiaPacDesk-BureauAsie_Pac@cbsa-asfc.gc.ca</w:t>
              </w:r>
            </w:hyperlink>
          </w:p>
          <w:p w:rsidR="001A1859" w:rsidRPr="00BF37B1" w:rsidRDefault="001A1859">
            <w:pPr>
              <w:rPr>
                <w:rFonts w:asciiTheme="minorHAnsi" w:hAnsiTheme="minorHAnsi" w:cs="Arial"/>
                <w:sz w:val="20"/>
              </w:rPr>
            </w:pPr>
          </w:p>
        </w:tc>
        <w:tc>
          <w:tcPr>
            <w:tcW w:w="5670" w:type="dxa"/>
          </w:tcPr>
          <w:p w:rsidR="001A1859" w:rsidRPr="00BF37B1" w:rsidRDefault="001A1859">
            <w:pPr>
              <w:rPr>
                <w:rFonts w:asciiTheme="minorHAnsi" w:hAnsiTheme="minorHAnsi" w:cs="Arial"/>
                <w:sz w:val="20"/>
              </w:rPr>
            </w:pPr>
          </w:p>
        </w:tc>
      </w:tr>
      <w:tr w:rsidR="001F22A2">
        <w:tc>
          <w:tcPr>
            <w:tcW w:w="3524" w:type="dxa"/>
          </w:tcPr>
          <w:p w:rsidR="001F22A2" w:rsidRPr="00BF37B1" w:rsidRDefault="005C5ACF" w:rsidP="005C5ACF">
            <w:pPr>
              <w:pStyle w:val="Heading5"/>
              <w:spacing w:after="0"/>
              <w:rPr>
                <w:rFonts w:asciiTheme="minorHAnsi" w:hAnsiTheme="minorHAnsi"/>
                <w:i/>
              </w:rPr>
            </w:pPr>
            <w:r w:rsidRPr="00BF37B1">
              <w:rPr>
                <w:rFonts w:asciiTheme="minorHAnsi" w:hAnsiTheme="minorHAnsi"/>
                <w:i/>
              </w:rPr>
              <w:t>Official websites that gather economies’ information</w:t>
            </w:r>
          </w:p>
          <w:p w:rsidR="001F22A2" w:rsidRPr="00BF37B1" w:rsidRDefault="001F22A2">
            <w:pPr>
              <w:rPr>
                <w:rFonts w:asciiTheme="minorHAnsi" w:hAnsiTheme="minorHAnsi"/>
                <w:b/>
                <w:i/>
                <w:sz w:val="20"/>
              </w:rPr>
            </w:pPr>
          </w:p>
        </w:tc>
        <w:tc>
          <w:tcPr>
            <w:tcW w:w="5387" w:type="dxa"/>
          </w:tcPr>
          <w:p w:rsidR="00005C41" w:rsidRDefault="00005C41" w:rsidP="00005C41">
            <w:pPr>
              <w:pStyle w:val="NormalWeb"/>
              <w:shd w:val="clear" w:color="auto" w:fill="FFFFFF"/>
              <w:rPr>
                <w:rFonts w:asciiTheme="minorHAnsi" w:hAnsiTheme="minorHAnsi" w:cstheme="minorHAnsi"/>
                <w:color w:val="000000"/>
                <w:sz w:val="20"/>
                <w:lang w:val="en"/>
              </w:rPr>
            </w:pPr>
            <w:bookmarkStart w:id="41" w:name="Cell27"/>
            <w:bookmarkEnd w:id="41"/>
            <w:r>
              <w:rPr>
                <w:rFonts w:asciiTheme="minorHAnsi" w:hAnsiTheme="minorHAnsi"/>
                <w:sz w:val="20"/>
              </w:rPr>
              <w:t xml:space="preserve">Statistics Canada is a federal government agency which </w:t>
            </w:r>
            <w:r w:rsidRPr="002552F9">
              <w:rPr>
                <w:rFonts w:asciiTheme="minorHAnsi" w:hAnsiTheme="minorHAnsi" w:cstheme="minorHAnsi"/>
                <w:color w:val="000000"/>
                <w:sz w:val="20"/>
                <w:szCs w:val="20"/>
                <w:lang w:val="en"/>
              </w:rPr>
              <w:t>produces statistics that help Canadians better understand their country—its population, resources, economy, society and culture.</w:t>
            </w:r>
            <w:r>
              <w:rPr>
                <w:rFonts w:asciiTheme="minorHAnsi" w:hAnsiTheme="minorHAnsi" w:cstheme="minorHAnsi"/>
                <w:color w:val="000000"/>
                <w:sz w:val="20"/>
                <w:szCs w:val="20"/>
                <w:lang w:val="en"/>
              </w:rPr>
              <w:t xml:space="preserve">  </w:t>
            </w:r>
            <w:r w:rsidRPr="002552F9">
              <w:rPr>
                <w:rFonts w:asciiTheme="minorHAnsi" w:hAnsiTheme="minorHAnsi" w:cstheme="minorHAnsi"/>
                <w:color w:val="000000"/>
                <w:sz w:val="20"/>
                <w:szCs w:val="20"/>
                <w:lang w:val="en"/>
              </w:rPr>
              <w:t>In addition to conducting a Census every five years, there are about 350 active surveys on virtually all aspects of Canadian life.</w:t>
            </w:r>
            <w:r>
              <w:rPr>
                <w:rFonts w:asciiTheme="minorHAnsi" w:hAnsiTheme="minorHAnsi" w:cstheme="minorHAnsi"/>
                <w:color w:val="000000"/>
                <w:sz w:val="20"/>
                <w:szCs w:val="20"/>
                <w:lang w:val="en"/>
              </w:rPr>
              <w:t xml:space="preserve"> </w:t>
            </w:r>
            <w:r w:rsidRPr="002552F9">
              <w:rPr>
                <w:rFonts w:asciiTheme="minorHAnsi" w:hAnsiTheme="minorHAnsi" w:cstheme="minorHAnsi"/>
                <w:color w:val="000000"/>
                <w:sz w:val="20"/>
                <w:szCs w:val="20"/>
                <w:lang w:val="en"/>
              </w:rPr>
              <w:t>In Canada, providing statistics is a federal responsibility. As Canada’s central statistical office, Statistics Canada is</w:t>
            </w:r>
            <w:r>
              <w:rPr>
                <w:rFonts w:asciiTheme="minorHAnsi" w:hAnsiTheme="minorHAnsi" w:cstheme="minorHAnsi"/>
                <w:color w:val="000000"/>
                <w:sz w:val="20"/>
                <w:lang w:val="en"/>
              </w:rPr>
              <w:t xml:space="preserve"> legislated </w:t>
            </w:r>
            <w:r w:rsidRPr="002552F9">
              <w:rPr>
                <w:rFonts w:asciiTheme="minorHAnsi" w:hAnsiTheme="minorHAnsi" w:cstheme="minorHAnsi"/>
                <w:color w:val="000000"/>
                <w:sz w:val="20"/>
                <w:szCs w:val="20"/>
                <w:lang w:val="en"/>
              </w:rPr>
              <w:t>to serve this function for the whole of Canada and each of the provinces and territories.</w:t>
            </w:r>
          </w:p>
          <w:p w:rsidR="001F22A2" w:rsidRPr="00005C41" w:rsidRDefault="00005C41" w:rsidP="00005C41">
            <w:pPr>
              <w:shd w:val="clear" w:color="auto" w:fill="FFFFFF"/>
              <w:spacing w:before="100" w:beforeAutospacing="1" w:after="100" w:afterAutospacing="1"/>
              <w:rPr>
                <w:rFonts w:asciiTheme="minorHAnsi" w:eastAsia="Times New Roman" w:hAnsiTheme="minorHAnsi" w:cstheme="minorHAnsi"/>
                <w:color w:val="000000"/>
                <w:sz w:val="20"/>
                <w:lang w:val="en" w:eastAsia="en-CA"/>
              </w:rPr>
            </w:pPr>
            <w:r>
              <w:rPr>
                <w:rFonts w:asciiTheme="minorHAnsi" w:eastAsia="Times New Roman" w:hAnsiTheme="minorHAnsi" w:cstheme="minorHAnsi"/>
                <w:color w:val="000000"/>
                <w:sz w:val="20"/>
                <w:lang w:val="en" w:eastAsia="en-CA"/>
              </w:rPr>
              <w:t xml:space="preserve">The Bank of Canada is the nation’s central </w:t>
            </w:r>
            <w:proofErr w:type="spellStart"/>
            <w:r>
              <w:rPr>
                <w:rFonts w:asciiTheme="minorHAnsi" w:eastAsia="Times New Roman" w:hAnsiTheme="minorHAnsi" w:cstheme="minorHAnsi"/>
                <w:color w:val="000000"/>
                <w:sz w:val="20"/>
                <w:lang w:val="en" w:eastAsia="en-CA"/>
              </w:rPr>
              <w:t>bank</w:t>
            </w:r>
            <w:proofErr w:type="gramStart"/>
            <w:r>
              <w:rPr>
                <w:rFonts w:asciiTheme="minorHAnsi" w:eastAsia="Times New Roman" w:hAnsiTheme="minorHAnsi" w:cstheme="minorHAnsi"/>
                <w:color w:val="000000"/>
                <w:sz w:val="20"/>
                <w:lang w:val="en" w:eastAsia="en-CA"/>
              </w:rPr>
              <w:t>,responsible</w:t>
            </w:r>
            <w:proofErr w:type="spellEnd"/>
            <w:proofErr w:type="gramEnd"/>
            <w:r>
              <w:rPr>
                <w:rFonts w:asciiTheme="minorHAnsi" w:eastAsia="Times New Roman" w:hAnsiTheme="minorHAnsi" w:cstheme="minorHAnsi"/>
                <w:color w:val="000000"/>
                <w:sz w:val="20"/>
                <w:lang w:val="en" w:eastAsia="en-CA"/>
              </w:rPr>
              <w:t xml:space="preserve"> for Canada’s monetary policy, bank notes, financial system and </w:t>
            </w:r>
            <w:r>
              <w:rPr>
                <w:rFonts w:asciiTheme="minorHAnsi" w:eastAsia="Times New Roman" w:hAnsiTheme="minorHAnsi" w:cstheme="minorHAnsi"/>
                <w:color w:val="000000"/>
                <w:sz w:val="20"/>
                <w:lang w:val="en" w:eastAsia="en-CA"/>
              </w:rPr>
              <w:lastRenderedPageBreak/>
              <w:t>funds management.</w:t>
            </w:r>
          </w:p>
        </w:tc>
        <w:tc>
          <w:tcPr>
            <w:tcW w:w="5670" w:type="dxa"/>
          </w:tcPr>
          <w:p w:rsidR="001F22A2" w:rsidRPr="00BF37B1" w:rsidRDefault="001F22A2">
            <w:pPr>
              <w:rPr>
                <w:rFonts w:asciiTheme="minorHAnsi" w:hAnsiTheme="minorHAnsi"/>
                <w:color w:val="808080"/>
                <w:sz w:val="20"/>
              </w:rPr>
            </w:pPr>
            <w:bookmarkStart w:id="42" w:name="Cell28"/>
            <w:bookmarkEnd w:id="42"/>
            <w:r w:rsidRPr="00BF37B1">
              <w:rPr>
                <w:rFonts w:asciiTheme="minorHAnsi" w:hAnsiTheme="minorHAnsi" w:cs="Arial"/>
                <w:i/>
                <w:color w:val="808080"/>
                <w:sz w:val="20"/>
              </w:rPr>
              <w:lastRenderedPageBreak/>
              <w:t>Provide brief points only</w:t>
            </w:r>
          </w:p>
        </w:tc>
      </w:tr>
      <w:tr w:rsidR="0001261C"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387" w:type="dxa"/>
          </w:tcPr>
          <w:p w:rsidR="00005C41" w:rsidRDefault="00005C41" w:rsidP="00005C41">
            <w:pPr>
              <w:pStyle w:val="Heading9"/>
              <w:rPr>
                <w:rFonts w:asciiTheme="minorHAnsi" w:hAnsiTheme="minorHAnsi"/>
                <w:b w:val="0"/>
                <w:i w:val="0"/>
              </w:rPr>
            </w:pPr>
            <w:r>
              <w:rPr>
                <w:rFonts w:asciiTheme="minorHAnsi" w:hAnsiTheme="minorHAnsi"/>
                <w:b w:val="0"/>
                <w:i w:val="0"/>
              </w:rPr>
              <w:t xml:space="preserve">http://www.statcan.gc.ca </w:t>
            </w:r>
          </w:p>
          <w:p w:rsidR="001A1859" w:rsidRPr="00005C41" w:rsidRDefault="00005C41" w:rsidP="00005C41">
            <w:pPr>
              <w:pStyle w:val="Heading9"/>
              <w:rPr>
                <w:rFonts w:asciiTheme="minorHAnsi" w:hAnsiTheme="minorHAnsi"/>
                <w:b w:val="0"/>
                <w:i w:val="0"/>
              </w:rPr>
            </w:pPr>
            <w:r w:rsidRPr="00005C41">
              <w:rPr>
                <w:rFonts w:asciiTheme="minorHAnsi" w:hAnsiTheme="minorHAnsi" w:cstheme="minorHAnsi"/>
                <w:b w:val="0"/>
                <w:i w:val="0"/>
              </w:rPr>
              <w:t>http://www.bankofcanada.ca</w:t>
            </w:r>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r w:rsidR="001F22A2">
        <w:tc>
          <w:tcPr>
            <w:tcW w:w="3524" w:type="dxa"/>
          </w:tcPr>
          <w:p w:rsidR="001F22A2" w:rsidRPr="00BF37B1" w:rsidRDefault="001F22A2">
            <w:pPr>
              <w:rPr>
                <w:rFonts w:asciiTheme="minorHAnsi" w:hAnsiTheme="minorHAnsi"/>
                <w:b/>
                <w:i/>
                <w:sz w:val="20"/>
              </w:rPr>
            </w:pPr>
            <w:bookmarkStart w:id="43" w:name="Row16"/>
            <w:r w:rsidRPr="00BF37B1">
              <w:rPr>
                <w:rFonts w:asciiTheme="minorHAnsi" w:hAnsiTheme="minorHAnsi"/>
                <w:b/>
                <w:i/>
                <w:sz w:val="20"/>
              </w:rPr>
              <w:t>Transparency</w:t>
            </w:r>
            <w:bookmarkEnd w:id="43"/>
          </w:p>
          <w:p w:rsidR="001F22A2" w:rsidRPr="00BF37B1" w:rsidRDefault="001F22A2">
            <w:pPr>
              <w:rPr>
                <w:rFonts w:asciiTheme="minorHAnsi" w:hAnsiTheme="minorHAnsi"/>
                <w:b/>
                <w:i/>
                <w:sz w:val="20"/>
              </w:rPr>
            </w:pPr>
          </w:p>
        </w:tc>
        <w:tc>
          <w:tcPr>
            <w:tcW w:w="5387" w:type="dxa"/>
          </w:tcPr>
          <w:p w:rsidR="001F22A2" w:rsidRPr="00BF37B1" w:rsidRDefault="00537646">
            <w:pPr>
              <w:rPr>
                <w:rFonts w:asciiTheme="minorHAnsi" w:hAnsiTheme="minorHAnsi"/>
                <w:color w:val="808080"/>
                <w:sz w:val="20"/>
              </w:rPr>
            </w:pPr>
            <w:bookmarkStart w:id="44" w:name="Cell31"/>
            <w:bookmarkEnd w:id="44"/>
            <w:r>
              <w:rPr>
                <w:rFonts w:asciiTheme="minorHAnsi" w:hAnsiTheme="minorHAnsi" w:cs="Arial"/>
                <w:i/>
                <w:color w:val="808080"/>
                <w:sz w:val="20"/>
              </w:rPr>
              <w:t>No new information to report.</w:t>
            </w:r>
          </w:p>
        </w:tc>
        <w:tc>
          <w:tcPr>
            <w:tcW w:w="5670" w:type="dxa"/>
          </w:tcPr>
          <w:p w:rsidR="001F22A2" w:rsidRPr="00BF37B1" w:rsidRDefault="001F22A2">
            <w:pPr>
              <w:rPr>
                <w:rFonts w:asciiTheme="minorHAnsi" w:hAnsiTheme="minorHAnsi"/>
                <w:color w:val="808080"/>
                <w:sz w:val="20"/>
              </w:rPr>
            </w:pPr>
            <w:bookmarkStart w:id="45" w:name="Cell32"/>
            <w:bookmarkEnd w:id="45"/>
          </w:p>
        </w:tc>
      </w:tr>
      <w:tr w:rsidR="0001261C"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r w:rsidR="008F223D" w:rsidRPr="00B72FF6">
        <w:tc>
          <w:tcPr>
            <w:tcW w:w="3524" w:type="dxa"/>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1A1859" w:rsidRPr="00BF37B1" w:rsidRDefault="001A1859" w:rsidP="0001261C">
            <w:pPr>
              <w:pStyle w:val="Heading9"/>
              <w:rPr>
                <w:rFonts w:asciiTheme="minorHAnsi" w:hAnsiTheme="minorHAnsi"/>
                <w:b w:val="0"/>
              </w:rPr>
            </w:pPr>
          </w:p>
        </w:tc>
        <w:tc>
          <w:tcPr>
            <w:tcW w:w="5670" w:type="dxa"/>
          </w:tcPr>
          <w:p w:rsidR="001A1859" w:rsidRPr="00BF37B1" w:rsidRDefault="001A1859" w:rsidP="0001261C">
            <w:pPr>
              <w:pStyle w:val="Heading9"/>
              <w:rPr>
                <w:rFonts w:asciiTheme="minorHAnsi" w:hAnsiTheme="minorHAnsi"/>
                <w:b w:val="0"/>
              </w:rPr>
            </w:pP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0A33A0" w:rsidRDefault="00CB6A57">
            <w:pPr>
              <w:rPr>
                <w:rFonts w:asciiTheme="minorHAnsi" w:hAnsiTheme="minorHAnsi"/>
                <w:b/>
                <w:sz w:val="20"/>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BF37B1" w:rsidRDefault="00CB6A57" w:rsidP="0058136B">
            <w:pPr>
              <w:spacing w:before="120" w:after="120"/>
              <w:rPr>
                <w:rFonts w:asciiTheme="minorHAnsi" w:hAnsiTheme="minorHAnsi"/>
                <w:b/>
                <w:i/>
                <w:sz w:val="20"/>
              </w:rPr>
            </w:pPr>
            <w:r w:rsidRPr="00BF37B1">
              <w:rPr>
                <w:rFonts w:asciiTheme="minorHAnsi" w:hAnsiTheme="minorHAnsi"/>
                <w:b/>
                <w:i/>
                <w:sz w:val="20"/>
              </w:rPr>
              <w:t xml:space="preserve">- </w:t>
            </w:r>
            <w:bookmarkStart w:id="46" w:name="Row17"/>
            <w:r w:rsidRPr="00BF37B1">
              <w:rPr>
                <w:rFonts w:asciiTheme="minorHAnsi" w:hAnsiTheme="minorHAnsi"/>
                <w:b/>
                <w:i/>
                <w:sz w:val="20"/>
              </w:rPr>
              <w:t>Description of current  agreements</w:t>
            </w:r>
            <w:bookmarkEnd w:id="46"/>
          </w:p>
        </w:tc>
        <w:tc>
          <w:tcPr>
            <w:tcW w:w="11040" w:type="dxa"/>
          </w:tcPr>
          <w:p w:rsidR="00A31219" w:rsidRPr="0058136B" w:rsidRDefault="00A31219" w:rsidP="00A31219">
            <w:pPr>
              <w:spacing w:before="120" w:after="120"/>
              <w:rPr>
                <w:iCs/>
                <w:sz w:val="20"/>
              </w:rPr>
            </w:pPr>
            <w:bookmarkStart w:id="47" w:name="Cell33"/>
            <w:bookmarkEnd w:id="47"/>
            <w:r w:rsidRPr="0058136B">
              <w:rPr>
                <w:rFonts w:asciiTheme="minorHAnsi" w:hAnsiTheme="minorHAnsi"/>
                <w:sz w:val="20"/>
              </w:rPr>
              <w:t>Canada has 9 free trade agreements in force with 13 countries.  On October 18, 2013 Canada and the European Union announced an agreement in principle on a comprehensive trade agreement and on November 5, 2013, Canada signed a Free Trade Agreement with Honduras.  In addition, on September 30, 2013, Canada and Chile announced the entry into force of the expanded and modernized Canada-Chile Free Trade Agreement, which includes a new financial services chapter and new rules on government procurement, customs procedures and dispute settlement.</w:t>
            </w:r>
            <w:r w:rsidRPr="0058136B">
              <w:rPr>
                <w:iCs/>
                <w:sz w:val="20"/>
              </w:rPr>
              <w:t> </w:t>
            </w:r>
          </w:p>
          <w:p w:rsidR="00CB6A57" w:rsidRPr="00BF37B1" w:rsidRDefault="00A31219" w:rsidP="0058136B">
            <w:pPr>
              <w:spacing w:before="120" w:after="120"/>
              <w:rPr>
                <w:rFonts w:asciiTheme="minorHAnsi" w:hAnsiTheme="minorHAnsi"/>
                <w:i/>
                <w:sz w:val="20"/>
              </w:rPr>
            </w:pPr>
            <w:r>
              <w:rPr>
                <w:rFonts w:asciiTheme="minorHAnsi" w:hAnsiTheme="minorHAnsi"/>
                <w:sz w:val="20"/>
              </w:rPr>
              <w:t>Canada has 25 Foreign Investment Promotion and Protection Agreements (FIPAs)in force, 15 concluded FIPA negotiations and 10 currently under negotiation, as well as a range of other types of agreements and initiatives such as Science and Technology Cooperation Agreements and Air Agreements.</w:t>
            </w: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Agreements under negotiation</w:t>
            </w:r>
          </w:p>
          <w:p w:rsidR="00CB6A57" w:rsidRPr="00BF37B1" w:rsidRDefault="00CB6A57" w:rsidP="00BF37B1">
            <w:pPr>
              <w:spacing w:before="120" w:after="120"/>
              <w:rPr>
                <w:rFonts w:asciiTheme="minorHAnsi" w:hAnsiTheme="minorHAnsi"/>
                <w:b/>
                <w:i/>
                <w:sz w:val="20"/>
              </w:rPr>
            </w:pPr>
          </w:p>
        </w:tc>
        <w:tc>
          <w:tcPr>
            <w:tcW w:w="11040" w:type="dxa"/>
          </w:tcPr>
          <w:p w:rsidR="00CB6A57" w:rsidRPr="0058136B" w:rsidRDefault="00A31219" w:rsidP="00A31219">
            <w:pPr>
              <w:spacing w:before="120" w:after="120"/>
              <w:rPr>
                <w:rFonts w:asciiTheme="minorHAnsi" w:hAnsiTheme="minorHAnsi"/>
                <w:sz w:val="20"/>
              </w:rPr>
            </w:pPr>
            <w:r w:rsidRPr="0058136B">
              <w:rPr>
                <w:rFonts w:asciiTheme="minorHAnsi" w:hAnsiTheme="minorHAnsi"/>
                <w:sz w:val="20"/>
              </w:rPr>
              <w:t xml:space="preserve">The 2013 Speech from the Throne, which sets out the broad goals and directions of the government, noted that the trade agenda is focused on achieving major new free trade deals with the European Union (EU), India, Japan, Korea and the Trans-Pacific Partnership (TPP).  On October 18, 2013 Prime Minister Harper and EU President </w:t>
            </w:r>
            <w:proofErr w:type="spellStart"/>
            <w:r w:rsidRPr="0058136B">
              <w:rPr>
                <w:rFonts w:asciiTheme="minorHAnsi" w:hAnsiTheme="minorHAnsi"/>
                <w:sz w:val="20"/>
              </w:rPr>
              <w:t>Barroso</w:t>
            </w:r>
            <w:proofErr w:type="spellEnd"/>
            <w:r w:rsidRPr="0058136B">
              <w:rPr>
                <w:rFonts w:asciiTheme="minorHAnsi" w:hAnsiTheme="minorHAnsi"/>
                <w:sz w:val="20"/>
              </w:rPr>
              <w:t xml:space="preserve"> announced that an agreement in principle on the CETA had been reached.  Canada and the EU are working expeditiously to conclude outstanding technical negotiations, legal review and translation of the CETA text in advance of ratification. On other trade initiatives, Canada is working to conclude the TPP negotiations, advance initiatives with Japan, Korea, India, Thailand and other partners.  </w:t>
            </w:r>
            <w:r w:rsidR="00CB6A57" w:rsidRPr="0058136B">
              <w:rPr>
                <w:rFonts w:asciiTheme="minorHAnsi" w:hAnsiTheme="minorHAnsi"/>
                <w:sz w:val="20"/>
              </w:rPr>
              <w:t xml:space="preserve"> </w:t>
            </w:r>
          </w:p>
        </w:tc>
      </w:tr>
      <w:tr w:rsidR="00CB6A57" w:rsidRPr="00BF37B1">
        <w:trPr>
          <w:gridAfter w:val="1"/>
          <w:wAfter w:w="17" w:type="dxa"/>
          <w:cantSplit/>
        </w:trPr>
        <w:tc>
          <w:tcPr>
            <w:tcW w:w="764" w:type="dxa"/>
            <w:vMerge w:val="restart"/>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48" w:name="Agreement01"/>
          </w:p>
          <w:p w:rsidR="00CB6A57" w:rsidRPr="00BF37B1" w:rsidRDefault="00CB6A57">
            <w:pPr>
              <w:rPr>
                <w:rFonts w:asciiTheme="minorHAnsi" w:hAnsiTheme="minorHAnsi"/>
                <w:b/>
                <w:i/>
                <w:sz w:val="20"/>
              </w:rPr>
            </w:pPr>
            <w:r w:rsidRPr="00BF37B1">
              <w:rPr>
                <w:rFonts w:asciiTheme="minorHAnsi" w:hAnsiTheme="minorHAnsi"/>
                <w:b/>
                <w:i/>
                <w:sz w:val="20"/>
              </w:rPr>
              <w:t>Agreement #1</w:t>
            </w:r>
            <w:bookmarkEnd w:id="48"/>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49" w:name="A01"/>
            <w:bookmarkEnd w:id="49"/>
          </w:p>
          <w:p w:rsidR="00CB6A57" w:rsidRPr="00BF37B1" w:rsidRDefault="00CB6A57">
            <w:pPr>
              <w:rPr>
                <w:rFonts w:asciiTheme="minorHAnsi" w:hAnsiTheme="minorHAnsi"/>
                <w:sz w:val="20"/>
              </w:rPr>
            </w:pPr>
          </w:p>
        </w:tc>
      </w:tr>
      <w:tr w:rsidR="00CB6A57" w:rsidRPr="00BF37B1">
        <w:trPr>
          <w:gridAfter w:val="1"/>
          <w:wAfter w:w="17" w:type="dxa"/>
          <w:cantSplit/>
        </w:trPr>
        <w:tc>
          <w:tcPr>
            <w:tcW w:w="764" w:type="dxa"/>
            <w:vMerge/>
          </w:tcPr>
          <w:p w:rsidR="00CB6A57" w:rsidRPr="00BF37B1" w:rsidRDefault="00CB6A57">
            <w:pPr>
              <w:rPr>
                <w:rFonts w:asciiTheme="minorHAnsi" w:hAnsiTheme="minorHAnsi"/>
                <w:b/>
                <w:i/>
                <w:sz w:val="20"/>
              </w:rPr>
            </w:pPr>
          </w:p>
        </w:tc>
        <w:tc>
          <w:tcPr>
            <w:tcW w:w="2760" w:type="dxa"/>
          </w:tcPr>
          <w:p w:rsidR="00CB6A57" w:rsidRPr="00BF37B1" w:rsidRDefault="00CB6A57">
            <w:pPr>
              <w:rPr>
                <w:rFonts w:asciiTheme="minorHAnsi" w:hAnsiTheme="minorHAnsi"/>
                <w:b/>
                <w:i/>
                <w:sz w:val="20"/>
              </w:rPr>
            </w:pPr>
            <w:bookmarkStart w:id="50" w:name="Agreement02"/>
          </w:p>
          <w:p w:rsidR="00CB6A57" w:rsidRPr="00BF37B1" w:rsidRDefault="00CB6A57">
            <w:pPr>
              <w:rPr>
                <w:rFonts w:asciiTheme="minorHAnsi" w:hAnsiTheme="minorHAnsi"/>
                <w:b/>
                <w:i/>
                <w:sz w:val="20"/>
              </w:rPr>
            </w:pPr>
            <w:r w:rsidRPr="00BF37B1">
              <w:rPr>
                <w:rFonts w:asciiTheme="minorHAnsi" w:hAnsiTheme="minorHAnsi"/>
                <w:b/>
                <w:i/>
                <w:sz w:val="20"/>
              </w:rPr>
              <w:t>Agreement #2</w:t>
            </w:r>
            <w:bookmarkEnd w:id="50"/>
          </w:p>
          <w:p w:rsidR="00CB6A57" w:rsidRPr="00BF37B1" w:rsidRDefault="00CB6A57">
            <w:pPr>
              <w:rPr>
                <w:rFonts w:asciiTheme="minorHAnsi" w:hAnsiTheme="minorHAnsi"/>
                <w:b/>
                <w:i/>
                <w:sz w:val="20"/>
              </w:rPr>
            </w:pPr>
          </w:p>
        </w:tc>
        <w:tc>
          <w:tcPr>
            <w:tcW w:w="11040" w:type="dxa"/>
          </w:tcPr>
          <w:p w:rsidR="00CB6A57" w:rsidRPr="00BF37B1" w:rsidRDefault="00CB6A57">
            <w:pPr>
              <w:rPr>
                <w:rFonts w:asciiTheme="minorHAnsi" w:hAnsiTheme="minorHAnsi"/>
                <w:sz w:val="20"/>
              </w:rPr>
            </w:pPr>
            <w:bookmarkStart w:id="51" w:name="A02"/>
            <w:bookmarkEnd w:id="51"/>
          </w:p>
          <w:p w:rsidR="00CB6A57" w:rsidRPr="00BF37B1" w:rsidRDefault="00CB6A57">
            <w:pPr>
              <w:rPr>
                <w:rFonts w:asciiTheme="minorHAnsi" w:hAnsiTheme="minorHAnsi"/>
                <w:sz w:val="20"/>
              </w:rPr>
            </w:pPr>
          </w:p>
        </w:tc>
      </w:tr>
      <w:tr w:rsidR="00CB6A57" w:rsidRPr="00BF37B1">
        <w:trPr>
          <w:gridAfter w:val="1"/>
          <w:wAfter w:w="17" w:type="dxa"/>
          <w:cantSplit/>
        </w:trPr>
        <w:tc>
          <w:tcPr>
            <w:tcW w:w="3524" w:type="dxa"/>
            <w:gridSpan w:val="2"/>
          </w:tcPr>
          <w:p w:rsidR="00CB6A57" w:rsidRPr="00BF37B1" w:rsidRDefault="00CB6A57">
            <w:pPr>
              <w:rPr>
                <w:rFonts w:asciiTheme="minorHAnsi" w:hAnsiTheme="minorHAnsi"/>
                <w:b/>
                <w:i/>
                <w:sz w:val="20"/>
              </w:rPr>
            </w:pPr>
          </w:p>
          <w:p w:rsidR="00CB6A57" w:rsidRPr="00BF37B1" w:rsidRDefault="00CB6A57">
            <w:pPr>
              <w:rPr>
                <w:rFonts w:asciiTheme="minorHAnsi" w:hAnsiTheme="minorHAnsi"/>
                <w:b/>
                <w:i/>
                <w:sz w:val="20"/>
              </w:rPr>
            </w:pPr>
            <w:r w:rsidRPr="00BF37B1">
              <w:rPr>
                <w:rFonts w:asciiTheme="minorHAnsi" w:hAnsiTheme="minorHAnsi"/>
                <w:b/>
                <w:i/>
                <w:sz w:val="20"/>
              </w:rPr>
              <w:t xml:space="preserve">- </w:t>
            </w:r>
            <w:bookmarkStart w:id="52" w:name="future"/>
            <w:r w:rsidRPr="00BF37B1">
              <w:rPr>
                <w:rFonts w:asciiTheme="minorHAnsi" w:hAnsiTheme="minorHAnsi"/>
                <w:b/>
                <w:i/>
                <w:sz w:val="20"/>
              </w:rPr>
              <w:t>Future plans</w:t>
            </w:r>
            <w:bookmarkEnd w:id="52"/>
          </w:p>
          <w:p w:rsidR="00CB6A57" w:rsidRPr="00BF37B1" w:rsidRDefault="00CB6A57">
            <w:pPr>
              <w:rPr>
                <w:rFonts w:asciiTheme="minorHAnsi" w:hAnsiTheme="minorHAnsi"/>
                <w:b/>
                <w:i/>
                <w:sz w:val="20"/>
              </w:rPr>
            </w:pPr>
          </w:p>
        </w:tc>
        <w:tc>
          <w:tcPr>
            <w:tcW w:w="11040" w:type="dxa"/>
          </w:tcPr>
          <w:p w:rsidR="00CB6A57" w:rsidRPr="00BF37B1" w:rsidRDefault="00A31219">
            <w:pPr>
              <w:rPr>
                <w:rFonts w:asciiTheme="minorHAnsi" w:hAnsiTheme="minorHAnsi"/>
                <w:sz w:val="20"/>
              </w:rPr>
            </w:pPr>
            <w:bookmarkStart w:id="53" w:name="cell34"/>
            <w:bookmarkEnd w:id="53"/>
            <w:r>
              <w:rPr>
                <w:rFonts w:asciiTheme="minorHAnsi" w:hAnsiTheme="minorHAnsi"/>
                <w:sz w:val="20"/>
              </w:rPr>
              <w:t xml:space="preserve">In November 2013, Canada released its </w:t>
            </w:r>
            <w:r>
              <w:rPr>
                <w:rFonts w:asciiTheme="minorHAnsi" w:hAnsiTheme="minorHAnsi"/>
                <w:i/>
                <w:sz w:val="20"/>
              </w:rPr>
              <w:t>Global Markets Access Plan</w:t>
            </w:r>
            <w:r>
              <w:rPr>
                <w:rFonts w:asciiTheme="minorHAnsi" w:hAnsiTheme="minorHAnsi"/>
                <w:sz w:val="20"/>
              </w:rPr>
              <w:t xml:space="preserve">, identifying priority markets of interest to Canadian businesses and concentrating on the markets that hold the greatest promise for Canadian business through vigorous trade promotion and ambitious trade policy.  </w:t>
            </w:r>
          </w:p>
        </w:tc>
      </w:tr>
      <w:tr w:rsidR="0001261C" w:rsidRPr="00BF37B1">
        <w:trPr>
          <w:gridAfter w:val="1"/>
          <w:wAfter w:w="17" w:type="dxa"/>
          <w:cantSplit/>
        </w:trPr>
        <w:tc>
          <w:tcPr>
            <w:tcW w:w="3524" w:type="dxa"/>
            <w:gridSpan w:val="2"/>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40" w:type="dxa"/>
          </w:tcPr>
          <w:p w:rsidR="001A1859" w:rsidRPr="00A31219" w:rsidRDefault="000B5046" w:rsidP="0001261C">
            <w:pPr>
              <w:pStyle w:val="Heading9"/>
              <w:rPr>
                <w:rFonts w:asciiTheme="minorHAnsi" w:hAnsiTheme="minorHAnsi"/>
                <w:b w:val="0"/>
                <w:i w:val="0"/>
                <w:color w:val="FF0000"/>
              </w:rPr>
            </w:pPr>
            <w:hyperlink r:id="rId20" w:history="1">
              <w:r w:rsidR="00A31219" w:rsidRPr="00A31219">
                <w:rPr>
                  <w:rStyle w:val="Hyperlink"/>
                  <w:rFonts w:asciiTheme="minorHAnsi" w:hAnsiTheme="minorHAnsi"/>
                  <w:i w:val="0"/>
                </w:rPr>
                <w:t>http://international.gc.ca/global-markets-marches-mondiaux/index.aspx?lang=eng&amp;utm_source=DFATDMAECD&amp;utm_medium=TNAbu-en&amp;utm_campaign=GMAP-PAMM</w:t>
              </w:r>
            </w:hyperlink>
          </w:p>
        </w:tc>
      </w:tr>
      <w:tr w:rsidR="0001261C" w:rsidRPr="00BF37B1">
        <w:trPr>
          <w:gridAfter w:val="1"/>
          <w:wAfter w:w="17" w:type="dxa"/>
          <w:cantSplit/>
        </w:trPr>
        <w:tc>
          <w:tcPr>
            <w:tcW w:w="3524" w:type="dxa"/>
            <w:gridSpan w:val="2"/>
          </w:tcPr>
          <w:p w:rsidR="001A1859" w:rsidRPr="00BF37B1" w:rsidRDefault="001A1859"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11040" w:type="dxa"/>
          </w:tcPr>
          <w:p w:rsidR="001A1859" w:rsidRPr="00BF37B1" w:rsidRDefault="001A1859" w:rsidP="0001261C">
            <w:pPr>
              <w:pStyle w:val="Heading9"/>
              <w:rPr>
                <w:rFonts w:asciiTheme="minorHAnsi" w:hAnsiTheme="minorHAnsi"/>
                <w:b w:val="0"/>
                <w:color w:val="FF0000"/>
              </w:rPr>
            </w:pP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c>
          <w:tcPr>
            <w:tcW w:w="5670"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7312CB">
      <w:headerReference w:type="even" r:id="rId21"/>
      <w:pgSz w:w="16834" w:h="11909" w:orient="landscape" w:code="9"/>
      <w:pgMar w:top="993" w:right="1454" w:bottom="709"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203" w:rsidRDefault="00371203">
      <w:r>
        <w:separator/>
      </w:r>
    </w:p>
  </w:endnote>
  <w:endnote w:type="continuationSeparator" w:id="0">
    <w:p w:rsidR="00371203" w:rsidRDefault="0037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3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203" w:rsidRDefault="00371203">
      <w:r>
        <w:separator/>
      </w:r>
    </w:p>
  </w:footnote>
  <w:footnote w:type="continuationSeparator" w:id="0">
    <w:p w:rsidR="00371203" w:rsidRDefault="00371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D35" w:rsidRPr="00D05848" w:rsidRDefault="00D179F6" w:rsidP="00750D35">
    <w:pPr>
      <w:pStyle w:val="RptHeader-Calibri"/>
      <w:tabs>
        <w:tab w:val="clear" w:pos="8640"/>
        <w:tab w:val="right" w:pos="13860"/>
      </w:tabs>
    </w:pPr>
    <w:r w:rsidRPr="00193F7C">
      <w:rPr>
        <w:b/>
      </w:rPr>
      <w:fldChar w:fldCharType="begin"/>
    </w:r>
    <w:r w:rsidR="00750D35" w:rsidRPr="00193F7C">
      <w:rPr>
        <w:b/>
      </w:rPr>
      <w:instrText xml:space="preserve"> PAGE   \* MERGEFORMAT </w:instrText>
    </w:r>
    <w:r w:rsidRPr="00193F7C">
      <w:rPr>
        <w:b/>
      </w:rPr>
      <w:fldChar w:fldCharType="separate"/>
    </w:r>
    <w:r w:rsidR="000B5046">
      <w:rPr>
        <w:b/>
        <w:noProof/>
      </w:rPr>
      <w:t>8</w:t>
    </w:r>
    <w:r w:rsidRPr="00193F7C">
      <w:rPr>
        <w:b/>
      </w:rPr>
      <w:fldChar w:fldCharType="end"/>
    </w:r>
    <w:r w:rsidR="00750D35">
      <w:rPr>
        <w:b/>
        <w:sz w:val="20"/>
        <w:szCs w:val="20"/>
      </w:rPr>
      <w:t xml:space="preserve"> | </w:t>
    </w:r>
    <w:r w:rsidR="00750D35" w:rsidRPr="00D05848">
      <w:t xml:space="preserve">Appendix </w:t>
    </w:r>
    <w:r w:rsidR="00750D35">
      <w:t xml:space="preserve">1 </w:t>
    </w:r>
    <w:r w:rsidR="00750D35">
      <w:rPr>
        <w:b/>
        <w:sz w:val="20"/>
        <w:szCs w:val="20"/>
      </w:rPr>
      <w:tab/>
    </w:r>
    <w:r w:rsidR="00750D35">
      <w:rPr>
        <w:b/>
        <w:sz w:val="20"/>
        <w:szCs w:val="20"/>
      </w:rPr>
      <w:tab/>
    </w:r>
    <w:r w:rsidR="00750D35">
      <w:t>2011</w:t>
    </w:r>
    <w:r w:rsidR="00750D35" w:rsidRPr="00D05848">
      <w:t xml:space="preserve"> CTI Report to Ministers</w:t>
    </w:r>
    <w:r w:rsidR="00750D35" w:rsidRPr="00D05848">
      <w:tab/>
    </w:r>
    <w:r w:rsidR="00750D35">
      <w:tab/>
    </w:r>
  </w:p>
  <w:p w:rsidR="00750D35" w:rsidRDefault="00750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2">
    <w:nsid w:val="5B4769C1"/>
    <w:multiLevelType w:val="multilevel"/>
    <w:tmpl w:val="DA8608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103CEF"/>
    <w:multiLevelType w:val="hybridMultilevel"/>
    <w:tmpl w:val="BCD01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docVars>
    <w:docVar w:name="PrintSpacing" w:val=" 0"/>
  </w:docVars>
  <w:rsids>
    <w:rsidRoot w:val="009E7439"/>
    <w:rsid w:val="00005C41"/>
    <w:rsid w:val="0001261C"/>
    <w:rsid w:val="00066458"/>
    <w:rsid w:val="00075134"/>
    <w:rsid w:val="00090838"/>
    <w:rsid w:val="000A31A1"/>
    <w:rsid w:val="000A33A0"/>
    <w:rsid w:val="000B35B1"/>
    <w:rsid w:val="000B5046"/>
    <w:rsid w:val="0013401C"/>
    <w:rsid w:val="00193F7C"/>
    <w:rsid w:val="001A1859"/>
    <w:rsid w:val="001B1EB6"/>
    <w:rsid w:val="001D27FF"/>
    <w:rsid w:val="001F22A2"/>
    <w:rsid w:val="002232DA"/>
    <w:rsid w:val="00232A06"/>
    <w:rsid w:val="002400F3"/>
    <w:rsid w:val="002825A0"/>
    <w:rsid w:val="002913E4"/>
    <w:rsid w:val="002F7A75"/>
    <w:rsid w:val="00362042"/>
    <w:rsid w:val="00371203"/>
    <w:rsid w:val="00390FAC"/>
    <w:rsid w:val="004446CF"/>
    <w:rsid w:val="00494D48"/>
    <w:rsid w:val="004E11F1"/>
    <w:rsid w:val="00537646"/>
    <w:rsid w:val="00560257"/>
    <w:rsid w:val="0058136B"/>
    <w:rsid w:val="005A6A9A"/>
    <w:rsid w:val="005C5ACF"/>
    <w:rsid w:val="00646C05"/>
    <w:rsid w:val="006C2F68"/>
    <w:rsid w:val="006E6390"/>
    <w:rsid w:val="007312CB"/>
    <w:rsid w:val="00750D35"/>
    <w:rsid w:val="008024A3"/>
    <w:rsid w:val="008F223D"/>
    <w:rsid w:val="009044FF"/>
    <w:rsid w:val="00936D9F"/>
    <w:rsid w:val="009507D9"/>
    <w:rsid w:val="00950932"/>
    <w:rsid w:val="0095681A"/>
    <w:rsid w:val="00996A66"/>
    <w:rsid w:val="009C1EEE"/>
    <w:rsid w:val="009E1689"/>
    <w:rsid w:val="009E28DA"/>
    <w:rsid w:val="009E7439"/>
    <w:rsid w:val="00A31219"/>
    <w:rsid w:val="00A34AD9"/>
    <w:rsid w:val="00A52D71"/>
    <w:rsid w:val="00A542E6"/>
    <w:rsid w:val="00A87E26"/>
    <w:rsid w:val="00A94F6A"/>
    <w:rsid w:val="00AE50B9"/>
    <w:rsid w:val="00B101B9"/>
    <w:rsid w:val="00B149BF"/>
    <w:rsid w:val="00B15378"/>
    <w:rsid w:val="00B34E82"/>
    <w:rsid w:val="00B72FF6"/>
    <w:rsid w:val="00BB42A4"/>
    <w:rsid w:val="00BF37B1"/>
    <w:rsid w:val="00BF6E06"/>
    <w:rsid w:val="00C52482"/>
    <w:rsid w:val="00C6530E"/>
    <w:rsid w:val="00C65AD1"/>
    <w:rsid w:val="00CB6A57"/>
    <w:rsid w:val="00CE0E84"/>
    <w:rsid w:val="00D179F6"/>
    <w:rsid w:val="00D30D82"/>
    <w:rsid w:val="00D51AB9"/>
    <w:rsid w:val="00D555D0"/>
    <w:rsid w:val="00DD3B23"/>
    <w:rsid w:val="00E11FF6"/>
    <w:rsid w:val="00E76854"/>
    <w:rsid w:val="00E958BE"/>
    <w:rsid w:val="00ED5FE7"/>
    <w:rsid w:val="00F2261B"/>
    <w:rsid w:val="00F87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character" w:customStyle="1" w:styleId="st">
    <w:name w:val="st"/>
    <w:basedOn w:val="DefaultParagraphFont"/>
    <w:rsid w:val="00390FAC"/>
  </w:style>
  <w:style w:type="character" w:customStyle="1" w:styleId="Heading9Char">
    <w:name w:val="Heading 9 Char"/>
    <w:basedOn w:val="DefaultParagraphFont"/>
    <w:link w:val="Heading9"/>
    <w:rsid w:val="00390FAC"/>
    <w:rPr>
      <w:rFonts w:ascii="Arial" w:hAnsi="Arial"/>
      <w:b/>
      <w:i/>
      <w:lang w:val="en-AU"/>
    </w:rPr>
  </w:style>
  <w:style w:type="paragraph" w:styleId="NormalWeb">
    <w:name w:val="Normal (Web)"/>
    <w:basedOn w:val="Normal"/>
    <w:uiPriority w:val="99"/>
    <w:unhideWhenUsed/>
    <w:rsid w:val="00005C41"/>
    <w:pPr>
      <w:spacing w:before="100" w:beforeAutospacing="1" w:after="100" w:afterAutospacing="1"/>
    </w:pPr>
    <w:rPr>
      <w:rFonts w:eastAsia="Times New Roman"/>
      <w:szCs w:val="24"/>
      <w:lang w:val="en-CA" w:eastAsia="en-CA"/>
    </w:rPr>
  </w:style>
  <w:style w:type="character" w:styleId="Emphasis">
    <w:name w:val="Emphasis"/>
    <w:basedOn w:val="DefaultParagraphFont"/>
    <w:uiPriority w:val="99"/>
    <w:qFormat/>
    <w:rsid w:val="00A31219"/>
    <w:rPr>
      <w:i/>
      <w:iCs/>
    </w:rPr>
  </w:style>
  <w:style w:type="character" w:styleId="HTMLAcronym">
    <w:name w:val="HTML Acronym"/>
    <w:basedOn w:val="DefaultParagraphFont"/>
    <w:semiHidden/>
    <w:unhideWhenUsed/>
    <w:rsid w:val="00A31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757">
      <w:bodyDiv w:val="1"/>
      <w:marLeft w:val="0"/>
      <w:marRight w:val="0"/>
      <w:marTop w:val="0"/>
      <w:marBottom w:val="0"/>
      <w:divBdr>
        <w:top w:val="none" w:sz="0" w:space="0" w:color="auto"/>
        <w:left w:val="none" w:sz="0" w:space="0" w:color="auto"/>
        <w:bottom w:val="none" w:sz="0" w:space="0" w:color="auto"/>
        <w:right w:val="none" w:sz="0" w:space="0" w:color="auto"/>
      </w:divBdr>
    </w:div>
    <w:div w:id="102507228">
      <w:bodyDiv w:val="1"/>
      <w:marLeft w:val="0"/>
      <w:marRight w:val="0"/>
      <w:marTop w:val="0"/>
      <w:marBottom w:val="0"/>
      <w:divBdr>
        <w:top w:val="none" w:sz="0" w:space="0" w:color="auto"/>
        <w:left w:val="none" w:sz="0" w:space="0" w:color="auto"/>
        <w:bottom w:val="none" w:sz="0" w:space="0" w:color="auto"/>
        <w:right w:val="none" w:sz="0" w:space="0" w:color="auto"/>
      </w:divBdr>
    </w:div>
    <w:div w:id="207105785">
      <w:bodyDiv w:val="1"/>
      <w:marLeft w:val="0"/>
      <w:marRight w:val="0"/>
      <w:marTop w:val="0"/>
      <w:marBottom w:val="0"/>
      <w:divBdr>
        <w:top w:val="none" w:sz="0" w:space="0" w:color="auto"/>
        <w:left w:val="none" w:sz="0" w:space="0" w:color="auto"/>
        <w:bottom w:val="none" w:sz="0" w:space="0" w:color="auto"/>
        <w:right w:val="none" w:sz="0" w:space="0" w:color="auto"/>
      </w:divBdr>
    </w:div>
    <w:div w:id="315885701">
      <w:bodyDiv w:val="1"/>
      <w:marLeft w:val="0"/>
      <w:marRight w:val="0"/>
      <w:marTop w:val="0"/>
      <w:marBottom w:val="0"/>
      <w:divBdr>
        <w:top w:val="none" w:sz="0" w:space="0" w:color="auto"/>
        <w:left w:val="none" w:sz="0" w:space="0" w:color="auto"/>
        <w:bottom w:val="none" w:sz="0" w:space="0" w:color="auto"/>
        <w:right w:val="none" w:sz="0" w:space="0" w:color="auto"/>
      </w:divBdr>
    </w:div>
    <w:div w:id="358356447">
      <w:bodyDiv w:val="1"/>
      <w:marLeft w:val="0"/>
      <w:marRight w:val="0"/>
      <w:marTop w:val="0"/>
      <w:marBottom w:val="0"/>
      <w:divBdr>
        <w:top w:val="none" w:sz="0" w:space="0" w:color="auto"/>
        <w:left w:val="none" w:sz="0" w:space="0" w:color="auto"/>
        <w:bottom w:val="none" w:sz="0" w:space="0" w:color="auto"/>
        <w:right w:val="none" w:sz="0" w:space="0" w:color="auto"/>
      </w:divBdr>
    </w:div>
    <w:div w:id="593437565">
      <w:bodyDiv w:val="1"/>
      <w:marLeft w:val="0"/>
      <w:marRight w:val="0"/>
      <w:marTop w:val="0"/>
      <w:marBottom w:val="0"/>
      <w:divBdr>
        <w:top w:val="none" w:sz="0" w:space="0" w:color="auto"/>
        <w:left w:val="none" w:sz="0" w:space="0" w:color="auto"/>
        <w:bottom w:val="none" w:sz="0" w:space="0" w:color="auto"/>
        <w:right w:val="none" w:sz="0" w:space="0" w:color="auto"/>
      </w:divBdr>
    </w:div>
    <w:div w:id="616059010">
      <w:bodyDiv w:val="1"/>
      <w:marLeft w:val="0"/>
      <w:marRight w:val="0"/>
      <w:marTop w:val="0"/>
      <w:marBottom w:val="0"/>
      <w:divBdr>
        <w:top w:val="none" w:sz="0" w:space="0" w:color="auto"/>
        <w:left w:val="none" w:sz="0" w:space="0" w:color="auto"/>
        <w:bottom w:val="none" w:sz="0" w:space="0" w:color="auto"/>
        <w:right w:val="none" w:sz="0" w:space="0" w:color="auto"/>
      </w:divBdr>
    </w:div>
    <w:div w:id="620964978">
      <w:bodyDiv w:val="1"/>
      <w:marLeft w:val="0"/>
      <w:marRight w:val="0"/>
      <w:marTop w:val="0"/>
      <w:marBottom w:val="0"/>
      <w:divBdr>
        <w:top w:val="none" w:sz="0" w:space="0" w:color="auto"/>
        <w:left w:val="none" w:sz="0" w:space="0" w:color="auto"/>
        <w:bottom w:val="none" w:sz="0" w:space="0" w:color="auto"/>
        <w:right w:val="none" w:sz="0" w:space="0" w:color="auto"/>
      </w:divBdr>
    </w:div>
    <w:div w:id="795609759">
      <w:bodyDiv w:val="1"/>
      <w:marLeft w:val="0"/>
      <w:marRight w:val="0"/>
      <w:marTop w:val="0"/>
      <w:marBottom w:val="0"/>
      <w:divBdr>
        <w:top w:val="none" w:sz="0" w:space="0" w:color="auto"/>
        <w:left w:val="none" w:sz="0" w:space="0" w:color="auto"/>
        <w:bottom w:val="none" w:sz="0" w:space="0" w:color="auto"/>
        <w:right w:val="none" w:sz="0" w:space="0" w:color="auto"/>
      </w:divBdr>
    </w:div>
    <w:div w:id="834303712">
      <w:bodyDiv w:val="1"/>
      <w:marLeft w:val="0"/>
      <w:marRight w:val="0"/>
      <w:marTop w:val="0"/>
      <w:marBottom w:val="0"/>
      <w:divBdr>
        <w:top w:val="none" w:sz="0" w:space="0" w:color="auto"/>
        <w:left w:val="none" w:sz="0" w:space="0" w:color="auto"/>
        <w:bottom w:val="none" w:sz="0" w:space="0" w:color="auto"/>
        <w:right w:val="none" w:sz="0" w:space="0" w:color="auto"/>
      </w:divBdr>
    </w:div>
    <w:div w:id="1259098774">
      <w:bodyDiv w:val="1"/>
      <w:marLeft w:val="0"/>
      <w:marRight w:val="0"/>
      <w:marTop w:val="0"/>
      <w:marBottom w:val="0"/>
      <w:divBdr>
        <w:top w:val="none" w:sz="0" w:space="0" w:color="auto"/>
        <w:left w:val="none" w:sz="0" w:space="0" w:color="auto"/>
        <w:bottom w:val="none" w:sz="0" w:space="0" w:color="auto"/>
        <w:right w:val="none" w:sz="0" w:space="0" w:color="auto"/>
      </w:divBdr>
    </w:div>
    <w:div w:id="1377388272">
      <w:bodyDiv w:val="1"/>
      <w:marLeft w:val="0"/>
      <w:marRight w:val="0"/>
      <w:marTop w:val="0"/>
      <w:marBottom w:val="0"/>
      <w:divBdr>
        <w:top w:val="none" w:sz="0" w:space="0" w:color="auto"/>
        <w:left w:val="none" w:sz="0" w:space="0" w:color="auto"/>
        <w:bottom w:val="none" w:sz="0" w:space="0" w:color="auto"/>
        <w:right w:val="none" w:sz="0" w:space="0" w:color="auto"/>
      </w:divBdr>
    </w:div>
    <w:div w:id="1557466926">
      <w:bodyDiv w:val="1"/>
      <w:marLeft w:val="0"/>
      <w:marRight w:val="0"/>
      <w:marTop w:val="0"/>
      <w:marBottom w:val="0"/>
      <w:divBdr>
        <w:top w:val="none" w:sz="0" w:space="0" w:color="auto"/>
        <w:left w:val="none" w:sz="0" w:space="0" w:color="auto"/>
        <w:bottom w:val="none" w:sz="0" w:space="0" w:color="auto"/>
        <w:right w:val="none" w:sz="0" w:space="0" w:color="auto"/>
      </w:divBdr>
    </w:div>
    <w:div w:id="1684359203">
      <w:bodyDiv w:val="1"/>
      <w:marLeft w:val="0"/>
      <w:marRight w:val="0"/>
      <w:marTop w:val="0"/>
      <w:marBottom w:val="0"/>
      <w:divBdr>
        <w:top w:val="none" w:sz="0" w:space="0" w:color="auto"/>
        <w:left w:val="none" w:sz="0" w:space="0" w:color="auto"/>
        <w:bottom w:val="none" w:sz="0" w:space="0" w:color="auto"/>
        <w:right w:val="none" w:sz="0" w:space="0" w:color="auto"/>
      </w:divBdr>
    </w:div>
    <w:div w:id="1904481211">
      <w:bodyDiv w:val="1"/>
      <w:marLeft w:val="0"/>
      <w:marRight w:val="0"/>
      <w:marTop w:val="0"/>
      <w:marBottom w:val="0"/>
      <w:divBdr>
        <w:top w:val="none" w:sz="0" w:space="0" w:color="auto"/>
        <w:left w:val="none" w:sz="0" w:space="0" w:color="auto"/>
        <w:bottom w:val="none" w:sz="0" w:space="0" w:color="auto"/>
        <w:right w:val="none" w:sz="0" w:space="0" w:color="auto"/>
      </w:divBdr>
    </w:div>
    <w:div w:id="19102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c.ca" TargetMode="External"/><Relationship Id="rId13" Type="http://schemas.openxmlformats.org/officeDocument/2006/relationships/hyperlink" Target="mailto:info@scc.ca" TargetMode="External"/><Relationship Id="rId18" Type="http://schemas.openxmlformats.org/officeDocument/2006/relationships/hyperlink" Target="http://www.parl.gc.ca/HousePublications/Publication.aspx?DocId=6237704"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cc.ca/" TargetMode="External"/><Relationship Id="rId17" Type="http://schemas.openxmlformats.org/officeDocument/2006/relationships/hyperlink" Target="http://www.parl.gc.ca/LegisInfo/BillDetails.aspx?Language=E&amp;Mode=1&amp;billId=6266835" TargetMode="External"/><Relationship Id="rId2" Type="http://schemas.openxmlformats.org/officeDocument/2006/relationships/styles" Target="styles.xml"/><Relationship Id="rId16" Type="http://schemas.openxmlformats.org/officeDocument/2006/relationships/hyperlink" Target="http://laws-lois.justice.gc.ca/eng/annualstatutes/2012_20/page-1.html" TargetMode="External"/><Relationship Id="rId20" Type="http://schemas.openxmlformats.org/officeDocument/2006/relationships/hyperlink" Target="http://international.gc.ca/global-markets-marches-mondiaux/index.aspx?lang=eng&amp;utm_source=DFATDMAECD&amp;utm_medium=TNAbu-en&amp;utm_campaign=GMAP-PAM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ternational.gc.ca/trade-agreements-accords-commerciaux/agr-acc/panama/index.aspx?lang=eng" TargetMode="External"/><Relationship Id="rId5" Type="http://schemas.openxmlformats.org/officeDocument/2006/relationships/webSettings" Target="webSettings.xml"/><Relationship Id="rId15" Type="http://schemas.openxmlformats.org/officeDocument/2006/relationships/hyperlink" Target="mailto:AsiaPacDesk-BureauAsie_Pac@cbsa-asfc.gc.ca" TargetMode="External"/><Relationship Id="rId23" Type="http://schemas.openxmlformats.org/officeDocument/2006/relationships/theme" Target="theme/theme1.xml"/><Relationship Id="rId10" Type="http://schemas.openxmlformats.org/officeDocument/2006/relationships/hyperlink" Target="http://www.international.gc.ca/trade-agreements-accords-commerciaux/topics-domaines/services/tisa-acs.aspx?lang=eng" TargetMode="External"/><Relationship Id="rId19" Type="http://schemas.openxmlformats.org/officeDocument/2006/relationships/hyperlink" Target="mailto:AsiaPacDesk-BureauAsie_Pac@cbsa-asfc.gc.ca" TargetMode="External"/><Relationship Id="rId4" Type="http://schemas.openxmlformats.org/officeDocument/2006/relationships/settings" Target="settings.xml"/><Relationship Id="rId9" Type="http://schemas.openxmlformats.org/officeDocument/2006/relationships/hyperlink" Target="http://www.fin.gc.ca" TargetMode="External"/><Relationship Id="rId14" Type="http://schemas.openxmlformats.org/officeDocument/2006/relationships/hyperlink" Target="http://actionplan.gc.ca/en/page/bbg-tpf/trade-facilitation-economic-growth-and-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Pages>
  <Words>2210</Words>
  <Characters>15057</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Lo, Maria -MER</cp:lastModifiedBy>
  <cp:revision>25</cp:revision>
  <cp:lastPrinted>2011-12-09T02:01:00Z</cp:lastPrinted>
  <dcterms:created xsi:type="dcterms:W3CDTF">2013-10-29T00:46:00Z</dcterms:created>
  <dcterms:modified xsi:type="dcterms:W3CDTF">2014-01-13T13:37:00Z</dcterms:modified>
</cp:coreProperties>
</file>