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RPr="00B3069C" w:rsidTr="000A33A0">
        <w:trPr>
          <w:tblHeader/>
        </w:trPr>
        <w:tc>
          <w:tcPr>
            <w:tcW w:w="14564" w:type="dxa"/>
            <w:shd w:val="clear" w:color="auto" w:fill="DBE5F1" w:themeFill="accent1" w:themeFillTint="33"/>
          </w:tcPr>
          <w:p w:rsidR="00CB6A57" w:rsidRPr="00B3069C" w:rsidRDefault="00CB6A57">
            <w:pPr>
              <w:spacing w:before="120" w:after="120"/>
              <w:jc w:val="center"/>
              <w:rPr>
                <w:b/>
                <w:sz w:val="20"/>
              </w:rPr>
            </w:pPr>
            <w:r w:rsidRPr="00B3069C">
              <w:rPr>
                <w:b/>
                <w:sz w:val="20"/>
              </w:rPr>
              <w:t xml:space="preserve">Individual </w:t>
            </w:r>
            <w:r w:rsidR="009778E6" w:rsidRPr="00B3069C">
              <w:rPr>
                <w:b/>
                <w:sz w:val="20"/>
              </w:rPr>
              <w:t xml:space="preserve">Action Plan </w:t>
            </w:r>
            <w:r w:rsidR="00CC789E">
              <w:rPr>
                <w:b/>
                <w:sz w:val="20"/>
              </w:rPr>
              <w:t>Update for Australia,</w:t>
            </w:r>
            <w:r w:rsidR="00683AA7" w:rsidRPr="00B3069C">
              <w:rPr>
                <w:b/>
                <w:sz w:val="20"/>
              </w:rPr>
              <w:t xml:space="preserve"> January 2014</w:t>
            </w:r>
            <w:r w:rsidR="00D179F6" w:rsidRPr="00B3069C">
              <w:rPr>
                <w:b/>
                <w:sz w:val="20"/>
              </w:rPr>
              <w:fldChar w:fldCharType="begin" w:fldLock="1">
                <w:ffData>
                  <w:name w:val="Text30"/>
                  <w:enabled/>
                  <w:calcOnExit w:val="0"/>
                  <w:textInput>
                    <w:default w:val="{Year}"/>
                  </w:textInput>
                </w:ffData>
              </w:fldChar>
            </w:r>
            <w:r w:rsidRPr="00B3069C">
              <w:rPr>
                <w:b/>
                <w:sz w:val="20"/>
              </w:rPr>
              <w:instrText xml:space="preserve"> FORMTEXT </w:instrText>
            </w:r>
            <w:r w:rsidR="00E632DC">
              <w:rPr>
                <w:b/>
                <w:sz w:val="20"/>
              </w:rPr>
            </w:r>
            <w:r w:rsidR="00E632DC">
              <w:rPr>
                <w:b/>
                <w:sz w:val="20"/>
              </w:rPr>
              <w:fldChar w:fldCharType="separate"/>
            </w:r>
            <w:r w:rsidR="00D179F6" w:rsidRPr="00B3069C">
              <w:rPr>
                <w:b/>
                <w:sz w:val="20"/>
              </w:rPr>
              <w:fldChar w:fldCharType="end"/>
            </w:r>
          </w:p>
        </w:tc>
      </w:tr>
      <w:tr w:rsidR="00CB6A57" w:rsidRPr="00B3069C">
        <w:trPr>
          <w:tblHeader/>
        </w:trPr>
        <w:tc>
          <w:tcPr>
            <w:tcW w:w="14564" w:type="dxa"/>
          </w:tcPr>
          <w:p w:rsidR="00CB6A57" w:rsidRPr="00B3069C" w:rsidRDefault="00CB6A57">
            <w:pPr>
              <w:spacing w:before="120" w:after="120"/>
              <w:jc w:val="both"/>
              <w:rPr>
                <w:b/>
                <w:i/>
                <w:sz w:val="20"/>
              </w:rPr>
            </w:pPr>
            <w:r w:rsidRPr="00B3069C">
              <w:rPr>
                <w:b/>
                <w:i/>
                <w:sz w:val="20"/>
              </w:rPr>
              <w:br/>
            </w:r>
            <w:bookmarkStart w:id="0" w:name="Highlights"/>
            <w:bookmarkEnd w:id="0"/>
            <w:r w:rsidRPr="00B3069C">
              <w:rPr>
                <w:b/>
                <w:i/>
                <w:sz w:val="20"/>
              </w:rPr>
              <w:t>Highlights of recent policy developme</w:t>
            </w:r>
            <w:r w:rsidR="005B42BE" w:rsidRPr="00B3069C">
              <w:rPr>
                <w:b/>
                <w:i/>
                <w:sz w:val="20"/>
              </w:rPr>
              <w:t>nts which indicate how Australia</w:t>
            </w:r>
            <w:r w:rsidRPr="00B3069C">
              <w:rPr>
                <w:b/>
                <w:i/>
                <w:sz w:val="20"/>
              </w:rPr>
              <w:t xml:space="preserve"> is progressing towards the Bogor Goals and key challenges it faces in its efforts to meet the Goals. </w:t>
            </w:r>
          </w:p>
        </w:tc>
      </w:tr>
    </w:tbl>
    <w:p w:rsidR="00714E4C" w:rsidRDefault="00714E4C">
      <w:pPr>
        <w:rPr>
          <w:sz w:val="20"/>
        </w:rPr>
      </w:pPr>
    </w:p>
    <w:p w:rsidR="00714E4C" w:rsidRDefault="00714E4C">
      <w:pPr>
        <w:rPr>
          <w:sz w:val="20"/>
        </w:rPr>
      </w:pPr>
      <w:r>
        <w:rPr>
          <w:sz w:val="20"/>
        </w:rPr>
        <w:br w:type="page"/>
      </w: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2552"/>
        <w:gridCol w:w="7371"/>
        <w:gridCol w:w="4658"/>
      </w:tblGrid>
      <w:tr w:rsidR="00714E4C" w:rsidRPr="00B3069C" w:rsidTr="00714E4C">
        <w:trPr>
          <w:tblHeader/>
        </w:trPr>
        <w:tc>
          <w:tcPr>
            <w:tcW w:w="2552" w:type="dxa"/>
            <w:shd w:val="clear" w:color="auto" w:fill="C6D9F1" w:themeFill="text2" w:themeFillTint="33"/>
          </w:tcPr>
          <w:p w:rsidR="00714E4C" w:rsidRPr="00B3069C" w:rsidRDefault="00714E4C" w:rsidP="005B20EE">
            <w:pPr>
              <w:pStyle w:val="Subtitle"/>
              <w:spacing w:before="60" w:after="60"/>
              <w:jc w:val="center"/>
              <w:rPr>
                <w:sz w:val="20"/>
              </w:rPr>
            </w:pPr>
            <w:r w:rsidRPr="00B3069C">
              <w:rPr>
                <w:sz w:val="20"/>
              </w:rPr>
              <w:t>IAP Chapter (Sub-Chapter and Section Heading, if any)</w:t>
            </w:r>
            <w:r w:rsidRPr="00B3069C">
              <w:rPr>
                <w:b w:val="0"/>
                <w:sz w:val="20"/>
                <w:vertAlign w:val="superscript"/>
                <w:lang w:eastAsia="zh-TW"/>
              </w:rPr>
              <w:t xml:space="preserve"> </w:t>
            </w:r>
          </w:p>
        </w:tc>
        <w:tc>
          <w:tcPr>
            <w:tcW w:w="7371" w:type="dxa"/>
            <w:shd w:val="clear" w:color="auto" w:fill="C6D9F1" w:themeFill="text2" w:themeFillTint="33"/>
          </w:tcPr>
          <w:p w:rsidR="00714E4C" w:rsidRPr="00B3069C" w:rsidRDefault="00714E4C" w:rsidP="005B20EE">
            <w:pPr>
              <w:spacing w:before="60" w:after="60"/>
              <w:jc w:val="center"/>
              <w:rPr>
                <w:b/>
                <w:sz w:val="20"/>
                <w:vertAlign w:val="superscript"/>
                <w:lang w:eastAsia="zh-TW"/>
              </w:rPr>
            </w:pPr>
            <w:r w:rsidRPr="00B3069C">
              <w:rPr>
                <w:b/>
                <w:sz w:val="20"/>
              </w:rPr>
              <w:t xml:space="preserve">Improvements made since 2012 IAP </w:t>
            </w:r>
          </w:p>
        </w:tc>
        <w:tc>
          <w:tcPr>
            <w:tcW w:w="4658" w:type="dxa"/>
            <w:shd w:val="clear" w:color="auto" w:fill="C6D9F1" w:themeFill="text2" w:themeFillTint="33"/>
          </w:tcPr>
          <w:p w:rsidR="00714E4C" w:rsidRPr="00B3069C" w:rsidRDefault="00714E4C" w:rsidP="005B20EE">
            <w:pPr>
              <w:spacing w:before="60" w:after="60"/>
              <w:jc w:val="center"/>
              <w:rPr>
                <w:b/>
                <w:sz w:val="20"/>
              </w:rPr>
            </w:pPr>
            <w:r w:rsidRPr="00B3069C">
              <w:rPr>
                <w:b/>
                <w:sz w:val="20"/>
              </w:rPr>
              <w:t>Further Improvements Planned</w:t>
            </w:r>
          </w:p>
        </w:tc>
      </w:tr>
      <w:tr w:rsidR="00951E28" w:rsidRPr="00B3069C" w:rsidTr="00714E4C">
        <w:trPr>
          <w:trHeight w:val="648"/>
        </w:trPr>
        <w:tc>
          <w:tcPr>
            <w:tcW w:w="2552" w:type="dxa"/>
          </w:tcPr>
          <w:p w:rsidR="00714E4C" w:rsidRPr="00714E4C" w:rsidRDefault="00C572B6" w:rsidP="005B20EE">
            <w:pPr>
              <w:pStyle w:val="Heading9"/>
              <w:keepNext w:val="0"/>
              <w:rPr>
                <w:rFonts w:ascii="Times New Roman" w:hAnsi="Times New Roman"/>
              </w:rPr>
            </w:pPr>
            <w:r>
              <w:rPr>
                <w:rFonts w:ascii="Times New Roman" w:hAnsi="Times New Roman"/>
              </w:rPr>
              <w:t>Tariffs</w:t>
            </w:r>
          </w:p>
        </w:tc>
        <w:tc>
          <w:tcPr>
            <w:tcW w:w="7371" w:type="dxa"/>
          </w:tcPr>
          <w:p w:rsidR="00951E28" w:rsidRPr="00B3069C" w:rsidRDefault="00951E28" w:rsidP="005B20EE">
            <w:pPr>
              <w:spacing w:after="120"/>
              <w:rPr>
                <w:sz w:val="20"/>
              </w:rPr>
            </w:pPr>
            <w:bookmarkStart w:id="1" w:name="Cell01"/>
            <w:bookmarkEnd w:id="1"/>
            <w:r w:rsidRPr="00B3069C">
              <w:rPr>
                <w:sz w:val="20"/>
              </w:rPr>
              <w:t xml:space="preserve">Australia has continued to improve tariff preferences through implementation of Free Trade Agreements (FTAs), including </w:t>
            </w:r>
            <w:r w:rsidR="00CC789E">
              <w:rPr>
                <w:sz w:val="20"/>
              </w:rPr>
              <w:t>the</w:t>
            </w:r>
            <w:r w:rsidRPr="00B3069C">
              <w:rPr>
                <w:b/>
                <w:sz w:val="20"/>
              </w:rPr>
              <w:t xml:space="preserve"> Malaysia-Australia FTA</w:t>
            </w:r>
            <w:r w:rsidR="00321D59" w:rsidRPr="00B3069C">
              <w:rPr>
                <w:b/>
                <w:sz w:val="20"/>
              </w:rPr>
              <w:t xml:space="preserve"> (MAFTA)</w:t>
            </w:r>
            <w:r w:rsidRPr="00B3069C">
              <w:rPr>
                <w:sz w:val="20"/>
              </w:rPr>
              <w:t xml:space="preserve"> which entered into force on 1 January 2013.  Under this agreement, Australia eliminated all remaining tariffs on Malaysian goods</w:t>
            </w:r>
            <w:r w:rsidR="00683AA7" w:rsidRPr="00B3069C">
              <w:rPr>
                <w:sz w:val="20"/>
              </w:rPr>
              <w:t xml:space="preserve"> on entry into force of the Agreement</w:t>
            </w:r>
            <w:r w:rsidRPr="00B3069C">
              <w:rPr>
                <w:sz w:val="20"/>
              </w:rPr>
              <w:t>.</w:t>
            </w:r>
          </w:p>
          <w:p w:rsidR="00B3069C" w:rsidRPr="00B3069C" w:rsidRDefault="00B3069C" w:rsidP="005B20EE">
            <w:pPr>
              <w:spacing w:after="120"/>
              <w:rPr>
                <w:sz w:val="20"/>
              </w:rPr>
            </w:pPr>
            <w:r w:rsidRPr="00B3069C">
              <w:rPr>
                <w:sz w:val="20"/>
              </w:rPr>
              <w:t>Cody Wilson – Department of Foreign Affairs and Trade: +61 2 6261 9879</w:t>
            </w:r>
          </w:p>
          <w:p w:rsidR="00B3069C" w:rsidRPr="00B3069C" w:rsidRDefault="00E632DC" w:rsidP="005B20EE">
            <w:pPr>
              <w:rPr>
                <w:color w:val="0000FF"/>
                <w:u w:val="single"/>
              </w:rPr>
            </w:pPr>
            <w:hyperlink r:id="rId9" w:history="1">
              <w:r w:rsidR="00B3069C" w:rsidRPr="00B3069C">
                <w:rPr>
                  <w:rStyle w:val="Hyperlink"/>
                  <w:sz w:val="20"/>
                </w:rPr>
                <w:t>http://www.dfat.gov.au/fta/mafta</w:t>
              </w:r>
            </w:hyperlink>
          </w:p>
          <w:p w:rsidR="00B3069C" w:rsidRPr="00B3069C" w:rsidRDefault="00B3069C" w:rsidP="005B20EE">
            <w:pPr>
              <w:rPr>
                <w:color w:val="0000FF"/>
                <w:u w:val="single"/>
              </w:rPr>
            </w:pPr>
          </w:p>
          <w:p w:rsidR="00951E28" w:rsidRPr="00B3069C" w:rsidRDefault="00951E28" w:rsidP="005B20EE">
            <w:pPr>
              <w:spacing w:after="120"/>
              <w:rPr>
                <w:sz w:val="20"/>
              </w:rPr>
            </w:pPr>
            <w:r w:rsidRPr="00B3069C">
              <w:rPr>
                <w:sz w:val="20"/>
              </w:rPr>
              <w:t>Reforms were made to concessions available to traders under Schedule 4 of the Customs Tariff Act with a view to simplifying the concessions available and reducing the complexity associated with claiming concessions.</w:t>
            </w:r>
          </w:p>
          <w:p w:rsidR="00B3069C" w:rsidRPr="00B3069C" w:rsidRDefault="00B3069C" w:rsidP="005B20EE">
            <w:pPr>
              <w:spacing w:after="120"/>
              <w:rPr>
                <w:sz w:val="20"/>
              </w:rPr>
            </w:pPr>
            <w:r w:rsidRPr="00B3069C">
              <w:rPr>
                <w:sz w:val="20"/>
              </w:rPr>
              <w:t>Niraj J. Rao – Australian Customs and Border Protection Service: +61 2 6275 6554</w:t>
            </w:r>
          </w:p>
          <w:p w:rsidR="00B3069C" w:rsidRPr="00B3069C" w:rsidRDefault="00E632DC" w:rsidP="005B20EE">
            <w:pPr>
              <w:numPr>
                <w:ilvl w:val="0"/>
                <w:numId w:val="24"/>
              </w:numPr>
              <w:shd w:val="clear" w:color="auto" w:fill="FFFFFF"/>
              <w:spacing w:after="120"/>
              <w:ind w:left="0"/>
              <w:rPr>
                <w:color w:val="0000FF"/>
                <w:sz w:val="20"/>
                <w:lang w:val="en"/>
              </w:rPr>
            </w:pPr>
            <w:hyperlink r:id="rId10" w:history="1">
              <w:r w:rsidR="00B3069C" w:rsidRPr="00B3069C">
                <w:rPr>
                  <w:rStyle w:val="Hyperlink"/>
                  <w:sz w:val="20"/>
                </w:rPr>
                <w:t>http://www.customs.gov.au/</w:t>
              </w:r>
            </w:hyperlink>
            <w:r w:rsidR="00B3069C" w:rsidRPr="00B3069C">
              <w:rPr>
                <w:color w:val="0000FF"/>
                <w:sz w:val="20"/>
              </w:rPr>
              <w:t xml:space="preserve"> </w:t>
            </w:r>
          </w:p>
        </w:tc>
        <w:tc>
          <w:tcPr>
            <w:tcW w:w="4658" w:type="dxa"/>
          </w:tcPr>
          <w:p w:rsidR="00951E28" w:rsidRPr="00B3069C" w:rsidRDefault="00951E28" w:rsidP="005B20EE">
            <w:pPr>
              <w:spacing w:after="120"/>
              <w:rPr>
                <w:sz w:val="20"/>
              </w:rPr>
            </w:pPr>
            <w:bookmarkStart w:id="2" w:name="Cell02"/>
            <w:bookmarkEnd w:id="2"/>
            <w:r w:rsidRPr="00B3069C">
              <w:rPr>
                <w:sz w:val="20"/>
              </w:rPr>
              <w:t>From 1 January 2015:</w:t>
            </w:r>
          </w:p>
          <w:p w:rsidR="00951E28" w:rsidRPr="00B3069C" w:rsidRDefault="00951E28" w:rsidP="005B20EE">
            <w:pPr>
              <w:spacing w:after="120"/>
              <w:rPr>
                <w:sz w:val="20"/>
              </w:rPr>
            </w:pPr>
            <w:r w:rsidRPr="00B3069C">
              <w:rPr>
                <w:sz w:val="20"/>
              </w:rPr>
              <w:t>MFN Tariffs on apparel and certain finished textile products are set to be reduced from 10 per cent to 5 per cent;</w:t>
            </w:r>
          </w:p>
          <w:p w:rsidR="00951E28" w:rsidRPr="00B3069C" w:rsidRDefault="00951E28" w:rsidP="005B20EE">
            <w:pPr>
              <w:spacing w:after="120"/>
              <w:rPr>
                <w:sz w:val="20"/>
              </w:rPr>
            </w:pPr>
            <w:r w:rsidRPr="00B3069C">
              <w:rPr>
                <w:sz w:val="20"/>
              </w:rPr>
              <w:t>All remaining tariffs on goods from Thailand and Chile will be removed under Australia’s bilateral FTAs with those economies; and</w:t>
            </w:r>
          </w:p>
          <w:p w:rsidR="00951E28" w:rsidRPr="00B3069C" w:rsidRDefault="00951E28" w:rsidP="005B20EE">
            <w:pPr>
              <w:spacing w:after="120"/>
              <w:rPr>
                <w:sz w:val="20"/>
              </w:rPr>
            </w:pPr>
            <w:r w:rsidRPr="00B3069C">
              <w:rPr>
                <w:sz w:val="20"/>
              </w:rPr>
              <w:t>All remaining tariffs on goods from the US will fall to zero.</w:t>
            </w:r>
          </w:p>
          <w:p w:rsidR="00951E28" w:rsidRPr="00B3069C" w:rsidRDefault="00951E28" w:rsidP="005B20EE">
            <w:pPr>
              <w:spacing w:after="120"/>
              <w:rPr>
                <w:sz w:val="20"/>
              </w:rPr>
            </w:pPr>
            <w:r w:rsidRPr="00B3069C">
              <w:rPr>
                <w:sz w:val="20"/>
              </w:rPr>
              <w:t>Tariffs on all goods imported to Australia under the ASEAN-Australia-New Zealand FTA will be removed by 2020.</w:t>
            </w:r>
          </w:p>
        </w:tc>
      </w:tr>
      <w:tr w:rsidR="00B3069C" w:rsidRPr="00B3069C" w:rsidTr="00714E4C">
        <w:trPr>
          <w:trHeight w:val="648"/>
        </w:trPr>
        <w:tc>
          <w:tcPr>
            <w:tcW w:w="2552" w:type="dxa"/>
          </w:tcPr>
          <w:p w:rsidR="00B3069C" w:rsidRPr="00B3069C" w:rsidRDefault="00B3069C" w:rsidP="005B20EE">
            <w:pPr>
              <w:pStyle w:val="Heading9"/>
              <w:keepNext w:val="0"/>
              <w:rPr>
                <w:rFonts w:ascii="Times New Roman" w:hAnsi="Times New Roman"/>
              </w:rPr>
            </w:pPr>
            <w:r w:rsidRPr="00B3069C">
              <w:rPr>
                <w:rFonts w:ascii="Times New Roman" w:hAnsi="Times New Roman"/>
                <w:b w:val="0"/>
                <w:color w:val="808080"/>
              </w:rPr>
              <w:t xml:space="preserve">Website for further information:  </w:t>
            </w:r>
          </w:p>
        </w:tc>
        <w:tc>
          <w:tcPr>
            <w:tcW w:w="7371" w:type="dxa"/>
          </w:tcPr>
          <w:p w:rsidR="00B3069C" w:rsidRPr="00B3069C" w:rsidRDefault="00B3069C" w:rsidP="005B20EE">
            <w:pPr>
              <w:spacing w:before="120"/>
              <w:rPr>
                <w:color w:val="0000FF"/>
                <w:u w:val="single"/>
              </w:rPr>
            </w:pPr>
            <w:r w:rsidRPr="00B3069C">
              <w:rPr>
                <w:color w:val="0000FF"/>
                <w:sz w:val="20"/>
                <w:u w:val="single"/>
              </w:rPr>
              <w:t>http://www.dfat.gov.au/fta/mafta</w:t>
            </w:r>
          </w:p>
          <w:p w:rsidR="00B3069C" w:rsidRPr="00B3069C" w:rsidRDefault="00E632DC" w:rsidP="005B20EE">
            <w:pPr>
              <w:numPr>
                <w:ilvl w:val="0"/>
                <w:numId w:val="24"/>
              </w:numPr>
              <w:shd w:val="clear" w:color="auto" w:fill="FFFFFF"/>
              <w:spacing w:after="120"/>
              <w:ind w:left="0"/>
              <w:rPr>
                <w:color w:val="333333"/>
                <w:sz w:val="20"/>
                <w:lang w:val="en"/>
              </w:rPr>
            </w:pPr>
            <w:hyperlink r:id="rId11" w:history="1">
              <w:r w:rsidR="00B3069C" w:rsidRPr="00B3069C">
                <w:rPr>
                  <w:rStyle w:val="Hyperlink"/>
                  <w:sz w:val="20"/>
                </w:rPr>
                <w:t>http://www.customs.gov.au</w:t>
              </w:r>
            </w:hyperlink>
          </w:p>
        </w:tc>
        <w:tc>
          <w:tcPr>
            <w:tcW w:w="4658" w:type="dxa"/>
          </w:tcPr>
          <w:p w:rsidR="00B3069C" w:rsidRPr="00B3069C" w:rsidRDefault="00B3069C" w:rsidP="005B20EE">
            <w:pPr>
              <w:numPr>
                <w:ilvl w:val="0"/>
                <w:numId w:val="24"/>
              </w:numPr>
              <w:shd w:val="clear" w:color="auto" w:fill="FFFFFF"/>
              <w:spacing w:after="120"/>
              <w:ind w:left="0"/>
              <w:rPr>
                <w:color w:val="333333"/>
                <w:sz w:val="20"/>
                <w:lang w:val="en"/>
              </w:rPr>
            </w:pPr>
          </w:p>
        </w:tc>
      </w:tr>
      <w:tr w:rsidR="00B3069C" w:rsidRPr="00B3069C" w:rsidTr="00714E4C">
        <w:trPr>
          <w:trHeight w:val="648"/>
        </w:trPr>
        <w:tc>
          <w:tcPr>
            <w:tcW w:w="2552" w:type="dxa"/>
          </w:tcPr>
          <w:p w:rsidR="00B3069C" w:rsidRPr="00B3069C" w:rsidRDefault="00B3069C" w:rsidP="005B20EE">
            <w:pPr>
              <w:pStyle w:val="Heading9"/>
              <w:keepNext w:val="0"/>
              <w:rPr>
                <w:rFonts w:ascii="Times New Roman" w:hAnsi="Times New Roman"/>
              </w:rPr>
            </w:pPr>
            <w:r w:rsidRPr="00B3069C">
              <w:rPr>
                <w:rFonts w:ascii="Times New Roman" w:hAnsi="Times New Roman"/>
                <w:b w:val="0"/>
                <w:color w:val="808080"/>
              </w:rPr>
              <w:t>Contact point for further details:</w:t>
            </w:r>
          </w:p>
        </w:tc>
        <w:tc>
          <w:tcPr>
            <w:tcW w:w="7371" w:type="dxa"/>
          </w:tcPr>
          <w:p w:rsidR="00B3069C" w:rsidRPr="00B3069C" w:rsidRDefault="00B3069C" w:rsidP="005B20EE">
            <w:pPr>
              <w:spacing w:before="120" w:after="120"/>
              <w:rPr>
                <w:sz w:val="20"/>
              </w:rPr>
            </w:pPr>
            <w:r w:rsidRPr="00B3069C">
              <w:rPr>
                <w:sz w:val="20"/>
              </w:rPr>
              <w:t>Cody Wilson – Dept. of Foreign Affairs and Trade: +61 2 6261 9879</w:t>
            </w:r>
          </w:p>
          <w:p w:rsidR="00B3069C" w:rsidRPr="00B3069C" w:rsidRDefault="00B3069C" w:rsidP="005B20EE">
            <w:pPr>
              <w:spacing w:after="120"/>
              <w:rPr>
                <w:sz w:val="20"/>
              </w:rPr>
            </w:pPr>
            <w:r w:rsidRPr="00B3069C">
              <w:rPr>
                <w:sz w:val="20"/>
              </w:rPr>
              <w:t>Niraj J. Rao - Australian Customs and Border Protection Service: +61 2 6275 6554</w:t>
            </w:r>
          </w:p>
        </w:tc>
        <w:tc>
          <w:tcPr>
            <w:tcW w:w="4658" w:type="dxa"/>
          </w:tcPr>
          <w:p w:rsidR="00B3069C" w:rsidRPr="00B3069C" w:rsidRDefault="00B3069C" w:rsidP="005B20EE">
            <w:pPr>
              <w:spacing w:after="120"/>
              <w:rPr>
                <w:sz w:val="20"/>
              </w:rPr>
            </w:pPr>
          </w:p>
        </w:tc>
      </w:tr>
      <w:tr w:rsidR="00B3069C" w:rsidRPr="00B3069C" w:rsidTr="00714E4C">
        <w:trPr>
          <w:trHeight w:val="212"/>
        </w:trPr>
        <w:tc>
          <w:tcPr>
            <w:tcW w:w="2552" w:type="dxa"/>
          </w:tcPr>
          <w:p w:rsidR="00B3069C" w:rsidRPr="00B3069C" w:rsidRDefault="00B3069C" w:rsidP="005B20EE">
            <w:pPr>
              <w:pStyle w:val="Heading9"/>
              <w:keepNext w:val="0"/>
              <w:rPr>
                <w:rFonts w:ascii="Times New Roman" w:hAnsi="Times New Roman"/>
                <w:color w:val="808080"/>
              </w:rPr>
            </w:pPr>
            <w:bookmarkStart w:id="3" w:name="Row2"/>
            <w:r w:rsidRPr="00B3069C">
              <w:rPr>
                <w:rFonts w:ascii="Times New Roman" w:hAnsi="Times New Roman"/>
              </w:rPr>
              <w:t>Non-Tariff Measures</w:t>
            </w:r>
            <w:bookmarkEnd w:id="3"/>
          </w:p>
        </w:tc>
        <w:tc>
          <w:tcPr>
            <w:tcW w:w="7371" w:type="dxa"/>
          </w:tcPr>
          <w:p w:rsidR="00B3069C" w:rsidRPr="00B3069C" w:rsidRDefault="00B3069C" w:rsidP="005B20EE">
            <w:pPr>
              <w:pStyle w:val="ListParagraph"/>
              <w:spacing w:after="120"/>
              <w:ind w:left="0"/>
              <w:rPr>
                <w:rFonts w:ascii="Times New Roman" w:hAnsi="Times New Roman"/>
                <w:b/>
                <w:sz w:val="20"/>
                <w:szCs w:val="20"/>
              </w:rPr>
            </w:pPr>
            <w:r w:rsidRPr="00B3069C">
              <w:rPr>
                <w:rFonts w:ascii="Times New Roman" w:hAnsi="Times New Roman"/>
                <w:b/>
                <w:sz w:val="20"/>
                <w:szCs w:val="20"/>
              </w:rPr>
              <w:t>Australian anti-dumping and countervailing system</w:t>
            </w:r>
          </w:p>
          <w:p w:rsidR="00B3069C" w:rsidRPr="00B3069C" w:rsidRDefault="00B3069C" w:rsidP="005B20EE">
            <w:pPr>
              <w:pStyle w:val="ListParagraph"/>
              <w:spacing w:after="120"/>
              <w:ind w:left="0"/>
              <w:rPr>
                <w:rFonts w:ascii="Times New Roman" w:hAnsi="Times New Roman"/>
                <w:sz w:val="20"/>
                <w:szCs w:val="20"/>
              </w:rPr>
            </w:pPr>
            <w:r w:rsidRPr="00B3069C">
              <w:rPr>
                <w:rFonts w:ascii="Times New Roman" w:hAnsi="Times New Roman"/>
                <w:sz w:val="20"/>
                <w:szCs w:val="20"/>
              </w:rPr>
              <w:t>Through 2012 and 2013 the Australian Government introduced seven pieces of legislation to implement various reforms to Australia's anti-dumping and countervailing regime.</w:t>
            </w:r>
          </w:p>
          <w:p w:rsidR="00B3069C" w:rsidRPr="00B3069C" w:rsidRDefault="00B3069C" w:rsidP="005B20EE">
            <w:pPr>
              <w:pStyle w:val="ListParagraph"/>
              <w:spacing w:after="120"/>
              <w:ind w:left="0"/>
              <w:rPr>
                <w:rFonts w:ascii="Times New Roman" w:hAnsi="Times New Roman"/>
                <w:sz w:val="20"/>
                <w:szCs w:val="20"/>
              </w:rPr>
            </w:pPr>
            <w:r w:rsidRPr="00B3069C">
              <w:rPr>
                <w:rFonts w:ascii="Times New Roman" w:hAnsi="Times New Roman"/>
                <w:sz w:val="20"/>
                <w:szCs w:val="20"/>
              </w:rPr>
              <w:t>Implementation of the reforms finished in June 2013 and included:</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establishment of a new appeals process to replace the existing appeals mechanism;</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establishment of an industry stakeholder forum;</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provisions allowing multiple extensions to investigative timeframes;</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amendments to subsidies provisions that more accurately reflect the relevant WTO agreement;</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removing the need for a separate review of anti</w:t>
            </w:r>
            <w:r w:rsidRPr="00B3069C">
              <w:rPr>
                <w:rFonts w:ascii="Times New Roman" w:hAnsi="Times New Roman"/>
                <w:sz w:val="20"/>
                <w:szCs w:val="20"/>
              </w:rPr>
              <w:noBreakHyphen/>
              <w:t>dumping measures and a continuation inquiry when they occur in close proximity to one another;</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allowing the Minister to utilise additional forms of dumping duty;</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 xml:space="preserve">creating an inquiry process to investigate the circumvention of anti-dumping measures; </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clarified provisions on dealing with parties who do not cooperate with anti-dumping investigations; and</w:t>
            </w:r>
          </w:p>
          <w:p w:rsidR="00B3069C" w:rsidRPr="00B3069C" w:rsidRDefault="00B3069C" w:rsidP="005B20EE">
            <w:pPr>
              <w:pStyle w:val="ListParagraph"/>
              <w:numPr>
                <w:ilvl w:val="0"/>
                <w:numId w:val="6"/>
              </w:numPr>
              <w:spacing w:after="120"/>
              <w:ind w:left="714" w:hanging="357"/>
              <w:rPr>
                <w:rFonts w:ascii="Times New Roman" w:hAnsi="Times New Roman"/>
                <w:sz w:val="20"/>
                <w:szCs w:val="20"/>
              </w:rPr>
            </w:pPr>
            <w:r w:rsidRPr="00B3069C">
              <w:rPr>
                <w:rFonts w:ascii="Times New Roman" w:hAnsi="Times New Roman"/>
                <w:sz w:val="20"/>
                <w:szCs w:val="20"/>
              </w:rPr>
              <w:t>establishment of the Anti</w:t>
            </w:r>
            <w:r w:rsidRPr="00B3069C">
              <w:rPr>
                <w:rFonts w:ascii="Times New Roman" w:hAnsi="Times New Roman"/>
                <w:sz w:val="20"/>
                <w:szCs w:val="20"/>
              </w:rPr>
              <w:noBreakHyphen/>
              <w:t xml:space="preserve">Dumping Commission as the administering authority of Australia’s anti-dumping system. </w:t>
            </w:r>
          </w:p>
          <w:p w:rsidR="00B3069C" w:rsidRPr="00B3069C" w:rsidRDefault="00B3069C" w:rsidP="005B20EE">
            <w:pPr>
              <w:autoSpaceDE w:val="0"/>
              <w:autoSpaceDN w:val="0"/>
              <w:adjustRightInd w:val="0"/>
              <w:spacing w:after="120"/>
              <w:rPr>
                <w:rFonts w:eastAsia="SimSun"/>
                <w:sz w:val="20"/>
                <w:lang w:val="en-US" w:eastAsia="zh-CN"/>
              </w:rPr>
            </w:pPr>
            <w:r w:rsidRPr="00B3069C">
              <w:rPr>
                <w:rFonts w:eastAsia="SimSun"/>
                <w:sz w:val="20"/>
                <w:lang w:val="en-US" w:eastAsia="zh-CN"/>
              </w:rPr>
              <w:t>Further legislation, which commence on 1 January 2014, implements reforms that:</w:t>
            </w:r>
          </w:p>
          <w:p w:rsidR="00B3069C" w:rsidRPr="00B3069C" w:rsidRDefault="00B3069C" w:rsidP="005B20EE">
            <w:pPr>
              <w:pStyle w:val="ListParagraph"/>
              <w:numPr>
                <w:ilvl w:val="0"/>
                <w:numId w:val="6"/>
              </w:numPr>
              <w:spacing w:after="120"/>
              <w:rPr>
                <w:rFonts w:ascii="Times New Roman" w:hAnsi="Times New Roman"/>
                <w:sz w:val="20"/>
                <w:szCs w:val="20"/>
              </w:rPr>
            </w:pPr>
            <w:r w:rsidRPr="00B3069C">
              <w:rPr>
                <w:rFonts w:ascii="Times New Roman" w:hAnsi="Times New Roman"/>
                <w:sz w:val="20"/>
                <w:szCs w:val="20"/>
              </w:rPr>
              <w:t>remove the mandatory consideration of the lesser duty rule in certain cases;</w:t>
            </w:r>
          </w:p>
          <w:p w:rsidR="00B3069C" w:rsidRPr="00B3069C" w:rsidRDefault="00B3069C" w:rsidP="005B20EE">
            <w:pPr>
              <w:pStyle w:val="ListParagraph"/>
              <w:numPr>
                <w:ilvl w:val="0"/>
                <w:numId w:val="6"/>
              </w:numPr>
              <w:spacing w:after="120"/>
              <w:rPr>
                <w:rFonts w:ascii="Times New Roman" w:hAnsi="Times New Roman"/>
                <w:sz w:val="20"/>
                <w:szCs w:val="20"/>
              </w:rPr>
            </w:pPr>
            <w:r w:rsidRPr="00B3069C">
              <w:rPr>
                <w:rFonts w:ascii="Times New Roman" w:hAnsi="Times New Roman"/>
                <w:sz w:val="20"/>
                <w:szCs w:val="20"/>
              </w:rPr>
              <w:t>clarifies the application of retroactive duties; and</w:t>
            </w:r>
          </w:p>
          <w:p w:rsidR="00B723FF" w:rsidRDefault="00B3069C" w:rsidP="005B20EE">
            <w:pPr>
              <w:spacing w:after="120"/>
              <w:rPr>
                <w:sz w:val="20"/>
              </w:rPr>
            </w:pPr>
            <w:r w:rsidRPr="00B3069C">
              <w:rPr>
                <w:sz w:val="20"/>
              </w:rPr>
              <w:t>introduces a new anti-circumvention review that addresses ineffective measures.</w:t>
            </w:r>
          </w:p>
          <w:p w:rsidR="00B723FF" w:rsidRPr="00B723FF" w:rsidRDefault="00B723FF" w:rsidP="005B20EE">
            <w:pPr>
              <w:spacing w:after="120"/>
              <w:rPr>
                <w:b/>
                <w:bCs/>
                <w:sz w:val="20"/>
                <w:lang w:val="en-US"/>
              </w:rPr>
            </w:pPr>
            <w:r w:rsidRPr="00B723FF">
              <w:rPr>
                <w:b/>
                <w:bCs/>
                <w:sz w:val="20"/>
                <w:lang w:val="en-US"/>
              </w:rPr>
              <w:t xml:space="preserve">Trade Remedies (anti-dumping system) </w:t>
            </w:r>
          </w:p>
          <w:p w:rsidR="00B723FF" w:rsidRPr="00B723FF" w:rsidRDefault="00B723FF" w:rsidP="005B20EE">
            <w:pPr>
              <w:spacing w:after="120"/>
              <w:rPr>
                <w:sz w:val="20"/>
                <w:lang w:val="en-US"/>
              </w:rPr>
            </w:pPr>
            <w:r w:rsidRPr="00B723FF">
              <w:rPr>
                <w:sz w:val="20"/>
                <w:lang w:val="en-US"/>
              </w:rPr>
              <w:t>Over the last few years several measures were implemented to increase the transparency of Australia’s anti-dumping system.</w:t>
            </w:r>
          </w:p>
          <w:p w:rsidR="00B723FF" w:rsidRPr="00B723FF" w:rsidRDefault="00B723FF" w:rsidP="005B20EE">
            <w:pPr>
              <w:spacing w:after="120"/>
              <w:rPr>
                <w:sz w:val="20"/>
                <w:lang w:val="en-US"/>
              </w:rPr>
            </w:pPr>
            <w:r w:rsidRPr="00B723FF">
              <w:rPr>
                <w:sz w:val="20"/>
                <w:lang w:val="en-US"/>
              </w:rPr>
              <w:t>Key changes were made to the Electronic Public Record (EPR) System used by the Commission to increase the transparency of Australia’s anti</w:t>
            </w:r>
            <w:r w:rsidRPr="00B723FF">
              <w:rPr>
                <w:sz w:val="20"/>
                <w:lang w:val="en-US"/>
              </w:rPr>
              <w:noBreakHyphen/>
              <w:t>dumping system for all parties.  Interested parties are invited to make submissions to every anti-dumping investigation. The EPR makes publicly available the many reports and notices issued by the Commission as well as non</w:t>
            </w:r>
            <w:r w:rsidRPr="00B723FF">
              <w:rPr>
                <w:sz w:val="20"/>
                <w:lang w:val="en-US"/>
              </w:rPr>
              <w:noBreakHyphen/>
              <w:t xml:space="preserve">confidential versions of submissions made by interested parties. </w:t>
            </w:r>
          </w:p>
          <w:p w:rsidR="00B723FF" w:rsidRPr="00B723FF" w:rsidRDefault="00B723FF" w:rsidP="005B20EE">
            <w:pPr>
              <w:spacing w:after="120"/>
              <w:rPr>
                <w:sz w:val="20"/>
                <w:lang w:val="en-US"/>
              </w:rPr>
            </w:pPr>
            <w:r w:rsidRPr="00B723FF">
              <w:rPr>
                <w:sz w:val="20"/>
                <w:lang w:val="en-US"/>
              </w:rPr>
              <w:t xml:space="preserve">The EPR is located on the Commission’s website at </w:t>
            </w:r>
            <w:hyperlink r:id="rId12" w:history="1">
              <w:r w:rsidRPr="00B723FF">
                <w:rPr>
                  <w:rStyle w:val="Hyperlink"/>
                  <w:sz w:val="20"/>
                  <w:lang w:val="en-US"/>
                </w:rPr>
                <w:t>www.adcommission.gov.au</w:t>
              </w:r>
            </w:hyperlink>
            <w:r w:rsidRPr="00B723FF">
              <w:rPr>
                <w:sz w:val="20"/>
                <w:lang w:val="en-US"/>
              </w:rPr>
              <w:t xml:space="preserve">   </w:t>
            </w:r>
          </w:p>
          <w:p w:rsidR="00B723FF" w:rsidRPr="007852F5" w:rsidRDefault="00B723FF" w:rsidP="00942CED">
            <w:pPr>
              <w:spacing w:after="120"/>
              <w:rPr>
                <w:sz w:val="20"/>
              </w:rPr>
            </w:pPr>
            <w:r w:rsidRPr="007852F5">
              <w:rPr>
                <w:sz w:val="20"/>
                <w:lang w:val="en-US"/>
              </w:rPr>
              <w:t xml:space="preserve">Changes were also made to the Commission’s reporting of accelerated reviews and duty assessments, which are now subject to </w:t>
            </w:r>
            <w:r w:rsidR="00942CED">
              <w:rPr>
                <w:sz w:val="20"/>
                <w:lang w:val="en-US"/>
              </w:rPr>
              <w:t>public record</w:t>
            </w:r>
            <w:r w:rsidRPr="007852F5">
              <w:rPr>
                <w:sz w:val="20"/>
                <w:lang w:val="en-US"/>
              </w:rPr>
              <w:t xml:space="preserve"> processes.</w:t>
            </w:r>
          </w:p>
        </w:tc>
        <w:tc>
          <w:tcPr>
            <w:tcW w:w="4658" w:type="dxa"/>
          </w:tcPr>
          <w:p w:rsidR="00B3069C" w:rsidRPr="00B3069C" w:rsidRDefault="00B3069C" w:rsidP="005B20EE">
            <w:pPr>
              <w:pStyle w:val="ListParagraph"/>
              <w:spacing w:after="120"/>
              <w:ind w:left="0"/>
              <w:rPr>
                <w:rFonts w:ascii="Times New Roman" w:hAnsi="Times New Roman"/>
                <w:sz w:val="20"/>
                <w:szCs w:val="20"/>
              </w:rPr>
            </w:pPr>
            <w:r w:rsidRPr="00B3069C">
              <w:rPr>
                <w:rFonts w:ascii="Times New Roman" w:hAnsi="Times New Roman"/>
                <w:sz w:val="20"/>
                <w:szCs w:val="20"/>
              </w:rPr>
              <w:t xml:space="preserve">In November 2013 further legislation was introduced to improve the effectiveness of Australia’s anti-dumping system. </w:t>
            </w:r>
          </w:p>
          <w:p w:rsidR="00B3069C" w:rsidRPr="00B3069C" w:rsidRDefault="00B3069C" w:rsidP="005B20EE">
            <w:pPr>
              <w:pStyle w:val="ListParagraph"/>
              <w:spacing w:after="120"/>
              <w:ind w:left="0"/>
              <w:rPr>
                <w:rFonts w:ascii="Times New Roman" w:hAnsi="Times New Roman"/>
                <w:sz w:val="20"/>
                <w:szCs w:val="20"/>
              </w:rPr>
            </w:pPr>
            <w:r w:rsidRPr="00B3069C">
              <w:rPr>
                <w:rFonts w:ascii="Times New Roman" w:hAnsi="Times New Roman"/>
                <w:sz w:val="20"/>
                <w:szCs w:val="20"/>
              </w:rPr>
              <w:t xml:space="preserve">This legislation, if passed, will take effect in early 2014, and will transfer the Anti-Dumping Commission from the Australian Customs and Border Protection Service to the Department of Industry.  </w:t>
            </w:r>
          </w:p>
          <w:p w:rsidR="00B3069C" w:rsidRPr="00B3069C" w:rsidRDefault="00B3069C" w:rsidP="005B20EE">
            <w:pPr>
              <w:pStyle w:val="ListParagraph"/>
              <w:spacing w:after="120"/>
              <w:ind w:left="0"/>
              <w:rPr>
                <w:rFonts w:ascii="Times New Roman" w:hAnsi="Times New Roman"/>
                <w:sz w:val="20"/>
                <w:szCs w:val="20"/>
              </w:rPr>
            </w:pPr>
            <w:r w:rsidRPr="00B3069C">
              <w:rPr>
                <w:rFonts w:ascii="Times New Roman" w:hAnsi="Times New Roman"/>
                <w:sz w:val="20"/>
                <w:szCs w:val="20"/>
              </w:rPr>
              <w:t xml:space="preserve">Further legislation to strengthen Australia’s anti-dumping system is planned to be introduced in 2014. </w:t>
            </w: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pStyle w:val="ListParagraph"/>
              <w:spacing w:after="120"/>
              <w:ind w:left="0"/>
              <w:rPr>
                <w:rFonts w:ascii="Times New Roman" w:hAnsi="Times New Roman"/>
                <w:sz w:val="20"/>
                <w:szCs w:val="20"/>
              </w:rPr>
            </w:pPr>
          </w:p>
          <w:p w:rsidR="00B3069C" w:rsidRPr="00B3069C" w:rsidRDefault="00B3069C" w:rsidP="005B20EE">
            <w:pPr>
              <w:spacing w:after="120"/>
              <w:rPr>
                <w:i/>
                <w:sz w:val="20"/>
              </w:rPr>
            </w:pPr>
          </w:p>
        </w:tc>
      </w:tr>
      <w:tr w:rsidR="00B723FF" w:rsidRPr="00B3069C" w:rsidTr="00714E4C">
        <w:trPr>
          <w:trHeight w:val="212"/>
        </w:trPr>
        <w:tc>
          <w:tcPr>
            <w:tcW w:w="2552" w:type="dxa"/>
          </w:tcPr>
          <w:p w:rsidR="00B723FF" w:rsidRPr="00B3069C" w:rsidRDefault="00B723FF" w:rsidP="005B20EE">
            <w:pPr>
              <w:pStyle w:val="Heading9"/>
              <w:keepNext w:val="0"/>
              <w:rPr>
                <w:rFonts w:ascii="Times New Roman" w:hAnsi="Times New Roman"/>
              </w:rPr>
            </w:pPr>
          </w:p>
        </w:tc>
        <w:tc>
          <w:tcPr>
            <w:tcW w:w="7371" w:type="dxa"/>
          </w:tcPr>
          <w:p w:rsidR="00B723FF" w:rsidRPr="00B3069C" w:rsidRDefault="00B723FF" w:rsidP="005B20EE">
            <w:pPr>
              <w:spacing w:after="120"/>
              <w:rPr>
                <w:b/>
                <w:sz w:val="20"/>
              </w:rPr>
            </w:pPr>
            <w:r w:rsidRPr="00B3069C">
              <w:rPr>
                <w:b/>
                <w:sz w:val="20"/>
              </w:rPr>
              <w:t>Australia’s Biosecurity System</w:t>
            </w:r>
          </w:p>
          <w:p w:rsidR="00B723FF" w:rsidRPr="00B3069C" w:rsidRDefault="00B723FF" w:rsidP="005B20EE">
            <w:pPr>
              <w:spacing w:after="120"/>
              <w:rPr>
                <w:bCs/>
                <w:sz w:val="20"/>
              </w:rPr>
            </w:pPr>
            <w:r w:rsidRPr="00B3069C">
              <w:rPr>
                <w:bCs/>
                <w:sz w:val="20"/>
              </w:rPr>
              <w:t>Since 2012, Australia’s key achievements have been:</w:t>
            </w:r>
          </w:p>
          <w:p w:rsidR="00B723FF" w:rsidRPr="00B3069C" w:rsidRDefault="00B723FF" w:rsidP="005B20EE">
            <w:pPr>
              <w:pStyle w:val="ListParagraph"/>
              <w:numPr>
                <w:ilvl w:val="0"/>
                <w:numId w:val="14"/>
              </w:numPr>
              <w:tabs>
                <w:tab w:val="clear" w:pos="360"/>
              </w:tabs>
              <w:spacing w:after="120"/>
              <w:ind w:left="763" w:hanging="425"/>
              <w:rPr>
                <w:rFonts w:ascii="Times New Roman" w:hAnsi="Times New Roman"/>
                <w:bCs/>
                <w:sz w:val="20"/>
                <w:szCs w:val="20"/>
              </w:rPr>
            </w:pPr>
            <w:r>
              <w:rPr>
                <w:rFonts w:ascii="Times New Roman" w:hAnsi="Times New Roman"/>
                <w:bCs/>
                <w:sz w:val="20"/>
                <w:szCs w:val="20"/>
              </w:rPr>
              <w:t>i</w:t>
            </w:r>
            <w:r w:rsidRPr="00B3069C">
              <w:rPr>
                <w:rFonts w:ascii="Times New Roman" w:hAnsi="Times New Roman"/>
                <w:bCs/>
                <w:sz w:val="20"/>
                <w:szCs w:val="20"/>
              </w:rPr>
              <w:t>ntroduction of the Inter-Governmental Agreement on Biosecurity (IGAB) to better manage biosecurity, and the National Biosecurity Environmental Response Agreement to manage incursions of environmental pests and diseases.  These agreements c</w:t>
            </w:r>
            <w:r>
              <w:rPr>
                <w:rFonts w:ascii="Times New Roman" w:hAnsi="Times New Roman"/>
                <w:bCs/>
                <w:sz w:val="20"/>
                <w:szCs w:val="20"/>
              </w:rPr>
              <w:t>ame into effect in January 2012;</w:t>
            </w:r>
            <w:r w:rsidRPr="00B3069C">
              <w:rPr>
                <w:rFonts w:ascii="Times New Roman" w:hAnsi="Times New Roman"/>
                <w:bCs/>
                <w:sz w:val="20"/>
                <w:szCs w:val="20"/>
              </w:rPr>
              <w:t xml:space="preserve"> </w:t>
            </w:r>
          </w:p>
          <w:p w:rsidR="00B723FF" w:rsidRPr="00B3069C" w:rsidRDefault="00B723FF" w:rsidP="005B20EE">
            <w:pPr>
              <w:pStyle w:val="ListParagraph"/>
              <w:numPr>
                <w:ilvl w:val="0"/>
                <w:numId w:val="13"/>
              </w:numPr>
              <w:spacing w:after="120"/>
              <w:rPr>
                <w:rFonts w:ascii="Times New Roman" w:hAnsi="Times New Roman"/>
                <w:bCs/>
                <w:sz w:val="20"/>
                <w:szCs w:val="20"/>
              </w:rPr>
            </w:pPr>
            <w:r>
              <w:rPr>
                <w:rFonts w:ascii="Times New Roman" w:hAnsi="Times New Roman"/>
                <w:bCs/>
                <w:sz w:val="20"/>
                <w:szCs w:val="20"/>
              </w:rPr>
              <w:t>i</w:t>
            </w:r>
            <w:r w:rsidRPr="00B3069C">
              <w:rPr>
                <w:rFonts w:ascii="Times New Roman" w:hAnsi="Times New Roman"/>
                <w:bCs/>
                <w:sz w:val="20"/>
                <w:szCs w:val="20"/>
              </w:rPr>
              <w:t>mproving risk-based profiling and inspection processes at airp</w:t>
            </w:r>
            <w:r>
              <w:rPr>
                <w:rFonts w:ascii="Times New Roman" w:hAnsi="Times New Roman"/>
                <w:bCs/>
                <w:sz w:val="20"/>
                <w:szCs w:val="20"/>
              </w:rPr>
              <w:t>orts, mail centres and seaports; and</w:t>
            </w:r>
          </w:p>
          <w:p w:rsidR="00B723FF" w:rsidRPr="00B3069C" w:rsidRDefault="00B723FF" w:rsidP="005B20EE">
            <w:pPr>
              <w:pStyle w:val="ListParagraph"/>
              <w:numPr>
                <w:ilvl w:val="0"/>
                <w:numId w:val="13"/>
              </w:numPr>
              <w:spacing w:after="120"/>
              <w:rPr>
                <w:rFonts w:ascii="Times New Roman" w:hAnsi="Times New Roman"/>
                <w:bCs/>
                <w:sz w:val="20"/>
                <w:szCs w:val="20"/>
              </w:rPr>
            </w:pPr>
            <w:r>
              <w:rPr>
                <w:rFonts w:ascii="Times New Roman" w:hAnsi="Times New Roman"/>
                <w:bCs/>
                <w:sz w:val="20"/>
                <w:szCs w:val="20"/>
              </w:rPr>
              <w:t>f</w:t>
            </w:r>
            <w:r w:rsidRPr="00B3069C">
              <w:rPr>
                <w:rFonts w:ascii="Times New Roman" w:hAnsi="Times New Roman"/>
                <w:bCs/>
                <w:sz w:val="20"/>
                <w:szCs w:val="20"/>
              </w:rPr>
              <w:t>inalising 13 annexes to the Memorandum of Understanding between the Department of Agriculture and the Australian Customs and Border Protection Service to support border operations.</w:t>
            </w:r>
          </w:p>
          <w:p w:rsidR="00B723FF" w:rsidRPr="00B3069C" w:rsidRDefault="00B723FF" w:rsidP="005B20EE">
            <w:pPr>
              <w:pStyle w:val="ListParagraph"/>
              <w:numPr>
                <w:ilvl w:val="0"/>
                <w:numId w:val="13"/>
              </w:numPr>
              <w:spacing w:after="120"/>
              <w:rPr>
                <w:rFonts w:ascii="Times New Roman" w:hAnsi="Times New Roman"/>
                <w:bCs/>
                <w:sz w:val="20"/>
                <w:szCs w:val="20"/>
              </w:rPr>
            </w:pPr>
            <w:r w:rsidRPr="00B3069C">
              <w:rPr>
                <w:rFonts w:ascii="Times New Roman" w:hAnsi="Times New Roman"/>
                <w:bCs/>
                <w:sz w:val="20"/>
                <w:szCs w:val="20"/>
              </w:rPr>
              <w:t>Australia continues to implement the Australian Fumigation Scheme (AFAS) to improve border compliance, which reduces co</w:t>
            </w:r>
            <w:r>
              <w:rPr>
                <w:rFonts w:ascii="Times New Roman" w:hAnsi="Times New Roman"/>
                <w:bCs/>
                <w:sz w:val="20"/>
                <w:szCs w:val="20"/>
              </w:rPr>
              <w:t>sts and delays for exporters. Twenty-two</w:t>
            </w:r>
            <w:r w:rsidRPr="00B3069C">
              <w:rPr>
                <w:rFonts w:ascii="Times New Roman" w:hAnsi="Times New Roman"/>
                <w:bCs/>
                <w:sz w:val="20"/>
                <w:szCs w:val="20"/>
              </w:rPr>
              <w:t xml:space="preserve"> countries now participate in the AFAS.  In 2012, Australia signed 13 agreements with the International Regional Organisation for Plant and Animal H</w:t>
            </w:r>
            <w:r>
              <w:rPr>
                <w:rFonts w:ascii="Times New Roman" w:hAnsi="Times New Roman"/>
                <w:bCs/>
                <w:sz w:val="20"/>
                <w:szCs w:val="20"/>
              </w:rPr>
              <w:t>ealth (OIRSA) which represents nine</w:t>
            </w:r>
            <w:r w:rsidRPr="00B3069C">
              <w:rPr>
                <w:rFonts w:ascii="Times New Roman" w:hAnsi="Times New Roman"/>
                <w:bCs/>
                <w:sz w:val="20"/>
                <w:szCs w:val="20"/>
              </w:rPr>
              <w:t xml:space="preserve"> Central American countries, Chile, Peru, Fiji and Sri Lanka.</w:t>
            </w:r>
          </w:p>
          <w:p w:rsidR="00B723FF" w:rsidRDefault="00B723FF" w:rsidP="005B20EE">
            <w:pPr>
              <w:pStyle w:val="ListParagraph"/>
              <w:numPr>
                <w:ilvl w:val="0"/>
                <w:numId w:val="13"/>
              </w:numPr>
              <w:spacing w:after="120"/>
              <w:rPr>
                <w:rFonts w:ascii="Times New Roman" w:hAnsi="Times New Roman"/>
                <w:bCs/>
                <w:sz w:val="20"/>
                <w:szCs w:val="20"/>
              </w:rPr>
            </w:pPr>
            <w:r w:rsidRPr="00B3069C">
              <w:rPr>
                <w:rFonts w:ascii="Times New Roman" w:hAnsi="Times New Roman"/>
                <w:bCs/>
                <w:sz w:val="20"/>
                <w:szCs w:val="20"/>
              </w:rPr>
              <w:t>Australia has led development of the International Cargo Cooperative Biosecurity Arrangement (ICCBA), a multilateral arrangement to address biosecurity risks associated with the movement of cargo in trade.  Designed to improve consultation and build the capacity of trading partners to manage those biosecurity issues, it was finalised and endorsed by 20 countries in June.  To date it has been adopted by OIRSA, Fiji, Philippines and Australia. Australia hosts the ICCBA secretariat.</w:t>
            </w:r>
          </w:p>
          <w:p w:rsidR="00B723FF" w:rsidRPr="00B723FF" w:rsidRDefault="00B723FF" w:rsidP="005B20EE">
            <w:pPr>
              <w:pStyle w:val="ListParagraph"/>
              <w:numPr>
                <w:ilvl w:val="0"/>
                <w:numId w:val="13"/>
              </w:numPr>
              <w:spacing w:after="120"/>
              <w:rPr>
                <w:rFonts w:ascii="Times New Roman" w:hAnsi="Times New Roman"/>
                <w:bCs/>
                <w:sz w:val="20"/>
                <w:szCs w:val="20"/>
              </w:rPr>
            </w:pPr>
            <w:r w:rsidRPr="00B723FF">
              <w:rPr>
                <w:rFonts w:ascii="Times New Roman" w:hAnsi="Times New Roman"/>
                <w:bCs/>
                <w:sz w:val="20"/>
                <w:szCs w:val="20"/>
              </w:rPr>
              <w:t>Australia finalised a new import policy for dogs and cats and their semen from approved countries, and has reviewed its import policies for horses from approved countries.  These policy reviews have taken into account the latest scientific developments to facilitate trade without compromising biosecurity risk outcomes.  For example, the minimum quarantine period for cats and dogs has been reduced from 30 days to 10 days.</w:t>
            </w:r>
          </w:p>
        </w:tc>
        <w:tc>
          <w:tcPr>
            <w:tcW w:w="4658" w:type="dxa"/>
          </w:tcPr>
          <w:p w:rsidR="00B723FF" w:rsidRPr="00B3069C" w:rsidRDefault="00B723FF" w:rsidP="005B20EE">
            <w:pPr>
              <w:spacing w:after="120"/>
              <w:rPr>
                <w:sz w:val="20"/>
              </w:rPr>
            </w:pPr>
            <w:r w:rsidRPr="00B3069C">
              <w:rPr>
                <w:sz w:val="20"/>
              </w:rPr>
              <w:t>Key initiatives to be implemented over the next two years include:</w:t>
            </w:r>
          </w:p>
          <w:p w:rsidR="00B723FF" w:rsidRPr="00B3069C" w:rsidRDefault="00B723FF" w:rsidP="005B20EE">
            <w:pPr>
              <w:pStyle w:val="ListParagraph"/>
              <w:numPr>
                <w:ilvl w:val="0"/>
                <w:numId w:val="13"/>
              </w:numPr>
              <w:spacing w:after="120"/>
              <w:rPr>
                <w:rFonts w:ascii="Times New Roman" w:hAnsi="Times New Roman"/>
                <w:bCs/>
                <w:sz w:val="20"/>
                <w:szCs w:val="20"/>
              </w:rPr>
            </w:pPr>
            <w:r>
              <w:rPr>
                <w:rFonts w:ascii="Times New Roman" w:hAnsi="Times New Roman"/>
                <w:bCs/>
                <w:sz w:val="20"/>
                <w:szCs w:val="20"/>
              </w:rPr>
              <w:t>p</w:t>
            </w:r>
            <w:r w:rsidRPr="00B3069C">
              <w:rPr>
                <w:rFonts w:ascii="Times New Roman" w:hAnsi="Times New Roman"/>
                <w:bCs/>
                <w:sz w:val="20"/>
                <w:szCs w:val="20"/>
              </w:rPr>
              <w:t>reparation and construction of a new post entry quarantine facility for high risk plant and animal imports.  The facility will be built in two stages with the first operational</w:t>
            </w:r>
            <w:r>
              <w:rPr>
                <w:rFonts w:ascii="Times New Roman" w:hAnsi="Times New Roman"/>
                <w:bCs/>
                <w:sz w:val="20"/>
                <w:szCs w:val="20"/>
              </w:rPr>
              <w:t xml:space="preserve"> by 2015 and the second by 2018;</w:t>
            </w:r>
          </w:p>
          <w:p w:rsidR="00B723FF" w:rsidRPr="00B3069C" w:rsidRDefault="00B723FF" w:rsidP="005B20EE">
            <w:pPr>
              <w:pStyle w:val="ListParagraph"/>
              <w:numPr>
                <w:ilvl w:val="0"/>
                <w:numId w:val="13"/>
              </w:numPr>
              <w:spacing w:after="120"/>
              <w:rPr>
                <w:rFonts w:ascii="Times New Roman" w:hAnsi="Times New Roman"/>
                <w:bCs/>
                <w:sz w:val="20"/>
                <w:szCs w:val="20"/>
              </w:rPr>
            </w:pPr>
            <w:r>
              <w:rPr>
                <w:rFonts w:ascii="Times New Roman" w:hAnsi="Times New Roman"/>
                <w:bCs/>
                <w:sz w:val="20"/>
                <w:szCs w:val="20"/>
              </w:rPr>
              <w:t>p</w:t>
            </w:r>
            <w:r w:rsidRPr="00B3069C">
              <w:rPr>
                <w:rFonts w:ascii="Times New Roman" w:hAnsi="Times New Roman"/>
                <w:bCs/>
                <w:sz w:val="20"/>
                <w:szCs w:val="20"/>
              </w:rPr>
              <w:t>rogressing initiatives to improve risk-based intervention</w:t>
            </w:r>
            <w:r>
              <w:rPr>
                <w:rFonts w:ascii="Times New Roman" w:hAnsi="Times New Roman"/>
                <w:bCs/>
                <w:sz w:val="20"/>
                <w:szCs w:val="20"/>
              </w:rPr>
              <w:t>;</w:t>
            </w:r>
          </w:p>
          <w:p w:rsidR="00B723FF" w:rsidRPr="00B3069C" w:rsidRDefault="00B723FF" w:rsidP="005B20EE">
            <w:pPr>
              <w:pStyle w:val="ListParagraph"/>
              <w:numPr>
                <w:ilvl w:val="0"/>
                <w:numId w:val="13"/>
              </w:numPr>
              <w:spacing w:after="120"/>
              <w:rPr>
                <w:rFonts w:ascii="Times New Roman" w:hAnsi="Times New Roman"/>
                <w:bCs/>
                <w:sz w:val="20"/>
                <w:szCs w:val="20"/>
              </w:rPr>
            </w:pPr>
            <w:r>
              <w:rPr>
                <w:rFonts w:ascii="Times New Roman" w:hAnsi="Times New Roman"/>
                <w:bCs/>
                <w:sz w:val="20"/>
                <w:szCs w:val="20"/>
              </w:rPr>
              <w:t>c</w:t>
            </w:r>
            <w:r w:rsidRPr="00B3069C">
              <w:rPr>
                <w:rFonts w:ascii="Times New Roman" w:hAnsi="Times New Roman"/>
                <w:bCs/>
                <w:sz w:val="20"/>
                <w:szCs w:val="20"/>
              </w:rPr>
              <w:t>ontinuing to improve information and communication technology (ICT) systems, including the development of a new, contemporary Biosecurity Import Conditions database (BICON) to rep</w:t>
            </w:r>
            <w:r>
              <w:rPr>
                <w:rFonts w:ascii="Times New Roman" w:hAnsi="Times New Roman"/>
                <w:bCs/>
                <w:sz w:val="20"/>
                <w:szCs w:val="20"/>
              </w:rPr>
              <w:t>lace the existing (ICON) system;</w:t>
            </w:r>
          </w:p>
          <w:p w:rsidR="00B723FF" w:rsidRPr="00B3069C" w:rsidRDefault="00B723FF" w:rsidP="005B20EE">
            <w:pPr>
              <w:pStyle w:val="ListParagraph"/>
              <w:numPr>
                <w:ilvl w:val="0"/>
                <w:numId w:val="13"/>
              </w:numPr>
              <w:spacing w:after="120"/>
              <w:rPr>
                <w:rFonts w:ascii="Times New Roman" w:hAnsi="Times New Roman"/>
                <w:bCs/>
                <w:sz w:val="20"/>
                <w:szCs w:val="20"/>
              </w:rPr>
            </w:pPr>
            <w:r>
              <w:rPr>
                <w:rFonts w:ascii="Times New Roman" w:hAnsi="Times New Roman"/>
                <w:bCs/>
                <w:sz w:val="20"/>
                <w:szCs w:val="20"/>
              </w:rPr>
              <w:t>i</w:t>
            </w:r>
            <w:r w:rsidRPr="00B3069C">
              <w:rPr>
                <w:rFonts w:ascii="Times New Roman" w:hAnsi="Times New Roman"/>
                <w:bCs/>
                <w:sz w:val="20"/>
                <w:szCs w:val="20"/>
              </w:rPr>
              <w:t>mplementation of a Risk-Return Resource Allocation system to explore the Department of Agriculture’s investment in, and management of, biosecurity risk.  This will help the department to better align resource a</w:t>
            </w:r>
            <w:r>
              <w:rPr>
                <w:rFonts w:ascii="Times New Roman" w:hAnsi="Times New Roman"/>
                <w:bCs/>
                <w:sz w:val="20"/>
                <w:szCs w:val="20"/>
              </w:rPr>
              <w:t>llocation with biosecurity risk; and</w:t>
            </w:r>
          </w:p>
          <w:p w:rsidR="00B723FF" w:rsidRPr="00B3069C" w:rsidRDefault="00B723FF" w:rsidP="005B20EE">
            <w:pPr>
              <w:pStyle w:val="ListParagraph"/>
              <w:numPr>
                <w:ilvl w:val="0"/>
                <w:numId w:val="13"/>
              </w:numPr>
              <w:spacing w:after="120"/>
              <w:rPr>
                <w:rFonts w:ascii="Times New Roman" w:hAnsi="Times New Roman"/>
                <w:bCs/>
                <w:sz w:val="20"/>
                <w:szCs w:val="20"/>
              </w:rPr>
            </w:pPr>
            <w:r>
              <w:rPr>
                <w:rFonts w:ascii="Times New Roman" w:hAnsi="Times New Roman"/>
                <w:bCs/>
                <w:sz w:val="20"/>
                <w:szCs w:val="20"/>
              </w:rPr>
              <w:t>p</w:t>
            </w:r>
            <w:r w:rsidRPr="00B3069C">
              <w:rPr>
                <w:rFonts w:ascii="Times New Roman" w:hAnsi="Times New Roman"/>
                <w:bCs/>
                <w:sz w:val="20"/>
                <w:szCs w:val="20"/>
              </w:rPr>
              <w:t>rogressing initiatives under IGAB to improve Australia’s preparedness capacity and capability, surveillance and diagnostics, the management of established pests and diseases, and government investmen</w:t>
            </w:r>
            <w:r>
              <w:rPr>
                <w:rFonts w:ascii="Times New Roman" w:hAnsi="Times New Roman"/>
                <w:bCs/>
                <w:sz w:val="20"/>
                <w:szCs w:val="20"/>
              </w:rPr>
              <w:t>t and decision making processes.</w:t>
            </w:r>
            <w:r w:rsidRPr="00B3069C">
              <w:rPr>
                <w:rFonts w:ascii="Times New Roman" w:hAnsi="Times New Roman"/>
                <w:bCs/>
                <w:sz w:val="20"/>
                <w:szCs w:val="20"/>
              </w:rPr>
              <w:t xml:space="preserve"> </w:t>
            </w:r>
          </w:p>
          <w:p w:rsidR="00B723FF" w:rsidRDefault="00B723FF" w:rsidP="005B20EE">
            <w:pPr>
              <w:pStyle w:val="ListParagraph"/>
              <w:spacing w:after="120"/>
              <w:ind w:left="0"/>
              <w:rPr>
                <w:rFonts w:ascii="Times New Roman" w:hAnsi="Times New Roman"/>
                <w:sz w:val="20"/>
                <w:szCs w:val="20"/>
              </w:rPr>
            </w:pPr>
            <w:r w:rsidRPr="00B3069C">
              <w:rPr>
                <w:rFonts w:ascii="Times New Roman" w:hAnsi="Times New Roman"/>
                <w:sz w:val="20"/>
                <w:szCs w:val="20"/>
              </w:rPr>
              <w:t>Australia will continue to keep trading partners informed of the progress of biosecurity initiatives through the SPS Committee, where appropriate, and through the Department of Agriculture’s website</w:t>
            </w:r>
            <w:r>
              <w:rPr>
                <w:rFonts w:ascii="Times New Roman" w:hAnsi="Times New Roman"/>
                <w:sz w:val="20"/>
                <w:szCs w:val="20"/>
              </w:rPr>
              <w:t>:</w:t>
            </w:r>
          </w:p>
          <w:p w:rsidR="00B723FF" w:rsidRPr="00B3069C" w:rsidRDefault="00B723FF" w:rsidP="00C572B6">
            <w:pPr>
              <w:pStyle w:val="ListParagraph"/>
              <w:ind w:left="0"/>
              <w:rPr>
                <w:rFonts w:ascii="Times New Roman" w:hAnsi="Times New Roman"/>
                <w:sz w:val="20"/>
                <w:szCs w:val="20"/>
              </w:rPr>
            </w:pPr>
            <w:r w:rsidRPr="00B3069C">
              <w:rPr>
                <w:rFonts w:ascii="Times New Roman" w:hAnsi="Times New Roman"/>
                <w:sz w:val="20"/>
                <w:szCs w:val="20"/>
              </w:rPr>
              <w:t xml:space="preserve"> </w:t>
            </w:r>
            <w:hyperlink r:id="rId13" w:history="1">
              <w:r w:rsidRPr="00B3069C">
                <w:rPr>
                  <w:rStyle w:val="Hyperlink"/>
                  <w:rFonts w:ascii="Times New Roman" w:hAnsi="Times New Roman"/>
                  <w:sz w:val="20"/>
                  <w:szCs w:val="20"/>
                </w:rPr>
                <w:t>www.daff.gov.au</w:t>
              </w:r>
            </w:hyperlink>
          </w:p>
        </w:tc>
      </w:tr>
      <w:tr w:rsidR="00B723FF" w:rsidRPr="00B3069C" w:rsidTr="00714E4C">
        <w:trPr>
          <w:trHeight w:val="230"/>
        </w:trPr>
        <w:tc>
          <w:tcPr>
            <w:tcW w:w="2552" w:type="dxa"/>
          </w:tcPr>
          <w:p w:rsidR="00B723FF" w:rsidRPr="00BD6E66" w:rsidRDefault="00B723FF" w:rsidP="005B20EE">
            <w:pPr>
              <w:pStyle w:val="Heading9"/>
              <w:keepNext w:val="0"/>
              <w:rPr>
                <w:rFonts w:ascii="Times New Roman" w:hAnsi="Times New Roman"/>
                <w:b w:val="0"/>
                <w:color w:val="808080"/>
              </w:rPr>
            </w:pPr>
            <w:r w:rsidRPr="00BD6E66">
              <w:rPr>
                <w:rFonts w:ascii="Times New Roman" w:hAnsi="Times New Roman"/>
                <w:b w:val="0"/>
                <w:color w:val="808080"/>
              </w:rPr>
              <w:t xml:space="preserve">Website for further information:  </w:t>
            </w:r>
          </w:p>
        </w:tc>
        <w:tc>
          <w:tcPr>
            <w:tcW w:w="7371" w:type="dxa"/>
          </w:tcPr>
          <w:p w:rsidR="00B723FF" w:rsidRPr="00B723FF" w:rsidRDefault="00E632DC" w:rsidP="00C572B6">
            <w:pPr>
              <w:spacing w:before="60" w:after="60"/>
              <w:rPr>
                <w:rStyle w:val="Hyperlink"/>
                <w:sz w:val="20"/>
              </w:rPr>
            </w:pPr>
            <w:hyperlink r:id="rId14" w:history="1">
              <w:r w:rsidR="00B723FF" w:rsidRPr="00B723FF">
                <w:rPr>
                  <w:rStyle w:val="Hyperlink"/>
                  <w:sz w:val="20"/>
                </w:rPr>
                <w:t>http://www.adcommission.gov.au</w:t>
              </w:r>
            </w:hyperlink>
          </w:p>
          <w:p w:rsidR="00B723FF" w:rsidRPr="00B723FF" w:rsidRDefault="00B723FF" w:rsidP="00C572B6">
            <w:pPr>
              <w:spacing w:before="60" w:after="60"/>
              <w:rPr>
                <w:sz w:val="20"/>
              </w:rPr>
            </w:pPr>
            <w:r w:rsidRPr="00B723FF">
              <w:rPr>
                <w:color w:val="0000FF"/>
                <w:sz w:val="20"/>
                <w:u w:val="single"/>
              </w:rPr>
              <w:t>http://</w:t>
            </w:r>
            <w:hyperlink r:id="rId15" w:history="1">
              <w:r w:rsidRPr="00B723FF">
                <w:rPr>
                  <w:color w:val="0000FF"/>
                  <w:sz w:val="20"/>
                  <w:u w:val="single"/>
                </w:rPr>
                <w:t>www.daff.gov.au</w:t>
              </w:r>
            </w:hyperlink>
          </w:p>
        </w:tc>
        <w:tc>
          <w:tcPr>
            <w:tcW w:w="4658" w:type="dxa"/>
          </w:tcPr>
          <w:p w:rsidR="00B723FF" w:rsidRPr="00B723FF" w:rsidRDefault="00B723FF" w:rsidP="005B20EE">
            <w:pPr>
              <w:rPr>
                <w:i/>
                <w:sz w:val="20"/>
              </w:rPr>
            </w:pPr>
          </w:p>
        </w:tc>
      </w:tr>
      <w:tr w:rsidR="00B723FF" w:rsidRPr="00B3069C" w:rsidTr="00714E4C">
        <w:trPr>
          <w:trHeight w:val="627"/>
        </w:trPr>
        <w:tc>
          <w:tcPr>
            <w:tcW w:w="2552" w:type="dxa"/>
          </w:tcPr>
          <w:p w:rsidR="00B723FF" w:rsidRPr="00BD6E66" w:rsidRDefault="00B723FF" w:rsidP="005B20EE">
            <w:pPr>
              <w:rPr>
                <w:i/>
                <w:sz w:val="20"/>
              </w:rPr>
            </w:pPr>
            <w:r w:rsidRPr="00BD6E66">
              <w:rPr>
                <w:i/>
                <w:color w:val="808080"/>
                <w:sz w:val="20"/>
              </w:rPr>
              <w:t>Contact point for further details:</w:t>
            </w:r>
          </w:p>
        </w:tc>
        <w:tc>
          <w:tcPr>
            <w:tcW w:w="7371" w:type="dxa"/>
          </w:tcPr>
          <w:p w:rsidR="00B723FF" w:rsidRPr="00B723FF" w:rsidRDefault="00B723FF" w:rsidP="005B20EE">
            <w:pPr>
              <w:spacing w:before="120" w:after="120"/>
              <w:rPr>
                <w:sz w:val="20"/>
              </w:rPr>
            </w:pPr>
            <w:bookmarkStart w:id="4" w:name="Cell03"/>
            <w:bookmarkEnd w:id="4"/>
            <w:r w:rsidRPr="00B723FF">
              <w:rPr>
                <w:sz w:val="20"/>
              </w:rPr>
              <w:t>Kim Farrant – Anti</w:t>
            </w:r>
            <w:r w:rsidRPr="00B723FF">
              <w:rPr>
                <w:sz w:val="20"/>
              </w:rPr>
              <w:noBreakHyphen/>
              <w:t>Dumping Commission: +61 2 6275 6547</w:t>
            </w:r>
          </w:p>
          <w:p w:rsidR="00B723FF" w:rsidRPr="00B723FF" w:rsidRDefault="00B723FF" w:rsidP="005B20EE">
            <w:pPr>
              <w:spacing w:after="120"/>
              <w:rPr>
                <w:sz w:val="20"/>
              </w:rPr>
            </w:pPr>
            <w:r w:rsidRPr="00B723FF">
              <w:rPr>
                <w:sz w:val="20"/>
              </w:rPr>
              <w:t>Susan Hardcastle - Department of Agriculture: +61 2 6272 3741</w:t>
            </w:r>
          </w:p>
        </w:tc>
        <w:tc>
          <w:tcPr>
            <w:tcW w:w="4658" w:type="dxa"/>
          </w:tcPr>
          <w:p w:rsidR="00B723FF" w:rsidRPr="00B723FF" w:rsidRDefault="00B723FF" w:rsidP="005B20EE">
            <w:pPr>
              <w:pStyle w:val="ListParagraph"/>
              <w:spacing w:after="120"/>
              <w:ind w:left="0"/>
              <w:rPr>
                <w:rFonts w:ascii="Times New Roman" w:hAnsi="Times New Roman"/>
                <w:sz w:val="20"/>
                <w:szCs w:val="20"/>
              </w:rPr>
            </w:pPr>
            <w:bookmarkStart w:id="5" w:name="Cell04"/>
            <w:bookmarkEnd w:id="5"/>
          </w:p>
        </w:tc>
      </w:tr>
      <w:tr w:rsidR="00BD6E66" w:rsidRPr="00B3069C" w:rsidTr="00714E4C">
        <w:trPr>
          <w:trHeight w:val="627"/>
        </w:trPr>
        <w:tc>
          <w:tcPr>
            <w:tcW w:w="2552" w:type="dxa"/>
            <w:vMerge w:val="restart"/>
          </w:tcPr>
          <w:p w:rsidR="00BD6E66" w:rsidRPr="00B3069C" w:rsidRDefault="00BD6E66" w:rsidP="005B20EE">
            <w:pPr>
              <w:rPr>
                <w:b/>
                <w:i/>
                <w:sz w:val="20"/>
              </w:rPr>
            </w:pPr>
            <w:bookmarkStart w:id="6" w:name="Row3"/>
            <w:r w:rsidRPr="00B3069C">
              <w:rPr>
                <w:b/>
                <w:i/>
                <w:sz w:val="20"/>
              </w:rPr>
              <w:t>Services</w:t>
            </w:r>
            <w:bookmarkEnd w:id="6"/>
          </w:p>
          <w:p w:rsidR="00BD6E66" w:rsidRPr="00B3069C" w:rsidRDefault="00BD6E66" w:rsidP="005B20EE">
            <w:pPr>
              <w:pStyle w:val="Heading9"/>
              <w:keepNext w:val="0"/>
              <w:rPr>
                <w:rFonts w:ascii="Times New Roman" w:hAnsi="Times New Roman"/>
                <w:b w:val="0"/>
                <w:color w:val="808080"/>
              </w:rPr>
            </w:pPr>
          </w:p>
          <w:p w:rsidR="00BD6E66" w:rsidRPr="00B3069C" w:rsidRDefault="00BD6E66" w:rsidP="005B20EE">
            <w:pPr>
              <w:rPr>
                <w:b/>
                <w:i/>
                <w:sz w:val="20"/>
              </w:rPr>
            </w:pPr>
            <w:r w:rsidRPr="00B3069C">
              <w:rPr>
                <w:b/>
                <w:color w:val="808080"/>
              </w:rPr>
              <w:t xml:space="preserve"> </w:t>
            </w:r>
          </w:p>
        </w:tc>
        <w:tc>
          <w:tcPr>
            <w:tcW w:w="7371" w:type="dxa"/>
          </w:tcPr>
          <w:p w:rsidR="00BD6E66" w:rsidRPr="00B3069C" w:rsidRDefault="00BD6E66" w:rsidP="005B20EE">
            <w:pPr>
              <w:spacing w:after="120"/>
              <w:rPr>
                <w:b/>
                <w:sz w:val="20"/>
              </w:rPr>
            </w:pPr>
            <w:r w:rsidRPr="00B3069C">
              <w:rPr>
                <w:b/>
                <w:sz w:val="20"/>
              </w:rPr>
              <w:t>National Broadband Network</w:t>
            </w:r>
          </w:p>
          <w:p w:rsidR="00BD6E66" w:rsidRPr="00B3069C" w:rsidRDefault="00BD6E66" w:rsidP="005B20EE">
            <w:pPr>
              <w:spacing w:after="120"/>
              <w:rPr>
                <w:sz w:val="20"/>
              </w:rPr>
            </w:pPr>
            <w:r w:rsidRPr="00B3069C">
              <w:rPr>
                <w:sz w:val="20"/>
              </w:rPr>
              <w:t xml:space="preserve">The </w:t>
            </w:r>
            <w:r>
              <w:rPr>
                <w:sz w:val="20"/>
              </w:rPr>
              <w:t xml:space="preserve">former </w:t>
            </w:r>
            <w:r w:rsidRPr="00B3069C">
              <w:rPr>
                <w:sz w:val="20"/>
              </w:rPr>
              <w:t xml:space="preserve">Australian Government established NBN Co Limited (NBN Co) in April 2009 to design, build and operate a new high-speed National Broadband Network (NBN). </w:t>
            </w:r>
          </w:p>
          <w:p w:rsidR="00BD6E66" w:rsidRPr="00B3069C" w:rsidRDefault="00BD6E66" w:rsidP="005B20EE">
            <w:pPr>
              <w:spacing w:after="120"/>
              <w:rPr>
                <w:sz w:val="20"/>
              </w:rPr>
            </w:pPr>
            <w:r w:rsidRPr="00B3069C">
              <w:rPr>
                <w:sz w:val="20"/>
              </w:rPr>
              <w:t>The NBN will be Australia’s first national, wholesale-only, open access broadband network offering equivalent terms and conditions to all access seekers or service providers. This is a significant structural change to Australia’s telecommunications industry, aimed at encouraging vibrant retail competition.</w:t>
            </w:r>
          </w:p>
          <w:p w:rsidR="00BD6E66" w:rsidRDefault="00BD6E66" w:rsidP="005B20EE">
            <w:pPr>
              <w:spacing w:after="120"/>
              <w:rPr>
                <w:sz w:val="20"/>
              </w:rPr>
            </w:pPr>
            <w:r>
              <w:rPr>
                <w:sz w:val="20"/>
              </w:rPr>
              <w:t xml:space="preserve">As at 28 </w:t>
            </w:r>
            <w:r w:rsidR="00BA7D76">
              <w:rPr>
                <w:sz w:val="20"/>
              </w:rPr>
              <w:t>January 2014, the NBN had been rolled out to</w:t>
            </w:r>
            <w:r>
              <w:rPr>
                <w:sz w:val="20"/>
              </w:rPr>
              <w:t xml:space="preserve"> 368,300 premises with fibre to the premises technology, with 87,500 active services. The interim satellite service was active for 44,400 premises and the fixed wireless network had </w:t>
            </w:r>
            <w:r w:rsidR="00BA7D76">
              <w:rPr>
                <w:sz w:val="20"/>
              </w:rPr>
              <w:t>been rolled out to</w:t>
            </w:r>
            <w:r>
              <w:rPr>
                <w:sz w:val="20"/>
              </w:rPr>
              <w:t xml:space="preserve"> 66,300 premises with 7,700 active services.</w:t>
            </w:r>
          </w:p>
          <w:p w:rsidR="00BD6E66" w:rsidRDefault="00BD6E66" w:rsidP="005B20EE">
            <w:pPr>
              <w:spacing w:after="120"/>
              <w:rPr>
                <w:sz w:val="20"/>
              </w:rPr>
            </w:pPr>
            <w:r w:rsidRPr="00B3069C">
              <w:rPr>
                <w:sz w:val="20"/>
              </w:rPr>
              <w:t>Commercial services are available in a range of communities across Australia over fibre to the premises, fixed wireless and satellite technologies.</w:t>
            </w:r>
          </w:p>
          <w:p w:rsidR="00BA7D76" w:rsidRDefault="00BA7D76" w:rsidP="005B20EE">
            <w:pPr>
              <w:spacing w:after="120"/>
              <w:rPr>
                <w:sz w:val="20"/>
              </w:rPr>
            </w:pPr>
            <w:r>
              <w:rPr>
                <w:sz w:val="20"/>
              </w:rPr>
              <w:t xml:space="preserve">Raoul Raward: NBN Co: +61 2 6271 7099 -  </w:t>
            </w:r>
            <w:hyperlink r:id="rId16" w:history="1">
              <w:r w:rsidRPr="008200BE">
                <w:rPr>
                  <w:rStyle w:val="Hyperlink"/>
                  <w:sz w:val="20"/>
                </w:rPr>
                <w:t>raoul.raward@communications.gov.au</w:t>
              </w:r>
            </w:hyperlink>
          </w:p>
          <w:p w:rsidR="00BA7D76" w:rsidRPr="00541516" w:rsidRDefault="00BA7D76" w:rsidP="005B20EE">
            <w:pPr>
              <w:spacing w:after="120"/>
              <w:rPr>
                <w:sz w:val="20"/>
              </w:rPr>
            </w:pPr>
            <w:r>
              <w:rPr>
                <w:sz w:val="20"/>
              </w:rPr>
              <w:t xml:space="preserve">Further information can be found at: </w:t>
            </w:r>
            <w:r w:rsidRPr="00BA7D76">
              <w:rPr>
                <w:color w:val="0000FF"/>
                <w:sz w:val="20"/>
                <w:u w:val="single"/>
              </w:rPr>
              <w:t>http://www.nbnco.com.au</w:t>
            </w:r>
          </w:p>
        </w:tc>
        <w:tc>
          <w:tcPr>
            <w:tcW w:w="4658" w:type="dxa"/>
          </w:tcPr>
          <w:p w:rsidR="00BD6E66" w:rsidRPr="00541516" w:rsidRDefault="00BD6E66" w:rsidP="005B20EE">
            <w:pPr>
              <w:pStyle w:val="ListParagraph"/>
              <w:spacing w:after="120"/>
              <w:ind w:left="0"/>
              <w:rPr>
                <w:rFonts w:ascii="Times New Roman" w:hAnsi="Times New Roman"/>
                <w:sz w:val="20"/>
              </w:rPr>
            </w:pPr>
            <w:r w:rsidRPr="00B3069C">
              <w:rPr>
                <w:rFonts w:ascii="Times New Roman" w:hAnsi="Times New Roman"/>
                <w:sz w:val="20"/>
              </w:rPr>
              <w:t xml:space="preserve">The Government is currently undertaking a series of reviews, with the last due to report in mid-2014, which will determine the most appropriate and cost-effective approach to completing the rollout of the NBN.  </w:t>
            </w:r>
          </w:p>
        </w:tc>
      </w:tr>
      <w:tr w:rsidR="00BD6E66" w:rsidRPr="00B3069C" w:rsidTr="00714E4C">
        <w:trPr>
          <w:trHeight w:val="627"/>
        </w:trPr>
        <w:tc>
          <w:tcPr>
            <w:tcW w:w="2552" w:type="dxa"/>
            <w:vMerge/>
          </w:tcPr>
          <w:p w:rsidR="00BD6E66" w:rsidRPr="00B3069C" w:rsidRDefault="00BD6E66" w:rsidP="005B20EE">
            <w:pPr>
              <w:rPr>
                <w:b/>
                <w:i/>
                <w:sz w:val="20"/>
              </w:rPr>
            </w:pPr>
          </w:p>
        </w:tc>
        <w:tc>
          <w:tcPr>
            <w:tcW w:w="7371" w:type="dxa"/>
          </w:tcPr>
          <w:p w:rsidR="00BD6E66" w:rsidRPr="00B3069C" w:rsidRDefault="00BD6E66" w:rsidP="005B20EE">
            <w:pPr>
              <w:spacing w:before="120" w:after="120"/>
              <w:rPr>
                <w:b/>
                <w:sz w:val="20"/>
              </w:rPr>
            </w:pPr>
          </w:p>
        </w:tc>
        <w:tc>
          <w:tcPr>
            <w:tcW w:w="4658" w:type="dxa"/>
          </w:tcPr>
          <w:p w:rsidR="00BD6E66" w:rsidRDefault="00BD6E66" w:rsidP="005B20EE">
            <w:pPr>
              <w:pStyle w:val="ListParagraph"/>
              <w:spacing w:after="120"/>
              <w:ind w:left="0"/>
              <w:rPr>
                <w:rFonts w:ascii="Times New Roman" w:hAnsi="Times New Roman"/>
                <w:sz w:val="20"/>
                <w:szCs w:val="20"/>
              </w:rPr>
            </w:pPr>
            <w:r>
              <w:rPr>
                <w:rFonts w:ascii="Times New Roman" w:hAnsi="Times New Roman"/>
                <w:sz w:val="20"/>
                <w:szCs w:val="20"/>
              </w:rPr>
              <w:t>In November 2013, the Federal Government announced an inquiry into Australia’s financial system.  The Inquiry will consult extensively both domestically and internationally before recommending policy options that:</w:t>
            </w:r>
          </w:p>
          <w:p w:rsidR="00BD6E66" w:rsidRDefault="00BD6E66" w:rsidP="005B20EE">
            <w:pPr>
              <w:pStyle w:val="ListParagraph"/>
              <w:numPr>
                <w:ilvl w:val="0"/>
                <w:numId w:val="13"/>
              </w:numPr>
              <w:spacing w:after="120"/>
              <w:rPr>
                <w:rFonts w:ascii="Times New Roman" w:hAnsi="Times New Roman"/>
                <w:sz w:val="20"/>
                <w:szCs w:val="20"/>
              </w:rPr>
            </w:pPr>
            <w:r>
              <w:rPr>
                <w:rFonts w:ascii="Times New Roman" w:hAnsi="Times New Roman"/>
                <w:sz w:val="20"/>
                <w:szCs w:val="20"/>
              </w:rPr>
              <w:t>promote a competitive and stable financial system that contributes to Australia’s productivity growth;</w:t>
            </w:r>
          </w:p>
          <w:p w:rsidR="00BD6E66" w:rsidRDefault="00BD6E66" w:rsidP="005B20EE">
            <w:pPr>
              <w:pStyle w:val="ListParagraph"/>
              <w:numPr>
                <w:ilvl w:val="0"/>
                <w:numId w:val="13"/>
              </w:numPr>
              <w:spacing w:after="120"/>
              <w:rPr>
                <w:rFonts w:ascii="Times New Roman" w:hAnsi="Times New Roman"/>
                <w:sz w:val="20"/>
                <w:szCs w:val="20"/>
              </w:rPr>
            </w:pPr>
            <w:r>
              <w:rPr>
                <w:rFonts w:ascii="Times New Roman" w:hAnsi="Times New Roman"/>
                <w:sz w:val="20"/>
                <w:szCs w:val="20"/>
              </w:rPr>
              <w:t>promote the efficient allocation of capital and cost efficient access and services for users;</w:t>
            </w:r>
          </w:p>
          <w:p w:rsidR="00BD6E66" w:rsidRDefault="00BD6E66" w:rsidP="005B20EE">
            <w:pPr>
              <w:pStyle w:val="ListParagraph"/>
              <w:numPr>
                <w:ilvl w:val="0"/>
                <w:numId w:val="13"/>
              </w:numPr>
              <w:spacing w:after="120"/>
              <w:rPr>
                <w:rFonts w:ascii="Times New Roman" w:hAnsi="Times New Roman"/>
                <w:sz w:val="20"/>
                <w:szCs w:val="20"/>
              </w:rPr>
            </w:pPr>
            <w:r>
              <w:rPr>
                <w:rFonts w:ascii="Times New Roman" w:hAnsi="Times New Roman"/>
                <w:sz w:val="20"/>
                <w:szCs w:val="20"/>
              </w:rPr>
              <w:t xml:space="preserve">meets the needs of users with appropriate financial products and services; and </w:t>
            </w:r>
          </w:p>
          <w:p w:rsidR="00BD6E66" w:rsidRDefault="00BD6E66" w:rsidP="005B20EE">
            <w:pPr>
              <w:pStyle w:val="ListParagraph"/>
              <w:numPr>
                <w:ilvl w:val="0"/>
                <w:numId w:val="13"/>
              </w:numPr>
              <w:spacing w:after="120"/>
              <w:rPr>
                <w:rFonts w:ascii="Times New Roman" w:hAnsi="Times New Roman"/>
                <w:sz w:val="20"/>
                <w:szCs w:val="20"/>
              </w:rPr>
            </w:pPr>
            <w:r>
              <w:rPr>
                <w:rFonts w:ascii="Times New Roman" w:hAnsi="Times New Roman"/>
                <w:sz w:val="20"/>
                <w:szCs w:val="20"/>
              </w:rPr>
              <w:t xml:space="preserve">creates an environment conducive to dynamic and innovative financial service providers. </w:t>
            </w:r>
          </w:p>
          <w:p w:rsidR="00BA7D76" w:rsidRDefault="00BD6E66" w:rsidP="005B20EE">
            <w:pPr>
              <w:pStyle w:val="ListParagraph"/>
              <w:spacing w:after="120"/>
              <w:ind w:left="0"/>
              <w:rPr>
                <w:rFonts w:ascii="Times New Roman" w:hAnsi="Times New Roman"/>
                <w:sz w:val="20"/>
                <w:szCs w:val="20"/>
              </w:rPr>
            </w:pPr>
            <w:r>
              <w:rPr>
                <w:rFonts w:ascii="Times New Roman" w:hAnsi="Times New Roman"/>
                <w:sz w:val="20"/>
                <w:szCs w:val="20"/>
              </w:rPr>
              <w:t xml:space="preserve">The Inquiry will publish an interim report in mid-2014 setting out initial findings and seek public feedback.  A final report is to be presented by November 2014. </w:t>
            </w:r>
          </w:p>
          <w:p w:rsidR="00BA7D76" w:rsidRDefault="00BA7D76" w:rsidP="005B20EE">
            <w:pPr>
              <w:pStyle w:val="ListParagraph"/>
              <w:spacing w:after="120"/>
              <w:ind w:left="0"/>
              <w:rPr>
                <w:rFonts w:ascii="Times New Roman" w:hAnsi="Times New Roman"/>
                <w:sz w:val="20"/>
                <w:szCs w:val="20"/>
              </w:rPr>
            </w:pPr>
            <w:r>
              <w:rPr>
                <w:rFonts w:ascii="Times New Roman" w:hAnsi="Times New Roman"/>
                <w:sz w:val="20"/>
                <w:szCs w:val="20"/>
              </w:rPr>
              <w:t xml:space="preserve">Further information can be found at: </w:t>
            </w:r>
          </w:p>
          <w:p w:rsidR="00BD6E66" w:rsidRPr="00B3069C" w:rsidRDefault="00E632DC" w:rsidP="005B20EE">
            <w:pPr>
              <w:pStyle w:val="ListParagraph"/>
              <w:spacing w:after="120"/>
              <w:ind w:left="0"/>
              <w:rPr>
                <w:rFonts w:ascii="Times New Roman" w:hAnsi="Times New Roman"/>
                <w:sz w:val="20"/>
                <w:szCs w:val="20"/>
              </w:rPr>
            </w:pPr>
            <w:hyperlink r:id="rId17" w:history="1">
              <w:r w:rsidR="00BA7D76" w:rsidRPr="008200BE">
                <w:rPr>
                  <w:rStyle w:val="Hyperlink"/>
                  <w:rFonts w:ascii="Times New Roman" w:hAnsi="Times New Roman"/>
                  <w:sz w:val="20"/>
                  <w:szCs w:val="20"/>
                </w:rPr>
                <w:t>http://jbh.ministers.treasury.gov.au/media-release/037-2013/</w:t>
              </w:r>
            </w:hyperlink>
            <w:r w:rsidR="00BA7D76">
              <w:rPr>
                <w:rFonts w:ascii="Times New Roman" w:hAnsi="Times New Roman"/>
                <w:sz w:val="20"/>
                <w:szCs w:val="20"/>
              </w:rPr>
              <w:t xml:space="preserve"> </w:t>
            </w:r>
            <w:r w:rsidR="00BD6E66">
              <w:rPr>
                <w:rFonts w:ascii="Times New Roman" w:hAnsi="Times New Roman"/>
                <w:sz w:val="20"/>
                <w:szCs w:val="20"/>
              </w:rPr>
              <w:t xml:space="preserve">  </w:t>
            </w:r>
          </w:p>
        </w:tc>
      </w:tr>
      <w:tr w:rsidR="00BD6E66" w:rsidRPr="00B3069C" w:rsidTr="00714E4C">
        <w:trPr>
          <w:trHeight w:val="627"/>
        </w:trPr>
        <w:tc>
          <w:tcPr>
            <w:tcW w:w="2552" w:type="dxa"/>
            <w:vMerge/>
          </w:tcPr>
          <w:p w:rsidR="00BD6E66" w:rsidRPr="00B3069C" w:rsidRDefault="00BD6E66" w:rsidP="005B20EE">
            <w:pPr>
              <w:rPr>
                <w:b/>
                <w:i/>
                <w:sz w:val="20"/>
              </w:rPr>
            </w:pPr>
          </w:p>
        </w:tc>
        <w:tc>
          <w:tcPr>
            <w:tcW w:w="7371" w:type="dxa"/>
          </w:tcPr>
          <w:p w:rsidR="00BD6E66" w:rsidRPr="00B3069C" w:rsidRDefault="00BD6E66" w:rsidP="005B20EE">
            <w:pPr>
              <w:spacing w:after="120"/>
              <w:rPr>
                <w:b/>
                <w:sz w:val="20"/>
              </w:rPr>
            </w:pPr>
            <w:r w:rsidRPr="00B3069C">
              <w:rPr>
                <w:b/>
                <w:sz w:val="20"/>
              </w:rPr>
              <w:t>1.  Tertiary Education Quality and Standards Agency (TEQSA)</w:t>
            </w:r>
          </w:p>
          <w:p w:rsidR="00BD6E66" w:rsidRPr="00B3069C" w:rsidRDefault="00BD6E66" w:rsidP="005B20EE">
            <w:pPr>
              <w:pStyle w:val="ListParagraph"/>
              <w:numPr>
                <w:ilvl w:val="0"/>
                <w:numId w:val="8"/>
              </w:numPr>
              <w:spacing w:after="120"/>
              <w:ind w:left="360"/>
              <w:rPr>
                <w:rFonts w:ascii="Times New Roman" w:hAnsi="Times New Roman"/>
                <w:sz w:val="20"/>
                <w:szCs w:val="20"/>
              </w:rPr>
            </w:pPr>
            <w:r w:rsidRPr="00B3069C">
              <w:rPr>
                <w:rFonts w:ascii="Times New Roman" w:hAnsi="Times New Roman"/>
                <w:sz w:val="20"/>
                <w:szCs w:val="20"/>
              </w:rPr>
              <w:t xml:space="preserve">The Tertiary Education Quality and Standards Agency Act 2011 (TEQSA Act) established TEQSA as an agency.  </w:t>
            </w:r>
          </w:p>
          <w:p w:rsidR="00BD6E66" w:rsidRPr="00B3069C" w:rsidRDefault="00BD6E66" w:rsidP="005B20EE">
            <w:pPr>
              <w:pStyle w:val="ListParagraph"/>
              <w:numPr>
                <w:ilvl w:val="0"/>
                <w:numId w:val="8"/>
              </w:numPr>
              <w:spacing w:after="120"/>
              <w:ind w:left="360"/>
              <w:rPr>
                <w:rFonts w:ascii="Times New Roman" w:hAnsi="Times New Roman"/>
                <w:sz w:val="20"/>
                <w:szCs w:val="20"/>
              </w:rPr>
            </w:pPr>
            <w:r w:rsidRPr="00B3069C">
              <w:rPr>
                <w:rFonts w:ascii="Times New Roman" w:hAnsi="Times New Roman"/>
                <w:sz w:val="20"/>
                <w:szCs w:val="20"/>
              </w:rPr>
              <w:t>TEQSA regulates and assures the quality of Australia’s higher education sector.</w:t>
            </w:r>
          </w:p>
          <w:p w:rsidR="00BD6E66" w:rsidRPr="00B3069C" w:rsidRDefault="00BD6E66" w:rsidP="005B20EE">
            <w:pPr>
              <w:pStyle w:val="ListParagraph"/>
              <w:numPr>
                <w:ilvl w:val="0"/>
                <w:numId w:val="8"/>
              </w:numPr>
              <w:spacing w:after="120"/>
              <w:ind w:left="360"/>
              <w:rPr>
                <w:rFonts w:ascii="Times New Roman" w:hAnsi="Times New Roman"/>
                <w:sz w:val="20"/>
                <w:szCs w:val="20"/>
              </w:rPr>
            </w:pPr>
            <w:r w:rsidRPr="00B3069C">
              <w:rPr>
                <w:rFonts w:ascii="Times New Roman" w:hAnsi="Times New Roman"/>
                <w:sz w:val="20"/>
                <w:szCs w:val="20"/>
              </w:rPr>
              <w:t xml:space="preserve">TEQSA has responsibility under the </w:t>
            </w:r>
            <w:r w:rsidRPr="00B3069C">
              <w:rPr>
                <w:rFonts w:ascii="Times New Roman" w:hAnsi="Times New Roman"/>
                <w:i/>
                <w:sz w:val="20"/>
                <w:szCs w:val="20"/>
              </w:rPr>
              <w:t>Education Services for Overseas Students Act</w:t>
            </w:r>
            <w:r w:rsidRPr="00B3069C">
              <w:rPr>
                <w:rFonts w:ascii="Times New Roman" w:hAnsi="Times New Roman"/>
                <w:sz w:val="20"/>
                <w:szCs w:val="20"/>
              </w:rPr>
              <w:t xml:space="preserve"> (ESOS Act) for the following providers:</w:t>
            </w:r>
          </w:p>
          <w:p w:rsidR="00BD6E66" w:rsidRPr="00B3069C" w:rsidRDefault="00BD6E66" w:rsidP="005B20EE">
            <w:pPr>
              <w:pStyle w:val="ListParagraph"/>
              <w:numPr>
                <w:ilvl w:val="1"/>
                <w:numId w:val="8"/>
              </w:numPr>
              <w:spacing w:after="120"/>
              <w:ind w:left="700"/>
              <w:rPr>
                <w:rFonts w:ascii="Times New Roman" w:hAnsi="Times New Roman"/>
                <w:sz w:val="20"/>
                <w:szCs w:val="20"/>
              </w:rPr>
            </w:pPr>
            <w:r>
              <w:rPr>
                <w:rFonts w:ascii="Times New Roman" w:hAnsi="Times New Roman"/>
                <w:sz w:val="20"/>
                <w:szCs w:val="20"/>
              </w:rPr>
              <w:t>h</w:t>
            </w:r>
            <w:r w:rsidRPr="00B3069C">
              <w:rPr>
                <w:rFonts w:ascii="Times New Roman" w:hAnsi="Times New Roman"/>
                <w:sz w:val="20"/>
                <w:szCs w:val="20"/>
              </w:rPr>
              <w:t>igher education providers registered under the TEQSA Act</w:t>
            </w:r>
            <w:r>
              <w:rPr>
                <w:rFonts w:ascii="Times New Roman" w:hAnsi="Times New Roman"/>
                <w:sz w:val="20"/>
                <w:szCs w:val="20"/>
              </w:rPr>
              <w:t>;</w:t>
            </w:r>
          </w:p>
          <w:p w:rsidR="00BD6E66" w:rsidRPr="00B3069C" w:rsidRDefault="00BD6E66" w:rsidP="005B20EE">
            <w:pPr>
              <w:pStyle w:val="ListParagraph"/>
              <w:numPr>
                <w:ilvl w:val="1"/>
                <w:numId w:val="8"/>
              </w:numPr>
              <w:spacing w:after="120"/>
              <w:ind w:left="700"/>
              <w:rPr>
                <w:rFonts w:ascii="Times New Roman" w:hAnsi="Times New Roman"/>
                <w:sz w:val="20"/>
                <w:szCs w:val="20"/>
              </w:rPr>
            </w:pPr>
            <w:r w:rsidRPr="00B3069C">
              <w:rPr>
                <w:rFonts w:ascii="Times New Roman" w:hAnsi="Times New Roman"/>
                <w:sz w:val="20"/>
                <w:szCs w:val="20"/>
              </w:rPr>
              <w:t>English Language Intensive Course for Overseas Students (ELICOS) providers if they have an entry arrangement with at least one registered higher education provider</w:t>
            </w:r>
            <w:r>
              <w:rPr>
                <w:rFonts w:ascii="Times New Roman" w:hAnsi="Times New Roman"/>
                <w:sz w:val="20"/>
                <w:szCs w:val="20"/>
              </w:rPr>
              <w:t>; and</w:t>
            </w:r>
          </w:p>
          <w:p w:rsidR="00BD6E66" w:rsidRPr="00A17C7F" w:rsidRDefault="00BD6E66" w:rsidP="005B20EE">
            <w:pPr>
              <w:pStyle w:val="ListParagraph"/>
              <w:numPr>
                <w:ilvl w:val="1"/>
                <w:numId w:val="8"/>
              </w:numPr>
              <w:spacing w:after="120"/>
              <w:ind w:left="700"/>
              <w:rPr>
                <w:rFonts w:ascii="Times New Roman" w:hAnsi="Times New Roman"/>
                <w:sz w:val="20"/>
                <w:szCs w:val="20"/>
              </w:rPr>
            </w:pPr>
            <w:r w:rsidRPr="00A17C7F">
              <w:rPr>
                <w:rFonts w:ascii="Times New Roman" w:hAnsi="Times New Roman"/>
                <w:sz w:val="20"/>
                <w:szCs w:val="20"/>
              </w:rPr>
              <w:t xml:space="preserve">foundation program providers:  </w:t>
            </w:r>
            <w:r>
              <w:rPr>
                <w:rFonts w:ascii="Times New Roman" w:hAnsi="Times New Roman"/>
                <w:sz w:val="20"/>
                <w:szCs w:val="20"/>
              </w:rPr>
              <w:t>suppliers</w:t>
            </w:r>
            <w:r w:rsidRPr="00A17C7F">
              <w:rPr>
                <w:rFonts w:ascii="Times New Roman" w:hAnsi="Times New Roman"/>
                <w:sz w:val="20"/>
                <w:szCs w:val="20"/>
              </w:rPr>
              <w:t xml:space="preserve"> of nationally-recognised courses designed to equip international students  with the skills and capabilities to seek entry into higher education programs in Australia.</w:t>
            </w:r>
          </w:p>
          <w:p w:rsidR="00BA7D76" w:rsidRDefault="00BA7D76" w:rsidP="005B20EE">
            <w:pPr>
              <w:spacing w:after="120"/>
              <w:rPr>
                <w:b/>
                <w:sz w:val="20"/>
              </w:rPr>
            </w:pPr>
          </w:p>
          <w:p w:rsidR="00BD6E66" w:rsidRPr="00B3069C" w:rsidRDefault="00BD6E66" w:rsidP="005B20EE">
            <w:pPr>
              <w:spacing w:after="120"/>
              <w:rPr>
                <w:b/>
                <w:sz w:val="20"/>
              </w:rPr>
            </w:pPr>
            <w:r w:rsidRPr="00B3069C">
              <w:rPr>
                <w:b/>
                <w:sz w:val="20"/>
              </w:rPr>
              <w:t>Tuition Protection Service (TPS)</w:t>
            </w:r>
          </w:p>
          <w:p w:rsidR="00BD6E66" w:rsidRPr="00B3069C" w:rsidRDefault="00BD6E66" w:rsidP="005B20EE">
            <w:pPr>
              <w:pStyle w:val="ListParagraph"/>
              <w:numPr>
                <w:ilvl w:val="0"/>
                <w:numId w:val="9"/>
              </w:numPr>
              <w:spacing w:after="120"/>
              <w:ind w:left="360"/>
              <w:rPr>
                <w:rFonts w:ascii="Times New Roman" w:hAnsi="Times New Roman"/>
                <w:sz w:val="20"/>
                <w:szCs w:val="20"/>
              </w:rPr>
            </w:pPr>
            <w:r w:rsidRPr="00B3069C">
              <w:rPr>
                <w:rFonts w:ascii="Times New Roman" w:hAnsi="Times New Roman"/>
                <w:sz w:val="20"/>
                <w:szCs w:val="20"/>
              </w:rPr>
              <w:t>The TPS, which commenced on 1 July 2012, is an initiative of the Australian Government to assist and support international students whose education providers are unable to complete the delivery of their course of study.</w:t>
            </w:r>
          </w:p>
          <w:p w:rsidR="00BD6E66" w:rsidRPr="00B3069C" w:rsidRDefault="00BD6E66" w:rsidP="005B20EE">
            <w:pPr>
              <w:pStyle w:val="ListParagraph"/>
              <w:numPr>
                <w:ilvl w:val="0"/>
                <w:numId w:val="9"/>
              </w:numPr>
              <w:spacing w:after="120"/>
              <w:ind w:left="360"/>
              <w:rPr>
                <w:rFonts w:ascii="Times New Roman" w:hAnsi="Times New Roman"/>
                <w:sz w:val="20"/>
                <w:szCs w:val="20"/>
              </w:rPr>
            </w:pPr>
            <w:r w:rsidRPr="00B3069C">
              <w:rPr>
                <w:rFonts w:ascii="Times New Roman" w:hAnsi="Times New Roman"/>
                <w:sz w:val="20"/>
                <w:szCs w:val="20"/>
              </w:rPr>
              <w:t>The service strengthens tuition protection by offering alternative placements (or refunds as a last resort) to students affected by a provider default.</w:t>
            </w:r>
          </w:p>
          <w:p w:rsidR="00BD6E66" w:rsidRPr="00B3069C" w:rsidRDefault="00BD6E66" w:rsidP="005B20EE">
            <w:pPr>
              <w:pStyle w:val="ListParagraph"/>
              <w:numPr>
                <w:ilvl w:val="0"/>
                <w:numId w:val="9"/>
              </w:numPr>
              <w:spacing w:after="120"/>
              <w:ind w:left="360"/>
              <w:rPr>
                <w:rFonts w:ascii="Times New Roman" w:hAnsi="Times New Roman"/>
                <w:sz w:val="20"/>
                <w:szCs w:val="20"/>
              </w:rPr>
            </w:pPr>
            <w:r w:rsidRPr="00B3069C">
              <w:rPr>
                <w:rFonts w:ascii="Times New Roman" w:hAnsi="Times New Roman"/>
                <w:sz w:val="20"/>
                <w:szCs w:val="20"/>
              </w:rPr>
              <w:t>The TPS may also assist where international students have either withdrawn from or not started their course and are eligible for a refund of tuition fees that have not been paid by the provider.</w:t>
            </w:r>
          </w:p>
          <w:p w:rsidR="00BD6E66" w:rsidRPr="00B3069C" w:rsidRDefault="00BD6E66" w:rsidP="005B20EE">
            <w:pPr>
              <w:pStyle w:val="ListParagraph"/>
              <w:numPr>
                <w:ilvl w:val="0"/>
                <w:numId w:val="9"/>
              </w:numPr>
              <w:spacing w:after="120"/>
              <w:ind w:left="360"/>
              <w:rPr>
                <w:rFonts w:ascii="Times New Roman" w:hAnsi="Times New Roman"/>
                <w:sz w:val="20"/>
                <w:szCs w:val="20"/>
              </w:rPr>
            </w:pPr>
            <w:r w:rsidRPr="00B3069C">
              <w:rPr>
                <w:rFonts w:ascii="Times New Roman" w:hAnsi="Times New Roman"/>
                <w:sz w:val="20"/>
                <w:szCs w:val="20"/>
              </w:rPr>
              <w:t>The operations of the TPS are funded through the collection of an annual TPS levy which is paid by all Commonwealth Register of Institutions and Courses for Overseas Students (CRICOS) providers.</w:t>
            </w:r>
          </w:p>
          <w:p w:rsidR="00BD6E66" w:rsidRDefault="00BD6E66" w:rsidP="005B20EE">
            <w:pPr>
              <w:spacing w:after="120"/>
              <w:rPr>
                <w:b/>
                <w:sz w:val="20"/>
              </w:rPr>
            </w:pPr>
            <w:r w:rsidRPr="00B3069C">
              <w:rPr>
                <w:sz w:val="20"/>
              </w:rPr>
              <w:t>The TPS provisions replaced the two-tiered consumer protection arrangements which operated under the ESOS Act prior to 30 June 2012 and which encompassed a number of Tuition Assurance Schemes operated by private sector bodies and the Australian Government’s ESOS Assurance Fund.</w:t>
            </w:r>
          </w:p>
        </w:tc>
        <w:tc>
          <w:tcPr>
            <w:tcW w:w="4658" w:type="dxa"/>
          </w:tcPr>
          <w:p w:rsidR="00BD6E66" w:rsidRPr="00B3069C" w:rsidRDefault="00BD6E66" w:rsidP="005B20EE">
            <w:pPr>
              <w:pStyle w:val="ListParagraph"/>
              <w:spacing w:after="120"/>
              <w:ind w:left="0"/>
              <w:rPr>
                <w:rFonts w:ascii="Times New Roman" w:hAnsi="Times New Roman"/>
                <w:sz w:val="20"/>
                <w:szCs w:val="20"/>
              </w:rPr>
            </w:pPr>
          </w:p>
        </w:tc>
      </w:tr>
      <w:tr w:rsidR="00BD6E66" w:rsidRPr="00B3069C" w:rsidTr="00714E4C">
        <w:trPr>
          <w:trHeight w:val="627"/>
        </w:trPr>
        <w:tc>
          <w:tcPr>
            <w:tcW w:w="2552" w:type="dxa"/>
            <w:vMerge/>
          </w:tcPr>
          <w:p w:rsidR="00BD6E66" w:rsidRPr="00B3069C" w:rsidRDefault="00BD6E66" w:rsidP="005B20EE">
            <w:pPr>
              <w:rPr>
                <w:b/>
                <w:i/>
                <w:sz w:val="20"/>
              </w:rPr>
            </w:pPr>
          </w:p>
        </w:tc>
        <w:tc>
          <w:tcPr>
            <w:tcW w:w="7371" w:type="dxa"/>
          </w:tcPr>
          <w:p w:rsidR="00BD6E66" w:rsidRPr="00B3069C" w:rsidRDefault="00BD6E66" w:rsidP="005B20EE">
            <w:pPr>
              <w:spacing w:before="120" w:after="120"/>
              <w:rPr>
                <w:sz w:val="20"/>
              </w:rPr>
            </w:pPr>
            <w:r w:rsidRPr="00E255E2">
              <w:rPr>
                <w:b/>
                <w:sz w:val="20"/>
              </w:rPr>
              <w:t>2.</w:t>
            </w:r>
            <w:r w:rsidRPr="00B3069C">
              <w:rPr>
                <w:sz w:val="20"/>
              </w:rPr>
              <w:t xml:space="preserve">  The Australian </w:t>
            </w:r>
            <w:r w:rsidRPr="00B3069C">
              <w:rPr>
                <w:b/>
                <w:sz w:val="20"/>
              </w:rPr>
              <w:t>Vocational Education and Training</w:t>
            </w:r>
            <w:r w:rsidRPr="00B3069C">
              <w:rPr>
                <w:sz w:val="20"/>
              </w:rPr>
              <w:t xml:space="preserve"> (VET) system has quality assurance frameworks in place, encompassing national standards, a national regulator, and a national framework for qualifications.  These quality assurance frameworks help to ensure students and employers have confidence that the VET system is providing high quality education and training delivery, assessment and qualification outcomes.</w:t>
            </w:r>
          </w:p>
          <w:p w:rsidR="00BD6E66" w:rsidRPr="00B3069C" w:rsidRDefault="00BD6E66" w:rsidP="005B20EE">
            <w:pPr>
              <w:spacing w:after="120"/>
              <w:rPr>
                <w:sz w:val="20"/>
              </w:rPr>
            </w:pPr>
            <w:r w:rsidRPr="00B3069C">
              <w:rPr>
                <w:sz w:val="20"/>
              </w:rPr>
              <w:t>National Skills Standards Council (NSSC)</w:t>
            </w:r>
          </w:p>
          <w:p w:rsidR="00BD6E66" w:rsidRPr="00B3069C" w:rsidRDefault="00BD6E66" w:rsidP="005B20EE">
            <w:pPr>
              <w:pStyle w:val="ListParagraph"/>
              <w:numPr>
                <w:ilvl w:val="0"/>
                <w:numId w:val="10"/>
              </w:numPr>
              <w:spacing w:after="120"/>
              <w:rPr>
                <w:rFonts w:ascii="Times New Roman" w:hAnsi="Times New Roman"/>
                <w:sz w:val="20"/>
                <w:szCs w:val="20"/>
              </w:rPr>
            </w:pPr>
            <w:r w:rsidRPr="00B3069C">
              <w:rPr>
                <w:rFonts w:ascii="Times New Roman" w:hAnsi="Times New Roman"/>
                <w:sz w:val="20"/>
                <w:szCs w:val="20"/>
              </w:rPr>
              <w:t>The national standards for VET govern the registration and operation of training providers, accreditation of courses, data provision requirements and training package development and endorsement.  The NSSC, established in 2011, is responsible for the development, maintenance and review of the national standards for VET.  In 2013, the NSSC undertook a broad-ranging review of the VET standards for regulation. A draft of these will be forwarded to the next meeting of the Standing Council on Tertiary Education Skills and Employment (SCOTESE) in 2014</w:t>
            </w:r>
          </w:p>
          <w:p w:rsidR="00BD6E66" w:rsidRPr="00B3069C" w:rsidRDefault="00BD6E66" w:rsidP="005B20EE">
            <w:pPr>
              <w:spacing w:after="120"/>
              <w:rPr>
                <w:sz w:val="20"/>
              </w:rPr>
            </w:pPr>
            <w:r w:rsidRPr="00B3069C">
              <w:rPr>
                <w:sz w:val="20"/>
              </w:rPr>
              <w:t>Australian Skills Quality Authority (ASQA)</w:t>
            </w:r>
          </w:p>
          <w:p w:rsidR="00BD6E66" w:rsidRPr="00B3069C" w:rsidRDefault="00BD6E66" w:rsidP="005B20EE">
            <w:pPr>
              <w:pStyle w:val="ListParagraph"/>
              <w:numPr>
                <w:ilvl w:val="0"/>
                <w:numId w:val="11"/>
              </w:numPr>
              <w:spacing w:after="120"/>
              <w:rPr>
                <w:rFonts w:ascii="Times New Roman" w:hAnsi="Times New Roman"/>
                <w:sz w:val="20"/>
                <w:szCs w:val="20"/>
              </w:rPr>
            </w:pPr>
            <w:r w:rsidRPr="00B3069C">
              <w:rPr>
                <w:rFonts w:ascii="Times New Roman" w:hAnsi="Times New Roman"/>
                <w:sz w:val="20"/>
                <w:szCs w:val="20"/>
              </w:rPr>
              <w:t xml:space="preserve">Established in July 2011, ASQA is the national regulator for VET, provides greater national consistency in the way training providers are registered, courses are accredited and the quality of the system is monitored. </w:t>
            </w:r>
          </w:p>
          <w:p w:rsidR="00BD6E66" w:rsidRPr="00B3069C" w:rsidRDefault="00BD6E66" w:rsidP="005B20EE">
            <w:pPr>
              <w:pStyle w:val="ListParagraph"/>
              <w:numPr>
                <w:ilvl w:val="0"/>
                <w:numId w:val="11"/>
              </w:numPr>
              <w:spacing w:before="120"/>
              <w:ind w:left="357" w:hanging="357"/>
              <w:rPr>
                <w:rFonts w:ascii="Times New Roman" w:hAnsi="Times New Roman"/>
                <w:sz w:val="20"/>
                <w:szCs w:val="20"/>
              </w:rPr>
            </w:pPr>
            <w:r w:rsidRPr="00B3069C">
              <w:rPr>
                <w:rFonts w:ascii="Times New Roman" w:hAnsi="Times New Roman"/>
                <w:sz w:val="20"/>
                <w:szCs w:val="20"/>
              </w:rPr>
              <w:t xml:space="preserve">ASQA also has compliance and enforcement responsibilities in relation to the ESOS Act for providers registered on the Commonwealth Register of Institutions and Courses for Overseas Students (CRICOS) that offer VET courses. </w:t>
            </w:r>
          </w:p>
          <w:p w:rsidR="00BD6E66" w:rsidRPr="00B3069C" w:rsidRDefault="00BD6E66" w:rsidP="005B20EE">
            <w:pPr>
              <w:spacing w:after="120"/>
              <w:rPr>
                <w:sz w:val="20"/>
              </w:rPr>
            </w:pPr>
          </w:p>
          <w:p w:rsidR="00BD6E66" w:rsidRPr="00B3069C" w:rsidRDefault="00BD6E66" w:rsidP="005B20EE">
            <w:pPr>
              <w:spacing w:after="120"/>
              <w:rPr>
                <w:sz w:val="20"/>
              </w:rPr>
            </w:pPr>
            <w:r w:rsidRPr="00B3069C">
              <w:rPr>
                <w:sz w:val="20"/>
              </w:rPr>
              <w:t>Other recent activities in Australia’s VET sector:</w:t>
            </w:r>
          </w:p>
          <w:p w:rsidR="00BD6E66" w:rsidRPr="00B3069C" w:rsidRDefault="00BD6E66" w:rsidP="005B20EE">
            <w:pPr>
              <w:pStyle w:val="ListParagraph"/>
              <w:numPr>
                <w:ilvl w:val="0"/>
                <w:numId w:val="12"/>
              </w:numPr>
              <w:spacing w:after="120"/>
              <w:rPr>
                <w:rFonts w:ascii="Times New Roman" w:hAnsi="Times New Roman"/>
                <w:sz w:val="20"/>
                <w:szCs w:val="20"/>
              </w:rPr>
            </w:pPr>
            <w:r w:rsidRPr="00B3069C">
              <w:rPr>
                <w:rFonts w:ascii="Times New Roman" w:hAnsi="Times New Roman"/>
                <w:sz w:val="20"/>
                <w:szCs w:val="20"/>
              </w:rPr>
              <w:t xml:space="preserve">Australia is developing minimum reporting requirements for VET training providers through total VET activity reporting.  This will provide a national data set which will assist in building a better understanding of the sector and measure the impact of Government initiatives and reform. </w:t>
            </w:r>
          </w:p>
          <w:p w:rsidR="00BD6E66" w:rsidRPr="00B3069C" w:rsidRDefault="00BD6E66" w:rsidP="005B20EE">
            <w:pPr>
              <w:pStyle w:val="ListParagraph"/>
              <w:numPr>
                <w:ilvl w:val="0"/>
                <w:numId w:val="12"/>
              </w:numPr>
              <w:spacing w:after="120"/>
              <w:rPr>
                <w:rFonts w:ascii="Times New Roman" w:hAnsi="Times New Roman"/>
                <w:sz w:val="20"/>
                <w:szCs w:val="20"/>
              </w:rPr>
            </w:pPr>
            <w:r w:rsidRPr="00B3069C">
              <w:rPr>
                <w:rFonts w:ascii="Times New Roman" w:hAnsi="Times New Roman"/>
                <w:sz w:val="20"/>
                <w:szCs w:val="20"/>
              </w:rPr>
              <w:t>A unique student identifier (USI) is being developed for the VET sector.  The USI will make it easier for students to find, collate and authenticate their VET achievements from 1 January 2014 and will provide a way to track individual students as they move through VET and enable more accurate evaluation of the VET system.</w:t>
            </w:r>
          </w:p>
          <w:p w:rsidR="00BD6E66" w:rsidRPr="00B3069C" w:rsidRDefault="00BD6E66" w:rsidP="005B20EE">
            <w:pPr>
              <w:pStyle w:val="ListParagraph"/>
              <w:numPr>
                <w:ilvl w:val="0"/>
                <w:numId w:val="12"/>
              </w:numPr>
              <w:spacing w:after="120"/>
              <w:rPr>
                <w:rFonts w:ascii="Times New Roman" w:hAnsi="Times New Roman"/>
                <w:sz w:val="20"/>
                <w:szCs w:val="20"/>
              </w:rPr>
            </w:pPr>
            <w:r w:rsidRPr="00B3069C">
              <w:rPr>
                <w:rFonts w:ascii="Times New Roman" w:hAnsi="Times New Roman"/>
                <w:sz w:val="20"/>
                <w:szCs w:val="20"/>
              </w:rPr>
              <w:t xml:space="preserve">Australia has a national register listing all registered training providers and endorsed/accredited qualifications – </w:t>
            </w:r>
            <w:hyperlink r:id="rId18" w:history="1">
              <w:r w:rsidRPr="00B3069C">
                <w:rPr>
                  <w:rStyle w:val="Hyperlink"/>
                  <w:rFonts w:ascii="Times New Roman" w:hAnsi="Times New Roman"/>
                  <w:sz w:val="20"/>
                  <w:szCs w:val="20"/>
                </w:rPr>
                <w:t>www.training.gov.au</w:t>
              </w:r>
            </w:hyperlink>
            <w:r w:rsidRPr="00B3069C">
              <w:rPr>
                <w:rFonts w:ascii="Times New Roman" w:hAnsi="Times New Roman"/>
                <w:sz w:val="20"/>
                <w:szCs w:val="20"/>
              </w:rPr>
              <w:t xml:space="preserve"> </w:t>
            </w:r>
          </w:p>
          <w:p w:rsidR="00BD6E66" w:rsidRPr="00B3069C" w:rsidRDefault="00BD6E66" w:rsidP="005B20EE">
            <w:pPr>
              <w:spacing w:after="120"/>
              <w:rPr>
                <w:sz w:val="20"/>
                <w:lang w:val="en"/>
              </w:rPr>
            </w:pPr>
            <w:r w:rsidRPr="00B3069C">
              <w:rPr>
                <w:sz w:val="20"/>
              </w:rPr>
              <w:t xml:space="preserve">Australia has developed a website portal – My Skills –designed to assist individuals and employers looking to undertake training with training organisations that best suit their needs. </w:t>
            </w:r>
            <w:hyperlink r:id="rId19" w:history="1">
              <w:r w:rsidRPr="00B3069C">
                <w:rPr>
                  <w:rStyle w:val="Hyperlink"/>
                  <w:sz w:val="20"/>
                </w:rPr>
                <w:t>www.myskills.gov.au</w:t>
              </w:r>
            </w:hyperlink>
          </w:p>
        </w:tc>
        <w:tc>
          <w:tcPr>
            <w:tcW w:w="4658" w:type="dxa"/>
          </w:tcPr>
          <w:p w:rsidR="00BD6E66" w:rsidRPr="00B3069C" w:rsidRDefault="00BD6E66" w:rsidP="005B20EE">
            <w:pPr>
              <w:spacing w:after="120"/>
              <w:rPr>
                <w:color w:val="333333"/>
                <w:sz w:val="20"/>
                <w:lang w:val="en"/>
              </w:rPr>
            </w:pPr>
          </w:p>
        </w:tc>
      </w:tr>
      <w:tr w:rsidR="00B723FF" w:rsidRPr="00B3069C" w:rsidTr="00714E4C">
        <w:trPr>
          <w:trHeight w:val="627"/>
        </w:trPr>
        <w:tc>
          <w:tcPr>
            <w:tcW w:w="2552" w:type="dxa"/>
          </w:tcPr>
          <w:p w:rsidR="00B723FF" w:rsidRPr="002D728A" w:rsidRDefault="00B723FF" w:rsidP="005B20EE">
            <w:pPr>
              <w:rPr>
                <w:i/>
                <w:sz w:val="20"/>
              </w:rPr>
            </w:pPr>
            <w:r w:rsidRPr="002D728A">
              <w:rPr>
                <w:i/>
                <w:color w:val="808080"/>
                <w:sz w:val="20"/>
              </w:rPr>
              <w:t xml:space="preserve">Website for further information:  </w:t>
            </w:r>
          </w:p>
          <w:p w:rsidR="00B723FF" w:rsidRPr="00B3069C" w:rsidRDefault="00B723FF" w:rsidP="005B20EE">
            <w:pPr>
              <w:rPr>
                <w:i/>
                <w:sz w:val="20"/>
              </w:rPr>
            </w:pPr>
          </w:p>
        </w:tc>
        <w:tc>
          <w:tcPr>
            <w:tcW w:w="7371" w:type="dxa"/>
          </w:tcPr>
          <w:p w:rsidR="00E255E2" w:rsidRPr="00E255E2" w:rsidRDefault="00B723FF" w:rsidP="005B20EE">
            <w:pPr>
              <w:spacing w:after="120"/>
              <w:rPr>
                <w:sz w:val="20"/>
              </w:rPr>
            </w:pPr>
            <w:r w:rsidRPr="00E255E2">
              <w:rPr>
                <w:sz w:val="20"/>
              </w:rPr>
              <w:t xml:space="preserve">TEQSA: </w:t>
            </w:r>
            <w:hyperlink r:id="rId20" w:history="1">
              <w:r w:rsidRPr="00E255E2">
                <w:rPr>
                  <w:rStyle w:val="Hyperlink"/>
                  <w:sz w:val="20"/>
                </w:rPr>
                <w:t>http://www.teqsa.gov.au</w:t>
              </w:r>
            </w:hyperlink>
            <w:r w:rsidR="00E255E2" w:rsidRPr="00E255E2">
              <w:rPr>
                <w:sz w:val="20"/>
              </w:rPr>
              <w:t xml:space="preserve"> </w:t>
            </w:r>
          </w:p>
          <w:p w:rsidR="00B723FF" w:rsidRPr="00E255E2" w:rsidRDefault="00B723FF" w:rsidP="005B20EE">
            <w:pPr>
              <w:spacing w:after="120"/>
              <w:rPr>
                <w:sz w:val="20"/>
                <w:u w:val="single"/>
              </w:rPr>
            </w:pPr>
            <w:r w:rsidRPr="00E255E2">
              <w:rPr>
                <w:sz w:val="20"/>
              </w:rPr>
              <w:t xml:space="preserve">TPS: </w:t>
            </w:r>
            <w:hyperlink r:id="rId21" w:history="1">
              <w:r w:rsidRPr="00E255E2">
                <w:rPr>
                  <w:rStyle w:val="Hyperlink"/>
                  <w:sz w:val="20"/>
                </w:rPr>
                <w:t>https://tps.gov.au</w:t>
              </w:r>
            </w:hyperlink>
          </w:p>
          <w:p w:rsidR="00E255E2" w:rsidRPr="00E255E2" w:rsidRDefault="00B723FF" w:rsidP="005B20EE">
            <w:pPr>
              <w:spacing w:after="120"/>
              <w:rPr>
                <w:sz w:val="20"/>
              </w:rPr>
            </w:pPr>
            <w:r w:rsidRPr="00E255E2">
              <w:rPr>
                <w:sz w:val="20"/>
              </w:rPr>
              <w:t xml:space="preserve">AQSA: </w:t>
            </w:r>
            <w:r w:rsidRPr="00E255E2">
              <w:rPr>
                <w:color w:val="0000FF"/>
                <w:sz w:val="20"/>
                <w:u w:val="single"/>
              </w:rPr>
              <w:t>http://</w:t>
            </w:r>
            <w:hyperlink r:id="rId22" w:history="1">
              <w:r w:rsidRPr="00E255E2">
                <w:rPr>
                  <w:rStyle w:val="Hyperlink"/>
                  <w:sz w:val="20"/>
                </w:rPr>
                <w:t>www.asqa.gov.au</w:t>
              </w:r>
            </w:hyperlink>
            <w:r w:rsidR="00E255E2" w:rsidRPr="00E255E2">
              <w:rPr>
                <w:sz w:val="20"/>
              </w:rPr>
              <w:t xml:space="preserve"> </w:t>
            </w:r>
          </w:p>
          <w:p w:rsidR="00B723FF" w:rsidRPr="00B3069C" w:rsidRDefault="00B723FF" w:rsidP="005B20EE">
            <w:pPr>
              <w:spacing w:after="120"/>
              <w:rPr>
                <w:b/>
                <w:sz w:val="20"/>
              </w:rPr>
            </w:pPr>
            <w:r w:rsidRPr="00E255E2">
              <w:rPr>
                <w:sz w:val="20"/>
              </w:rPr>
              <w:t xml:space="preserve">My Skills: </w:t>
            </w:r>
            <w:r w:rsidRPr="00E255E2">
              <w:rPr>
                <w:color w:val="0000FF"/>
                <w:sz w:val="20"/>
                <w:u w:val="single"/>
              </w:rPr>
              <w:t>http://www.myskills.gov.au</w:t>
            </w:r>
          </w:p>
        </w:tc>
        <w:tc>
          <w:tcPr>
            <w:tcW w:w="4658" w:type="dxa"/>
          </w:tcPr>
          <w:p w:rsidR="00B723FF" w:rsidRPr="00B3069C" w:rsidRDefault="00B723FF" w:rsidP="005B20EE">
            <w:pPr>
              <w:spacing w:after="120"/>
              <w:rPr>
                <w:bCs/>
                <w:sz w:val="20"/>
              </w:rPr>
            </w:pPr>
          </w:p>
        </w:tc>
      </w:tr>
      <w:tr w:rsidR="00B723FF" w:rsidRPr="00B3069C" w:rsidTr="00714E4C">
        <w:trPr>
          <w:trHeight w:val="627"/>
        </w:trPr>
        <w:tc>
          <w:tcPr>
            <w:tcW w:w="2552" w:type="dxa"/>
          </w:tcPr>
          <w:p w:rsidR="00B723FF" w:rsidRPr="00B3069C" w:rsidRDefault="00B723FF" w:rsidP="005B20EE">
            <w:pPr>
              <w:rPr>
                <w:sz w:val="20"/>
              </w:rPr>
            </w:pPr>
            <w:r w:rsidRPr="00B3069C">
              <w:rPr>
                <w:i/>
                <w:color w:val="808080"/>
                <w:sz w:val="20"/>
              </w:rPr>
              <w:t>Contact point for further details:</w:t>
            </w:r>
          </w:p>
          <w:p w:rsidR="00B723FF" w:rsidRPr="00B3069C" w:rsidRDefault="00B723FF" w:rsidP="005B20EE">
            <w:pPr>
              <w:rPr>
                <w:color w:val="808080"/>
              </w:rPr>
            </w:pPr>
          </w:p>
        </w:tc>
        <w:tc>
          <w:tcPr>
            <w:tcW w:w="7371" w:type="dxa"/>
          </w:tcPr>
          <w:p w:rsidR="00B723FF" w:rsidRPr="00B3069C" w:rsidRDefault="00B723FF" w:rsidP="005B20EE">
            <w:pPr>
              <w:spacing w:after="120" w:line="276" w:lineRule="auto"/>
              <w:rPr>
                <w:rStyle w:val="Hyperlink"/>
                <w:bCs/>
                <w:color w:val="1F497D"/>
                <w:sz w:val="20"/>
              </w:rPr>
            </w:pPr>
            <w:r w:rsidRPr="00B3069C">
              <w:rPr>
                <w:sz w:val="20"/>
              </w:rPr>
              <w:t xml:space="preserve">Jarrod Campbell - Dept. of Industry (TEQSA/TPS): </w:t>
            </w:r>
            <w:hyperlink r:id="rId23" w:history="1">
              <w:r w:rsidRPr="00B3069C">
                <w:rPr>
                  <w:rStyle w:val="Hyperlink"/>
                  <w:bCs/>
                  <w:color w:val="auto"/>
                  <w:sz w:val="20"/>
                </w:rPr>
                <w:t>jarrod.campbell@industry.gov.au</w:t>
              </w:r>
            </w:hyperlink>
          </w:p>
          <w:p w:rsidR="00B723FF" w:rsidRPr="00B3069C" w:rsidRDefault="00B723FF" w:rsidP="005B20EE">
            <w:pPr>
              <w:spacing w:after="120"/>
              <w:rPr>
                <w:b/>
                <w:sz w:val="20"/>
              </w:rPr>
            </w:pPr>
            <w:r w:rsidRPr="00B3069C">
              <w:rPr>
                <w:sz w:val="20"/>
              </w:rPr>
              <w:t xml:space="preserve">Sophia Vincent – Dept. of Innovation (VET): </w:t>
            </w:r>
            <w:r w:rsidRPr="00B3069C">
              <w:rPr>
                <w:sz w:val="20"/>
                <w:u w:val="single"/>
              </w:rPr>
              <w:t>sophia</w:t>
            </w:r>
            <w:hyperlink r:id="rId24" w:history="1">
              <w:r w:rsidRPr="00B3069C">
                <w:rPr>
                  <w:rStyle w:val="Hyperlink"/>
                  <w:color w:val="auto"/>
                  <w:sz w:val="20"/>
                </w:rPr>
                <w:t>.vincent@innovation.gov.au</w:t>
              </w:r>
            </w:hyperlink>
          </w:p>
        </w:tc>
        <w:tc>
          <w:tcPr>
            <w:tcW w:w="4658" w:type="dxa"/>
          </w:tcPr>
          <w:p w:rsidR="00B723FF" w:rsidRPr="00B3069C" w:rsidRDefault="00B723FF" w:rsidP="005B20EE">
            <w:pPr>
              <w:spacing w:after="120"/>
              <w:rPr>
                <w:bCs/>
                <w:sz w:val="20"/>
              </w:rPr>
            </w:pPr>
          </w:p>
        </w:tc>
      </w:tr>
      <w:tr w:rsidR="00B723FF" w:rsidRPr="00B3069C" w:rsidTr="00714E4C">
        <w:trPr>
          <w:trHeight w:val="200"/>
        </w:trPr>
        <w:tc>
          <w:tcPr>
            <w:tcW w:w="2552" w:type="dxa"/>
          </w:tcPr>
          <w:p w:rsidR="00E255E2" w:rsidRPr="00B3069C" w:rsidRDefault="00E255E2" w:rsidP="005B20EE">
            <w:pPr>
              <w:rPr>
                <w:b/>
                <w:i/>
                <w:sz w:val="20"/>
              </w:rPr>
            </w:pPr>
            <w:r w:rsidRPr="00B3069C">
              <w:rPr>
                <w:b/>
                <w:i/>
                <w:sz w:val="20"/>
              </w:rPr>
              <w:t>Investment</w:t>
            </w:r>
          </w:p>
          <w:p w:rsidR="00B723FF" w:rsidRPr="00B3069C" w:rsidRDefault="00B723FF" w:rsidP="005B20EE">
            <w:pPr>
              <w:pStyle w:val="Heading9"/>
              <w:keepNext w:val="0"/>
              <w:rPr>
                <w:rFonts w:ascii="Times New Roman" w:hAnsi="Times New Roman"/>
                <w:b w:val="0"/>
                <w:color w:val="808080"/>
              </w:rPr>
            </w:pPr>
          </w:p>
          <w:p w:rsidR="00B723FF" w:rsidRPr="00B3069C" w:rsidRDefault="00B723FF" w:rsidP="005B20EE">
            <w:pPr>
              <w:rPr>
                <w:sz w:val="20"/>
              </w:rPr>
            </w:pPr>
            <w:r w:rsidRPr="00B3069C">
              <w:rPr>
                <w:i/>
                <w:color w:val="808080"/>
                <w:sz w:val="20"/>
              </w:rPr>
              <w:t xml:space="preserve"> </w:t>
            </w:r>
          </w:p>
        </w:tc>
        <w:tc>
          <w:tcPr>
            <w:tcW w:w="7371" w:type="dxa"/>
          </w:tcPr>
          <w:p w:rsidR="00B723FF" w:rsidRPr="00B3069C" w:rsidRDefault="00B723FF" w:rsidP="005B20EE">
            <w:pPr>
              <w:spacing w:after="120"/>
              <w:rPr>
                <w:rFonts w:eastAsia="SimSun"/>
                <w:sz w:val="20"/>
                <w:lang w:eastAsia="zh-CN"/>
              </w:rPr>
            </w:pPr>
            <w:r w:rsidRPr="00B3069C">
              <w:rPr>
                <w:rFonts w:eastAsia="SimSun"/>
                <w:sz w:val="20"/>
                <w:lang w:val="en-US" w:eastAsia="zh-CN"/>
              </w:rPr>
              <w:t xml:space="preserve">A summary of Australia’s Foreign Investment Policy is available at: </w:t>
            </w:r>
            <w:hyperlink r:id="rId25" w:history="1">
              <w:r w:rsidRPr="00B3069C">
                <w:rPr>
                  <w:rFonts w:eastAsia="SimSun"/>
                  <w:color w:val="0000FF"/>
                  <w:sz w:val="20"/>
                  <w:u w:val="single"/>
                  <w:lang w:eastAsia="zh-CN"/>
                </w:rPr>
                <w:t>http://www.firb.gov.au/content/policy.asp?NavID=1</w:t>
              </w:r>
            </w:hyperlink>
          </w:p>
          <w:p w:rsidR="00B723FF" w:rsidRPr="00B3069C" w:rsidRDefault="00B723FF" w:rsidP="005B20EE">
            <w:pPr>
              <w:spacing w:after="120"/>
              <w:rPr>
                <w:rFonts w:eastAsia="SimSun"/>
                <w:sz w:val="20"/>
                <w:lang w:val="en-US" w:eastAsia="zh-CN"/>
              </w:rPr>
            </w:pPr>
            <w:r w:rsidRPr="00B3069C">
              <w:rPr>
                <w:rFonts w:eastAsia="SimSun"/>
                <w:sz w:val="20"/>
                <w:lang w:val="en-US" w:eastAsia="zh-CN"/>
              </w:rPr>
              <w:t xml:space="preserve">Most recent figure for the stock of foreign direct investment in Australia is $595 billion as at 30 June 2013. </w:t>
            </w:r>
          </w:p>
          <w:p w:rsidR="00B723FF" w:rsidRPr="00B3069C" w:rsidRDefault="00B723FF" w:rsidP="005B20EE">
            <w:pPr>
              <w:spacing w:after="120"/>
              <w:rPr>
                <w:rFonts w:eastAsia="SimSun"/>
                <w:sz w:val="20"/>
                <w:lang w:val="en-US" w:eastAsia="zh-CN"/>
              </w:rPr>
            </w:pPr>
            <w:r w:rsidRPr="00B3069C">
              <w:rPr>
                <w:rFonts w:eastAsia="SimSun"/>
                <w:sz w:val="20"/>
                <w:lang w:val="en-US" w:eastAsia="zh-CN"/>
              </w:rPr>
              <w:t>Further liberalisation of Australia’s foreign investment regime took place in 2013, including:</w:t>
            </w:r>
          </w:p>
          <w:p w:rsidR="00B723FF" w:rsidRPr="00B3069C" w:rsidRDefault="00B723FF" w:rsidP="005B20EE">
            <w:pPr>
              <w:numPr>
                <w:ilvl w:val="0"/>
                <w:numId w:val="5"/>
              </w:numPr>
              <w:spacing w:after="120"/>
              <w:rPr>
                <w:rFonts w:eastAsia="SimSun"/>
                <w:sz w:val="20"/>
                <w:lang w:val="en-US" w:eastAsia="zh-CN"/>
              </w:rPr>
            </w:pPr>
            <w:r w:rsidRPr="00B3069C">
              <w:rPr>
                <w:rFonts w:eastAsia="SimSun"/>
                <w:sz w:val="20"/>
                <w:lang w:val="en-US" w:eastAsia="zh-CN"/>
              </w:rPr>
              <w:t>the coming into force of the Protocol on Investment to the Australia-New Zealand Closer Economic Relations Trade Agreement on 1 March 2013, which extended the higher monetary thresholds that currently apply to United States investors</w:t>
            </w:r>
            <w:r w:rsidR="00A31B9B">
              <w:rPr>
                <w:rFonts w:eastAsia="SimSun"/>
                <w:sz w:val="20"/>
                <w:lang w:val="en-US" w:eastAsia="zh-CN"/>
              </w:rPr>
              <w:t xml:space="preserve"> under the Australia-Unite</w:t>
            </w:r>
            <w:r w:rsidR="00050995">
              <w:rPr>
                <w:rFonts w:eastAsia="SimSun"/>
                <w:sz w:val="20"/>
                <w:lang w:val="en-US" w:eastAsia="zh-CN"/>
              </w:rPr>
              <w:t>d States Free Trade Agreement</w:t>
            </w:r>
            <w:r w:rsidRPr="00B3069C">
              <w:rPr>
                <w:rFonts w:eastAsia="SimSun"/>
                <w:sz w:val="20"/>
                <w:lang w:val="en-US" w:eastAsia="zh-CN"/>
              </w:rPr>
              <w:t xml:space="preserve"> to New Zealand investors; and</w:t>
            </w:r>
          </w:p>
          <w:p w:rsidR="00B723FF" w:rsidRPr="00B3069C" w:rsidRDefault="00B723FF" w:rsidP="005B20EE">
            <w:pPr>
              <w:numPr>
                <w:ilvl w:val="0"/>
                <w:numId w:val="5"/>
              </w:numPr>
              <w:spacing w:after="120"/>
              <w:rPr>
                <w:rFonts w:eastAsia="SimSun"/>
                <w:sz w:val="20"/>
                <w:lang w:val="en-US" w:eastAsia="zh-CN"/>
              </w:rPr>
            </w:pPr>
            <w:r w:rsidRPr="00B3069C">
              <w:rPr>
                <w:rFonts w:eastAsia="SimSun"/>
                <w:sz w:val="20"/>
                <w:lang w:val="en-US" w:eastAsia="zh-CN"/>
              </w:rPr>
              <w:t>updates to Australia’s Foreign Investment Policy that improved its clarity and consistency, making it easier for foreign investors to understand their obligations.</w:t>
            </w:r>
            <w:r w:rsidR="009E1601">
              <w:rPr>
                <w:rFonts w:ascii="Calibri" w:hAnsi="Calibri" w:cs="Calibri"/>
                <w:i/>
                <w:iCs/>
                <w:color w:val="1F497D"/>
                <w:sz w:val="20"/>
                <w:lang w:val="en-US"/>
              </w:rPr>
              <w:t xml:space="preserve"> </w:t>
            </w:r>
            <w:r w:rsidR="009E1601" w:rsidRPr="009E1601">
              <w:rPr>
                <w:iCs/>
                <w:sz w:val="20"/>
                <w:lang w:val="en-US"/>
              </w:rPr>
              <w:t>Updates included a relaxation from notification for foreign government banks that take security when lending, unless they later enforce the security and hold the assets for more than 12 months, and clearer definitions of ‘direct investment’ and ‘new business’.</w:t>
            </w:r>
            <w:r w:rsidR="009E1601" w:rsidRPr="009E1601">
              <w:rPr>
                <w:rFonts w:ascii="Calibri" w:hAnsi="Calibri" w:cs="Calibri"/>
                <w:i/>
                <w:iCs/>
                <w:sz w:val="20"/>
                <w:lang w:val="en-US"/>
              </w:rPr>
              <w:t xml:space="preserve">  </w:t>
            </w:r>
          </w:p>
          <w:p w:rsidR="00B723FF" w:rsidRPr="00E255E2" w:rsidRDefault="00B723FF" w:rsidP="005B20EE">
            <w:pPr>
              <w:spacing w:after="120"/>
              <w:rPr>
                <w:sz w:val="20"/>
              </w:rPr>
            </w:pPr>
            <w:r w:rsidRPr="00E255E2">
              <w:rPr>
                <w:sz w:val="20"/>
              </w:rPr>
              <w:t>The Foreign Investment Review Board (FIRB) has published annual reports to the Australian Parliament (for the years 1996-2012 inclusive) which illustrate results of the screening</w:t>
            </w:r>
            <w:r w:rsidR="00050995">
              <w:rPr>
                <w:sz w:val="20"/>
              </w:rPr>
              <w:t xml:space="preserve"> process.  The most recent</w:t>
            </w:r>
            <w:r w:rsidRPr="00E255E2">
              <w:rPr>
                <w:sz w:val="20"/>
              </w:rPr>
              <w:t xml:space="preserve"> report is available at </w:t>
            </w:r>
            <w:hyperlink r:id="rId26" w:history="1">
              <w:r w:rsidRPr="00E255E2">
                <w:rPr>
                  <w:color w:val="0000FF"/>
                  <w:sz w:val="20"/>
                  <w:u w:val="single"/>
                </w:rPr>
                <w:t>www.firb.gov.au</w:t>
              </w:r>
            </w:hyperlink>
            <w:r w:rsidRPr="00E255E2">
              <w:rPr>
                <w:sz w:val="20"/>
              </w:rPr>
              <w:t xml:space="preserve"> along with policy summaries and other relevant information for foreign investors seeking to invest in Australia.</w:t>
            </w:r>
          </w:p>
        </w:tc>
        <w:tc>
          <w:tcPr>
            <w:tcW w:w="4658" w:type="dxa"/>
          </w:tcPr>
          <w:p w:rsidR="00B723FF" w:rsidRPr="00B3069C" w:rsidRDefault="00B723FF" w:rsidP="005B20EE">
            <w:pPr>
              <w:pStyle w:val="Heading9"/>
              <w:keepNext w:val="0"/>
              <w:rPr>
                <w:rFonts w:ascii="Times New Roman" w:hAnsi="Times New Roman"/>
                <w:b w:val="0"/>
              </w:rPr>
            </w:pPr>
          </w:p>
        </w:tc>
      </w:tr>
      <w:tr w:rsidR="00E255E2" w:rsidRPr="00B3069C" w:rsidTr="00714E4C">
        <w:trPr>
          <w:trHeight w:val="200"/>
        </w:trPr>
        <w:tc>
          <w:tcPr>
            <w:tcW w:w="2552" w:type="dxa"/>
          </w:tcPr>
          <w:p w:rsidR="00E255E2" w:rsidRPr="002D728A" w:rsidRDefault="00E255E2" w:rsidP="005B20EE">
            <w:pPr>
              <w:rPr>
                <w:i/>
                <w:sz w:val="20"/>
              </w:rPr>
            </w:pPr>
            <w:r w:rsidRPr="002D728A">
              <w:rPr>
                <w:i/>
                <w:color w:val="808080"/>
                <w:sz w:val="20"/>
              </w:rPr>
              <w:t xml:space="preserve">Website for further information:  </w:t>
            </w:r>
          </w:p>
        </w:tc>
        <w:tc>
          <w:tcPr>
            <w:tcW w:w="7371" w:type="dxa"/>
          </w:tcPr>
          <w:p w:rsidR="00E255E2" w:rsidRPr="00E255E2" w:rsidRDefault="00E632DC" w:rsidP="005B20EE">
            <w:pPr>
              <w:spacing w:after="120"/>
              <w:rPr>
                <w:sz w:val="20"/>
              </w:rPr>
            </w:pPr>
            <w:hyperlink r:id="rId27" w:history="1">
              <w:r w:rsidR="00E255E2" w:rsidRPr="00E255E2">
                <w:rPr>
                  <w:color w:val="0000FF"/>
                  <w:sz w:val="20"/>
                  <w:u w:val="single"/>
                </w:rPr>
                <w:t>www.firb.gov.au</w:t>
              </w:r>
            </w:hyperlink>
          </w:p>
        </w:tc>
        <w:tc>
          <w:tcPr>
            <w:tcW w:w="4658" w:type="dxa"/>
          </w:tcPr>
          <w:p w:rsidR="00E255E2" w:rsidRPr="00B3069C" w:rsidRDefault="00E255E2" w:rsidP="005B20EE">
            <w:pPr>
              <w:pStyle w:val="Heading9"/>
              <w:keepNext w:val="0"/>
              <w:rPr>
                <w:rFonts w:ascii="Times New Roman" w:hAnsi="Times New Roman"/>
                <w:color w:val="808080"/>
              </w:rPr>
            </w:pPr>
          </w:p>
        </w:tc>
      </w:tr>
      <w:tr w:rsidR="00B723FF" w:rsidRPr="00B3069C" w:rsidTr="00714E4C">
        <w:trPr>
          <w:trHeight w:val="245"/>
        </w:trPr>
        <w:tc>
          <w:tcPr>
            <w:tcW w:w="2552" w:type="dxa"/>
          </w:tcPr>
          <w:p w:rsidR="00B723FF" w:rsidRPr="002D728A" w:rsidRDefault="00B723FF" w:rsidP="005B20EE">
            <w:pPr>
              <w:pStyle w:val="Heading9"/>
              <w:keepNext w:val="0"/>
              <w:rPr>
                <w:rFonts w:ascii="Times New Roman" w:hAnsi="Times New Roman"/>
                <w:b w:val="0"/>
                <w:color w:val="808080"/>
              </w:rPr>
            </w:pPr>
            <w:r w:rsidRPr="002D728A">
              <w:rPr>
                <w:rFonts w:ascii="Times New Roman" w:hAnsi="Times New Roman"/>
                <w:b w:val="0"/>
                <w:color w:val="808080"/>
              </w:rPr>
              <w:t>Contact point for further details:</w:t>
            </w:r>
          </w:p>
        </w:tc>
        <w:tc>
          <w:tcPr>
            <w:tcW w:w="7371" w:type="dxa"/>
          </w:tcPr>
          <w:p w:rsidR="00B723FF" w:rsidRPr="00E255E2" w:rsidRDefault="00B723FF" w:rsidP="005B20EE">
            <w:pPr>
              <w:pStyle w:val="Heading9"/>
              <w:keepNext w:val="0"/>
              <w:spacing w:after="120"/>
              <w:rPr>
                <w:rFonts w:ascii="Times New Roman" w:hAnsi="Times New Roman"/>
                <w:b w:val="0"/>
                <w:i w:val="0"/>
              </w:rPr>
            </w:pPr>
            <w:r w:rsidRPr="00E255E2">
              <w:rPr>
                <w:rFonts w:ascii="Times New Roman" w:hAnsi="Times New Roman"/>
                <w:b w:val="0"/>
                <w:bCs/>
                <w:i w:val="0"/>
                <w:lang w:val="en-US"/>
              </w:rPr>
              <w:t>Stewart Nixon - The Treasury: +61 2 6263 2764</w:t>
            </w:r>
          </w:p>
        </w:tc>
        <w:tc>
          <w:tcPr>
            <w:tcW w:w="4658" w:type="dxa"/>
          </w:tcPr>
          <w:p w:rsidR="00B723FF" w:rsidRPr="00B3069C" w:rsidRDefault="00B723FF" w:rsidP="005B20EE">
            <w:pPr>
              <w:pStyle w:val="Heading9"/>
              <w:keepNext w:val="0"/>
              <w:rPr>
                <w:rFonts w:ascii="Times New Roman" w:hAnsi="Times New Roman"/>
                <w:b w:val="0"/>
              </w:rPr>
            </w:pPr>
          </w:p>
        </w:tc>
      </w:tr>
      <w:tr w:rsidR="00BD6E66" w:rsidRPr="00B3069C" w:rsidTr="00714E4C">
        <w:tc>
          <w:tcPr>
            <w:tcW w:w="2552" w:type="dxa"/>
            <w:vMerge w:val="restart"/>
          </w:tcPr>
          <w:p w:rsidR="00BD6E66" w:rsidRPr="00B3069C" w:rsidRDefault="00BD6E66" w:rsidP="005B20EE">
            <w:pPr>
              <w:rPr>
                <w:b/>
                <w:i/>
                <w:sz w:val="20"/>
              </w:rPr>
            </w:pPr>
            <w:bookmarkStart w:id="7" w:name="Row5"/>
            <w:r w:rsidRPr="00B3069C">
              <w:rPr>
                <w:b/>
                <w:i/>
                <w:sz w:val="20"/>
              </w:rPr>
              <w:t>Standards and Conformance</w:t>
            </w:r>
            <w:bookmarkEnd w:id="7"/>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b/>
                <w:color w:val="808080"/>
                <w:sz w:val="20"/>
              </w:rPr>
            </w:pPr>
          </w:p>
          <w:p w:rsidR="00BD6E66" w:rsidRPr="00B3069C" w:rsidRDefault="00BD6E66" w:rsidP="005B20EE">
            <w:pPr>
              <w:rPr>
                <w:b/>
                <w:i/>
                <w:sz w:val="20"/>
              </w:rPr>
            </w:pPr>
          </w:p>
        </w:tc>
        <w:tc>
          <w:tcPr>
            <w:tcW w:w="7371" w:type="dxa"/>
          </w:tcPr>
          <w:p w:rsidR="00BD6E66" w:rsidRPr="00B3069C" w:rsidRDefault="00BD6E66" w:rsidP="005B20EE">
            <w:pPr>
              <w:spacing w:after="120"/>
              <w:rPr>
                <w:b/>
                <w:sz w:val="20"/>
              </w:rPr>
            </w:pPr>
            <w:bookmarkStart w:id="8" w:name="Cell05"/>
            <w:bookmarkEnd w:id="8"/>
            <w:r w:rsidRPr="00B3069C">
              <w:rPr>
                <w:b/>
                <w:sz w:val="20"/>
              </w:rPr>
              <w:t>Standards Development</w:t>
            </w:r>
          </w:p>
          <w:p w:rsidR="00BD6E66" w:rsidRPr="00B3069C" w:rsidRDefault="00BD6E66" w:rsidP="005B20EE">
            <w:pPr>
              <w:spacing w:after="120"/>
              <w:rPr>
                <w:sz w:val="20"/>
              </w:rPr>
            </w:pPr>
            <w:r w:rsidRPr="00B3069C">
              <w:rPr>
                <w:sz w:val="20"/>
              </w:rPr>
              <w:t>Of the total catalogue of Austra</w:t>
            </w:r>
            <w:r>
              <w:rPr>
                <w:sz w:val="20"/>
              </w:rPr>
              <w:t>lian Standards approximately 38 per cent</w:t>
            </w:r>
            <w:r w:rsidRPr="00B3069C">
              <w:rPr>
                <w:sz w:val="20"/>
              </w:rPr>
              <w:t xml:space="preserve"> of these are identical or aligned to international standards. </w:t>
            </w:r>
          </w:p>
          <w:p w:rsidR="00BD6E66" w:rsidRPr="00B3069C" w:rsidRDefault="00BD6E66" w:rsidP="005B20EE">
            <w:pPr>
              <w:pStyle w:val="BodyText"/>
              <w:spacing w:after="120"/>
              <w:jc w:val="left"/>
              <w:rPr>
                <w:noProof/>
              </w:rPr>
            </w:pPr>
            <w:r w:rsidRPr="00B3069C">
              <w:rPr>
                <w:noProof/>
              </w:rPr>
              <w:t xml:space="preserve">Australia participates actively in international standardisation activities.  Standards Australia is the secretariat for 23 ISO and IEC technical committees, and subcommittees.  Standards Australia currently holds 353 ‘P’ memberships and 188 ‘O’ memberships on ISO and IEC technical committees and subcommittees.  </w:t>
            </w:r>
          </w:p>
          <w:p w:rsidR="00BD6E66" w:rsidRPr="00B3069C" w:rsidRDefault="00BD6E66" w:rsidP="005B20EE">
            <w:pPr>
              <w:spacing w:after="120"/>
              <w:rPr>
                <w:b/>
                <w:bCs/>
                <w:iCs/>
                <w:sz w:val="20"/>
              </w:rPr>
            </w:pPr>
            <w:r w:rsidRPr="00B3069C">
              <w:rPr>
                <w:b/>
                <w:bCs/>
                <w:iCs/>
                <w:sz w:val="20"/>
              </w:rPr>
              <w:t>Conformity Assessment</w:t>
            </w:r>
          </w:p>
          <w:p w:rsidR="00BD6E66" w:rsidRPr="00B3069C" w:rsidRDefault="00BD6E66" w:rsidP="005B20EE">
            <w:pPr>
              <w:spacing w:after="120"/>
              <w:rPr>
                <w:noProof/>
                <w:sz w:val="20"/>
              </w:rPr>
            </w:pPr>
            <w:r w:rsidRPr="00B3069C">
              <w:rPr>
                <w:noProof/>
                <w:sz w:val="20"/>
              </w:rPr>
              <w:t xml:space="preserve">The National Association of Testing Authorities, Australia (NATA) has signatory status in all areas of the Asia-Pacific Accreditation Cooperation (APLAC) Mutual Recognition Arragement and is also a signatory to the global </w:t>
            </w:r>
            <w:r w:rsidRPr="00B3069C">
              <w:rPr>
                <w:color w:val="000000"/>
                <w:sz w:val="20"/>
              </w:rPr>
              <w:t>International Laboratory Accreditation Cooperation (</w:t>
            </w:r>
            <w:r w:rsidRPr="00B3069C">
              <w:rPr>
                <w:noProof/>
                <w:sz w:val="20"/>
              </w:rPr>
              <w:t>ILAC) MRA for testing, calibration and inspection.  Inspection was added to the coverage of the ILAC MRA in October 2012.</w:t>
            </w:r>
          </w:p>
          <w:p w:rsidR="00BD6E66" w:rsidRPr="00B3069C" w:rsidRDefault="00BD6E66" w:rsidP="005B20EE">
            <w:pPr>
              <w:spacing w:after="120"/>
              <w:rPr>
                <w:sz w:val="20"/>
              </w:rPr>
            </w:pPr>
            <w:r w:rsidRPr="00B3069C">
              <w:rPr>
                <w:sz w:val="20"/>
              </w:rPr>
              <w:t xml:space="preserve">NATA staff have attended meetings and contributed to the work of the International Organisation for Standardisation (ISO) committees revising ISO/IEC 17020 (inspection) and ISO 15189 (medical testing).  Revised versions of these standards were issued in 2012. </w:t>
            </w:r>
          </w:p>
          <w:p w:rsidR="00BD6E66" w:rsidRPr="00B3069C" w:rsidRDefault="00BD6E66" w:rsidP="005B20EE">
            <w:pPr>
              <w:spacing w:after="120"/>
              <w:rPr>
                <w:sz w:val="20"/>
              </w:rPr>
            </w:pPr>
            <w:r w:rsidRPr="00B3069C">
              <w:rPr>
                <w:sz w:val="20"/>
              </w:rPr>
              <w:t>The Joint Accreditation System of Australia and New Zealand (JAS-ANZ) has recently been re-evaluated as a signatory to the PAC Multilateral Recognition Arrangement (MLA)</w:t>
            </w:r>
            <w:r>
              <w:rPr>
                <w:sz w:val="20"/>
              </w:rPr>
              <w:t>. The re-evaluation took into account the</w:t>
            </w:r>
            <w:r w:rsidRPr="00B3069C">
              <w:rPr>
                <w:sz w:val="20"/>
              </w:rPr>
              <w:t xml:space="preserve"> scope</w:t>
            </w:r>
            <w:r>
              <w:rPr>
                <w:sz w:val="20"/>
              </w:rPr>
              <w:t xml:space="preserve"> of its</w:t>
            </w:r>
            <w:r w:rsidRPr="00B3069C">
              <w:rPr>
                <w:sz w:val="20"/>
              </w:rPr>
              <w:t xml:space="preserve"> Quality Management Systems (QMS), Environmental Management Systems (EMS) and Product certification </w:t>
            </w:r>
            <w:r>
              <w:rPr>
                <w:sz w:val="20"/>
              </w:rPr>
              <w:t xml:space="preserve">systems </w:t>
            </w:r>
            <w:r w:rsidRPr="00B3069C">
              <w:rPr>
                <w:sz w:val="20"/>
              </w:rPr>
              <w:t xml:space="preserve">and an initial evaluation for Food Safety Management Systems (FSMS). </w:t>
            </w:r>
          </w:p>
          <w:p w:rsidR="00BD6E66" w:rsidRPr="00B3069C" w:rsidRDefault="00BD6E66" w:rsidP="005B20EE">
            <w:pPr>
              <w:spacing w:after="120"/>
              <w:rPr>
                <w:sz w:val="20"/>
              </w:rPr>
            </w:pPr>
            <w:r w:rsidRPr="00B3069C">
              <w:rPr>
                <w:sz w:val="20"/>
              </w:rPr>
              <w:t>JAS-ANZ is also a signatory to the IAF MLA for Quality Management Systems (QMS), Environmental Management Systems (EMS) and Product certification</w:t>
            </w:r>
          </w:p>
          <w:p w:rsidR="00BD6E66" w:rsidRPr="00B3069C" w:rsidRDefault="00BD6E66" w:rsidP="005B20EE">
            <w:pPr>
              <w:spacing w:after="120"/>
              <w:rPr>
                <w:bCs/>
                <w:iCs/>
                <w:sz w:val="20"/>
              </w:rPr>
            </w:pPr>
            <w:r w:rsidRPr="00B3069C">
              <w:rPr>
                <w:bCs/>
                <w:iCs/>
                <w:sz w:val="20"/>
              </w:rPr>
              <w:t>JAS-ANZ has been re-evaluated as a signatory to the APLAC MRA for Inspection. JAS-ANZ is a signatory to the ILAC MRA for Inspection.</w:t>
            </w:r>
          </w:p>
          <w:p w:rsidR="00BD6E66" w:rsidRPr="00B3069C" w:rsidRDefault="00BD6E66" w:rsidP="005B20EE">
            <w:pPr>
              <w:spacing w:after="120"/>
              <w:rPr>
                <w:bCs/>
                <w:iCs/>
                <w:sz w:val="20"/>
              </w:rPr>
            </w:pPr>
            <w:r w:rsidRPr="00B3069C">
              <w:rPr>
                <w:bCs/>
                <w:iCs/>
                <w:sz w:val="20"/>
              </w:rPr>
              <w:t>JAS-ANZ staff hold the following international positions; Chair of PAC, Chair IAF MLA Committee both Chairs are members of the IAF and joint IAF and ILAC Executive Committees and the Chair of the IAF Food Working Group.  JAS-ANZ also provides staff to participate as experts on ISO CASCO working groups for the development of international standards on conformity assessment.</w:t>
            </w:r>
          </w:p>
          <w:p w:rsidR="00942CED" w:rsidRDefault="00942CED" w:rsidP="005B20EE">
            <w:pPr>
              <w:spacing w:after="120"/>
              <w:rPr>
                <w:b/>
                <w:bCs/>
                <w:iCs/>
                <w:sz w:val="20"/>
              </w:rPr>
            </w:pPr>
          </w:p>
          <w:p w:rsidR="00BD6E66" w:rsidRPr="00B3069C" w:rsidRDefault="00BD6E66" w:rsidP="005B20EE">
            <w:pPr>
              <w:spacing w:after="120"/>
              <w:rPr>
                <w:b/>
                <w:bCs/>
                <w:iCs/>
                <w:sz w:val="20"/>
              </w:rPr>
            </w:pPr>
            <w:r w:rsidRPr="00B3069C">
              <w:rPr>
                <w:b/>
                <w:bCs/>
                <w:iCs/>
                <w:sz w:val="20"/>
              </w:rPr>
              <w:t>Measurement</w:t>
            </w:r>
          </w:p>
          <w:p w:rsidR="00BD6E66" w:rsidRPr="00B3069C" w:rsidRDefault="00BD6E66" w:rsidP="005B20EE">
            <w:pPr>
              <w:spacing w:after="120"/>
              <w:rPr>
                <w:sz w:val="20"/>
              </w:rPr>
            </w:pPr>
            <w:r w:rsidRPr="00B3069C">
              <w:rPr>
                <w:sz w:val="20"/>
              </w:rPr>
              <w:t>As Australia’s peak measurement body, the National Measurement Institute, Australia (NMIA), is Australia’s signatory to the International Committee for Weights &amp; Measures Mutual Recognition Arrangement (the CIPM MRA) as well as the Mutual Acceptance Arrangement (MAA) of the International Organization for Legal Metrology (OIML). As at December 2013, 93 national and international institutes have signed the CIPM MRA. Three Declarations of Mutual Confidence (DoMCs) were signed at the outset of the MAA implementation in December 2013, these include 22 participating countries.</w:t>
            </w:r>
          </w:p>
          <w:p w:rsidR="00BD6E66" w:rsidRDefault="00BD6E66" w:rsidP="005B20EE">
            <w:pPr>
              <w:spacing w:after="120"/>
              <w:rPr>
                <w:sz w:val="20"/>
              </w:rPr>
            </w:pPr>
            <w:r w:rsidRPr="00B3069C">
              <w:rPr>
                <w:sz w:val="20"/>
              </w:rPr>
              <w:t xml:space="preserve">Information regarding NMIA and its activities can be found at: </w:t>
            </w:r>
            <w:hyperlink r:id="rId28" w:history="1">
              <w:r w:rsidRPr="00B3069C">
                <w:rPr>
                  <w:rStyle w:val="Hyperlink"/>
                  <w:sz w:val="20"/>
                </w:rPr>
                <w:t>www.measurement.gov.au</w:t>
              </w:r>
            </w:hyperlink>
          </w:p>
          <w:p w:rsidR="00BD6E66" w:rsidRPr="00B3069C" w:rsidRDefault="00E632DC" w:rsidP="005B20EE">
            <w:pPr>
              <w:spacing w:after="120"/>
              <w:rPr>
                <w:rStyle w:val="Hyperlink"/>
                <w:color w:val="auto"/>
                <w:sz w:val="20"/>
                <w:u w:val="none"/>
              </w:rPr>
            </w:pPr>
            <w:hyperlink r:id="rId29" w:history="1">
              <w:r w:rsidR="00BD6E66" w:rsidRPr="00B3069C">
                <w:rPr>
                  <w:rStyle w:val="Hyperlink"/>
                  <w:sz w:val="20"/>
                </w:rPr>
                <w:t>http://www.aplac.org</w:t>
              </w:r>
            </w:hyperlink>
            <w:r w:rsidR="00BD6E66" w:rsidRPr="00B3069C">
              <w:rPr>
                <w:rStyle w:val="Hyperlink"/>
                <w:sz w:val="20"/>
              </w:rPr>
              <w:t xml:space="preserve"> </w:t>
            </w:r>
          </w:p>
          <w:p w:rsidR="00BD6E66" w:rsidRDefault="00E632DC" w:rsidP="005B20EE">
            <w:pPr>
              <w:spacing w:after="120"/>
              <w:rPr>
                <w:rStyle w:val="Hyperlink"/>
                <w:color w:val="auto"/>
                <w:sz w:val="20"/>
                <w:u w:val="none"/>
              </w:rPr>
            </w:pPr>
            <w:hyperlink r:id="rId30" w:history="1">
              <w:r w:rsidR="00BD6E66" w:rsidRPr="00B3069C">
                <w:rPr>
                  <w:rStyle w:val="Hyperlink"/>
                  <w:sz w:val="20"/>
                </w:rPr>
                <w:t>www.nata.com.au</w:t>
              </w:r>
            </w:hyperlink>
          </w:p>
          <w:p w:rsidR="00BD6E66" w:rsidRDefault="00E632DC" w:rsidP="005B20EE">
            <w:pPr>
              <w:spacing w:after="120"/>
              <w:rPr>
                <w:sz w:val="20"/>
              </w:rPr>
            </w:pPr>
            <w:hyperlink r:id="rId31" w:history="1">
              <w:r w:rsidR="00BD6E66" w:rsidRPr="00B3069C">
                <w:rPr>
                  <w:rStyle w:val="Hyperlink"/>
                  <w:sz w:val="20"/>
                </w:rPr>
                <w:t>http://www.apec-pac.org/</w:t>
              </w:r>
            </w:hyperlink>
          </w:p>
          <w:p w:rsidR="00BD6E66" w:rsidRPr="00B3069C" w:rsidRDefault="00E632DC" w:rsidP="005B20EE">
            <w:pPr>
              <w:spacing w:after="120"/>
              <w:rPr>
                <w:color w:val="0000FF"/>
                <w:sz w:val="20"/>
                <w:u w:val="single"/>
              </w:rPr>
            </w:pPr>
            <w:hyperlink r:id="rId32" w:history="1">
              <w:r w:rsidR="00BD6E66" w:rsidRPr="00B3069C">
                <w:rPr>
                  <w:rStyle w:val="Hyperlink"/>
                  <w:sz w:val="20"/>
                </w:rPr>
                <w:t>http://www.iaf.nu</w:t>
              </w:r>
            </w:hyperlink>
          </w:p>
          <w:p w:rsidR="00BD6E66" w:rsidRPr="00213E36" w:rsidRDefault="00E632DC" w:rsidP="005B20EE">
            <w:pPr>
              <w:spacing w:after="120"/>
              <w:rPr>
                <w:color w:val="0000FF"/>
                <w:sz w:val="20"/>
                <w:u w:val="single"/>
              </w:rPr>
            </w:pPr>
            <w:hyperlink r:id="rId33" w:history="1">
              <w:r w:rsidR="00BD6E66" w:rsidRPr="00B3069C">
                <w:rPr>
                  <w:rStyle w:val="Hyperlink"/>
                  <w:sz w:val="20"/>
                </w:rPr>
                <w:t>http://www.iso.org/iso/resources/conformity_assessment/objectives_and_structure_of_casco.htm</w:t>
              </w:r>
            </w:hyperlink>
          </w:p>
        </w:tc>
        <w:tc>
          <w:tcPr>
            <w:tcW w:w="4658" w:type="dxa"/>
          </w:tcPr>
          <w:p w:rsidR="00BD6E66" w:rsidRPr="00B3069C" w:rsidRDefault="00BD6E66" w:rsidP="005B20EE">
            <w:pPr>
              <w:spacing w:after="120"/>
              <w:rPr>
                <w:sz w:val="20"/>
              </w:rPr>
            </w:pPr>
            <w:bookmarkStart w:id="9" w:name="Cell06"/>
            <w:bookmarkEnd w:id="9"/>
            <w:r w:rsidRPr="00B3069C">
              <w:rPr>
                <w:b/>
                <w:sz w:val="20"/>
              </w:rPr>
              <w:t>NATA</w:t>
            </w:r>
            <w:r w:rsidRPr="00B3069C">
              <w:rPr>
                <w:sz w:val="20"/>
              </w:rPr>
              <w:t xml:space="preserve"> will continue to actively promote the acceptance by regulators and other specifiers of accreditation and the voluntary sector of the APLAC and ILAC MRAs as a means of providing confidence in conformity assessment activities domestically, regionally and internationally.  </w:t>
            </w:r>
          </w:p>
          <w:p w:rsidR="00BD6E66" w:rsidRPr="00B3069C" w:rsidRDefault="00BD6E66" w:rsidP="005B20EE">
            <w:pPr>
              <w:spacing w:after="120"/>
              <w:rPr>
                <w:sz w:val="20"/>
              </w:rPr>
            </w:pPr>
            <w:r w:rsidRPr="00B3069C">
              <w:rPr>
                <w:b/>
                <w:sz w:val="20"/>
              </w:rPr>
              <w:t>NATA</w:t>
            </w:r>
            <w:r w:rsidRPr="00B3069C">
              <w:rPr>
                <w:sz w:val="20"/>
              </w:rPr>
              <w:t xml:space="preserve"> has applied to be a signatory to the APLAC MRA for medical testing (ISO 15189) and the inaugural APLAC MRA for Proficiency Testing Service Providers. These will be reviewed in 2015.   </w:t>
            </w:r>
          </w:p>
          <w:p w:rsidR="00BD6E66" w:rsidRPr="00B3069C" w:rsidRDefault="00BD6E66" w:rsidP="005B20EE">
            <w:pPr>
              <w:spacing w:after="120"/>
              <w:rPr>
                <w:sz w:val="20"/>
              </w:rPr>
            </w:pPr>
            <w:r w:rsidRPr="00B3069C">
              <w:rPr>
                <w:sz w:val="20"/>
              </w:rPr>
              <w:t>JAS-ANZ will extend their signatory status to the PAC and IAF MLAs to include Certification of Persons, Information Security Management Systems, Green House Gas and Medical Devices over this period.</w:t>
            </w:r>
          </w:p>
          <w:p w:rsidR="00BD6E66" w:rsidRPr="00B3069C" w:rsidRDefault="00BD6E66" w:rsidP="005B20EE">
            <w:pPr>
              <w:spacing w:after="120"/>
              <w:rPr>
                <w:sz w:val="20"/>
              </w:rPr>
            </w:pPr>
            <w:r w:rsidRPr="00B3069C">
              <w:rPr>
                <w:sz w:val="20"/>
              </w:rPr>
              <w:t>JAS-ANZ will continue to establish bi-lateral arrangements with accreditation bodies in other economies to foster closer cooperation and improvement.</w:t>
            </w:r>
          </w:p>
          <w:p w:rsidR="00BD6E66" w:rsidRPr="00B3069C" w:rsidRDefault="00BD6E66" w:rsidP="005B20EE">
            <w:pPr>
              <w:spacing w:after="120"/>
              <w:rPr>
                <w:sz w:val="20"/>
              </w:rPr>
            </w:pPr>
          </w:p>
          <w:p w:rsidR="00BD6E66" w:rsidRPr="00B3069C" w:rsidRDefault="00BD6E66" w:rsidP="005B20EE">
            <w:pPr>
              <w:spacing w:after="120"/>
              <w:rPr>
                <w:sz w:val="20"/>
              </w:rPr>
            </w:pPr>
          </w:p>
          <w:p w:rsidR="00BD6E66" w:rsidRPr="00B3069C" w:rsidRDefault="00BD6E66" w:rsidP="005B20EE">
            <w:pPr>
              <w:spacing w:after="120"/>
              <w:rPr>
                <w:sz w:val="20"/>
              </w:rPr>
            </w:pPr>
          </w:p>
          <w:p w:rsidR="00BD6E66" w:rsidRDefault="00BD6E66" w:rsidP="005B20EE">
            <w:pPr>
              <w:spacing w:after="120"/>
              <w:rPr>
                <w:sz w:val="20"/>
              </w:rPr>
            </w:pPr>
          </w:p>
          <w:p w:rsidR="00BD6E66" w:rsidRDefault="00BD6E66" w:rsidP="005B20EE">
            <w:pPr>
              <w:spacing w:after="120"/>
              <w:rPr>
                <w:sz w:val="20"/>
              </w:rPr>
            </w:pPr>
          </w:p>
          <w:p w:rsidR="00BD6E66" w:rsidRDefault="00BD6E66" w:rsidP="005B20EE">
            <w:pPr>
              <w:spacing w:after="120"/>
              <w:rPr>
                <w:sz w:val="20"/>
              </w:rPr>
            </w:pPr>
          </w:p>
          <w:p w:rsidR="00BD6E66" w:rsidRDefault="00BD6E66" w:rsidP="005B20EE">
            <w:pPr>
              <w:spacing w:after="120"/>
              <w:rPr>
                <w:sz w:val="20"/>
              </w:rPr>
            </w:pPr>
          </w:p>
          <w:p w:rsidR="00BD6E66" w:rsidRDefault="00BD6E66" w:rsidP="005B20EE">
            <w:pPr>
              <w:spacing w:after="120"/>
              <w:rPr>
                <w:sz w:val="20"/>
              </w:rPr>
            </w:pPr>
          </w:p>
          <w:p w:rsidR="00BD6E66" w:rsidRDefault="00BD6E66" w:rsidP="005B20EE">
            <w:pPr>
              <w:spacing w:after="120"/>
              <w:rPr>
                <w:sz w:val="20"/>
              </w:rPr>
            </w:pPr>
          </w:p>
          <w:p w:rsidR="00BD6E66" w:rsidRDefault="00BD6E66" w:rsidP="005B20EE">
            <w:pPr>
              <w:spacing w:after="120"/>
              <w:rPr>
                <w:sz w:val="20"/>
              </w:rPr>
            </w:pPr>
          </w:p>
          <w:p w:rsidR="00BD6E66" w:rsidRPr="00B3069C" w:rsidRDefault="00BD6E66" w:rsidP="005B20EE">
            <w:pPr>
              <w:spacing w:after="120"/>
              <w:rPr>
                <w:sz w:val="20"/>
              </w:rPr>
            </w:pPr>
          </w:p>
          <w:p w:rsidR="00BD6E66" w:rsidRPr="00B3069C" w:rsidRDefault="00BD6E66" w:rsidP="005B20EE">
            <w:pPr>
              <w:spacing w:after="120"/>
              <w:rPr>
                <w:sz w:val="20"/>
              </w:rPr>
            </w:pPr>
            <w:r w:rsidRPr="00B3069C">
              <w:rPr>
                <w:b/>
                <w:sz w:val="20"/>
              </w:rPr>
              <w:t>NMIA</w:t>
            </w:r>
            <w:r w:rsidRPr="00B3069C">
              <w:rPr>
                <w:sz w:val="20"/>
              </w:rPr>
              <w:t xml:space="preserve"> is currently delivering against its unified strategic plan (2012-2014) to address Australia’s on-going and future measurement requirements. As of January 2013, NMIA has established a new “sector-based” strategic planning process which will form the basis of its next strategic plan from 2014.</w:t>
            </w:r>
          </w:p>
          <w:p w:rsidR="00BD6E66" w:rsidRPr="00B3069C" w:rsidRDefault="00BD6E66" w:rsidP="005B20EE">
            <w:pPr>
              <w:spacing w:after="120"/>
              <w:rPr>
                <w:i/>
                <w:color w:val="808080"/>
                <w:sz w:val="20"/>
              </w:rPr>
            </w:pPr>
          </w:p>
        </w:tc>
      </w:tr>
      <w:tr w:rsidR="00BD6E66" w:rsidRPr="00B3069C" w:rsidTr="00714E4C">
        <w:tc>
          <w:tcPr>
            <w:tcW w:w="2552" w:type="dxa"/>
            <w:vMerge/>
          </w:tcPr>
          <w:p w:rsidR="00BD6E66" w:rsidRPr="00B3069C" w:rsidRDefault="00BD6E66" w:rsidP="005B20EE">
            <w:pPr>
              <w:rPr>
                <w:b/>
                <w:i/>
                <w:sz w:val="20"/>
              </w:rPr>
            </w:pPr>
          </w:p>
        </w:tc>
        <w:tc>
          <w:tcPr>
            <w:tcW w:w="7371" w:type="dxa"/>
          </w:tcPr>
          <w:p w:rsidR="00BD6E66" w:rsidRPr="00913F14" w:rsidRDefault="00BD6E66" w:rsidP="005B20EE">
            <w:pPr>
              <w:spacing w:after="120"/>
              <w:rPr>
                <w:b/>
                <w:i/>
                <w:sz w:val="20"/>
              </w:rPr>
            </w:pPr>
            <w:r>
              <w:rPr>
                <w:b/>
                <w:i/>
                <w:sz w:val="20"/>
              </w:rPr>
              <w:t>Appropriate stnadards of animal and plant health, and food safety</w:t>
            </w:r>
          </w:p>
          <w:p w:rsidR="00BD6E66" w:rsidRPr="00B3069C" w:rsidRDefault="00BD6E66" w:rsidP="005B20EE">
            <w:pPr>
              <w:spacing w:after="120"/>
              <w:rPr>
                <w:rFonts w:eastAsia="Times New Roman"/>
                <w:b/>
                <w:i/>
                <w:sz w:val="20"/>
              </w:rPr>
            </w:pPr>
            <w:r w:rsidRPr="00B3069C">
              <w:rPr>
                <w:sz w:val="20"/>
              </w:rPr>
              <w:t xml:space="preserve">Australia’s standard setting bodies in the fields of </w:t>
            </w:r>
            <w:r w:rsidRPr="00B3069C">
              <w:rPr>
                <w:b/>
                <w:sz w:val="20"/>
              </w:rPr>
              <w:t>animal and plant health, food safety</w:t>
            </w:r>
            <w:r w:rsidRPr="00B3069C">
              <w:rPr>
                <w:sz w:val="20"/>
              </w:rPr>
              <w:t xml:space="preserve"> and other aspects of human health have adopted international standards as appropriate.  </w:t>
            </w:r>
          </w:p>
        </w:tc>
        <w:tc>
          <w:tcPr>
            <w:tcW w:w="4658" w:type="dxa"/>
          </w:tcPr>
          <w:p w:rsidR="00BD6E66" w:rsidRPr="00B3069C" w:rsidRDefault="00BD6E66" w:rsidP="005B20EE">
            <w:pPr>
              <w:rPr>
                <w:rFonts w:eastAsia="Times New Roman"/>
                <w:sz w:val="20"/>
                <w:lang w:eastAsia="en-AU"/>
              </w:rPr>
            </w:pPr>
          </w:p>
        </w:tc>
      </w:tr>
      <w:tr w:rsidR="00BD6E66" w:rsidRPr="00B3069C" w:rsidTr="00714E4C">
        <w:tc>
          <w:tcPr>
            <w:tcW w:w="2552" w:type="dxa"/>
            <w:vMerge/>
          </w:tcPr>
          <w:p w:rsidR="00BD6E66" w:rsidRPr="00B3069C" w:rsidRDefault="00BD6E66" w:rsidP="005B20EE">
            <w:pPr>
              <w:rPr>
                <w:i/>
                <w:color w:val="808080"/>
                <w:sz w:val="20"/>
              </w:rPr>
            </w:pPr>
          </w:p>
        </w:tc>
        <w:tc>
          <w:tcPr>
            <w:tcW w:w="7371" w:type="dxa"/>
          </w:tcPr>
          <w:p w:rsidR="00BD6E66" w:rsidRPr="00B3069C" w:rsidRDefault="00BD6E66" w:rsidP="005B20EE">
            <w:pPr>
              <w:spacing w:after="120"/>
              <w:rPr>
                <w:rFonts w:eastAsia="Times New Roman"/>
                <w:b/>
                <w:i/>
                <w:sz w:val="20"/>
              </w:rPr>
            </w:pPr>
            <w:r w:rsidRPr="00B3069C">
              <w:rPr>
                <w:rFonts w:eastAsia="Times New Roman"/>
                <w:b/>
                <w:i/>
                <w:sz w:val="20"/>
              </w:rPr>
              <w:t>Active participation in the activities of international standardizing bodies</w:t>
            </w:r>
          </w:p>
          <w:p w:rsidR="00BD6E66" w:rsidRPr="00B3069C" w:rsidRDefault="00BD6E66" w:rsidP="005B20EE">
            <w:pPr>
              <w:spacing w:after="120"/>
              <w:rPr>
                <w:rFonts w:eastAsia="Times New Roman"/>
                <w:sz w:val="20"/>
                <w:lang w:val="en-US"/>
              </w:rPr>
            </w:pPr>
            <w:r w:rsidRPr="00B3069C">
              <w:rPr>
                <w:rFonts w:eastAsia="Times New Roman"/>
                <w:sz w:val="20"/>
                <w:lang w:val="en-US"/>
              </w:rPr>
              <w:t>Australia continues to have a high level of involvement in Codex, the Office International des Epizooties (OIE) and the International Plant Protection Commission (IPPC).</w:t>
            </w:r>
          </w:p>
          <w:p w:rsidR="00BD6E66" w:rsidRPr="00B3069C" w:rsidRDefault="00BD6E66" w:rsidP="005B20EE">
            <w:pPr>
              <w:spacing w:after="120"/>
              <w:rPr>
                <w:rFonts w:eastAsia="Times New Roman"/>
                <w:sz w:val="20"/>
                <w:lang w:val="en-US"/>
              </w:rPr>
            </w:pPr>
            <w:r w:rsidRPr="00B3069C">
              <w:rPr>
                <w:rFonts w:eastAsia="Times New Roman"/>
                <w:sz w:val="20"/>
                <w:lang w:val="en-US"/>
              </w:rPr>
              <w:t xml:space="preserve">Australia currently participates in all active Codex committees. </w:t>
            </w:r>
          </w:p>
          <w:p w:rsidR="00BD6E66" w:rsidRPr="00B3069C" w:rsidRDefault="00BD6E66" w:rsidP="005B20EE">
            <w:pPr>
              <w:spacing w:after="120"/>
              <w:rPr>
                <w:rFonts w:eastAsia="Times New Roman"/>
                <w:sz w:val="20"/>
                <w:lang w:val="en-US"/>
              </w:rPr>
            </w:pPr>
            <w:r w:rsidRPr="00B3069C">
              <w:rPr>
                <w:rFonts w:eastAsia="Times New Roman"/>
                <w:sz w:val="20"/>
                <w:lang w:val="en-US"/>
              </w:rPr>
              <w:t>Australia has high-level management roles in the Codex Alimentarius as:</w:t>
            </w:r>
          </w:p>
          <w:p w:rsidR="00BD6E66" w:rsidRPr="00B3069C" w:rsidRDefault="00BD6E66" w:rsidP="005B20EE">
            <w:pPr>
              <w:numPr>
                <w:ilvl w:val="0"/>
                <w:numId w:val="15"/>
              </w:numPr>
              <w:spacing w:after="120"/>
              <w:rPr>
                <w:rFonts w:eastAsia="Times New Roman"/>
                <w:sz w:val="20"/>
                <w:lang w:val="en-US"/>
              </w:rPr>
            </w:pPr>
            <w:r w:rsidRPr="00B3069C">
              <w:rPr>
                <w:rFonts w:eastAsia="Times New Roman"/>
                <w:sz w:val="20"/>
                <w:lang w:val="en-US"/>
              </w:rPr>
              <w:t>Host and Chair of CCFICS (Codex Committee on Food Import and Export Inspection and Certification Systems); and</w:t>
            </w:r>
          </w:p>
          <w:p w:rsidR="00BD6E66" w:rsidRPr="00B3069C" w:rsidRDefault="00BD6E66" w:rsidP="005B20EE">
            <w:pPr>
              <w:spacing w:after="120"/>
              <w:rPr>
                <w:i/>
                <w:sz w:val="20"/>
              </w:rPr>
            </w:pPr>
            <w:r w:rsidRPr="00B3069C">
              <w:rPr>
                <w:rFonts w:eastAsia="Times New Roman"/>
                <w:sz w:val="20"/>
                <w:lang w:val="en-US"/>
              </w:rPr>
              <w:t>as advisor to the Regional representative for the South West Pacific Region on Codex Executive Committee.</w:t>
            </w:r>
          </w:p>
        </w:tc>
        <w:tc>
          <w:tcPr>
            <w:tcW w:w="4658" w:type="dxa"/>
          </w:tcPr>
          <w:p w:rsidR="00BD6E66" w:rsidRPr="00B3069C" w:rsidRDefault="00BD6E66" w:rsidP="005B20EE">
            <w:pPr>
              <w:rPr>
                <w:i/>
                <w:sz w:val="20"/>
              </w:rPr>
            </w:pPr>
            <w:r w:rsidRPr="00B3069C">
              <w:rPr>
                <w:rFonts w:eastAsia="Times New Roman"/>
                <w:sz w:val="20"/>
                <w:lang w:eastAsia="en-AU"/>
              </w:rPr>
              <w:t xml:space="preserve">Food Standards Australia New Zealand is continuing to develop primary production and processing standards for Australia that will be outcome-based, focus on food safety and apply throughout the supply chain.  The new standards will be consistent with the principles and approaches of the Codex Alimentarius Commission, as well as its specific standards such as in the areas of seafood and dairy. </w:t>
            </w:r>
          </w:p>
        </w:tc>
      </w:tr>
      <w:tr w:rsidR="00BD6E66" w:rsidRPr="00B3069C" w:rsidTr="00714E4C">
        <w:tc>
          <w:tcPr>
            <w:tcW w:w="2552" w:type="dxa"/>
            <w:vMerge/>
          </w:tcPr>
          <w:p w:rsidR="00BD6E66" w:rsidRPr="00B3069C" w:rsidRDefault="00BD6E66" w:rsidP="005B20EE">
            <w:pPr>
              <w:rPr>
                <w:i/>
                <w:color w:val="808080"/>
                <w:sz w:val="20"/>
              </w:rPr>
            </w:pPr>
          </w:p>
        </w:tc>
        <w:tc>
          <w:tcPr>
            <w:tcW w:w="7371" w:type="dxa"/>
          </w:tcPr>
          <w:p w:rsidR="00BD6E66" w:rsidRPr="00B3069C" w:rsidRDefault="00BD6E66" w:rsidP="005B20EE">
            <w:pPr>
              <w:pStyle w:val="Heading3"/>
              <w:keepNext w:val="0"/>
              <w:spacing w:after="120"/>
              <w:ind w:left="0" w:firstLine="0"/>
              <w:jc w:val="left"/>
              <w:rPr>
                <w:sz w:val="20"/>
                <w:lang w:val="en-AU"/>
              </w:rPr>
            </w:pPr>
            <w:r w:rsidRPr="00B3069C">
              <w:rPr>
                <w:sz w:val="20"/>
                <w:lang w:val="en-AU"/>
              </w:rPr>
              <w:t>Participate in relevant international fora</w:t>
            </w:r>
          </w:p>
          <w:p w:rsidR="00BD6E66" w:rsidRPr="00B3069C" w:rsidRDefault="00BD6E66" w:rsidP="005B20EE">
            <w:pPr>
              <w:spacing w:after="120"/>
              <w:rPr>
                <w:rFonts w:eastAsia="Times New Roman"/>
                <w:sz w:val="20"/>
                <w:lang w:eastAsia="en-AU"/>
              </w:rPr>
            </w:pPr>
            <w:r w:rsidRPr="00B3069C">
              <w:rPr>
                <w:rFonts w:eastAsia="Times New Roman"/>
                <w:sz w:val="20"/>
                <w:lang w:eastAsia="en-AU"/>
              </w:rPr>
              <w:t>Within the limits of its resources, Australia has been an active member and participant in relevant international fora including:</w:t>
            </w:r>
          </w:p>
          <w:p w:rsidR="00BD6E66" w:rsidRPr="00B3069C" w:rsidRDefault="00BD6E66" w:rsidP="005B20EE">
            <w:pPr>
              <w:rPr>
                <w:i/>
                <w:sz w:val="20"/>
              </w:rPr>
            </w:pPr>
            <w:r w:rsidRPr="00B3069C">
              <w:rPr>
                <w:rFonts w:eastAsia="Times New Roman"/>
                <w:sz w:val="20"/>
                <w:lang w:val="en-US"/>
              </w:rPr>
              <w:t>the Codex Alimentarius Commission and its subsidiary bodies.</w:t>
            </w:r>
          </w:p>
        </w:tc>
        <w:tc>
          <w:tcPr>
            <w:tcW w:w="4658" w:type="dxa"/>
          </w:tcPr>
          <w:p w:rsidR="00BD6E66" w:rsidRPr="00B3069C" w:rsidRDefault="00BD6E66" w:rsidP="005B20EE">
            <w:pPr>
              <w:rPr>
                <w:i/>
                <w:sz w:val="20"/>
              </w:rPr>
            </w:pPr>
            <w:r w:rsidRPr="00B3069C">
              <w:rPr>
                <w:rFonts w:eastAsia="Times New Roman"/>
                <w:sz w:val="20"/>
                <w:lang w:eastAsia="en-AU"/>
              </w:rPr>
              <w:t>For the foreseeable future, Australia will continue to be an active participant in relevant international fora.</w:t>
            </w:r>
          </w:p>
        </w:tc>
      </w:tr>
      <w:tr w:rsidR="00213E36" w:rsidRPr="00B3069C" w:rsidTr="00714E4C">
        <w:tc>
          <w:tcPr>
            <w:tcW w:w="2552" w:type="dxa"/>
          </w:tcPr>
          <w:p w:rsidR="00213E36" w:rsidRPr="00B3069C" w:rsidRDefault="00213E36" w:rsidP="005B20EE">
            <w:pPr>
              <w:rPr>
                <w:b/>
                <w:i/>
                <w:sz w:val="20"/>
              </w:rPr>
            </w:pPr>
            <w:r>
              <w:rPr>
                <w:i/>
                <w:color w:val="808080"/>
                <w:sz w:val="20"/>
              </w:rPr>
              <w:t xml:space="preserve">Website for further information: </w:t>
            </w:r>
          </w:p>
        </w:tc>
        <w:bookmarkStart w:id="10" w:name="Cell07"/>
        <w:bookmarkEnd w:id="10"/>
        <w:tc>
          <w:tcPr>
            <w:tcW w:w="7371" w:type="dxa"/>
          </w:tcPr>
          <w:p w:rsidR="00213E36" w:rsidRPr="00B3069C" w:rsidRDefault="00213E36" w:rsidP="005B20EE">
            <w:pPr>
              <w:rPr>
                <w:sz w:val="20"/>
              </w:rPr>
            </w:pPr>
            <w:r w:rsidRPr="00B3069C">
              <w:fldChar w:fldCharType="begin"/>
            </w:r>
            <w:r w:rsidRPr="00B3069C">
              <w:instrText xml:space="preserve"> HYPERLINK "http://www.codexalimentarius.org/" </w:instrText>
            </w:r>
            <w:r w:rsidRPr="00B3069C">
              <w:fldChar w:fldCharType="separate"/>
            </w:r>
            <w:r w:rsidRPr="00B3069C">
              <w:rPr>
                <w:rStyle w:val="Hyperlink"/>
                <w:color w:val="auto"/>
                <w:sz w:val="20"/>
              </w:rPr>
              <w:t>http://www.codexalimentarius.org/</w:t>
            </w:r>
            <w:r w:rsidRPr="00B3069C">
              <w:rPr>
                <w:rStyle w:val="Hyperlink"/>
                <w:color w:val="auto"/>
                <w:sz w:val="20"/>
              </w:rPr>
              <w:fldChar w:fldCharType="end"/>
            </w:r>
          </w:p>
        </w:tc>
        <w:tc>
          <w:tcPr>
            <w:tcW w:w="4658" w:type="dxa"/>
          </w:tcPr>
          <w:p w:rsidR="00213E36" w:rsidRPr="00B3069C" w:rsidRDefault="00213E36" w:rsidP="005B20EE">
            <w:pPr>
              <w:rPr>
                <w:color w:val="808080"/>
                <w:sz w:val="20"/>
              </w:rPr>
            </w:pPr>
            <w:bookmarkStart w:id="11" w:name="Cell08"/>
            <w:bookmarkEnd w:id="11"/>
          </w:p>
        </w:tc>
      </w:tr>
      <w:tr w:rsidR="00213E36" w:rsidRPr="00B3069C" w:rsidTr="00714E4C">
        <w:tc>
          <w:tcPr>
            <w:tcW w:w="2552" w:type="dxa"/>
          </w:tcPr>
          <w:p w:rsidR="00213E36" w:rsidRPr="00B3069C" w:rsidRDefault="00213E36" w:rsidP="005B20EE">
            <w:pPr>
              <w:rPr>
                <w:b/>
                <w:i/>
                <w:sz w:val="20"/>
              </w:rPr>
            </w:pPr>
            <w:r w:rsidRPr="00B3069C">
              <w:rPr>
                <w:i/>
                <w:color w:val="808080"/>
                <w:sz w:val="20"/>
              </w:rPr>
              <w:t>Contact point for further details:</w:t>
            </w:r>
          </w:p>
        </w:tc>
        <w:tc>
          <w:tcPr>
            <w:tcW w:w="7371" w:type="dxa"/>
          </w:tcPr>
          <w:p w:rsidR="00213E36" w:rsidRPr="00B3069C" w:rsidRDefault="00213E36" w:rsidP="005B20EE">
            <w:pPr>
              <w:spacing w:after="120"/>
              <w:rPr>
                <w:sz w:val="20"/>
              </w:rPr>
            </w:pPr>
            <w:r w:rsidRPr="00B3069C">
              <w:rPr>
                <w:sz w:val="20"/>
              </w:rPr>
              <w:t xml:space="preserve">Joseph Shifra - Department of Industry: </w:t>
            </w:r>
            <w:hyperlink r:id="rId34" w:history="1">
              <w:r w:rsidRPr="00B3069C">
                <w:rPr>
                  <w:rStyle w:val="Hyperlink"/>
                  <w:sz w:val="20"/>
                </w:rPr>
                <w:t xml:space="preserve">shifra.joseph@industry.gov.au </w:t>
              </w:r>
            </w:hyperlink>
          </w:p>
          <w:p w:rsidR="00213E36" w:rsidRPr="00B3069C" w:rsidRDefault="00213E36" w:rsidP="005B20EE">
            <w:pPr>
              <w:spacing w:after="120"/>
              <w:rPr>
                <w:sz w:val="20"/>
              </w:rPr>
            </w:pPr>
            <w:r w:rsidRPr="00B3069C">
              <w:rPr>
                <w:sz w:val="20"/>
              </w:rPr>
              <w:t xml:space="preserve">Ann Backhouse - Department of Agriculture: </w:t>
            </w:r>
            <w:hyperlink r:id="rId35" w:history="1">
              <w:r w:rsidRPr="00B3069C">
                <w:rPr>
                  <w:rStyle w:val="Hyperlink"/>
                  <w:sz w:val="20"/>
                </w:rPr>
                <w:t>ann.backhouse@daff.gov.au</w:t>
              </w:r>
            </w:hyperlink>
          </w:p>
        </w:tc>
        <w:tc>
          <w:tcPr>
            <w:tcW w:w="4658" w:type="dxa"/>
          </w:tcPr>
          <w:p w:rsidR="00213E36" w:rsidRPr="00B3069C" w:rsidRDefault="00213E36" w:rsidP="005B20EE">
            <w:pPr>
              <w:pStyle w:val="Heading9"/>
              <w:keepNext w:val="0"/>
              <w:spacing w:after="120"/>
              <w:rPr>
                <w:rFonts w:ascii="Times New Roman" w:hAnsi="Times New Roman"/>
                <w:b w:val="0"/>
              </w:rPr>
            </w:pPr>
          </w:p>
        </w:tc>
      </w:tr>
      <w:tr w:rsidR="00213E36" w:rsidRPr="00B3069C" w:rsidTr="00714E4C">
        <w:tc>
          <w:tcPr>
            <w:tcW w:w="2552" w:type="dxa"/>
          </w:tcPr>
          <w:p w:rsidR="00213E36" w:rsidRPr="00B3069C" w:rsidRDefault="00213E36" w:rsidP="005B20EE">
            <w:pPr>
              <w:rPr>
                <w:b/>
                <w:i/>
                <w:sz w:val="20"/>
              </w:rPr>
            </w:pPr>
            <w:bookmarkStart w:id="12" w:name="Row6"/>
            <w:r w:rsidRPr="00B3069C">
              <w:rPr>
                <w:b/>
                <w:i/>
                <w:sz w:val="20"/>
              </w:rPr>
              <w:t>Customs Procedures</w:t>
            </w:r>
            <w:bookmarkEnd w:id="12"/>
          </w:p>
          <w:p w:rsidR="00213E36" w:rsidRPr="00B3069C" w:rsidRDefault="00213E36" w:rsidP="005B20EE">
            <w:pPr>
              <w:rPr>
                <w:b/>
                <w:i/>
                <w:sz w:val="20"/>
              </w:rPr>
            </w:pPr>
          </w:p>
        </w:tc>
        <w:tc>
          <w:tcPr>
            <w:tcW w:w="7371" w:type="dxa"/>
          </w:tcPr>
          <w:p w:rsidR="00213E36" w:rsidRPr="00B3069C" w:rsidRDefault="00213E36" w:rsidP="005B20EE">
            <w:pPr>
              <w:spacing w:after="120"/>
              <w:rPr>
                <w:rFonts w:eastAsia="Times New Roman"/>
                <w:sz w:val="20"/>
                <w:lang w:val="en-US"/>
              </w:rPr>
            </w:pPr>
            <w:r>
              <w:rPr>
                <w:i/>
                <w:color w:val="808080"/>
                <w:sz w:val="20"/>
              </w:rPr>
              <w:t>See tariff and non-tariff sections</w:t>
            </w:r>
          </w:p>
        </w:tc>
        <w:tc>
          <w:tcPr>
            <w:tcW w:w="4658" w:type="dxa"/>
          </w:tcPr>
          <w:p w:rsidR="00213E36" w:rsidRPr="00B3069C" w:rsidRDefault="00C572B6" w:rsidP="005B20EE">
            <w:pPr>
              <w:spacing w:after="120"/>
              <w:rPr>
                <w:sz w:val="20"/>
              </w:rPr>
            </w:pPr>
            <w:r>
              <w:rPr>
                <w:sz w:val="20"/>
              </w:rPr>
              <w:t>Implementation of the WTO T</w:t>
            </w:r>
            <w:r w:rsidR="00213E36">
              <w:rPr>
                <w:sz w:val="20"/>
              </w:rPr>
              <w:t>rade Facilitation Agreement</w:t>
            </w:r>
          </w:p>
        </w:tc>
      </w:tr>
      <w:tr w:rsidR="00913F14" w:rsidRPr="00B3069C" w:rsidTr="00714E4C">
        <w:tc>
          <w:tcPr>
            <w:tcW w:w="2552" w:type="dxa"/>
          </w:tcPr>
          <w:p w:rsidR="00913F14" w:rsidRPr="00B3069C" w:rsidRDefault="00913F14" w:rsidP="005B20EE">
            <w:pPr>
              <w:rPr>
                <w:b/>
                <w:i/>
                <w:sz w:val="20"/>
              </w:rPr>
            </w:pPr>
            <w:r>
              <w:rPr>
                <w:i/>
                <w:color w:val="808080"/>
                <w:sz w:val="20"/>
              </w:rPr>
              <w:t>Website for further information:</w:t>
            </w:r>
          </w:p>
        </w:tc>
        <w:tc>
          <w:tcPr>
            <w:tcW w:w="7371" w:type="dxa"/>
          </w:tcPr>
          <w:p w:rsidR="00913F14" w:rsidRPr="00913F14" w:rsidRDefault="00913F14" w:rsidP="005B20EE">
            <w:pPr>
              <w:spacing w:after="120"/>
              <w:rPr>
                <w:color w:val="0000FF"/>
                <w:sz w:val="20"/>
                <w:u w:val="single"/>
              </w:rPr>
            </w:pPr>
            <w:r w:rsidRPr="00913F14">
              <w:rPr>
                <w:color w:val="0000FF"/>
                <w:sz w:val="20"/>
                <w:u w:val="single"/>
              </w:rPr>
              <w:t>www.customs.gov.au</w:t>
            </w:r>
          </w:p>
        </w:tc>
        <w:tc>
          <w:tcPr>
            <w:tcW w:w="4658" w:type="dxa"/>
          </w:tcPr>
          <w:p w:rsidR="00913F14" w:rsidRDefault="00913F14" w:rsidP="005B20EE">
            <w:pPr>
              <w:spacing w:after="120"/>
              <w:rPr>
                <w:sz w:val="20"/>
              </w:rPr>
            </w:pPr>
          </w:p>
        </w:tc>
      </w:tr>
      <w:tr w:rsidR="00913F14" w:rsidRPr="00B3069C" w:rsidTr="00714E4C">
        <w:tc>
          <w:tcPr>
            <w:tcW w:w="2552" w:type="dxa"/>
          </w:tcPr>
          <w:p w:rsidR="00913F14" w:rsidRDefault="00913F14" w:rsidP="005B20EE">
            <w:pPr>
              <w:rPr>
                <w:i/>
                <w:color w:val="808080"/>
                <w:sz w:val="20"/>
              </w:rPr>
            </w:pPr>
            <w:r w:rsidRPr="00B3069C">
              <w:rPr>
                <w:i/>
                <w:color w:val="808080"/>
                <w:sz w:val="20"/>
              </w:rPr>
              <w:t>Contact point for further details:</w:t>
            </w:r>
          </w:p>
        </w:tc>
        <w:tc>
          <w:tcPr>
            <w:tcW w:w="7371" w:type="dxa"/>
          </w:tcPr>
          <w:p w:rsidR="00913F14" w:rsidRDefault="00913F14" w:rsidP="005B20EE">
            <w:pPr>
              <w:spacing w:after="120"/>
              <w:rPr>
                <w:sz w:val="20"/>
              </w:rPr>
            </w:pPr>
            <w:r>
              <w:rPr>
                <w:sz w:val="20"/>
              </w:rPr>
              <w:t>Mark Collidge:Australian</w:t>
            </w:r>
            <w:r w:rsidRPr="00913F14">
              <w:rPr>
                <w:sz w:val="20"/>
              </w:rPr>
              <w:t xml:space="preserve"> Custom Services: +61 2 6275 6441</w:t>
            </w:r>
          </w:p>
          <w:p w:rsidR="00913F14" w:rsidRPr="00913F14" w:rsidRDefault="00E632DC" w:rsidP="005B20EE">
            <w:pPr>
              <w:spacing w:after="120"/>
              <w:rPr>
                <w:color w:val="0000FF"/>
                <w:sz w:val="20"/>
              </w:rPr>
            </w:pPr>
            <w:hyperlink r:id="rId36" w:history="1">
              <w:r w:rsidR="00913F14" w:rsidRPr="00913F14">
                <w:rPr>
                  <w:rStyle w:val="Hyperlink"/>
                  <w:sz w:val="20"/>
                </w:rPr>
                <w:t>mark.collidge@customs.gov.au</w:t>
              </w:r>
            </w:hyperlink>
          </w:p>
        </w:tc>
        <w:tc>
          <w:tcPr>
            <w:tcW w:w="4658" w:type="dxa"/>
          </w:tcPr>
          <w:p w:rsidR="00913F14" w:rsidRDefault="00913F14" w:rsidP="005B20EE">
            <w:pPr>
              <w:spacing w:after="120"/>
              <w:rPr>
                <w:sz w:val="20"/>
              </w:rPr>
            </w:pPr>
          </w:p>
        </w:tc>
      </w:tr>
      <w:tr w:rsidR="00942CED" w:rsidRPr="00B3069C" w:rsidTr="00714E4C">
        <w:tc>
          <w:tcPr>
            <w:tcW w:w="2552" w:type="dxa"/>
            <w:vMerge w:val="restart"/>
          </w:tcPr>
          <w:p w:rsidR="00942CED" w:rsidRPr="00B3069C" w:rsidRDefault="00942CED" w:rsidP="005B20EE">
            <w:pPr>
              <w:rPr>
                <w:b/>
                <w:i/>
                <w:sz w:val="20"/>
              </w:rPr>
            </w:pPr>
            <w:bookmarkStart w:id="13" w:name="Row7"/>
            <w:r w:rsidRPr="00B3069C">
              <w:rPr>
                <w:b/>
                <w:i/>
                <w:sz w:val="20"/>
              </w:rPr>
              <w:t>Intellectual Property Rights</w:t>
            </w:r>
            <w:bookmarkEnd w:id="13"/>
          </w:p>
          <w:p w:rsidR="00942CED" w:rsidRPr="00B3069C" w:rsidRDefault="00942CED" w:rsidP="005B20EE">
            <w:pPr>
              <w:rPr>
                <w:b/>
                <w:color w:val="808080"/>
              </w:rPr>
            </w:pPr>
            <w:r w:rsidRPr="00B3069C">
              <w:rPr>
                <w:b/>
                <w:color w:val="808080"/>
              </w:rPr>
              <w:t xml:space="preserve"> </w:t>
            </w:r>
          </w:p>
        </w:tc>
        <w:tc>
          <w:tcPr>
            <w:tcW w:w="7371" w:type="dxa"/>
          </w:tcPr>
          <w:p w:rsidR="00942CED" w:rsidRPr="00B3069C" w:rsidRDefault="00942CED" w:rsidP="005B20EE">
            <w:pPr>
              <w:spacing w:after="120"/>
              <w:rPr>
                <w:b/>
                <w:sz w:val="20"/>
              </w:rPr>
            </w:pPr>
            <w:r w:rsidRPr="00B3069C">
              <w:rPr>
                <w:b/>
                <w:sz w:val="20"/>
              </w:rPr>
              <w:t>The Intellectual Property Laws Amendment (Raising the Bar) Act 2012</w:t>
            </w:r>
          </w:p>
          <w:p w:rsidR="00942CED" w:rsidRPr="00B3069C" w:rsidRDefault="00942CED" w:rsidP="005B20EE">
            <w:pPr>
              <w:spacing w:after="120"/>
              <w:rPr>
                <w:sz w:val="20"/>
              </w:rPr>
            </w:pPr>
            <w:r w:rsidRPr="00B3069C">
              <w:rPr>
                <w:sz w:val="20"/>
              </w:rPr>
              <w:t xml:space="preserve">This Act came into full effect on 15 April 2013. </w:t>
            </w:r>
          </w:p>
          <w:p w:rsidR="00942CED" w:rsidRPr="00B3069C" w:rsidRDefault="00942CED" w:rsidP="005B20EE">
            <w:pPr>
              <w:spacing w:after="120"/>
              <w:rPr>
                <w:sz w:val="20"/>
              </w:rPr>
            </w:pPr>
            <w:r w:rsidRPr="00B3069C">
              <w:rPr>
                <w:sz w:val="20"/>
              </w:rPr>
              <w:t xml:space="preserve">The Act addressed issues raised in a number of reviews of Australia’s IP system, suggestions from stakeholders, IP Australia and other government agencies, and elements of the </w:t>
            </w:r>
            <w:r>
              <w:rPr>
                <w:sz w:val="20"/>
              </w:rPr>
              <w:t xml:space="preserve">former </w:t>
            </w:r>
            <w:r w:rsidRPr="00B3069C">
              <w:rPr>
                <w:sz w:val="20"/>
              </w:rPr>
              <w:t>Government’s innovation agenda ‘Powering Ideas’.</w:t>
            </w:r>
          </w:p>
          <w:p w:rsidR="00942CED" w:rsidRPr="00B3069C" w:rsidRDefault="00942CED" w:rsidP="005B20EE">
            <w:pPr>
              <w:spacing w:after="120"/>
              <w:rPr>
                <w:sz w:val="20"/>
              </w:rPr>
            </w:pPr>
            <w:r w:rsidRPr="00B3069C">
              <w:rPr>
                <w:sz w:val="20"/>
              </w:rPr>
              <w:t>The Act consists of six schedules:</w:t>
            </w:r>
          </w:p>
          <w:p w:rsidR="00942CED" w:rsidRPr="00B3069C" w:rsidRDefault="00942CED" w:rsidP="005B20EE">
            <w:pPr>
              <w:numPr>
                <w:ilvl w:val="0"/>
                <w:numId w:val="17"/>
              </w:numPr>
              <w:spacing w:after="120"/>
              <w:rPr>
                <w:sz w:val="20"/>
              </w:rPr>
            </w:pPr>
            <w:r w:rsidRPr="00B3069C">
              <w:rPr>
                <w:sz w:val="20"/>
              </w:rPr>
              <w:t>Schedule 1 - Raising the quality of granted patents</w:t>
            </w:r>
          </w:p>
          <w:p w:rsidR="00942CED" w:rsidRPr="00B3069C" w:rsidRDefault="00942CED" w:rsidP="005B20EE">
            <w:pPr>
              <w:numPr>
                <w:ilvl w:val="0"/>
                <w:numId w:val="17"/>
              </w:numPr>
              <w:spacing w:after="120"/>
              <w:rPr>
                <w:sz w:val="20"/>
              </w:rPr>
            </w:pPr>
            <w:r w:rsidRPr="00B3069C">
              <w:rPr>
                <w:sz w:val="20"/>
              </w:rPr>
              <w:t>Schedule 2 - Free access to patented inventions for regulatory approvals and research</w:t>
            </w:r>
          </w:p>
          <w:p w:rsidR="00942CED" w:rsidRPr="00B3069C" w:rsidRDefault="00942CED" w:rsidP="005B20EE">
            <w:pPr>
              <w:numPr>
                <w:ilvl w:val="0"/>
                <w:numId w:val="17"/>
              </w:numPr>
              <w:spacing w:after="120"/>
              <w:rPr>
                <w:sz w:val="20"/>
              </w:rPr>
            </w:pPr>
            <w:r w:rsidRPr="00B3069C">
              <w:rPr>
                <w:sz w:val="20"/>
              </w:rPr>
              <w:t>Schedule 3 - Reducing delays in resolution of patent and trade mark applications</w:t>
            </w:r>
          </w:p>
          <w:p w:rsidR="00942CED" w:rsidRPr="00B3069C" w:rsidRDefault="00942CED" w:rsidP="005B20EE">
            <w:pPr>
              <w:numPr>
                <w:ilvl w:val="0"/>
                <w:numId w:val="17"/>
              </w:numPr>
              <w:spacing w:after="120"/>
              <w:rPr>
                <w:sz w:val="20"/>
              </w:rPr>
            </w:pPr>
            <w:r w:rsidRPr="00B3069C">
              <w:rPr>
                <w:sz w:val="20"/>
              </w:rPr>
              <w:t>Schedule 4 - Assisting the operation of IP professionals</w:t>
            </w:r>
          </w:p>
          <w:p w:rsidR="00942CED" w:rsidRPr="00B3069C" w:rsidRDefault="00942CED" w:rsidP="005B20EE">
            <w:pPr>
              <w:numPr>
                <w:ilvl w:val="0"/>
                <w:numId w:val="17"/>
              </w:numPr>
              <w:spacing w:after="120"/>
              <w:rPr>
                <w:sz w:val="20"/>
              </w:rPr>
            </w:pPr>
            <w:r w:rsidRPr="00B3069C">
              <w:rPr>
                <w:sz w:val="20"/>
              </w:rPr>
              <w:t>Schedule 5 - Improving mechanisms for trade mark and copyright enforcement</w:t>
            </w:r>
          </w:p>
          <w:p w:rsidR="00942CED" w:rsidRPr="00B3069C" w:rsidRDefault="00942CED" w:rsidP="005B20EE">
            <w:pPr>
              <w:numPr>
                <w:ilvl w:val="0"/>
                <w:numId w:val="17"/>
              </w:numPr>
              <w:spacing w:after="120"/>
              <w:rPr>
                <w:sz w:val="20"/>
              </w:rPr>
            </w:pPr>
            <w:r w:rsidRPr="00B3069C">
              <w:rPr>
                <w:sz w:val="20"/>
              </w:rPr>
              <w:t>Schedule 6 - Simplifying the IP system.</w:t>
            </w:r>
          </w:p>
          <w:p w:rsidR="00942CED" w:rsidRPr="00B3069C" w:rsidRDefault="00942CED" w:rsidP="005B20EE">
            <w:pPr>
              <w:spacing w:after="120"/>
              <w:rPr>
                <w:sz w:val="20"/>
                <w:u w:val="single"/>
              </w:rPr>
            </w:pPr>
            <w:r w:rsidRPr="00B3069C">
              <w:rPr>
                <w:sz w:val="20"/>
              </w:rPr>
              <w:t xml:space="preserve">Information on the Act can be found at: </w:t>
            </w:r>
            <w:hyperlink r:id="rId37" w:history="1">
              <w:r w:rsidRPr="00B3069C">
                <w:rPr>
                  <w:rStyle w:val="Hyperlink"/>
                  <w:sz w:val="20"/>
                </w:rPr>
                <w:t>http://www.ipaustralia.gov.au/about-us/ip-legislation-changes/ip-laws-amendment-act-2012/</w:t>
              </w:r>
            </w:hyperlink>
          </w:p>
        </w:tc>
        <w:tc>
          <w:tcPr>
            <w:tcW w:w="4658" w:type="dxa"/>
          </w:tcPr>
          <w:p w:rsidR="00942CED" w:rsidRPr="00B3069C" w:rsidRDefault="00942CED" w:rsidP="005B20EE">
            <w:pPr>
              <w:spacing w:after="120"/>
              <w:ind w:left="34"/>
              <w:rPr>
                <w:b/>
                <w:sz w:val="20"/>
              </w:rPr>
            </w:pPr>
            <w:r w:rsidRPr="00B3069C">
              <w:rPr>
                <w:b/>
                <w:sz w:val="20"/>
              </w:rPr>
              <w:t>Implementation of the Protocol amending the WTO Agreement on Trade Related Aspects of Intellectual Property Rights</w:t>
            </w:r>
            <w:r w:rsidRPr="00B3069C">
              <w:rPr>
                <w:sz w:val="20"/>
              </w:rPr>
              <w:t xml:space="preserve"> </w:t>
            </w:r>
            <w:r w:rsidRPr="00B3069C">
              <w:rPr>
                <w:b/>
                <w:sz w:val="20"/>
              </w:rPr>
              <w:t>(TRIPS Protocol)</w:t>
            </w:r>
          </w:p>
          <w:p w:rsidR="00942CED" w:rsidRPr="00913F14" w:rsidRDefault="00942CED" w:rsidP="005B20EE">
            <w:pPr>
              <w:pStyle w:val="Heading9"/>
              <w:keepNext w:val="0"/>
              <w:spacing w:after="120"/>
              <w:rPr>
                <w:rFonts w:ascii="Times New Roman" w:hAnsi="Times New Roman"/>
                <w:b w:val="0"/>
                <w:i w:val="0"/>
              </w:rPr>
            </w:pPr>
            <w:r w:rsidRPr="00913F14">
              <w:rPr>
                <w:rFonts w:ascii="Times New Roman" w:hAnsi="Times New Roman"/>
                <w:b w:val="0"/>
                <w:i w:val="0"/>
              </w:rPr>
              <w:t>The Australian Government has drafted legislation to implement the TRIPS Protocol.  The drafted changes will enable Australian medicine producers to apply to the Federal Court for a compulsory license to manufacture and export patented pharmaceuticals to countries experiencing health crises.  Adequate compensation will be negotiated for the patent holder, to ensure that they are not disadvantaged by the arrangements.</w:t>
            </w:r>
          </w:p>
        </w:tc>
      </w:tr>
      <w:tr w:rsidR="00942CED" w:rsidRPr="00B3069C" w:rsidTr="00714E4C">
        <w:tc>
          <w:tcPr>
            <w:tcW w:w="2552" w:type="dxa"/>
            <w:vMerge/>
          </w:tcPr>
          <w:p w:rsidR="00942CED" w:rsidRPr="00B3069C" w:rsidRDefault="00942CED" w:rsidP="005B20EE">
            <w:pPr>
              <w:rPr>
                <w:b/>
                <w:i/>
                <w:sz w:val="20"/>
              </w:rPr>
            </w:pPr>
          </w:p>
        </w:tc>
        <w:tc>
          <w:tcPr>
            <w:tcW w:w="7371" w:type="dxa"/>
          </w:tcPr>
          <w:p w:rsidR="00942CED" w:rsidRPr="00B3069C" w:rsidRDefault="00942CED" w:rsidP="005B20EE">
            <w:pPr>
              <w:spacing w:after="120"/>
              <w:ind w:left="34"/>
              <w:rPr>
                <w:b/>
                <w:sz w:val="20"/>
              </w:rPr>
            </w:pPr>
            <w:bookmarkStart w:id="14" w:name="Cell09"/>
            <w:bookmarkEnd w:id="14"/>
            <w:r w:rsidRPr="00B3069C">
              <w:rPr>
                <w:b/>
                <w:sz w:val="20"/>
              </w:rPr>
              <w:t>Modernisation of IP Australia’s Customer Communications Channel</w:t>
            </w:r>
          </w:p>
          <w:p w:rsidR="00942CED" w:rsidRPr="00B3069C" w:rsidRDefault="00942CED" w:rsidP="005B20EE">
            <w:pPr>
              <w:spacing w:after="120"/>
              <w:ind w:left="34"/>
              <w:rPr>
                <w:sz w:val="20"/>
              </w:rPr>
            </w:pPr>
            <w:r>
              <w:rPr>
                <w:sz w:val="20"/>
              </w:rPr>
              <w:t>During 2012-</w:t>
            </w:r>
            <w:r w:rsidRPr="00B3069C">
              <w:rPr>
                <w:sz w:val="20"/>
              </w:rPr>
              <w:t xml:space="preserve">13, IP Australia continued the Integrated Customer Service Delivery (ICSD) Program.  The program will provide a one-stop shop for IP customers to pay and submit all their transactions online via two channels: eServices and Business-to-Business (B2B). </w:t>
            </w:r>
          </w:p>
          <w:p w:rsidR="00942CED" w:rsidRPr="00B3069C" w:rsidRDefault="00942CED" w:rsidP="005B20EE">
            <w:pPr>
              <w:spacing w:after="120"/>
              <w:ind w:left="34"/>
              <w:rPr>
                <w:sz w:val="20"/>
              </w:rPr>
            </w:pPr>
            <w:r w:rsidRPr="00B3069C">
              <w:rPr>
                <w:sz w:val="20"/>
              </w:rPr>
              <w:t>EServices allows customers to establish a user identity and submit a range of IP rights transactions electronically through the IP Australia website. It is designed to cater for self-filers and small to medium enterprises.</w:t>
            </w:r>
          </w:p>
          <w:p w:rsidR="00942CED" w:rsidRPr="00B3069C" w:rsidRDefault="00942CED" w:rsidP="005B20EE">
            <w:pPr>
              <w:spacing w:after="120"/>
              <w:ind w:left="34"/>
              <w:rPr>
                <w:sz w:val="20"/>
              </w:rPr>
            </w:pPr>
            <w:r w:rsidRPr="00B3069C">
              <w:rPr>
                <w:sz w:val="20"/>
              </w:rPr>
              <w:t>The B2B channel is a fully automated transaction portal that facilitates the direct transfer of IP rights transactions from a customer’s business system to IP Australia’s business systems. B2B is designed to cater for the needs of high-volume users, such as annuity firms and large attorney firms.</w:t>
            </w:r>
          </w:p>
          <w:p w:rsidR="00942CED" w:rsidRPr="00B3069C" w:rsidRDefault="00942CED" w:rsidP="005B20EE">
            <w:pPr>
              <w:spacing w:after="120"/>
              <w:ind w:left="34"/>
              <w:rPr>
                <w:sz w:val="20"/>
              </w:rPr>
            </w:pPr>
            <w:r w:rsidRPr="00B3069C">
              <w:rPr>
                <w:sz w:val="20"/>
              </w:rPr>
              <w:t>Future work will provide electronic correspondence delivered via eServices and B2B.</w:t>
            </w:r>
          </w:p>
          <w:p w:rsidR="00942CED" w:rsidRPr="00B3069C" w:rsidRDefault="00942CED" w:rsidP="005B20EE">
            <w:pPr>
              <w:spacing w:after="120"/>
              <w:rPr>
                <w:sz w:val="20"/>
              </w:rPr>
            </w:pPr>
            <w:r w:rsidRPr="00B3069C">
              <w:rPr>
                <w:sz w:val="20"/>
              </w:rPr>
              <w:t xml:space="preserve"> Further information about eServices and B2B is on IP Australia’s website:  </w:t>
            </w:r>
            <w:hyperlink r:id="rId38" w:history="1">
              <w:r w:rsidRPr="00B3069C">
                <w:rPr>
                  <w:rStyle w:val="Hyperlink"/>
                  <w:sz w:val="20"/>
                </w:rPr>
                <w:t>www.ipaustralia.gov.au</w:t>
              </w:r>
            </w:hyperlink>
          </w:p>
          <w:p w:rsidR="00942CED" w:rsidRPr="00B3069C" w:rsidRDefault="00942CED" w:rsidP="005B20EE">
            <w:pPr>
              <w:spacing w:after="120"/>
              <w:rPr>
                <w:color w:val="0000FF"/>
                <w:sz w:val="20"/>
              </w:rPr>
            </w:pPr>
            <w:r w:rsidRPr="00B3069C">
              <w:rPr>
                <w:sz w:val="20"/>
              </w:rPr>
              <w:t>Contact: Constantine Nikolakopoulos: IP Aust. +61 2 6283 3156</w:t>
            </w:r>
          </w:p>
        </w:tc>
        <w:tc>
          <w:tcPr>
            <w:tcW w:w="4658" w:type="dxa"/>
          </w:tcPr>
          <w:p w:rsidR="00942CED" w:rsidRPr="00B3069C" w:rsidRDefault="00942CED" w:rsidP="005B20EE">
            <w:pPr>
              <w:spacing w:after="120"/>
              <w:ind w:left="34"/>
              <w:rPr>
                <w:sz w:val="20"/>
              </w:rPr>
            </w:pPr>
            <w:bookmarkStart w:id="15" w:name="Cell10"/>
            <w:bookmarkEnd w:id="15"/>
            <w:r w:rsidRPr="00B3069C">
              <w:rPr>
                <w:b/>
                <w:sz w:val="20"/>
              </w:rPr>
              <w:t>Modernisation of IP Australia’s Customer Communications Channel – future developments</w:t>
            </w:r>
          </w:p>
          <w:p w:rsidR="00942CED" w:rsidRPr="00B3069C" w:rsidRDefault="00942CED" w:rsidP="005B20EE">
            <w:pPr>
              <w:spacing w:after="120"/>
              <w:rPr>
                <w:sz w:val="20"/>
              </w:rPr>
            </w:pPr>
            <w:r w:rsidRPr="00B3069C">
              <w:rPr>
                <w:sz w:val="20"/>
              </w:rPr>
              <w:t>In 2014, IP Australia plans to introduce electronic correspondence for eServices and B2B customers to further streamline processes.</w:t>
            </w:r>
          </w:p>
          <w:p w:rsidR="00942CED" w:rsidRPr="00B3069C" w:rsidRDefault="00942CED" w:rsidP="005B20EE">
            <w:pPr>
              <w:spacing w:after="120"/>
              <w:rPr>
                <w:sz w:val="20"/>
              </w:rPr>
            </w:pPr>
          </w:p>
          <w:p w:rsidR="00942CED" w:rsidRPr="00B3069C" w:rsidRDefault="00942CED" w:rsidP="005B20EE">
            <w:pPr>
              <w:spacing w:after="120"/>
              <w:rPr>
                <w:color w:val="808080"/>
                <w:sz w:val="20"/>
              </w:rPr>
            </w:pPr>
          </w:p>
        </w:tc>
      </w:tr>
      <w:tr w:rsidR="00942CED" w:rsidRPr="00B3069C" w:rsidTr="00714E4C">
        <w:tc>
          <w:tcPr>
            <w:tcW w:w="2552" w:type="dxa"/>
            <w:vMerge/>
          </w:tcPr>
          <w:p w:rsidR="00942CED" w:rsidRPr="00B3069C" w:rsidRDefault="00942CED" w:rsidP="005B20EE">
            <w:pPr>
              <w:rPr>
                <w:b/>
                <w:color w:val="808080"/>
              </w:rPr>
            </w:pPr>
          </w:p>
        </w:tc>
        <w:tc>
          <w:tcPr>
            <w:tcW w:w="7371" w:type="dxa"/>
          </w:tcPr>
          <w:p w:rsidR="00942CED" w:rsidRPr="00B3069C" w:rsidRDefault="00942CED" w:rsidP="005B20EE">
            <w:pPr>
              <w:spacing w:after="120"/>
              <w:ind w:left="34"/>
              <w:rPr>
                <w:b/>
                <w:sz w:val="20"/>
              </w:rPr>
            </w:pPr>
          </w:p>
        </w:tc>
        <w:tc>
          <w:tcPr>
            <w:tcW w:w="4658" w:type="dxa"/>
          </w:tcPr>
          <w:p w:rsidR="00942CED" w:rsidRPr="00B3069C" w:rsidRDefault="00942CED" w:rsidP="005B20EE">
            <w:pPr>
              <w:spacing w:before="120" w:after="120"/>
              <w:ind w:left="34"/>
              <w:rPr>
                <w:b/>
                <w:sz w:val="20"/>
              </w:rPr>
            </w:pPr>
            <w:r w:rsidRPr="00B3069C">
              <w:rPr>
                <w:b/>
                <w:sz w:val="20"/>
              </w:rPr>
              <w:t>Advisory Council on Intellectual Property (ACIP) reviews</w:t>
            </w:r>
          </w:p>
          <w:p w:rsidR="00942CED" w:rsidRPr="00B3069C" w:rsidRDefault="00942CED" w:rsidP="005B20EE">
            <w:pPr>
              <w:spacing w:after="120"/>
              <w:ind w:left="34"/>
              <w:rPr>
                <w:sz w:val="20"/>
              </w:rPr>
            </w:pPr>
            <w:r w:rsidRPr="00B3069C">
              <w:rPr>
                <w:sz w:val="20"/>
              </w:rPr>
              <w:t>ACIP is currently undertaking two reviews:</w:t>
            </w:r>
          </w:p>
          <w:p w:rsidR="00942CED" w:rsidRPr="00B3069C" w:rsidRDefault="00942CED" w:rsidP="005B20EE">
            <w:pPr>
              <w:numPr>
                <w:ilvl w:val="0"/>
                <w:numId w:val="18"/>
              </w:numPr>
              <w:spacing w:after="120"/>
              <w:rPr>
                <w:sz w:val="20"/>
              </w:rPr>
            </w:pPr>
            <w:r w:rsidRPr="00B3069C">
              <w:rPr>
                <w:sz w:val="20"/>
              </w:rPr>
              <w:t>Review of the Innovation Patent System. The Australian Government requested that ACIP investigate the effectiveness of the innovation patent system in stimulating innovation by Australian small to medium business enterprises.  ACIP hopes to deliver its final report in early 2014.</w:t>
            </w:r>
          </w:p>
          <w:p w:rsidR="00942CED" w:rsidRPr="00B3069C" w:rsidRDefault="00942CED" w:rsidP="005B20EE">
            <w:pPr>
              <w:numPr>
                <w:ilvl w:val="0"/>
                <w:numId w:val="18"/>
              </w:numPr>
              <w:spacing w:after="120"/>
              <w:rPr>
                <w:sz w:val="20"/>
              </w:rPr>
            </w:pPr>
            <w:r w:rsidRPr="00B3069C">
              <w:rPr>
                <w:sz w:val="20"/>
              </w:rPr>
              <w:t xml:space="preserve">Review of the Designs System.  The Australian Government requested that the ACIP investigate the effectiveness of the designs system in stimulating innovation by Australian users and the impact the designs system has on economic growth.  As part of its investigations, ACIP released an Issues paper in September 2013 to seek views from stakeholders, including users of the designs system. ACIP hopes to deliver its final report in 2014. </w:t>
            </w:r>
          </w:p>
          <w:p w:rsidR="00942CED" w:rsidRPr="00B3069C" w:rsidRDefault="00942CED" w:rsidP="005B20EE">
            <w:pPr>
              <w:spacing w:after="120"/>
              <w:ind w:left="34"/>
              <w:rPr>
                <w:b/>
                <w:sz w:val="20"/>
              </w:rPr>
            </w:pPr>
            <w:r w:rsidRPr="00B3069C">
              <w:rPr>
                <w:sz w:val="20"/>
              </w:rPr>
              <w:t xml:space="preserve">More information on these ACIP reviews and other reviews completed by ACIP can be found at: </w:t>
            </w:r>
            <w:hyperlink r:id="rId39" w:history="1">
              <w:r w:rsidRPr="00B3069C">
                <w:rPr>
                  <w:rStyle w:val="Hyperlink"/>
                  <w:sz w:val="20"/>
                </w:rPr>
                <w:t>http://www.acip.gov.au/</w:t>
              </w:r>
            </w:hyperlink>
          </w:p>
        </w:tc>
      </w:tr>
      <w:tr w:rsidR="00942CED" w:rsidRPr="00B3069C" w:rsidTr="00714E4C">
        <w:tc>
          <w:tcPr>
            <w:tcW w:w="2552" w:type="dxa"/>
            <w:vMerge/>
          </w:tcPr>
          <w:p w:rsidR="00942CED" w:rsidRPr="00B3069C" w:rsidRDefault="00942CED" w:rsidP="005B20EE">
            <w:pPr>
              <w:rPr>
                <w:b/>
                <w:color w:val="808080"/>
              </w:rPr>
            </w:pPr>
          </w:p>
        </w:tc>
        <w:tc>
          <w:tcPr>
            <w:tcW w:w="7371" w:type="dxa"/>
          </w:tcPr>
          <w:p w:rsidR="00942CED" w:rsidRPr="00B3069C" w:rsidRDefault="00942CED" w:rsidP="005B20EE">
            <w:pPr>
              <w:spacing w:after="120"/>
              <w:ind w:left="34"/>
              <w:rPr>
                <w:b/>
                <w:sz w:val="20"/>
              </w:rPr>
            </w:pPr>
          </w:p>
          <w:p w:rsidR="00942CED" w:rsidRPr="00B3069C" w:rsidRDefault="00942CED" w:rsidP="005B20EE">
            <w:pPr>
              <w:pStyle w:val="Heading9"/>
              <w:keepNext w:val="0"/>
              <w:spacing w:after="120"/>
              <w:rPr>
                <w:rFonts w:ascii="Times New Roman" w:hAnsi="Times New Roman"/>
                <w:b w:val="0"/>
              </w:rPr>
            </w:pPr>
          </w:p>
        </w:tc>
        <w:tc>
          <w:tcPr>
            <w:tcW w:w="4658" w:type="dxa"/>
          </w:tcPr>
          <w:p w:rsidR="00942CED" w:rsidRPr="00B3069C" w:rsidRDefault="00942CED" w:rsidP="005B20EE">
            <w:pPr>
              <w:spacing w:after="120"/>
              <w:ind w:left="34"/>
              <w:rPr>
                <w:b/>
                <w:sz w:val="20"/>
              </w:rPr>
            </w:pPr>
            <w:r w:rsidRPr="00B3069C">
              <w:rPr>
                <w:b/>
                <w:sz w:val="20"/>
              </w:rPr>
              <w:t>Trans-Tasman Single Economic Market (SEM)</w:t>
            </w:r>
          </w:p>
          <w:p w:rsidR="00942CED" w:rsidRPr="00B3069C" w:rsidRDefault="00942CED" w:rsidP="005B20EE">
            <w:pPr>
              <w:spacing w:after="120"/>
              <w:rPr>
                <w:sz w:val="20"/>
              </w:rPr>
            </w:pPr>
            <w:r w:rsidRPr="00B3069C">
              <w:rPr>
                <w:sz w:val="20"/>
              </w:rPr>
              <w:t xml:space="preserve">As part of the Australian and New Zealand Governments’ Single Economic Market (SEM) agenda, intellectual property (IP) outcomes include a single trans-Tasman regulatory framework for patent attorneys and single trans-Tasman patent application and examination processes.  Legislative amendments that are required in both Australia and New Zealand to give effect to these IP outcomes are currently being progressed in both jurisdictions. </w:t>
            </w:r>
          </w:p>
          <w:p w:rsidR="00942CED" w:rsidRPr="00B3069C" w:rsidRDefault="00942CED" w:rsidP="005B20EE">
            <w:pPr>
              <w:spacing w:after="120"/>
              <w:rPr>
                <w:sz w:val="20"/>
              </w:rPr>
            </w:pPr>
            <w:r w:rsidRPr="00B3069C">
              <w:rPr>
                <w:sz w:val="20"/>
              </w:rPr>
              <w:t>A high level model for the single examination process (SEP) has been agreed to.  Under the SEP one examiner will simultaneously examine equivalent applications filed in Australia and New Zealand. Examination of patent applications will be combined, but separate patents will be issued for each jurisdiction.  Depending on the timing of the legislation, a pilot program is planned to commence in early to mid-2015.  Further work on implementation of the single application process will be undertaken during 2014-15 financial year.</w:t>
            </w:r>
          </w:p>
          <w:p w:rsidR="00942CED" w:rsidRDefault="00942CED" w:rsidP="005B20EE">
            <w:pPr>
              <w:pStyle w:val="Heading9"/>
              <w:keepNext w:val="0"/>
              <w:spacing w:after="120"/>
              <w:rPr>
                <w:rStyle w:val="Hyperlink"/>
                <w:rFonts w:ascii="Times New Roman" w:hAnsi="Times New Roman"/>
                <w:b w:val="0"/>
                <w:i w:val="0"/>
                <w:lang w:eastAsia="en-AU"/>
              </w:rPr>
            </w:pPr>
            <w:r w:rsidRPr="002425D2">
              <w:rPr>
                <w:rFonts w:ascii="Times New Roman" w:hAnsi="Times New Roman"/>
                <w:b w:val="0"/>
                <w:i w:val="0"/>
              </w:rPr>
              <w:t xml:space="preserve">Further information is available at: </w:t>
            </w:r>
            <w:hyperlink r:id="rId40" w:history="1">
              <w:r w:rsidRPr="002425D2">
                <w:rPr>
                  <w:rStyle w:val="Hyperlink"/>
                  <w:rFonts w:ascii="Times New Roman" w:hAnsi="Times New Roman"/>
                  <w:b w:val="0"/>
                  <w:i w:val="0"/>
                  <w:lang w:eastAsia="en-AU"/>
                </w:rPr>
                <w:t>http://www.ipaustralia.gov.au/about-us/what-we-do/international-activity/single-economic-market/</w:t>
              </w:r>
            </w:hyperlink>
          </w:p>
          <w:p w:rsidR="00942CED" w:rsidRPr="00CC789E" w:rsidRDefault="00942CED" w:rsidP="005B20EE">
            <w:pPr>
              <w:rPr>
                <w:lang w:eastAsia="en-AU"/>
              </w:rPr>
            </w:pPr>
          </w:p>
        </w:tc>
      </w:tr>
      <w:tr w:rsidR="00942CED" w:rsidRPr="00B3069C" w:rsidTr="00714E4C">
        <w:tc>
          <w:tcPr>
            <w:tcW w:w="2552" w:type="dxa"/>
            <w:vMerge/>
          </w:tcPr>
          <w:p w:rsidR="00942CED" w:rsidRPr="00B3069C" w:rsidRDefault="00942CED" w:rsidP="005B20EE">
            <w:pPr>
              <w:rPr>
                <w:b/>
                <w:i/>
                <w:sz w:val="20"/>
              </w:rPr>
            </w:pPr>
          </w:p>
        </w:tc>
        <w:tc>
          <w:tcPr>
            <w:tcW w:w="7371" w:type="dxa"/>
          </w:tcPr>
          <w:p w:rsidR="00942CED" w:rsidRPr="00B3069C" w:rsidRDefault="00942CED" w:rsidP="005B20EE">
            <w:pPr>
              <w:spacing w:after="120"/>
              <w:ind w:left="34"/>
              <w:rPr>
                <w:b/>
                <w:sz w:val="20"/>
              </w:rPr>
            </w:pPr>
            <w:bookmarkStart w:id="16" w:name="Cell11"/>
            <w:bookmarkEnd w:id="16"/>
          </w:p>
          <w:p w:rsidR="00942CED" w:rsidRPr="00B3069C" w:rsidRDefault="00942CED" w:rsidP="005B20EE">
            <w:pPr>
              <w:spacing w:after="120"/>
              <w:rPr>
                <w:color w:val="808080"/>
                <w:sz w:val="20"/>
              </w:rPr>
            </w:pPr>
          </w:p>
        </w:tc>
        <w:tc>
          <w:tcPr>
            <w:tcW w:w="4658" w:type="dxa"/>
          </w:tcPr>
          <w:p w:rsidR="00942CED" w:rsidRPr="00B3069C" w:rsidRDefault="00942CED" w:rsidP="005B20EE">
            <w:pPr>
              <w:spacing w:after="120"/>
              <w:ind w:left="34"/>
              <w:rPr>
                <w:b/>
                <w:sz w:val="20"/>
              </w:rPr>
            </w:pPr>
            <w:bookmarkStart w:id="17" w:name="Cell12"/>
            <w:bookmarkEnd w:id="17"/>
            <w:r w:rsidRPr="00B3069C">
              <w:rPr>
                <w:b/>
                <w:sz w:val="20"/>
              </w:rPr>
              <w:t>Australian Law Reform Commission (ALRC) report on copyright</w:t>
            </w:r>
          </w:p>
          <w:p w:rsidR="00942CED" w:rsidRPr="00B3069C" w:rsidRDefault="00942CED" w:rsidP="005B20EE">
            <w:pPr>
              <w:spacing w:after="120"/>
              <w:ind w:left="34"/>
              <w:rPr>
                <w:sz w:val="20"/>
              </w:rPr>
            </w:pPr>
            <w:r w:rsidRPr="00B3069C">
              <w:rPr>
                <w:sz w:val="20"/>
              </w:rPr>
              <w:t xml:space="preserve">The ALRC has completed an inquiry which examined </w:t>
            </w:r>
            <w:r w:rsidRPr="00B3069C">
              <w:rPr>
                <w:sz w:val="20"/>
                <w:lang w:val="en"/>
              </w:rPr>
              <w:t xml:space="preserve">whether the exceptions and statutory licenses in the </w:t>
            </w:r>
            <w:r w:rsidRPr="00B3069C">
              <w:rPr>
                <w:i/>
                <w:iCs/>
                <w:sz w:val="20"/>
                <w:lang w:val="en"/>
              </w:rPr>
              <w:t>Copyright Act 1968</w:t>
            </w:r>
            <w:r w:rsidRPr="00B3069C">
              <w:rPr>
                <w:sz w:val="20"/>
                <w:lang w:val="en"/>
              </w:rPr>
              <w:t xml:space="preserve"> are adequate and appropriate in the digital environment.  The ALRC provided the final inquiry report to the Attorney-General on 2 December 2013.  It will be made public when the Attorney-General tables the report in Parliament in either December 2013 or February 2014.  More information about the ALRC’s inquiry can be found at:  </w:t>
            </w:r>
            <w:r w:rsidRPr="00B3069C">
              <w:rPr>
                <w:sz w:val="20"/>
                <w:lang w:val="en"/>
              </w:rPr>
              <w:br/>
            </w:r>
            <w:r w:rsidRPr="00B3069C">
              <w:rPr>
                <w:color w:val="0000FF"/>
                <w:sz w:val="20"/>
                <w:u w:val="single"/>
              </w:rPr>
              <w:t>http://www.alrc.gov.au/inquiries/copyright-and-digital-economy</w:t>
            </w:r>
          </w:p>
          <w:p w:rsidR="00942CED" w:rsidRPr="00B3069C" w:rsidRDefault="00942CED" w:rsidP="005B20EE">
            <w:pPr>
              <w:spacing w:after="120"/>
              <w:rPr>
                <w:color w:val="808080"/>
                <w:sz w:val="20"/>
              </w:rPr>
            </w:pPr>
            <w:r w:rsidRPr="00B3069C">
              <w:rPr>
                <w:sz w:val="20"/>
              </w:rPr>
              <w:t>Contact: Sam Ahlin - Sam.Ahlin@ag.gov.au</w:t>
            </w:r>
          </w:p>
        </w:tc>
      </w:tr>
      <w:tr w:rsidR="002425D2" w:rsidRPr="00B3069C" w:rsidTr="00714E4C">
        <w:tc>
          <w:tcPr>
            <w:tcW w:w="2552" w:type="dxa"/>
          </w:tcPr>
          <w:p w:rsidR="002425D2" w:rsidRPr="002425D2" w:rsidRDefault="002425D2" w:rsidP="005B20EE">
            <w:pPr>
              <w:pStyle w:val="Heading9"/>
              <w:keepNext w:val="0"/>
              <w:rPr>
                <w:rFonts w:ascii="Times New Roman" w:hAnsi="Times New Roman"/>
                <w:b w:val="0"/>
                <w:color w:val="808080"/>
              </w:rPr>
            </w:pPr>
            <w:r w:rsidRPr="00B3069C">
              <w:rPr>
                <w:rFonts w:ascii="Times New Roman" w:hAnsi="Times New Roman"/>
                <w:b w:val="0"/>
                <w:color w:val="808080"/>
              </w:rPr>
              <w:t xml:space="preserve">Website for further information:  </w:t>
            </w:r>
          </w:p>
        </w:tc>
        <w:tc>
          <w:tcPr>
            <w:tcW w:w="7371" w:type="dxa"/>
          </w:tcPr>
          <w:p w:rsidR="002425D2" w:rsidRPr="00B3069C" w:rsidRDefault="002425D2" w:rsidP="005B20EE">
            <w:pPr>
              <w:pStyle w:val="Heading9"/>
              <w:keepNext w:val="0"/>
              <w:spacing w:after="120"/>
              <w:rPr>
                <w:rStyle w:val="Hyperlink"/>
                <w:rFonts w:ascii="Times New Roman" w:hAnsi="Times New Roman"/>
                <w:b w:val="0"/>
                <w:i w:val="0"/>
              </w:rPr>
            </w:pPr>
            <w:r w:rsidRPr="00B3069C">
              <w:rPr>
                <w:rFonts w:ascii="Times New Roman" w:hAnsi="Times New Roman"/>
                <w:b w:val="0"/>
                <w:i w:val="0"/>
                <w:color w:val="0000FF"/>
                <w:u w:val="single"/>
              </w:rPr>
              <w:t>http://</w:t>
            </w:r>
            <w:hyperlink r:id="rId41" w:history="1">
              <w:r w:rsidRPr="00B3069C">
                <w:rPr>
                  <w:rStyle w:val="Hyperlink"/>
                  <w:rFonts w:ascii="Times New Roman" w:hAnsi="Times New Roman"/>
                  <w:b w:val="0"/>
                  <w:i w:val="0"/>
                </w:rPr>
                <w:t>www.ipaustralia.gov.au</w:t>
              </w:r>
            </w:hyperlink>
          </w:p>
          <w:p w:rsidR="002425D2" w:rsidRPr="00B3069C" w:rsidRDefault="00E632DC" w:rsidP="005B20EE">
            <w:pPr>
              <w:spacing w:after="120"/>
              <w:ind w:left="34"/>
              <w:rPr>
                <w:b/>
                <w:sz w:val="20"/>
              </w:rPr>
            </w:pPr>
            <w:hyperlink r:id="rId42" w:history="1">
              <w:r w:rsidR="002425D2" w:rsidRPr="00B3069C">
                <w:rPr>
                  <w:rStyle w:val="Hyperlink"/>
                  <w:sz w:val="20"/>
                </w:rPr>
                <w:t>http://www.acip.gov.au/</w:t>
              </w:r>
            </w:hyperlink>
          </w:p>
        </w:tc>
        <w:tc>
          <w:tcPr>
            <w:tcW w:w="4658" w:type="dxa"/>
          </w:tcPr>
          <w:p w:rsidR="002425D2" w:rsidRPr="00B3069C" w:rsidRDefault="002425D2" w:rsidP="005B20EE">
            <w:pPr>
              <w:spacing w:after="120"/>
              <w:ind w:left="34"/>
              <w:rPr>
                <w:b/>
                <w:sz w:val="20"/>
              </w:rPr>
            </w:pPr>
          </w:p>
        </w:tc>
      </w:tr>
      <w:tr w:rsidR="002425D2" w:rsidRPr="00B3069C" w:rsidTr="00714E4C">
        <w:tc>
          <w:tcPr>
            <w:tcW w:w="2552" w:type="dxa"/>
          </w:tcPr>
          <w:p w:rsidR="002425D2" w:rsidRPr="002425D2" w:rsidRDefault="002425D2" w:rsidP="005B20EE">
            <w:pPr>
              <w:pStyle w:val="Heading9"/>
              <w:keepNext w:val="0"/>
              <w:rPr>
                <w:rFonts w:ascii="Times New Roman" w:hAnsi="Times New Roman"/>
                <w:b w:val="0"/>
                <w:color w:val="808080"/>
              </w:rPr>
            </w:pPr>
            <w:r w:rsidRPr="002425D2">
              <w:rPr>
                <w:rFonts w:ascii="Times New Roman" w:hAnsi="Times New Roman"/>
                <w:b w:val="0"/>
                <w:color w:val="808080"/>
              </w:rPr>
              <w:t>Contact point for further details:</w:t>
            </w:r>
          </w:p>
        </w:tc>
        <w:tc>
          <w:tcPr>
            <w:tcW w:w="7371" w:type="dxa"/>
          </w:tcPr>
          <w:p w:rsidR="002425D2" w:rsidRPr="00B3069C" w:rsidRDefault="002425D2" w:rsidP="005B20EE">
            <w:pPr>
              <w:spacing w:after="120"/>
              <w:ind w:left="34"/>
              <w:rPr>
                <w:b/>
                <w:sz w:val="20"/>
              </w:rPr>
            </w:pPr>
            <w:r w:rsidRPr="00B3069C">
              <w:rPr>
                <w:sz w:val="20"/>
              </w:rPr>
              <w:t>Constantine Nikolakopoulos: IP Australia: +61 2 6283 3156</w:t>
            </w:r>
          </w:p>
        </w:tc>
        <w:tc>
          <w:tcPr>
            <w:tcW w:w="4658" w:type="dxa"/>
          </w:tcPr>
          <w:p w:rsidR="002425D2" w:rsidRPr="00B3069C" w:rsidRDefault="002425D2" w:rsidP="005B20EE">
            <w:pPr>
              <w:spacing w:after="120"/>
              <w:ind w:left="34"/>
              <w:rPr>
                <w:b/>
                <w:sz w:val="20"/>
              </w:rPr>
            </w:pPr>
          </w:p>
        </w:tc>
      </w:tr>
      <w:tr w:rsidR="00213E36" w:rsidRPr="00B3069C" w:rsidTr="00714E4C">
        <w:tc>
          <w:tcPr>
            <w:tcW w:w="2552" w:type="dxa"/>
          </w:tcPr>
          <w:p w:rsidR="00213E36" w:rsidRPr="00B3069C" w:rsidRDefault="00213E36" w:rsidP="005B20EE">
            <w:pPr>
              <w:rPr>
                <w:b/>
                <w:i/>
                <w:sz w:val="20"/>
              </w:rPr>
            </w:pPr>
            <w:r w:rsidRPr="00B3069C">
              <w:rPr>
                <w:b/>
                <w:i/>
                <w:sz w:val="20"/>
              </w:rPr>
              <w:t>Competition Policy</w:t>
            </w:r>
          </w:p>
          <w:p w:rsidR="00213E36" w:rsidRPr="00B3069C" w:rsidRDefault="00213E36" w:rsidP="005B20EE">
            <w:pPr>
              <w:pStyle w:val="Heading9"/>
              <w:keepNext w:val="0"/>
              <w:rPr>
                <w:rFonts w:ascii="Times New Roman" w:hAnsi="Times New Roman"/>
                <w:b w:val="0"/>
                <w:color w:val="808080"/>
              </w:rPr>
            </w:pPr>
          </w:p>
        </w:tc>
        <w:tc>
          <w:tcPr>
            <w:tcW w:w="7371" w:type="dxa"/>
          </w:tcPr>
          <w:p w:rsidR="00213E36" w:rsidRPr="00B3069C" w:rsidRDefault="00213E36" w:rsidP="005B20EE">
            <w:pPr>
              <w:spacing w:after="120"/>
              <w:rPr>
                <w:sz w:val="20"/>
              </w:rPr>
            </w:pPr>
            <w:r w:rsidRPr="00B3069C">
              <w:rPr>
                <w:sz w:val="20"/>
              </w:rPr>
              <w:t xml:space="preserve">The </w:t>
            </w:r>
            <w:r w:rsidRPr="00B3069C">
              <w:rPr>
                <w:i/>
                <w:sz w:val="20"/>
              </w:rPr>
              <w:t>Competition and Consumer Act 2010</w:t>
            </w:r>
            <w:r w:rsidRPr="00B3069C">
              <w:rPr>
                <w:sz w:val="20"/>
              </w:rPr>
              <w:t xml:space="preserve"> (CCA) provides the legal framework for Australia’s competition and consumer policy rules, which are designed to make markets work efficiently for the benefit of consumers.</w:t>
            </w:r>
          </w:p>
          <w:p w:rsidR="00213E36" w:rsidRPr="00B3069C" w:rsidRDefault="00213E36" w:rsidP="005B20EE">
            <w:pPr>
              <w:spacing w:after="120"/>
              <w:rPr>
                <w:sz w:val="20"/>
              </w:rPr>
            </w:pPr>
            <w:r w:rsidRPr="00B3069C">
              <w:rPr>
                <w:sz w:val="20"/>
              </w:rPr>
              <w:t xml:space="preserve">The CCA continued to be rigorously enforced by Australia’s competition regulator, the </w:t>
            </w:r>
            <w:r w:rsidRPr="00B3069C">
              <w:rPr>
                <w:b/>
                <w:sz w:val="20"/>
              </w:rPr>
              <w:t>Australian Competition and Consumer Commission</w:t>
            </w:r>
            <w:r w:rsidRPr="00B3069C">
              <w:rPr>
                <w:sz w:val="20"/>
              </w:rPr>
              <w:t xml:space="preserve"> (</w:t>
            </w:r>
            <w:r w:rsidR="002425D2">
              <w:rPr>
                <w:sz w:val="20"/>
              </w:rPr>
              <w:t>ACCC).  Over the course of 2012-</w:t>
            </w:r>
            <w:r w:rsidRPr="00B3069C">
              <w:rPr>
                <w:sz w:val="20"/>
              </w:rPr>
              <w:t>13, the ACCC successfully concluded a number of court actions against companies engaged in anti-competitive practices.  This included five first-instance competition proceedings relating to the Air Cargo freight cartel, bringing penalties imposed on that cartel to almost $100 million.</w:t>
            </w:r>
          </w:p>
          <w:p w:rsidR="00213E36" w:rsidRPr="00B3069C" w:rsidRDefault="00213E36" w:rsidP="005B20EE">
            <w:pPr>
              <w:spacing w:after="120"/>
              <w:rPr>
                <w:sz w:val="20"/>
              </w:rPr>
            </w:pPr>
            <w:r w:rsidRPr="00B3069C">
              <w:rPr>
                <w:sz w:val="20"/>
              </w:rPr>
              <w:t>The ACCC also continued its role in relation to price monitoring in industries such as the Australian petroleum industry.  The ACCC published a report into the prices, costs and profits of unleaded petrol in Australia in late 2012 for the 2011-12 year, and in December 2013 for the 2012-13 year.  Further information is available on the ACCC’s website.</w:t>
            </w:r>
          </w:p>
          <w:p w:rsidR="00213E36" w:rsidRPr="00B3069C" w:rsidRDefault="00213E36" w:rsidP="005B20EE">
            <w:pPr>
              <w:spacing w:after="120"/>
              <w:rPr>
                <w:color w:val="0000FF"/>
                <w:sz w:val="20"/>
                <w:u w:val="single"/>
              </w:rPr>
            </w:pPr>
            <w:r w:rsidRPr="00B3069C">
              <w:rPr>
                <w:sz w:val="20"/>
              </w:rPr>
              <w:t xml:space="preserve">Australia has undertaken substantial cross-jurisdictional reforms as part of the </w:t>
            </w:r>
            <w:r w:rsidRPr="00B3069C">
              <w:rPr>
                <w:i/>
                <w:sz w:val="20"/>
              </w:rPr>
              <w:t>National Partnership Agreement to Deliver a Seamless National Economy</w:t>
            </w:r>
            <w:r w:rsidRPr="00B3069C">
              <w:rPr>
                <w:sz w:val="20"/>
              </w:rPr>
              <w:t xml:space="preserve">.  This has included a range of reforms to encourage competition in key sectors such as energy, transport and infrastructure.  This agreement concluded on 31 December 2012.  Further information about the progress of these reforms is available on the website for the Council of Australian Governments (COAG): </w:t>
            </w:r>
            <w:hyperlink r:id="rId43" w:history="1">
              <w:r w:rsidRPr="00B3069C">
                <w:rPr>
                  <w:rStyle w:val="Hyperlink"/>
                  <w:sz w:val="20"/>
                </w:rPr>
                <w:t>http://www.coag.gov.au/</w:t>
              </w:r>
            </w:hyperlink>
          </w:p>
          <w:p w:rsidR="00213E36" w:rsidRPr="00B3069C" w:rsidRDefault="00213E36" w:rsidP="005B20EE">
            <w:pPr>
              <w:spacing w:after="120"/>
              <w:rPr>
                <w:sz w:val="20"/>
              </w:rPr>
            </w:pPr>
            <w:r w:rsidRPr="00B3069C">
              <w:rPr>
                <w:sz w:val="20"/>
              </w:rPr>
              <w:t>In December 2012, COAG agreed a package of reforms to the energy market regulatory framework to put downward pressure on electricity prices in the long-term.</w:t>
            </w:r>
          </w:p>
          <w:p w:rsidR="00213E36" w:rsidRPr="00B3069C" w:rsidRDefault="00213E36" w:rsidP="005B20EE">
            <w:pPr>
              <w:spacing w:after="120"/>
              <w:rPr>
                <w:sz w:val="20"/>
              </w:rPr>
            </w:pPr>
            <w:r w:rsidRPr="00B3069C">
              <w:rPr>
                <w:sz w:val="20"/>
              </w:rPr>
              <w:t xml:space="preserve">The </w:t>
            </w:r>
            <w:r w:rsidRPr="00B3069C">
              <w:rPr>
                <w:b/>
                <w:sz w:val="20"/>
              </w:rPr>
              <w:t>Productivity Commission</w:t>
            </w:r>
            <w:r w:rsidRPr="00B3069C">
              <w:rPr>
                <w:sz w:val="20"/>
              </w:rPr>
              <w:t xml:space="preserve"> is Australia’s independent research and advisory body on a range of economic, social and environmental issues affecting the welfare of Australians.</w:t>
            </w:r>
          </w:p>
          <w:p w:rsidR="00213E36" w:rsidRPr="00B3069C" w:rsidRDefault="00213E36" w:rsidP="005B20EE">
            <w:pPr>
              <w:spacing w:after="120"/>
              <w:rPr>
                <w:sz w:val="20"/>
              </w:rPr>
            </w:pPr>
            <w:r w:rsidRPr="00B3069C">
              <w:rPr>
                <w:sz w:val="20"/>
              </w:rPr>
              <w:t xml:space="preserve">In 2013, the Commission reviewed Australia’s </w:t>
            </w:r>
            <w:r w:rsidRPr="00B3069C">
              <w:rPr>
                <w:i/>
                <w:sz w:val="20"/>
              </w:rPr>
              <w:t>National Access Regime</w:t>
            </w:r>
            <w:r w:rsidRPr="00B3069C">
              <w:rPr>
                <w:sz w:val="20"/>
              </w:rPr>
              <w:t>, which is a regulatory framework through which third parties may seek access to nationally significant infrastructure services and includes Part IIIA of the CCA.</w:t>
            </w:r>
          </w:p>
          <w:p w:rsidR="00213E36" w:rsidRPr="00B3069C" w:rsidRDefault="00213E36" w:rsidP="005B20EE">
            <w:pPr>
              <w:spacing w:after="120"/>
              <w:rPr>
                <w:sz w:val="20"/>
              </w:rPr>
            </w:pPr>
            <w:r w:rsidRPr="00B3069C">
              <w:rPr>
                <w:sz w:val="20"/>
              </w:rPr>
              <w:t xml:space="preserve">The Commission also reviewed </w:t>
            </w:r>
            <w:r w:rsidRPr="00B3069C">
              <w:rPr>
                <w:i/>
                <w:sz w:val="20"/>
              </w:rPr>
              <w:t>Australia’s Electricity Network Regulatory Frameworks</w:t>
            </w:r>
            <w:r w:rsidRPr="00B3069C">
              <w:rPr>
                <w:sz w:val="20"/>
              </w:rPr>
              <w:t>, focussing on benchmarking arrangements and the effectiveness of the application by network businesses of the current regulatory regime for the evaluation and development of inter-regional network capacity in the National Electricity Market (NEM).</w:t>
            </w:r>
          </w:p>
          <w:p w:rsidR="00213E36" w:rsidRPr="00B3069C" w:rsidRDefault="00213E36" w:rsidP="005B20EE">
            <w:pPr>
              <w:spacing w:after="120"/>
              <w:rPr>
                <w:sz w:val="20"/>
              </w:rPr>
            </w:pPr>
            <w:r w:rsidRPr="00B3069C">
              <w:rPr>
                <w:sz w:val="20"/>
              </w:rPr>
              <w:t>In November 2013, the Commission commenced an inquiry into ways to encourage private financing and funding for major infrastructure projects.  As part of this, the Commission will review costs, competitiveness and productivity in the provision of nationally significant economic infrastructure.  This includes examining ways to reduce infrastructure construction costs and address any barriers to private sector financing.</w:t>
            </w:r>
          </w:p>
          <w:p w:rsidR="00213E36" w:rsidRPr="002425D2" w:rsidRDefault="00213E36" w:rsidP="005B20EE">
            <w:pPr>
              <w:rPr>
                <w:color w:val="0000FF"/>
                <w:sz w:val="20"/>
                <w:u w:val="single"/>
              </w:rPr>
            </w:pPr>
            <w:r w:rsidRPr="00B3069C">
              <w:rPr>
                <w:sz w:val="20"/>
              </w:rPr>
              <w:t xml:space="preserve">Further information is available on the Commission’s website: </w:t>
            </w:r>
            <w:hyperlink r:id="rId44" w:history="1">
              <w:r w:rsidRPr="00B3069C">
                <w:rPr>
                  <w:rStyle w:val="Hyperlink"/>
                  <w:sz w:val="20"/>
                </w:rPr>
                <w:t>http://www.accc.gov.au/</w:t>
              </w:r>
            </w:hyperlink>
          </w:p>
        </w:tc>
        <w:tc>
          <w:tcPr>
            <w:tcW w:w="4658" w:type="dxa"/>
          </w:tcPr>
          <w:p w:rsidR="002425D2" w:rsidRPr="002425D2" w:rsidRDefault="002425D2" w:rsidP="005B20EE">
            <w:pPr>
              <w:spacing w:after="120"/>
              <w:rPr>
                <w:sz w:val="20"/>
              </w:rPr>
            </w:pPr>
            <w:r w:rsidRPr="002425D2">
              <w:rPr>
                <w:sz w:val="20"/>
              </w:rPr>
              <w:t>In December 2013, Australia announced that it is undertaking a review of the competition framework to ensure that its competition laws remain robust and effective into the future.</w:t>
            </w:r>
          </w:p>
          <w:p w:rsidR="00213E36" w:rsidRPr="00B3069C" w:rsidRDefault="002425D2" w:rsidP="005B20EE">
            <w:pPr>
              <w:spacing w:after="120"/>
              <w:ind w:left="34"/>
              <w:rPr>
                <w:b/>
                <w:sz w:val="20"/>
              </w:rPr>
            </w:pPr>
            <w:r w:rsidRPr="002425D2">
              <w:rPr>
                <w:sz w:val="20"/>
              </w:rPr>
              <w:t>The review will be an independent examination of how the competition framework is working, whether it is keeping up with emerging trends, and looking beyond the competition framework to identify impediments to competition with the goal of improving</w:t>
            </w:r>
            <w:r w:rsidRPr="00B3069C">
              <w:rPr>
                <w:b/>
                <w:i/>
              </w:rPr>
              <w:t xml:space="preserve"> </w:t>
            </w:r>
            <w:r w:rsidRPr="002425D2">
              <w:rPr>
                <w:sz w:val="20"/>
              </w:rPr>
              <w:t>the living standards of all Australians.</w:t>
            </w:r>
          </w:p>
        </w:tc>
      </w:tr>
      <w:tr w:rsidR="002425D2" w:rsidRPr="00B3069C" w:rsidTr="00714E4C">
        <w:tc>
          <w:tcPr>
            <w:tcW w:w="2552" w:type="dxa"/>
          </w:tcPr>
          <w:p w:rsidR="002425D2" w:rsidRPr="00B3069C" w:rsidRDefault="002425D2" w:rsidP="005B20EE">
            <w:pPr>
              <w:pStyle w:val="Heading9"/>
              <w:keepNext w:val="0"/>
              <w:rPr>
                <w:rFonts w:ascii="Times New Roman" w:hAnsi="Times New Roman"/>
                <w:i w:val="0"/>
                <w:color w:val="808080"/>
              </w:rPr>
            </w:pPr>
            <w:r w:rsidRPr="00B3069C">
              <w:rPr>
                <w:rFonts w:ascii="Times New Roman" w:hAnsi="Times New Roman"/>
                <w:b w:val="0"/>
                <w:color w:val="808080"/>
              </w:rPr>
              <w:t xml:space="preserve">Website for further information:  </w:t>
            </w:r>
          </w:p>
        </w:tc>
        <w:tc>
          <w:tcPr>
            <w:tcW w:w="7371" w:type="dxa"/>
          </w:tcPr>
          <w:p w:rsidR="002425D2" w:rsidRDefault="00E632DC" w:rsidP="00C572B6">
            <w:pPr>
              <w:spacing w:before="60" w:after="60"/>
              <w:rPr>
                <w:rStyle w:val="Hyperlink"/>
                <w:sz w:val="20"/>
              </w:rPr>
            </w:pPr>
            <w:hyperlink r:id="rId45" w:history="1">
              <w:r w:rsidR="00F50BAA" w:rsidRPr="00B3069C">
                <w:rPr>
                  <w:rStyle w:val="Hyperlink"/>
                  <w:sz w:val="20"/>
                </w:rPr>
                <w:t>http://www.accc.gov.au/</w:t>
              </w:r>
            </w:hyperlink>
          </w:p>
          <w:p w:rsidR="00F50BAA" w:rsidRDefault="00E632DC" w:rsidP="00C572B6">
            <w:pPr>
              <w:spacing w:before="60" w:after="60"/>
              <w:rPr>
                <w:rStyle w:val="Hyperlink"/>
                <w:sz w:val="20"/>
              </w:rPr>
            </w:pPr>
            <w:hyperlink r:id="rId46" w:history="1">
              <w:r w:rsidR="00F50BAA" w:rsidRPr="00EC3255">
                <w:rPr>
                  <w:rStyle w:val="Hyperlink"/>
                  <w:sz w:val="20"/>
                </w:rPr>
                <w:t>http://www.coag.gov.au/</w:t>
              </w:r>
            </w:hyperlink>
          </w:p>
          <w:p w:rsidR="00F50BAA" w:rsidRPr="00B3069C" w:rsidRDefault="00F50BAA" w:rsidP="00C572B6">
            <w:pPr>
              <w:spacing w:before="60" w:after="60"/>
              <w:rPr>
                <w:sz w:val="20"/>
              </w:rPr>
            </w:pPr>
            <w:r>
              <w:rPr>
                <w:rStyle w:val="Hyperlink"/>
                <w:sz w:val="20"/>
              </w:rPr>
              <w:t>http://www.pc.gov.au</w:t>
            </w:r>
          </w:p>
        </w:tc>
        <w:tc>
          <w:tcPr>
            <w:tcW w:w="4658" w:type="dxa"/>
          </w:tcPr>
          <w:p w:rsidR="002425D2" w:rsidRPr="00B3069C" w:rsidRDefault="002425D2" w:rsidP="005B20EE">
            <w:pPr>
              <w:pStyle w:val="Heading9"/>
              <w:keepNext w:val="0"/>
              <w:spacing w:after="120"/>
              <w:rPr>
                <w:rFonts w:ascii="Times New Roman" w:hAnsi="Times New Roman"/>
                <w:b w:val="0"/>
              </w:rPr>
            </w:pPr>
          </w:p>
        </w:tc>
      </w:tr>
      <w:tr w:rsidR="00213E36" w:rsidRPr="00B3069C" w:rsidTr="00714E4C">
        <w:tc>
          <w:tcPr>
            <w:tcW w:w="2552" w:type="dxa"/>
          </w:tcPr>
          <w:p w:rsidR="00213E36" w:rsidRPr="002425D2" w:rsidRDefault="002425D2" w:rsidP="005B20EE">
            <w:pPr>
              <w:pStyle w:val="Heading9"/>
              <w:keepNext w:val="0"/>
              <w:rPr>
                <w:rFonts w:ascii="Times New Roman" w:hAnsi="Times New Roman"/>
                <w:b w:val="0"/>
                <w:color w:val="808080"/>
              </w:rPr>
            </w:pPr>
            <w:r w:rsidRPr="002425D2">
              <w:rPr>
                <w:rFonts w:ascii="Times New Roman" w:hAnsi="Times New Roman"/>
                <w:b w:val="0"/>
                <w:color w:val="808080"/>
              </w:rPr>
              <w:t>Contact point for further details:</w:t>
            </w:r>
          </w:p>
        </w:tc>
        <w:tc>
          <w:tcPr>
            <w:tcW w:w="7371" w:type="dxa"/>
          </w:tcPr>
          <w:p w:rsidR="00213E36" w:rsidRPr="00B3069C" w:rsidRDefault="00213E36" w:rsidP="005B20EE">
            <w:pPr>
              <w:rPr>
                <w:color w:val="0000FF"/>
                <w:sz w:val="20"/>
                <w:u w:val="single"/>
              </w:rPr>
            </w:pPr>
            <w:r w:rsidRPr="00B3069C">
              <w:rPr>
                <w:sz w:val="20"/>
              </w:rPr>
              <w:t>Tina Smith - The Treasury: +61 2 6263 2807</w:t>
            </w:r>
          </w:p>
        </w:tc>
        <w:tc>
          <w:tcPr>
            <w:tcW w:w="4658" w:type="dxa"/>
          </w:tcPr>
          <w:p w:rsidR="00213E36" w:rsidRPr="00B3069C" w:rsidRDefault="00213E36" w:rsidP="005B20EE">
            <w:pPr>
              <w:pStyle w:val="Heading9"/>
              <w:keepNext w:val="0"/>
              <w:spacing w:after="120"/>
              <w:rPr>
                <w:rFonts w:ascii="Times New Roman" w:hAnsi="Times New Roman"/>
                <w:b w:val="0"/>
              </w:rPr>
            </w:pPr>
          </w:p>
        </w:tc>
      </w:tr>
      <w:tr w:rsidR="00213E36" w:rsidRPr="00B3069C" w:rsidTr="00714E4C">
        <w:tc>
          <w:tcPr>
            <w:tcW w:w="2552" w:type="dxa"/>
          </w:tcPr>
          <w:p w:rsidR="00213E36" w:rsidRPr="00B3069C" w:rsidRDefault="00213E36" w:rsidP="005B20EE">
            <w:pPr>
              <w:rPr>
                <w:b/>
                <w:i/>
                <w:sz w:val="20"/>
              </w:rPr>
            </w:pPr>
            <w:bookmarkStart w:id="18" w:name="Row9"/>
            <w:r w:rsidRPr="00B3069C">
              <w:rPr>
                <w:b/>
                <w:i/>
                <w:sz w:val="20"/>
              </w:rPr>
              <w:t>Government Procurement</w:t>
            </w:r>
            <w:bookmarkEnd w:id="18"/>
          </w:p>
          <w:p w:rsidR="00213E36" w:rsidRPr="00B3069C" w:rsidRDefault="00213E36" w:rsidP="005B20EE">
            <w:pPr>
              <w:rPr>
                <w:b/>
                <w:i/>
                <w:sz w:val="20"/>
              </w:rPr>
            </w:pPr>
          </w:p>
        </w:tc>
        <w:tc>
          <w:tcPr>
            <w:tcW w:w="7371" w:type="dxa"/>
          </w:tcPr>
          <w:p w:rsidR="00C34E45" w:rsidRPr="00C34E45" w:rsidRDefault="00C34E45" w:rsidP="005B20EE">
            <w:pPr>
              <w:spacing w:after="120"/>
              <w:rPr>
                <w:sz w:val="20"/>
              </w:rPr>
            </w:pPr>
            <w:bookmarkStart w:id="19" w:name="Cell13"/>
            <w:bookmarkEnd w:id="19"/>
            <w:r w:rsidRPr="00C34E45">
              <w:rPr>
                <w:sz w:val="20"/>
              </w:rPr>
              <w:t>An extensive review of the Commonwealth Procurement Guidelines (CPGs)</w:t>
            </w:r>
            <w:r w:rsidR="00A31B9B">
              <w:rPr>
                <w:sz w:val="20"/>
              </w:rPr>
              <w:t xml:space="preserve"> was undertaken</w:t>
            </w:r>
            <w:r w:rsidRPr="00C34E45">
              <w:rPr>
                <w:sz w:val="20"/>
              </w:rPr>
              <w:t xml:space="preserve"> to: </w:t>
            </w:r>
          </w:p>
          <w:p w:rsidR="00C34E45" w:rsidRPr="00C34E45" w:rsidRDefault="00C34E45" w:rsidP="005B20EE">
            <w:pPr>
              <w:pStyle w:val="ListParagraph"/>
              <w:numPr>
                <w:ilvl w:val="0"/>
                <w:numId w:val="28"/>
              </w:numPr>
              <w:spacing w:after="120"/>
              <w:rPr>
                <w:rFonts w:ascii="Times New Roman" w:hAnsi="Times New Roman"/>
                <w:sz w:val="20"/>
                <w:szCs w:val="20"/>
              </w:rPr>
            </w:pPr>
            <w:r w:rsidRPr="00C34E45">
              <w:rPr>
                <w:rFonts w:ascii="Times New Roman" w:hAnsi="Times New Roman"/>
                <w:sz w:val="20"/>
                <w:szCs w:val="20"/>
              </w:rPr>
              <w:t>refine their scope;</w:t>
            </w:r>
          </w:p>
          <w:p w:rsidR="00C34E45" w:rsidRPr="00C34E45" w:rsidRDefault="00C34E45" w:rsidP="005B20EE">
            <w:pPr>
              <w:pStyle w:val="ListParagraph"/>
              <w:numPr>
                <w:ilvl w:val="0"/>
                <w:numId w:val="28"/>
              </w:numPr>
              <w:spacing w:after="120"/>
              <w:rPr>
                <w:rFonts w:ascii="Times New Roman" w:hAnsi="Times New Roman"/>
                <w:sz w:val="20"/>
                <w:szCs w:val="20"/>
              </w:rPr>
            </w:pPr>
            <w:r w:rsidRPr="00C34E45">
              <w:rPr>
                <w:rFonts w:ascii="Times New Roman" w:hAnsi="Times New Roman"/>
                <w:sz w:val="20"/>
                <w:szCs w:val="20"/>
              </w:rPr>
              <w:t xml:space="preserve">improve useability and readability; </w:t>
            </w:r>
          </w:p>
          <w:p w:rsidR="00C34E45" w:rsidRPr="00C34E45" w:rsidRDefault="00C34E45" w:rsidP="005B20EE">
            <w:pPr>
              <w:pStyle w:val="ListParagraph"/>
              <w:numPr>
                <w:ilvl w:val="0"/>
                <w:numId w:val="28"/>
              </w:numPr>
              <w:spacing w:after="120"/>
              <w:rPr>
                <w:rFonts w:ascii="Times New Roman" w:hAnsi="Times New Roman"/>
                <w:sz w:val="20"/>
                <w:szCs w:val="20"/>
              </w:rPr>
            </w:pPr>
            <w:r w:rsidRPr="00C34E45">
              <w:rPr>
                <w:rFonts w:ascii="Times New Roman" w:hAnsi="Times New Roman"/>
                <w:sz w:val="20"/>
                <w:szCs w:val="20"/>
              </w:rPr>
              <w:t>redefine procurement methods; and</w:t>
            </w:r>
          </w:p>
          <w:p w:rsidR="00C34E45" w:rsidRPr="00C34E45" w:rsidRDefault="00C34E45" w:rsidP="005B20EE">
            <w:pPr>
              <w:pStyle w:val="ListParagraph"/>
              <w:numPr>
                <w:ilvl w:val="0"/>
                <w:numId w:val="28"/>
              </w:numPr>
              <w:spacing w:after="120"/>
              <w:rPr>
                <w:rFonts w:ascii="Times New Roman" w:hAnsi="Times New Roman"/>
                <w:sz w:val="20"/>
                <w:szCs w:val="20"/>
              </w:rPr>
            </w:pPr>
            <w:r w:rsidRPr="00C34E45">
              <w:rPr>
                <w:rFonts w:ascii="Times New Roman" w:hAnsi="Times New Roman"/>
                <w:sz w:val="20"/>
                <w:szCs w:val="20"/>
              </w:rPr>
              <w:t>clarify procurement obligations and better practice.</w:t>
            </w:r>
          </w:p>
          <w:p w:rsidR="00C34E45" w:rsidRPr="00C34E45" w:rsidRDefault="00C34E45" w:rsidP="005B20EE">
            <w:pPr>
              <w:spacing w:after="120"/>
              <w:rPr>
                <w:sz w:val="20"/>
              </w:rPr>
            </w:pPr>
            <w:r w:rsidRPr="00C34E45">
              <w:rPr>
                <w:sz w:val="20"/>
              </w:rPr>
              <w:t xml:space="preserve">The  CPGs were subsequently updated and reissued as the Commonwealth Procurement Rules (CPRs) on 1 July 2012. </w:t>
            </w:r>
          </w:p>
          <w:p w:rsidR="00213E36" w:rsidRPr="00C34E45" w:rsidRDefault="00A31B9B" w:rsidP="005B20EE">
            <w:pPr>
              <w:spacing w:after="120"/>
              <w:rPr>
                <w:b/>
                <w:sz w:val="20"/>
              </w:rPr>
            </w:pPr>
            <w:r>
              <w:rPr>
                <w:sz w:val="20"/>
              </w:rPr>
              <w:t>A</w:t>
            </w:r>
            <w:r w:rsidR="00C34E45" w:rsidRPr="00C34E45">
              <w:rPr>
                <w:sz w:val="20"/>
              </w:rPr>
              <w:t xml:space="preserve"> standard suite of contract documents for low risk procurements under $80,000</w:t>
            </w:r>
            <w:r>
              <w:rPr>
                <w:sz w:val="20"/>
              </w:rPr>
              <w:t xml:space="preserve"> was introduced</w:t>
            </w:r>
            <w:r w:rsidR="00C34E45" w:rsidRPr="00C34E45">
              <w:rPr>
                <w:sz w:val="20"/>
              </w:rPr>
              <w:t xml:space="preserve"> for use across the Commonwealth.</w:t>
            </w:r>
          </w:p>
        </w:tc>
        <w:tc>
          <w:tcPr>
            <w:tcW w:w="4658" w:type="dxa"/>
          </w:tcPr>
          <w:p w:rsidR="00C34E45" w:rsidRPr="00C34E45" w:rsidRDefault="00C34E45" w:rsidP="005B20EE">
            <w:pPr>
              <w:spacing w:after="120"/>
              <w:rPr>
                <w:rFonts w:eastAsia="SimSun"/>
                <w:sz w:val="20"/>
                <w:lang w:val="en-US" w:eastAsia="zh-CN"/>
              </w:rPr>
            </w:pPr>
            <w:bookmarkStart w:id="20" w:name="Cell14"/>
            <w:bookmarkEnd w:id="20"/>
            <w:r w:rsidRPr="00C34E45">
              <w:rPr>
                <w:rFonts w:eastAsia="SimSun"/>
                <w:sz w:val="20"/>
                <w:lang w:val="en-US" w:eastAsia="zh-CN"/>
              </w:rPr>
              <w:t>Development of a standard suite of contract documents for low risk procurements valued up to $200,000 for use across the Commonwealth. This builds on the existing standard suite of contract documents for low risk procurements under $80,000.</w:t>
            </w:r>
          </w:p>
          <w:p w:rsidR="00213E36" w:rsidRPr="00C34E45" w:rsidRDefault="00213E36" w:rsidP="005B20EE">
            <w:pPr>
              <w:spacing w:after="120"/>
              <w:rPr>
                <w:color w:val="808080"/>
                <w:sz w:val="20"/>
              </w:rPr>
            </w:pPr>
          </w:p>
        </w:tc>
      </w:tr>
      <w:tr w:rsidR="00213E36" w:rsidRPr="00B3069C" w:rsidTr="00714E4C">
        <w:tc>
          <w:tcPr>
            <w:tcW w:w="2552" w:type="dxa"/>
          </w:tcPr>
          <w:p w:rsidR="00213E36" w:rsidRPr="00B3069C" w:rsidRDefault="00213E36" w:rsidP="005B20EE">
            <w:pPr>
              <w:pStyle w:val="Heading9"/>
              <w:keepNext w:val="0"/>
              <w:rPr>
                <w:rFonts w:ascii="Times New Roman" w:hAnsi="Times New Roman"/>
                <w:b w:val="0"/>
                <w:color w:val="808080"/>
              </w:rPr>
            </w:pPr>
            <w:r w:rsidRPr="00B3069C">
              <w:rPr>
                <w:rFonts w:ascii="Times New Roman" w:hAnsi="Times New Roman"/>
                <w:b w:val="0"/>
                <w:color w:val="808080"/>
              </w:rPr>
              <w:t xml:space="preserve">Website for further information:  </w:t>
            </w:r>
          </w:p>
        </w:tc>
        <w:tc>
          <w:tcPr>
            <w:tcW w:w="7371" w:type="dxa"/>
          </w:tcPr>
          <w:p w:rsidR="00213E36" w:rsidRPr="00C34E45" w:rsidRDefault="00C34E45" w:rsidP="005B20EE">
            <w:pPr>
              <w:rPr>
                <w:i/>
                <w:color w:val="0000FF"/>
                <w:sz w:val="20"/>
                <w:u w:val="single"/>
              </w:rPr>
            </w:pPr>
            <w:r w:rsidRPr="00C34E45">
              <w:rPr>
                <w:color w:val="0000FF"/>
                <w:sz w:val="20"/>
                <w:u w:val="single"/>
              </w:rPr>
              <w:t>http://www.finance.gov.au/procurement/</w:t>
            </w:r>
          </w:p>
        </w:tc>
        <w:tc>
          <w:tcPr>
            <w:tcW w:w="4658" w:type="dxa"/>
          </w:tcPr>
          <w:p w:rsidR="00213E36" w:rsidRPr="00C34E45" w:rsidRDefault="00213E36" w:rsidP="005B20EE">
            <w:pPr>
              <w:pStyle w:val="Heading9"/>
              <w:keepNext w:val="0"/>
              <w:spacing w:after="120"/>
              <w:rPr>
                <w:rFonts w:ascii="Times New Roman" w:hAnsi="Times New Roman"/>
                <w:b w:val="0"/>
                <w:i w:val="0"/>
              </w:rPr>
            </w:pPr>
          </w:p>
        </w:tc>
      </w:tr>
      <w:tr w:rsidR="00213E36" w:rsidRPr="00B3069C" w:rsidTr="00714E4C">
        <w:tc>
          <w:tcPr>
            <w:tcW w:w="2552" w:type="dxa"/>
          </w:tcPr>
          <w:p w:rsidR="00213E36" w:rsidRPr="00B3069C" w:rsidRDefault="00213E36" w:rsidP="005B20EE">
            <w:pPr>
              <w:rPr>
                <w:b/>
                <w:i/>
                <w:sz w:val="20"/>
              </w:rPr>
            </w:pPr>
            <w:r w:rsidRPr="00B3069C">
              <w:rPr>
                <w:i/>
                <w:color w:val="808080"/>
                <w:sz w:val="20"/>
              </w:rPr>
              <w:t>Contact point for further details:</w:t>
            </w:r>
          </w:p>
        </w:tc>
        <w:tc>
          <w:tcPr>
            <w:tcW w:w="7371" w:type="dxa"/>
          </w:tcPr>
          <w:p w:rsidR="00213E36" w:rsidRPr="00C34E45" w:rsidRDefault="00C34E45" w:rsidP="005B20EE">
            <w:pPr>
              <w:pStyle w:val="Heading9"/>
              <w:keepNext w:val="0"/>
              <w:rPr>
                <w:rFonts w:ascii="Times New Roman" w:hAnsi="Times New Roman"/>
                <w:b w:val="0"/>
                <w:i w:val="0"/>
              </w:rPr>
            </w:pPr>
            <w:r w:rsidRPr="00C34E45">
              <w:rPr>
                <w:rFonts w:ascii="Times New Roman" w:hAnsi="Times New Roman"/>
                <w:b w:val="0"/>
                <w:i w:val="0"/>
              </w:rPr>
              <w:t>Procurement Policy</w:t>
            </w:r>
            <w:r>
              <w:rPr>
                <w:rFonts w:ascii="Times New Roman" w:hAnsi="Times New Roman"/>
                <w:b w:val="0"/>
                <w:i w:val="0"/>
              </w:rPr>
              <w:t xml:space="preserve"> </w:t>
            </w:r>
            <w:r w:rsidRPr="00C34E45">
              <w:rPr>
                <w:rFonts w:ascii="Times New Roman" w:hAnsi="Times New Roman"/>
                <w:b w:val="0"/>
                <w:i w:val="0"/>
              </w:rPr>
              <w:t>Branch</w:t>
            </w:r>
            <w:r>
              <w:rPr>
                <w:rFonts w:ascii="Times New Roman" w:hAnsi="Times New Roman"/>
                <w:b w:val="0"/>
                <w:i w:val="0"/>
              </w:rPr>
              <w:t xml:space="preserve"> - </w:t>
            </w:r>
            <w:r w:rsidRPr="00C34E45">
              <w:rPr>
                <w:rFonts w:ascii="Times New Roman" w:hAnsi="Times New Roman"/>
                <w:b w:val="0"/>
                <w:i w:val="0"/>
              </w:rPr>
              <w:t>Department of Finance: gptrade@finance.gov.au</w:t>
            </w:r>
          </w:p>
        </w:tc>
        <w:tc>
          <w:tcPr>
            <w:tcW w:w="4658" w:type="dxa"/>
          </w:tcPr>
          <w:p w:rsidR="00213E36" w:rsidRPr="00C34E45" w:rsidRDefault="00213E36" w:rsidP="005B20EE">
            <w:pPr>
              <w:spacing w:after="120"/>
              <w:rPr>
                <w:sz w:val="20"/>
              </w:rPr>
            </w:pPr>
          </w:p>
        </w:tc>
      </w:tr>
      <w:tr w:rsidR="00BD6E66" w:rsidRPr="00B3069C" w:rsidTr="00714E4C">
        <w:tc>
          <w:tcPr>
            <w:tcW w:w="2552" w:type="dxa"/>
            <w:vMerge w:val="restart"/>
          </w:tcPr>
          <w:p w:rsidR="00BD6E66" w:rsidRPr="00B3069C" w:rsidRDefault="00BD6E66" w:rsidP="005B20EE">
            <w:pPr>
              <w:rPr>
                <w:b/>
                <w:i/>
                <w:sz w:val="20"/>
              </w:rPr>
            </w:pPr>
            <w:bookmarkStart w:id="21" w:name="Row10"/>
            <w:r w:rsidRPr="00B3069C">
              <w:rPr>
                <w:b/>
                <w:i/>
                <w:sz w:val="20"/>
              </w:rPr>
              <w:t>Deregulation/Regulatory Review</w:t>
            </w:r>
            <w:bookmarkEnd w:id="21"/>
          </w:p>
          <w:p w:rsidR="00BD6E66" w:rsidRPr="00B3069C" w:rsidRDefault="00BD6E66" w:rsidP="005B20EE">
            <w:pPr>
              <w:pStyle w:val="Heading9"/>
              <w:keepNext w:val="0"/>
              <w:rPr>
                <w:rFonts w:ascii="Times New Roman" w:hAnsi="Times New Roman"/>
                <w:b w:val="0"/>
                <w:color w:val="80808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b/>
                <w:i/>
                <w:sz w:val="20"/>
              </w:rPr>
            </w:pPr>
          </w:p>
          <w:p w:rsidR="00BD6E66" w:rsidRPr="00B3069C" w:rsidRDefault="00BD6E66" w:rsidP="005B20EE">
            <w:pPr>
              <w:pStyle w:val="Heading9"/>
              <w:keepNext w:val="0"/>
              <w:rPr>
                <w:rFonts w:ascii="Times New Roman" w:hAnsi="Times New Roman"/>
                <w:b w:val="0"/>
                <w:color w:val="80808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sz w:val="20"/>
              </w:rPr>
            </w:pPr>
          </w:p>
          <w:p w:rsidR="00BD6E66" w:rsidRPr="00B3069C" w:rsidRDefault="00BD6E66" w:rsidP="005B20EE">
            <w:pPr>
              <w:rPr>
                <w:i/>
                <w:sz w:val="20"/>
              </w:rPr>
            </w:pPr>
          </w:p>
        </w:tc>
        <w:tc>
          <w:tcPr>
            <w:tcW w:w="7371" w:type="dxa"/>
          </w:tcPr>
          <w:p w:rsidR="00BD6E66" w:rsidRPr="00B3069C" w:rsidRDefault="00BD6E66" w:rsidP="005B20EE">
            <w:pPr>
              <w:spacing w:after="120"/>
              <w:rPr>
                <w:rFonts w:eastAsia="Times New Roman"/>
                <w:b/>
                <w:sz w:val="20"/>
              </w:rPr>
            </w:pPr>
            <w:r w:rsidRPr="00B3069C">
              <w:rPr>
                <w:b/>
                <w:sz w:val="20"/>
              </w:rPr>
              <w:t>A New Agenda to Boost Productivity and Reduce Regulation</w:t>
            </w:r>
          </w:p>
          <w:p w:rsidR="00BD6E66" w:rsidRPr="00B3069C" w:rsidRDefault="00BD6E66" w:rsidP="005B20EE">
            <w:pPr>
              <w:spacing w:after="120"/>
              <w:rPr>
                <w:rFonts w:eastAsia="Times New Roman"/>
                <w:sz w:val="20"/>
              </w:rPr>
            </w:pPr>
            <w:r w:rsidRPr="00B3069C">
              <w:rPr>
                <w:sz w:val="20"/>
              </w:rPr>
              <w:t xml:space="preserve">The Australian Government has announced an extensive new reform agenda to reduce regulation and boost Australia’s productivity. </w:t>
            </w:r>
          </w:p>
          <w:p w:rsidR="00BD6E66" w:rsidRPr="00B3069C" w:rsidRDefault="00BD6E66" w:rsidP="005B20EE">
            <w:pPr>
              <w:spacing w:after="120"/>
              <w:rPr>
                <w:rFonts w:eastAsia="Times New Roman"/>
                <w:sz w:val="20"/>
              </w:rPr>
            </w:pPr>
            <w:r w:rsidRPr="00B3069C">
              <w:rPr>
                <w:sz w:val="20"/>
              </w:rPr>
              <w:t xml:space="preserve">This agenda is underpinned by a broad framework of institutional structures, mechanisms and tools that </w:t>
            </w:r>
            <w:r w:rsidRPr="00B3069C">
              <w:rPr>
                <w:rFonts w:eastAsia="Times New Roman"/>
                <w:sz w:val="20"/>
              </w:rPr>
              <w:t xml:space="preserve">establish deregulation as an explicit priority.  All Government Ministers and their departments are accountable for the agenda’s success. </w:t>
            </w:r>
          </w:p>
          <w:p w:rsidR="00BD6E66" w:rsidRPr="00B3069C" w:rsidRDefault="00BD6E66" w:rsidP="005B20EE">
            <w:pPr>
              <w:spacing w:after="120"/>
              <w:rPr>
                <w:rFonts w:eastAsia="Times New Roman"/>
                <w:sz w:val="20"/>
              </w:rPr>
            </w:pPr>
            <w:r w:rsidRPr="00B3069C">
              <w:rPr>
                <w:rFonts w:eastAsia="Times New Roman"/>
                <w:sz w:val="20"/>
              </w:rPr>
              <w:t>An Office of Deregulation has been established to coordinate whole of government implementation of the agenda.  This Office reports directly to the Prime Minister and the Cabinet on progress.</w:t>
            </w:r>
          </w:p>
          <w:p w:rsidR="00BD6E66" w:rsidRPr="00B3069C" w:rsidRDefault="00BD6E66" w:rsidP="005B20EE">
            <w:pPr>
              <w:spacing w:after="120"/>
              <w:rPr>
                <w:sz w:val="20"/>
              </w:rPr>
            </w:pPr>
            <w:r w:rsidRPr="00B3069C">
              <w:rPr>
                <w:rFonts w:eastAsia="Times New Roman"/>
                <w:sz w:val="20"/>
              </w:rPr>
              <w:t>Deregulation Units have been established in Government departments to coordinate regulation reduction in each Minister’s portfolio and report to Government annually.</w:t>
            </w:r>
          </w:p>
          <w:p w:rsidR="00BD6E66" w:rsidRPr="00B3069C" w:rsidRDefault="00BD6E66" w:rsidP="005B20EE">
            <w:pPr>
              <w:spacing w:after="120"/>
              <w:rPr>
                <w:sz w:val="20"/>
              </w:rPr>
            </w:pPr>
            <w:r w:rsidRPr="00B3069C">
              <w:rPr>
                <w:sz w:val="20"/>
              </w:rPr>
              <w:t>The Government has strengthened the Regulatory Impact Analysis (RIA) framework, with a focus on costing impacts on business, community organisations, and individuals.  The framework will continue to be overseen by the Office of Best Practice Regulation.</w:t>
            </w:r>
          </w:p>
          <w:p w:rsidR="00BD6E66" w:rsidRPr="00B3069C" w:rsidRDefault="00BD6E66" w:rsidP="005B20EE">
            <w:pPr>
              <w:spacing w:after="120"/>
              <w:rPr>
                <w:sz w:val="20"/>
              </w:rPr>
            </w:pPr>
            <w:r w:rsidRPr="00B3069C">
              <w:rPr>
                <w:sz w:val="20"/>
              </w:rPr>
              <w:t>As an interim arrangement, the current Best Practice Regulation Handbook (issued in July 2013) will apply but will be supplemented with some important modifications. The key modifications are:</w:t>
            </w:r>
          </w:p>
          <w:p w:rsidR="00BD6E66" w:rsidRPr="00B3069C" w:rsidRDefault="00BD6E66" w:rsidP="005B20EE">
            <w:pPr>
              <w:numPr>
                <w:ilvl w:val="0"/>
                <w:numId w:val="19"/>
              </w:numPr>
              <w:spacing w:after="120"/>
              <w:rPr>
                <w:sz w:val="20"/>
              </w:rPr>
            </w:pPr>
            <w:r w:rsidRPr="00B3069C">
              <w:rPr>
                <w:sz w:val="20"/>
              </w:rPr>
              <w:t>all Cabinet submissions, including those that are non-regulatory in nature, require a Regulation Impact Statement (RIS);</w:t>
            </w:r>
          </w:p>
          <w:p w:rsidR="00BD6E66" w:rsidRPr="00B3069C" w:rsidRDefault="00BD6E66" w:rsidP="005B20EE">
            <w:pPr>
              <w:numPr>
                <w:ilvl w:val="0"/>
                <w:numId w:val="19"/>
              </w:numPr>
              <w:spacing w:after="120"/>
              <w:rPr>
                <w:sz w:val="20"/>
              </w:rPr>
            </w:pPr>
            <w:r w:rsidRPr="00B3069C">
              <w:rPr>
                <w:sz w:val="20"/>
              </w:rPr>
              <w:t>all RISs must quantify the regulatory burden to business, community organisations, and/or individuals of new regulations</w:t>
            </w:r>
            <w:r w:rsidRPr="00B3069C">
              <w:rPr>
                <w:sz w:val="20"/>
                <w:vertAlign w:val="superscript"/>
              </w:rPr>
              <w:t xml:space="preserve"> </w:t>
            </w:r>
            <w:r w:rsidRPr="00B3069C">
              <w:rPr>
                <w:sz w:val="20"/>
              </w:rPr>
              <w:t>and identify reductions in regulatory burden to offset the cost to business, community organisations, and/or individuals of new regulations; and</w:t>
            </w:r>
          </w:p>
          <w:p w:rsidR="00BD6E66" w:rsidRPr="00B3069C" w:rsidRDefault="00BD6E66" w:rsidP="005B20EE">
            <w:pPr>
              <w:numPr>
                <w:ilvl w:val="0"/>
                <w:numId w:val="19"/>
              </w:numPr>
              <w:spacing w:after="120"/>
              <w:rPr>
                <w:sz w:val="20"/>
              </w:rPr>
            </w:pPr>
            <w:r w:rsidRPr="00B3069C">
              <w:rPr>
                <w:sz w:val="20"/>
              </w:rPr>
              <w:t>the requirement for a RIS has been expanded to capture proposals with more than minor impacts on individuals, as well as business and community organisations as per previous RIA arrangements.</w:t>
            </w:r>
          </w:p>
          <w:p w:rsidR="00BD6E66" w:rsidRPr="00B3069C" w:rsidRDefault="00BD6E66" w:rsidP="005B20EE">
            <w:pPr>
              <w:rPr>
                <w:b/>
                <w:color w:val="0000FF"/>
                <w:sz w:val="20"/>
                <w:u w:val="single"/>
              </w:rPr>
            </w:pPr>
            <w:r w:rsidRPr="00B3069C">
              <w:rPr>
                <w:sz w:val="20"/>
              </w:rPr>
              <w:t>The term ‘new regul</w:t>
            </w:r>
            <w:r w:rsidR="00A31B9B">
              <w:rPr>
                <w:sz w:val="20"/>
              </w:rPr>
              <w:t>ations’ also encompasses revisions or amendments to existing</w:t>
            </w:r>
            <w:r w:rsidRPr="00B3069C">
              <w:rPr>
                <w:sz w:val="20"/>
              </w:rPr>
              <w:t xml:space="preserve"> regulations. </w:t>
            </w:r>
          </w:p>
        </w:tc>
        <w:tc>
          <w:tcPr>
            <w:tcW w:w="4658" w:type="dxa"/>
          </w:tcPr>
          <w:p w:rsidR="00BD6E66" w:rsidRPr="00B3069C" w:rsidRDefault="00BD6E66" w:rsidP="005B20EE">
            <w:pPr>
              <w:spacing w:after="120"/>
              <w:rPr>
                <w:sz w:val="20"/>
              </w:rPr>
            </w:pPr>
            <w:r w:rsidRPr="00B3069C">
              <w:rPr>
                <w:rFonts w:eastAsia="Times New Roman"/>
                <w:sz w:val="20"/>
              </w:rPr>
              <w:t xml:space="preserve">The Government is reducing the regulatory burden for individuals, businesses and community organisations by targeting the removal of </w:t>
            </w:r>
            <w:r w:rsidRPr="00B3069C">
              <w:rPr>
                <w:sz w:val="20"/>
              </w:rPr>
              <w:t>$1 billion of regulation across Government every year. This annual target is supported by incentives and mechanisms to achieve meaningful reductions in regulation over time:</w:t>
            </w:r>
          </w:p>
          <w:p w:rsidR="00BD6E66" w:rsidRPr="00B3069C" w:rsidRDefault="00BD6E66" w:rsidP="005B20EE">
            <w:pPr>
              <w:numPr>
                <w:ilvl w:val="0"/>
                <w:numId w:val="20"/>
              </w:numPr>
              <w:spacing w:after="120"/>
              <w:rPr>
                <w:sz w:val="20"/>
              </w:rPr>
            </w:pPr>
            <w:r w:rsidRPr="00B3069C">
              <w:rPr>
                <w:rFonts w:eastAsia="Times New Roman"/>
                <w:sz w:val="20"/>
              </w:rPr>
              <w:t>all</w:t>
            </w:r>
            <w:r w:rsidRPr="00B3069C">
              <w:rPr>
                <w:sz w:val="20"/>
              </w:rPr>
              <w:t xml:space="preserve"> existing regulation will be audited by Government departments to determine its cost and to target reform of the most significant areas of regulatory burden;</w:t>
            </w:r>
          </w:p>
          <w:p w:rsidR="00BD6E66" w:rsidRPr="00B3069C" w:rsidRDefault="00BD6E66" w:rsidP="005B20EE">
            <w:pPr>
              <w:numPr>
                <w:ilvl w:val="0"/>
                <w:numId w:val="20"/>
              </w:numPr>
              <w:spacing w:after="120"/>
              <w:rPr>
                <w:sz w:val="20"/>
              </w:rPr>
            </w:pPr>
            <w:r w:rsidRPr="00B3069C">
              <w:rPr>
                <w:sz w:val="20"/>
              </w:rPr>
              <w:t xml:space="preserve">appointments and remuneration of senior management in Government departments will be linked to performance in reducing regulatory burden; </w:t>
            </w:r>
          </w:p>
          <w:p w:rsidR="00BD6E66" w:rsidRPr="00B3069C" w:rsidRDefault="00BD6E66" w:rsidP="005B20EE">
            <w:pPr>
              <w:numPr>
                <w:ilvl w:val="0"/>
                <w:numId w:val="20"/>
              </w:numPr>
              <w:spacing w:after="120"/>
              <w:rPr>
                <w:sz w:val="20"/>
              </w:rPr>
            </w:pPr>
            <w:r w:rsidRPr="00B3069C">
              <w:rPr>
                <w:sz w:val="20"/>
              </w:rPr>
              <w:t xml:space="preserve">business, not for profit organisations and other stakeholders will be consulted on regulatory policy through new advisory bodies in each Government portfolio; </w:t>
            </w:r>
          </w:p>
          <w:p w:rsidR="00BD6E66" w:rsidRPr="00B3069C" w:rsidRDefault="00BD6E66" w:rsidP="005B20EE">
            <w:pPr>
              <w:numPr>
                <w:ilvl w:val="0"/>
                <w:numId w:val="20"/>
              </w:numPr>
              <w:spacing w:after="120"/>
              <w:rPr>
                <w:sz w:val="20"/>
              </w:rPr>
            </w:pPr>
            <w:r w:rsidRPr="00B3069C">
              <w:rPr>
                <w:sz w:val="20"/>
              </w:rPr>
              <w:t>a forward work programme of review and repeal priorities is being established;</w:t>
            </w:r>
          </w:p>
          <w:p w:rsidR="00BD6E66" w:rsidRPr="00B3069C" w:rsidRDefault="00BD6E66" w:rsidP="005B20EE">
            <w:pPr>
              <w:numPr>
                <w:ilvl w:val="0"/>
                <w:numId w:val="20"/>
              </w:numPr>
              <w:spacing w:after="120"/>
              <w:rPr>
                <w:sz w:val="20"/>
              </w:rPr>
            </w:pPr>
            <w:r w:rsidRPr="00B3069C">
              <w:rPr>
                <w:sz w:val="20"/>
              </w:rPr>
              <w:t xml:space="preserve">in-depth reviews of regulation will be undertaken within specific sectors and after implementation of regulation; </w:t>
            </w:r>
          </w:p>
          <w:p w:rsidR="00BD6E66" w:rsidRPr="00B3069C" w:rsidRDefault="00BD6E66" w:rsidP="005B20EE">
            <w:pPr>
              <w:numPr>
                <w:ilvl w:val="0"/>
                <w:numId w:val="20"/>
              </w:numPr>
              <w:spacing w:after="120"/>
              <w:rPr>
                <w:sz w:val="20"/>
              </w:rPr>
            </w:pPr>
            <w:r w:rsidRPr="00B3069C">
              <w:rPr>
                <w:sz w:val="20"/>
              </w:rPr>
              <w:t>at least two Parliamentary sitting days are being set aside each year to repeal counterproductive, unnecessary or redundant regulation;</w:t>
            </w:r>
          </w:p>
          <w:p w:rsidR="00BD6E66" w:rsidRPr="00B3069C" w:rsidRDefault="00BD6E66" w:rsidP="005B20EE">
            <w:pPr>
              <w:numPr>
                <w:ilvl w:val="0"/>
                <w:numId w:val="20"/>
              </w:numPr>
              <w:spacing w:after="120"/>
              <w:rPr>
                <w:sz w:val="20"/>
              </w:rPr>
            </w:pPr>
            <w:r w:rsidRPr="00B3069C">
              <w:rPr>
                <w:sz w:val="20"/>
              </w:rPr>
              <w:t>Government departments will report annually to the Australian Parliament on progress with red tape reduction; and</w:t>
            </w:r>
          </w:p>
          <w:p w:rsidR="00BD6E66" w:rsidRPr="00B3069C" w:rsidRDefault="00BD6E66" w:rsidP="005B20EE">
            <w:pPr>
              <w:numPr>
                <w:ilvl w:val="0"/>
                <w:numId w:val="20"/>
              </w:numPr>
              <w:spacing w:after="120"/>
              <w:rPr>
                <w:sz w:val="20"/>
              </w:rPr>
            </w:pPr>
            <w:r w:rsidRPr="00B3069C">
              <w:rPr>
                <w:sz w:val="20"/>
              </w:rPr>
              <w:t>Regulator performance will be audited</w:t>
            </w:r>
          </w:p>
          <w:p w:rsidR="00BD6E66" w:rsidRPr="002D728A" w:rsidRDefault="00BD6E66" w:rsidP="005B20EE">
            <w:pPr>
              <w:pStyle w:val="ListParagraph"/>
              <w:numPr>
                <w:ilvl w:val="0"/>
                <w:numId w:val="20"/>
              </w:numPr>
              <w:spacing w:after="120"/>
              <w:rPr>
                <w:rFonts w:ascii="Times New Roman" w:hAnsi="Times New Roman"/>
                <w:color w:val="1F497D"/>
                <w:sz w:val="20"/>
                <w:szCs w:val="20"/>
              </w:rPr>
            </w:pPr>
            <w:r w:rsidRPr="00B3069C">
              <w:rPr>
                <w:rFonts w:ascii="Times New Roman" w:hAnsi="Times New Roman"/>
                <w:sz w:val="20"/>
                <w:szCs w:val="20"/>
              </w:rPr>
              <w:t>A new Best Practice Regulation Handbook will be issued once the Government’s arrangements are settled in detail.</w:t>
            </w:r>
          </w:p>
        </w:tc>
      </w:tr>
      <w:tr w:rsidR="00BD6E66" w:rsidRPr="00B3069C" w:rsidTr="00714E4C">
        <w:tc>
          <w:tcPr>
            <w:tcW w:w="2552" w:type="dxa"/>
            <w:vMerge/>
          </w:tcPr>
          <w:p w:rsidR="00BD6E66" w:rsidRPr="00B3069C" w:rsidRDefault="00BD6E66" w:rsidP="005B20EE">
            <w:pPr>
              <w:rPr>
                <w:b/>
                <w:i/>
                <w:sz w:val="20"/>
              </w:rPr>
            </w:pPr>
            <w:bookmarkStart w:id="22" w:name="Row8"/>
            <w:bookmarkEnd w:id="22"/>
          </w:p>
        </w:tc>
        <w:tc>
          <w:tcPr>
            <w:tcW w:w="7371" w:type="dxa"/>
          </w:tcPr>
          <w:p w:rsidR="00BD6E66" w:rsidRPr="00B3069C" w:rsidRDefault="00BD6E66" w:rsidP="005B20EE">
            <w:pPr>
              <w:shd w:val="clear" w:color="auto" w:fill="FFFFFF"/>
              <w:spacing w:after="120"/>
              <w:outlineLvl w:val="2"/>
              <w:rPr>
                <w:rFonts w:eastAsia="Times New Roman"/>
                <w:b/>
                <w:bCs/>
                <w:sz w:val="20"/>
                <w:lang w:eastAsia="en-AU"/>
              </w:rPr>
            </w:pPr>
            <w:bookmarkStart w:id="23" w:name="Cell15"/>
            <w:bookmarkEnd w:id="23"/>
            <w:r w:rsidRPr="00B3069C">
              <w:rPr>
                <w:rFonts w:eastAsia="Times New Roman"/>
                <w:b/>
                <w:bCs/>
                <w:sz w:val="20"/>
                <w:lang w:eastAsia="en-AU"/>
              </w:rPr>
              <w:t>Wheat export marketing arrangements</w:t>
            </w:r>
          </w:p>
          <w:p w:rsidR="00BD6E66" w:rsidRPr="00B3069C" w:rsidRDefault="00BD6E66" w:rsidP="005B20EE">
            <w:pPr>
              <w:shd w:val="clear" w:color="auto" w:fill="FFFFFF"/>
              <w:spacing w:after="120"/>
              <w:outlineLvl w:val="2"/>
              <w:rPr>
                <w:rFonts w:eastAsia="Times New Roman"/>
                <w:b/>
                <w:bCs/>
                <w:sz w:val="20"/>
                <w:lang w:eastAsia="en-AU"/>
              </w:rPr>
            </w:pPr>
            <w:r w:rsidRPr="00B3069C">
              <w:rPr>
                <w:rFonts w:eastAsia="Times New Roman"/>
                <w:sz w:val="20"/>
                <w:lang w:eastAsia="en-AU"/>
              </w:rPr>
              <w:t xml:space="preserve">The </w:t>
            </w:r>
            <w:r w:rsidRPr="00B3069C">
              <w:rPr>
                <w:rFonts w:eastAsia="Times New Roman"/>
                <w:i/>
                <w:iCs/>
                <w:sz w:val="20"/>
                <w:lang w:eastAsia="en-AU"/>
              </w:rPr>
              <w:t>Wheat Export Marketing Amendment Act 2012</w:t>
            </w:r>
            <w:r w:rsidRPr="00B3069C">
              <w:rPr>
                <w:rFonts w:eastAsia="Times New Roman"/>
                <w:sz w:val="20"/>
                <w:lang w:eastAsia="en-AU"/>
              </w:rPr>
              <w:t xml:space="preserve"> (the Act) was passed by the Parliament on 29 November 2012 and received Royal Assent on 3 December 2012.  The Act removed the Wheat Export Charge and the Wheat Export Accreditation Scheme on 10 December 2012, and abolished Wheat Exports Australia on 31 December 2012.</w:t>
            </w:r>
          </w:p>
          <w:p w:rsidR="00BD6E66" w:rsidRPr="00B3069C" w:rsidRDefault="00BD6E66" w:rsidP="005B20EE">
            <w:pPr>
              <w:shd w:val="clear" w:color="auto" w:fill="FFFFFF"/>
              <w:spacing w:after="120"/>
              <w:rPr>
                <w:rFonts w:eastAsia="Times New Roman"/>
                <w:sz w:val="20"/>
                <w:lang w:eastAsia="en-AU"/>
              </w:rPr>
            </w:pPr>
            <w:r w:rsidRPr="00B3069C">
              <w:rPr>
                <w:rFonts w:eastAsia="Times New Roman"/>
                <w:sz w:val="20"/>
                <w:lang w:eastAsia="en-AU"/>
              </w:rPr>
              <w:t xml:space="preserve">The Act required the Minister for Agriculture, Fisheries and Forestry to establish a Wheat Industry Advisory Taskforce.  </w:t>
            </w:r>
          </w:p>
          <w:p w:rsidR="00BD6E66" w:rsidRPr="00B3069C" w:rsidRDefault="00BD6E66" w:rsidP="005B20EE">
            <w:pPr>
              <w:shd w:val="clear" w:color="auto" w:fill="FFFFFF"/>
              <w:spacing w:after="120"/>
              <w:rPr>
                <w:rFonts w:eastAsia="Times New Roman"/>
                <w:sz w:val="20"/>
                <w:lang w:eastAsia="en-AU"/>
              </w:rPr>
            </w:pPr>
            <w:r w:rsidRPr="00B3069C">
              <w:rPr>
                <w:rFonts w:eastAsia="Times New Roman"/>
                <w:sz w:val="20"/>
                <w:lang w:eastAsia="en-AU"/>
              </w:rPr>
              <w:t>The taskforce will examine and make recommendations to industry and government on issues that may affect the efficient operation of the wheat export industry supply chain, including wheat export quality management practices and the delivery of stocks information.  Its final report is due by 1 July 2014.</w:t>
            </w:r>
          </w:p>
          <w:p w:rsidR="00BD6E66" w:rsidRPr="00B3069C" w:rsidRDefault="00BD6E66" w:rsidP="005B20EE">
            <w:pPr>
              <w:shd w:val="clear" w:color="auto" w:fill="FFFFFF"/>
              <w:spacing w:after="120"/>
              <w:rPr>
                <w:rFonts w:eastAsia="Times New Roman"/>
                <w:sz w:val="20"/>
                <w:lang w:eastAsia="en-AU"/>
              </w:rPr>
            </w:pPr>
            <w:r w:rsidRPr="00B3069C">
              <w:rPr>
                <w:rFonts w:eastAsia="Times New Roman"/>
                <w:sz w:val="20"/>
                <w:lang w:eastAsia="en-AU"/>
              </w:rPr>
              <w:t>The requirement for certain port terminal operators to have access undertakings in place with the Australian Competition and Consumer Commission will remain in place until 30 September 2014, subject to a mandatory code of conduct for grain export terminals being in place by that date.</w:t>
            </w:r>
          </w:p>
          <w:p w:rsidR="00BD6E66" w:rsidRPr="00B3069C" w:rsidRDefault="00BD6E66" w:rsidP="005B20EE">
            <w:pPr>
              <w:spacing w:after="120"/>
              <w:rPr>
                <w:color w:val="808080"/>
                <w:sz w:val="20"/>
              </w:rPr>
            </w:pPr>
            <w:r w:rsidRPr="00B3069C">
              <w:rPr>
                <w:rFonts w:eastAsia="Times New Roman"/>
                <w:sz w:val="20"/>
                <w:lang w:eastAsia="en-AU"/>
              </w:rPr>
              <w:t>To assist in the development of the code, an industry Code Development Advisory Committee was formed, comprising representation across the supply chain.  The committee has provided advice to the government for consideration in the development of a draft code which will be released for public comment before implementation.</w:t>
            </w:r>
          </w:p>
        </w:tc>
        <w:tc>
          <w:tcPr>
            <w:tcW w:w="4658" w:type="dxa"/>
          </w:tcPr>
          <w:p w:rsidR="00BD6E66" w:rsidRPr="00B3069C" w:rsidRDefault="00BD6E66" w:rsidP="005B20EE">
            <w:pPr>
              <w:spacing w:after="120"/>
              <w:rPr>
                <w:color w:val="808080"/>
                <w:sz w:val="20"/>
              </w:rPr>
            </w:pPr>
            <w:bookmarkStart w:id="24" w:name="Cell16"/>
            <w:bookmarkEnd w:id="24"/>
          </w:p>
        </w:tc>
      </w:tr>
      <w:tr w:rsidR="00213E36" w:rsidRPr="00B3069C" w:rsidTr="00714E4C">
        <w:tc>
          <w:tcPr>
            <w:tcW w:w="2552" w:type="dxa"/>
          </w:tcPr>
          <w:p w:rsidR="00213E36" w:rsidRPr="009606CD" w:rsidRDefault="00213E36" w:rsidP="005B20EE">
            <w:pPr>
              <w:rPr>
                <w:i/>
                <w:sz w:val="20"/>
              </w:rPr>
            </w:pPr>
            <w:r w:rsidRPr="009606CD">
              <w:rPr>
                <w:i/>
                <w:color w:val="808080"/>
                <w:sz w:val="20"/>
              </w:rPr>
              <w:t xml:space="preserve">Website for further information:  </w:t>
            </w:r>
          </w:p>
        </w:tc>
        <w:tc>
          <w:tcPr>
            <w:tcW w:w="7371" w:type="dxa"/>
          </w:tcPr>
          <w:p w:rsidR="00213E36" w:rsidRPr="00B3069C" w:rsidRDefault="00E632DC" w:rsidP="005B20EE">
            <w:pPr>
              <w:pStyle w:val="Heading9"/>
              <w:keepNext w:val="0"/>
              <w:spacing w:after="120"/>
              <w:rPr>
                <w:rFonts w:ascii="Times New Roman" w:hAnsi="Times New Roman"/>
                <w:b w:val="0"/>
              </w:rPr>
            </w:pPr>
            <w:hyperlink r:id="rId47" w:history="1">
              <w:r w:rsidR="00213E36" w:rsidRPr="00B3069C">
                <w:rPr>
                  <w:rStyle w:val="Hyperlink"/>
                  <w:rFonts w:ascii="Times New Roman" w:hAnsi="Times New Roman"/>
                  <w:b w:val="0"/>
                </w:rPr>
                <w:t>http://www.dpmc.gov.au/deregulation/obpr/index.cfm</w:t>
              </w:r>
            </w:hyperlink>
          </w:p>
        </w:tc>
        <w:tc>
          <w:tcPr>
            <w:tcW w:w="4658" w:type="dxa"/>
          </w:tcPr>
          <w:p w:rsidR="00213E36" w:rsidRPr="00B3069C" w:rsidRDefault="00213E36" w:rsidP="005B20EE">
            <w:pPr>
              <w:pStyle w:val="Heading9"/>
              <w:keepNext w:val="0"/>
              <w:spacing w:after="120"/>
              <w:rPr>
                <w:rFonts w:ascii="Times New Roman" w:hAnsi="Times New Roman"/>
                <w:b w:val="0"/>
              </w:rPr>
            </w:pPr>
          </w:p>
        </w:tc>
      </w:tr>
      <w:tr w:rsidR="00213E36" w:rsidRPr="00B3069C" w:rsidTr="00714E4C">
        <w:tc>
          <w:tcPr>
            <w:tcW w:w="2552" w:type="dxa"/>
          </w:tcPr>
          <w:p w:rsidR="00213E36" w:rsidRPr="00B3069C" w:rsidRDefault="009606CD" w:rsidP="005B20EE">
            <w:pPr>
              <w:rPr>
                <w:b/>
                <w:i/>
                <w:sz w:val="20"/>
              </w:rPr>
            </w:pPr>
            <w:r w:rsidRPr="00B3069C">
              <w:rPr>
                <w:i/>
                <w:color w:val="808080"/>
                <w:sz w:val="20"/>
              </w:rPr>
              <w:t>Contact point for further details:</w:t>
            </w:r>
          </w:p>
          <w:p w:rsidR="00213E36" w:rsidRPr="00B3069C" w:rsidRDefault="00213E36" w:rsidP="005B20EE">
            <w:pPr>
              <w:pStyle w:val="Heading9"/>
              <w:keepNext w:val="0"/>
              <w:rPr>
                <w:rFonts w:ascii="Times New Roman" w:hAnsi="Times New Roman"/>
                <w:b w:val="0"/>
                <w:color w:val="808080"/>
              </w:rPr>
            </w:pPr>
          </w:p>
          <w:p w:rsidR="00213E36" w:rsidRPr="00B3069C" w:rsidRDefault="00213E36" w:rsidP="005B20EE">
            <w:pPr>
              <w:rPr>
                <w:sz w:val="20"/>
              </w:rPr>
            </w:pPr>
          </w:p>
          <w:p w:rsidR="00213E36" w:rsidRPr="00B3069C" w:rsidRDefault="00213E36" w:rsidP="005B20EE">
            <w:pPr>
              <w:rPr>
                <w:b/>
                <w:color w:val="808080"/>
              </w:rPr>
            </w:pPr>
          </w:p>
        </w:tc>
        <w:tc>
          <w:tcPr>
            <w:tcW w:w="7371" w:type="dxa"/>
          </w:tcPr>
          <w:p w:rsidR="00213E36" w:rsidRPr="00B3069C" w:rsidRDefault="00213E36" w:rsidP="005B20EE">
            <w:pPr>
              <w:spacing w:after="120"/>
              <w:rPr>
                <w:sz w:val="20"/>
              </w:rPr>
            </w:pPr>
            <w:r w:rsidRPr="00B3069C">
              <w:rPr>
                <w:sz w:val="20"/>
              </w:rPr>
              <w:t>Adrian Chippindale – Office of Best Practice Regulation, Department of the Prime Minister and Cabinet: + 61 2 6215 1914</w:t>
            </w:r>
          </w:p>
          <w:p w:rsidR="00213E36" w:rsidRPr="000847DC" w:rsidRDefault="00213E36" w:rsidP="005B20EE">
            <w:pPr>
              <w:pStyle w:val="Heading9"/>
              <w:keepNext w:val="0"/>
              <w:spacing w:after="120"/>
              <w:rPr>
                <w:rFonts w:ascii="Times New Roman" w:hAnsi="Times New Roman"/>
                <w:b w:val="0"/>
                <w:i w:val="0"/>
              </w:rPr>
            </w:pPr>
            <w:r w:rsidRPr="000847DC">
              <w:rPr>
                <w:rFonts w:ascii="Times New Roman" w:hAnsi="Times New Roman"/>
                <w:b w:val="0"/>
                <w:i w:val="0"/>
              </w:rPr>
              <w:t>Joanna Hearne - Office of Deregulation, Department of the Prime Minister and Cabinet: + 61 2 6271 5527</w:t>
            </w:r>
          </w:p>
        </w:tc>
        <w:tc>
          <w:tcPr>
            <w:tcW w:w="4658" w:type="dxa"/>
          </w:tcPr>
          <w:p w:rsidR="00213E36" w:rsidRPr="00B3069C" w:rsidRDefault="00213E36" w:rsidP="005B20EE">
            <w:pPr>
              <w:pStyle w:val="Heading9"/>
              <w:keepNext w:val="0"/>
              <w:spacing w:after="120"/>
              <w:rPr>
                <w:rFonts w:ascii="Times New Roman" w:hAnsi="Times New Roman"/>
                <w:b w:val="0"/>
              </w:rPr>
            </w:pPr>
          </w:p>
        </w:tc>
      </w:tr>
      <w:tr w:rsidR="00213E36" w:rsidRPr="00B3069C" w:rsidTr="00714E4C">
        <w:tc>
          <w:tcPr>
            <w:tcW w:w="2552" w:type="dxa"/>
          </w:tcPr>
          <w:p w:rsidR="00213E36" w:rsidRPr="00B3069C" w:rsidRDefault="000847DC" w:rsidP="005B20EE">
            <w:pPr>
              <w:rPr>
                <w:b/>
                <w:i/>
                <w:sz w:val="20"/>
              </w:rPr>
            </w:pPr>
            <w:r w:rsidRPr="00B3069C">
              <w:rPr>
                <w:b/>
                <w:i/>
                <w:sz w:val="20"/>
              </w:rPr>
              <w:t>Implementatio</w:t>
            </w:r>
            <w:r>
              <w:rPr>
                <w:b/>
                <w:i/>
                <w:sz w:val="20"/>
              </w:rPr>
              <w:t>n of WTO Obligations/ROOs</w:t>
            </w:r>
          </w:p>
        </w:tc>
        <w:tc>
          <w:tcPr>
            <w:tcW w:w="7371" w:type="dxa"/>
          </w:tcPr>
          <w:p w:rsidR="00213E36" w:rsidRPr="000847DC" w:rsidRDefault="000847DC" w:rsidP="005B20EE">
            <w:pPr>
              <w:spacing w:after="120"/>
              <w:rPr>
                <w:color w:val="808080"/>
                <w:sz w:val="20"/>
              </w:rPr>
            </w:pPr>
            <w:bookmarkStart w:id="25" w:name="Cell17"/>
            <w:bookmarkEnd w:id="25"/>
            <w:r w:rsidRPr="000847DC">
              <w:rPr>
                <w:color w:val="808080"/>
                <w:sz w:val="20"/>
              </w:rPr>
              <w:t>No further update.</w:t>
            </w:r>
          </w:p>
        </w:tc>
        <w:tc>
          <w:tcPr>
            <w:tcW w:w="4658" w:type="dxa"/>
          </w:tcPr>
          <w:p w:rsidR="00213E36" w:rsidRPr="00B3069C" w:rsidRDefault="00213E36" w:rsidP="005B20EE">
            <w:pPr>
              <w:spacing w:after="120"/>
              <w:rPr>
                <w:color w:val="808080"/>
                <w:sz w:val="20"/>
              </w:rPr>
            </w:pPr>
            <w:bookmarkStart w:id="26" w:name="Cell18"/>
            <w:bookmarkEnd w:id="26"/>
          </w:p>
        </w:tc>
      </w:tr>
      <w:tr w:rsidR="00213E36" w:rsidRPr="00B3069C" w:rsidTr="00714E4C">
        <w:tc>
          <w:tcPr>
            <w:tcW w:w="2552" w:type="dxa"/>
          </w:tcPr>
          <w:p w:rsidR="00213E36" w:rsidRPr="00B3069C" w:rsidRDefault="000847DC" w:rsidP="005B20EE">
            <w:pPr>
              <w:rPr>
                <w:b/>
                <w:i/>
                <w:sz w:val="20"/>
              </w:rPr>
            </w:pPr>
            <w:r w:rsidRPr="009606CD">
              <w:rPr>
                <w:i/>
                <w:color w:val="808080"/>
                <w:sz w:val="20"/>
              </w:rPr>
              <w:t xml:space="preserve">Website for further information:  </w:t>
            </w:r>
          </w:p>
        </w:tc>
        <w:tc>
          <w:tcPr>
            <w:tcW w:w="7371" w:type="dxa"/>
          </w:tcPr>
          <w:p w:rsidR="00213E36" w:rsidRPr="00B3069C" w:rsidRDefault="00213E36" w:rsidP="005B20EE">
            <w:pPr>
              <w:spacing w:after="120"/>
              <w:rPr>
                <w:rFonts w:eastAsia="Times New Roman"/>
                <w:sz w:val="20"/>
                <w:lang w:eastAsia="en-AU"/>
              </w:rPr>
            </w:pPr>
          </w:p>
        </w:tc>
        <w:tc>
          <w:tcPr>
            <w:tcW w:w="4658" w:type="dxa"/>
          </w:tcPr>
          <w:p w:rsidR="00213E36" w:rsidRPr="00B3069C" w:rsidRDefault="00213E36" w:rsidP="005B20EE">
            <w:pPr>
              <w:spacing w:after="120"/>
              <w:rPr>
                <w:rFonts w:eastAsia="Times New Roman"/>
                <w:sz w:val="20"/>
              </w:rPr>
            </w:pPr>
          </w:p>
        </w:tc>
      </w:tr>
      <w:tr w:rsidR="000847DC" w:rsidRPr="00B3069C" w:rsidTr="00714E4C">
        <w:tc>
          <w:tcPr>
            <w:tcW w:w="2552" w:type="dxa"/>
          </w:tcPr>
          <w:p w:rsidR="000847DC" w:rsidRPr="000847DC" w:rsidRDefault="000847DC" w:rsidP="005B20EE">
            <w:pPr>
              <w:rPr>
                <w:b/>
                <w:i/>
                <w:sz w:val="20"/>
              </w:rPr>
            </w:pPr>
            <w:r w:rsidRPr="00B3069C">
              <w:rPr>
                <w:i/>
                <w:color w:val="808080"/>
                <w:sz w:val="20"/>
              </w:rPr>
              <w:t>Contact point for further details:</w:t>
            </w:r>
          </w:p>
        </w:tc>
        <w:tc>
          <w:tcPr>
            <w:tcW w:w="7371" w:type="dxa"/>
          </w:tcPr>
          <w:p w:rsidR="000847DC" w:rsidRPr="00B3069C" w:rsidRDefault="000847DC" w:rsidP="005B20EE">
            <w:pPr>
              <w:spacing w:after="120"/>
              <w:rPr>
                <w:rFonts w:eastAsia="Times New Roman"/>
                <w:sz w:val="20"/>
                <w:lang w:eastAsia="en-AU"/>
              </w:rPr>
            </w:pPr>
          </w:p>
        </w:tc>
        <w:tc>
          <w:tcPr>
            <w:tcW w:w="4658" w:type="dxa"/>
          </w:tcPr>
          <w:p w:rsidR="000847DC" w:rsidRPr="00B3069C" w:rsidRDefault="000847DC" w:rsidP="005B20EE">
            <w:pPr>
              <w:spacing w:after="120"/>
              <w:rPr>
                <w:rFonts w:eastAsia="Times New Roman"/>
                <w:sz w:val="20"/>
              </w:rPr>
            </w:pPr>
          </w:p>
        </w:tc>
      </w:tr>
      <w:tr w:rsidR="00213E36" w:rsidRPr="00B3069C" w:rsidTr="00714E4C">
        <w:tc>
          <w:tcPr>
            <w:tcW w:w="2552" w:type="dxa"/>
          </w:tcPr>
          <w:p w:rsidR="00213E36" w:rsidRPr="00B3069C" w:rsidRDefault="00213E36" w:rsidP="005B20EE">
            <w:pPr>
              <w:rPr>
                <w:b/>
                <w:i/>
                <w:sz w:val="20"/>
              </w:rPr>
            </w:pPr>
            <w:bookmarkStart w:id="27" w:name="Row12"/>
            <w:r w:rsidRPr="00B3069C">
              <w:rPr>
                <w:b/>
                <w:i/>
                <w:sz w:val="20"/>
              </w:rPr>
              <w:t>Dispute Mediation</w:t>
            </w:r>
            <w:bookmarkEnd w:id="27"/>
          </w:p>
          <w:p w:rsidR="00213E36" w:rsidRPr="00B3069C" w:rsidRDefault="00213E36" w:rsidP="005B20EE">
            <w:pPr>
              <w:pStyle w:val="Heading9"/>
              <w:keepNext w:val="0"/>
              <w:rPr>
                <w:rFonts w:ascii="Times New Roman" w:hAnsi="Times New Roman"/>
                <w:b w:val="0"/>
                <w:color w:val="808080"/>
              </w:rPr>
            </w:pPr>
          </w:p>
        </w:tc>
        <w:tc>
          <w:tcPr>
            <w:tcW w:w="7371" w:type="dxa"/>
          </w:tcPr>
          <w:p w:rsidR="00213E36" w:rsidRPr="000744F8" w:rsidRDefault="000847DC" w:rsidP="005B20EE">
            <w:pPr>
              <w:pStyle w:val="Heading9"/>
              <w:keepNext w:val="0"/>
              <w:spacing w:after="120"/>
              <w:rPr>
                <w:rFonts w:ascii="Times New Roman" w:hAnsi="Times New Roman"/>
                <w:b w:val="0"/>
                <w:i w:val="0"/>
                <w:color w:val="808080"/>
              </w:rPr>
            </w:pPr>
            <w:r w:rsidRPr="000744F8">
              <w:rPr>
                <w:rFonts w:ascii="Times New Roman" w:hAnsi="Times New Roman"/>
                <w:b w:val="0"/>
                <w:i w:val="0"/>
                <w:color w:val="808080"/>
              </w:rPr>
              <w:t>No further update.</w:t>
            </w:r>
          </w:p>
        </w:tc>
        <w:tc>
          <w:tcPr>
            <w:tcW w:w="4658" w:type="dxa"/>
          </w:tcPr>
          <w:p w:rsidR="00213E36" w:rsidRPr="00B3069C" w:rsidRDefault="00213E36" w:rsidP="005B20EE">
            <w:pPr>
              <w:pStyle w:val="Heading9"/>
              <w:keepNext w:val="0"/>
              <w:spacing w:after="120"/>
              <w:rPr>
                <w:rFonts w:ascii="Times New Roman" w:hAnsi="Times New Roman"/>
                <w:b w:val="0"/>
                <w:color w:val="808080"/>
              </w:rPr>
            </w:pPr>
          </w:p>
        </w:tc>
      </w:tr>
      <w:tr w:rsidR="00213E36" w:rsidRPr="00B3069C" w:rsidTr="00714E4C">
        <w:tc>
          <w:tcPr>
            <w:tcW w:w="2552" w:type="dxa"/>
          </w:tcPr>
          <w:p w:rsidR="00213E36" w:rsidRPr="00B3069C" w:rsidRDefault="000847DC" w:rsidP="005B20EE">
            <w:pPr>
              <w:rPr>
                <w:b/>
                <w:i/>
                <w:sz w:val="20"/>
              </w:rPr>
            </w:pPr>
            <w:r w:rsidRPr="009606CD">
              <w:rPr>
                <w:i/>
                <w:color w:val="808080"/>
                <w:sz w:val="20"/>
              </w:rPr>
              <w:t xml:space="preserve">Website for further information:  </w:t>
            </w:r>
          </w:p>
        </w:tc>
        <w:tc>
          <w:tcPr>
            <w:tcW w:w="7371" w:type="dxa"/>
          </w:tcPr>
          <w:p w:rsidR="00213E36" w:rsidRPr="00B3069C" w:rsidRDefault="00213E36" w:rsidP="005B20EE">
            <w:pPr>
              <w:spacing w:after="120"/>
              <w:rPr>
                <w:color w:val="808080"/>
                <w:sz w:val="20"/>
              </w:rPr>
            </w:pPr>
            <w:bookmarkStart w:id="28" w:name="Cell19"/>
            <w:bookmarkEnd w:id="28"/>
          </w:p>
        </w:tc>
        <w:tc>
          <w:tcPr>
            <w:tcW w:w="4658" w:type="dxa"/>
          </w:tcPr>
          <w:p w:rsidR="00213E36" w:rsidRPr="00B3069C" w:rsidRDefault="00213E36" w:rsidP="005B20EE">
            <w:pPr>
              <w:spacing w:after="120"/>
              <w:rPr>
                <w:color w:val="808080"/>
                <w:sz w:val="20"/>
              </w:rPr>
            </w:pPr>
            <w:bookmarkStart w:id="29" w:name="Cell20"/>
            <w:bookmarkEnd w:id="29"/>
          </w:p>
        </w:tc>
      </w:tr>
      <w:tr w:rsidR="000847DC" w:rsidRPr="00B3069C" w:rsidTr="00714E4C">
        <w:tc>
          <w:tcPr>
            <w:tcW w:w="2552" w:type="dxa"/>
          </w:tcPr>
          <w:p w:rsidR="000847DC" w:rsidRPr="009606CD" w:rsidRDefault="000847DC" w:rsidP="005B20EE">
            <w:pPr>
              <w:rPr>
                <w:i/>
                <w:color w:val="808080"/>
                <w:sz w:val="20"/>
              </w:rPr>
            </w:pPr>
            <w:r w:rsidRPr="00B3069C">
              <w:rPr>
                <w:i/>
                <w:color w:val="808080"/>
                <w:sz w:val="20"/>
              </w:rPr>
              <w:t>Contact point for further details:</w:t>
            </w:r>
          </w:p>
        </w:tc>
        <w:tc>
          <w:tcPr>
            <w:tcW w:w="7371" w:type="dxa"/>
          </w:tcPr>
          <w:p w:rsidR="000847DC" w:rsidRPr="00B3069C" w:rsidRDefault="000847DC" w:rsidP="005B20EE">
            <w:pPr>
              <w:spacing w:after="120"/>
              <w:rPr>
                <w:color w:val="808080"/>
                <w:sz w:val="20"/>
              </w:rPr>
            </w:pPr>
          </w:p>
        </w:tc>
        <w:tc>
          <w:tcPr>
            <w:tcW w:w="4658" w:type="dxa"/>
          </w:tcPr>
          <w:p w:rsidR="000847DC" w:rsidRPr="00B3069C" w:rsidRDefault="000847DC" w:rsidP="005B20EE">
            <w:pPr>
              <w:spacing w:after="120"/>
              <w:rPr>
                <w:color w:val="808080"/>
                <w:sz w:val="20"/>
              </w:rPr>
            </w:pPr>
          </w:p>
        </w:tc>
      </w:tr>
      <w:tr w:rsidR="00C34E45" w:rsidRPr="00B3069C" w:rsidTr="00714E4C">
        <w:tc>
          <w:tcPr>
            <w:tcW w:w="2552" w:type="dxa"/>
          </w:tcPr>
          <w:p w:rsidR="00C34E45" w:rsidRPr="00C34E45" w:rsidRDefault="00C34E45" w:rsidP="005B20EE">
            <w:pPr>
              <w:rPr>
                <w:b/>
                <w:i/>
                <w:sz w:val="20"/>
              </w:rPr>
            </w:pPr>
            <w:r>
              <w:rPr>
                <w:b/>
                <w:i/>
                <w:sz w:val="20"/>
              </w:rPr>
              <w:t>Mobility of Business People</w:t>
            </w:r>
          </w:p>
        </w:tc>
        <w:tc>
          <w:tcPr>
            <w:tcW w:w="7371" w:type="dxa"/>
          </w:tcPr>
          <w:p w:rsidR="00A31B9B" w:rsidRDefault="00A31B9B" w:rsidP="005B20EE">
            <w:pPr>
              <w:rPr>
                <w:b/>
                <w:sz w:val="20"/>
              </w:rPr>
            </w:pPr>
            <w:r>
              <w:rPr>
                <w:b/>
                <w:sz w:val="20"/>
              </w:rPr>
              <w:t>APEC Business Travel Card</w:t>
            </w:r>
          </w:p>
          <w:p w:rsidR="00A31B9B" w:rsidRDefault="00A31B9B" w:rsidP="005B20EE">
            <w:pPr>
              <w:rPr>
                <w:b/>
                <w:sz w:val="20"/>
              </w:rPr>
            </w:pPr>
          </w:p>
          <w:p w:rsidR="00C34E45" w:rsidRPr="00C34E45" w:rsidRDefault="00C34E45" w:rsidP="005B20EE">
            <w:pPr>
              <w:rPr>
                <w:sz w:val="20"/>
              </w:rPr>
            </w:pPr>
            <w:r w:rsidRPr="00C34E45">
              <w:rPr>
                <w:sz w:val="20"/>
              </w:rPr>
              <w:t xml:space="preserve">Australia assisted the APEC Secretariat in the creation of the new Business Mobility Group website </w:t>
            </w:r>
            <w:hyperlink r:id="rId48" w:history="1">
              <w:r w:rsidRPr="00C34E45">
                <w:rPr>
                  <w:rStyle w:val="Hyperlink"/>
                  <w:color w:val="auto"/>
                  <w:sz w:val="20"/>
                </w:rPr>
                <w:t>http://travel.apec.org</w:t>
              </w:r>
            </w:hyperlink>
            <w:r w:rsidRPr="00C34E45">
              <w:rPr>
                <w:sz w:val="20"/>
              </w:rPr>
              <w:t xml:space="preserve"> in 2012 and coordinated updated content with economies.  This new website includes the APEC Business Travel Handbook.</w:t>
            </w:r>
          </w:p>
          <w:p w:rsidR="00C34E45" w:rsidRPr="00C34E45" w:rsidRDefault="00C34E45" w:rsidP="005B20EE">
            <w:pPr>
              <w:rPr>
                <w:sz w:val="20"/>
              </w:rPr>
            </w:pPr>
          </w:p>
          <w:p w:rsidR="00C34E45" w:rsidRPr="00C34E45" w:rsidRDefault="00C34E45" w:rsidP="005B20EE">
            <w:pPr>
              <w:rPr>
                <w:sz w:val="20"/>
              </w:rPr>
            </w:pPr>
            <w:r w:rsidRPr="00C34E45">
              <w:rPr>
                <w:sz w:val="20"/>
              </w:rPr>
              <w:t>Following consultation with business throughout 2011 and 2012, Australia implemented its new ABTC eligibltiy criteria.  The criteria better recognise the broad range of Australian employees that businesses rely on to conduct trade and investment activities on their behalf and ensure that small to medium sized businesses enjoyed the same level of access to the APEC Business Travel Card as large global companies.</w:t>
            </w:r>
          </w:p>
          <w:p w:rsidR="00C34E45" w:rsidRPr="00C34E45" w:rsidRDefault="00C34E45" w:rsidP="005B20EE">
            <w:pPr>
              <w:rPr>
                <w:sz w:val="20"/>
              </w:rPr>
            </w:pPr>
          </w:p>
          <w:p w:rsidR="00C34E45" w:rsidRPr="00C34E45" w:rsidRDefault="00C34E45" w:rsidP="005B20EE">
            <w:pPr>
              <w:widowControl w:val="0"/>
              <w:spacing w:after="120"/>
              <w:contextualSpacing/>
              <w:rPr>
                <w:sz w:val="20"/>
                <w:lang w:val="en-GB"/>
              </w:rPr>
            </w:pPr>
            <w:r w:rsidRPr="00C34E45">
              <w:rPr>
                <w:sz w:val="20"/>
                <w:lang w:val="en-GB"/>
              </w:rPr>
              <w:t xml:space="preserve">Australia maintained its entries in the online </w:t>
            </w:r>
            <w:r w:rsidRPr="00C34E45">
              <w:rPr>
                <w:iCs/>
                <w:sz w:val="20"/>
                <w:lang w:val="en-GB"/>
              </w:rPr>
              <w:t xml:space="preserve">APEC Business Travel Handbook </w:t>
            </w:r>
            <w:r w:rsidRPr="00C34E45">
              <w:rPr>
                <w:sz w:val="20"/>
                <w:lang w:val="en-GB"/>
              </w:rPr>
              <w:t>and on its official economy immigration website, to ensure clear and comprehensive information is available to the APEC business community, including on:</w:t>
            </w:r>
          </w:p>
          <w:p w:rsidR="00C34E45" w:rsidRPr="00C34E45" w:rsidRDefault="00C34E45" w:rsidP="005B20EE">
            <w:pPr>
              <w:pStyle w:val="ListParagraph"/>
              <w:widowControl w:val="0"/>
              <w:numPr>
                <w:ilvl w:val="0"/>
                <w:numId w:val="27"/>
              </w:numPr>
              <w:spacing w:after="120"/>
              <w:contextualSpacing/>
              <w:rPr>
                <w:rFonts w:ascii="Times New Roman" w:hAnsi="Times New Roman"/>
                <w:sz w:val="20"/>
                <w:szCs w:val="20"/>
              </w:rPr>
            </w:pPr>
            <w:r w:rsidRPr="00C34E45">
              <w:rPr>
                <w:rFonts w:ascii="Times New Roman" w:hAnsi="Times New Roman"/>
                <w:sz w:val="20"/>
                <w:szCs w:val="20"/>
              </w:rPr>
              <w:t xml:space="preserve">the </w:t>
            </w:r>
            <w:r w:rsidRPr="00C34E45">
              <w:rPr>
                <w:rFonts w:ascii="Times New Roman" w:hAnsi="Times New Roman"/>
                <w:iCs/>
                <w:sz w:val="20"/>
                <w:szCs w:val="20"/>
              </w:rPr>
              <w:t>permissible business activities</w:t>
            </w:r>
            <w:r w:rsidRPr="00C34E45">
              <w:rPr>
                <w:rFonts w:ascii="Times New Roman" w:hAnsi="Times New Roman"/>
                <w:sz w:val="20"/>
                <w:szCs w:val="20"/>
              </w:rPr>
              <w:t xml:space="preserve"> of short-term business visitors</w:t>
            </w:r>
          </w:p>
          <w:p w:rsidR="00C34E45" w:rsidRPr="00C34E45" w:rsidRDefault="00C34E45" w:rsidP="005B20EE">
            <w:pPr>
              <w:pStyle w:val="ListParagraph"/>
              <w:widowControl w:val="0"/>
              <w:numPr>
                <w:ilvl w:val="0"/>
                <w:numId w:val="27"/>
              </w:numPr>
              <w:spacing w:after="120"/>
              <w:contextualSpacing/>
              <w:rPr>
                <w:rFonts w:ascii="Times New Roman" w:hAnsi="Times New Roman"/>
                <w:sz w:val="20"/>
                <w:szCs w:val="20"/>
              </w:rPr>
            </w:pPr>
            <w:r w:rsidRPr="00C34E45">
              <w:rPr>
                <w:rFonts w:ascii="Times New Roman" w:hAnsi="Times New Roman"/>
                <w:sz w:val="20"/>
                <w:szCs w:val="20"/>
              </w:rPr>
              <w:t>the employment rights of temporary business residents and their spouses and dependents</w:t>
            </w:r>
          </w:p>
          <w:p w:rsidR="00C34E45" w:rsidRPr="00C34E45" w:rsidRDefault="00C34E45" w:rsidP="005B20EE">
            <w:pPr>
              <w:pStyle w:val="ListParagraph"/>
              <w:widowControl w:val="0"/>
              <w:numPr>
                <w:ilvl w:val="0"/>
                <w:numId w:val="27"/>
              </w:numPr>
              <w:spacing w:after="120"/>
              <w:contextualSpacing/>
              <w:rPr>
                <w:rFonts w:ascii="Times New Roman" w:hAnsi="Times New Roman"/>
                <w:sz w:val="20"/>
                <w:szCs w:val="20"/>
              </w:rPr>
            </w:pPr>
            <w:r w:rsidRPr="00C34E45">
              <w:rPr>
                <w:rFonts w:ascii="Times New Roman" w:hAnsi="Times New Roman"/>
                <w:sz w:val="20"/>
                <w:szCs w:val="20"/>
              </w:rPr>
              <w:t>the place and method of visa lodgement, visa validity period and maximum period of stay.</w:t>
            </w:r>
          </w:p>
          <w:p w:rsidR="00C34E45" w:rsidRPr="00C34E45" w:rsidRDefault="00C34E45" w:rsidP="005B20EE">
            <w:pPr>
              <w:widowControl w:val="0"/>
              <w:spacing w:after="120"/>
              <w:contextualSpacing/>
              <w:rPr>
                <w:sz w:val="20"/>
              </w:rPr>
            </w:pPr>
            <w:r w:rsidRPr="00C34E45">
              <w:rPr>
                <w:sz w:val="20"/>
              </w:rPr>
              <w:t>Australia also coordinated the updating of members’ information on economies’ temporary business entry arrangements, APEC Business Travel Card (ABTC) airport lane arrangements, and related ABTC period of stay permitted and average application processing times.</w:t>
            </w:r>
          </w:p>
          <w:p w:rsidR="00C34E45" w:rsidRPr="00C34E45" w:rsidRDefault="00C34E45" w:rsidP="005B20EE">
            <w:pPr>
              <w:rPr>
                <w:bCs/>
                <w:sz w:val="20"/>
              </w:rPr>
            </w:pPr>
          </w:p>
          <w:p w:rsidR="00C34E45" w:rsidRPr="00C34E45" w:rsidRDefault="00C34E45" w:rsidP="005B20EE">
            <w:pPr>
              <w:rPr>
                <w:b/>
                <w:bCs/>
                <w:sz w:val="20"/>
              </w:rPr>
            </w:pPr>
            <w:r w:rsidRPr="00C34E45">
              <w:rPr>
                <w:b/>
                <w:bCs/>
                <w:sz w:val="20"/>
              </w:rPr>
              <w:t>Visa Simplification and Deregulation – simplified temporary work visas</w:t>
            </w:r>
          </w:p>
          <w:p w:rsidR="00C34E45" w:rsidRPr="00C34E45" w:rsidRDefault="00C34E45" w:rsidP="005B20EE">
            <w:pPr>
              <w:rPr>
                <w:bCs/>
                <w:sz w:val="20"/>
              </w:rPr>
            </w:pPr>
          </w:p>
          <w:p w:rsidR="00A31B9B" w:rsidRPr="00C34E45" w:rsidRDefault="00C34E45" w:rsidP="005B20EE">
            <w:pPr>
              <w:rPr>
                <w:bCs/>
                <w:sz w:val="20"/>
              </w:rPr>
            </w:pPr>
            <w:r w:rsidRPr="00C34E45">
              <w:rPr>
                <w:bCs/>
                <w:sz w:val="20"/>
              </w:rPr>
              <w:t xml:space="preserve">On 24 November 2012, the Department of Immigration and Border Protection (DIBP) introduced a simplified Temporary Work visa framework. The new framework reduced the number of Temporary Work visa </w:t>
            </w:r>
            <w:r w:rsidR="00A31B9B">
              <w:rPr>
                <w:bCs/>
                <w:sz w:val="20"/>
              </w:rPr>
              <w:t xml:space="preserve">subclasses </w:t>
            </w:r>
            <w:r w:rsidRPr="00C34E45">
              <w:rPr>
                <w:bCs/>
                <w:sz w:val="20"/>
              </w:rPr>
              <w:t>from 17</w:t>
            </w:r>
            <w:r w:rsidR="00A31B9B">
              <w:rPr>
                <w:bCs/>
                <w:sz w:val="20"/>
              </w:rPr>
              <w:t xml:space="preserve"> to 8</w:t>
            </w:r>
            <w:r w:rsidRPr="00C34E45">
              <w:rPr>
                <w:bCs/>
                <w:sz w:val="20"/>
              </w:rPr>
              <w:t>.</w:t>
            </w:r>
          </w:p>
          <w:p w:rsidR="00C34E45" w:rsidRPr="00C34E45" w:rsidRDefault="00C34E45" w:rsidP="005B20EE">
            <w:pPr>
              <w:rPr>
                <w:sz w:val="20"/>
              </w:rPr>
            </w:pPr>
            <w:r w:rsidRPr="00C34E45">
              <w:rPr>
                <w:bCs/>
                <w:sz w:val="20"/>
              </w:rPr>
              <w:t xml:space="preserve">For further information on these changes, please see: </w:t>
            </w:r>
            <w:hyperlink r:id="rId49" w:history="1">
              <w:r w:rsidRPr="00C34E45">
                <w:rPr>
                  <w:rStyle w:val="Hyperlink"/>
                  <w:bCs/>
                  <w:color w:val="auto"/>
                  <w:sz w:val="20"/>
                </w:rPr>
                <w:t>http://www.immi.gov.au/visas/temporary-visa/</w:t>
              </w:r>
            </w:hyperlink>
          </w:p>
          <w:p w:rsidR="00C34E45" w:rsidRPr="00C34E45" w:rsidRDefault="00C34E45" w:rsidP="005B20EE">
            <w:pPr>
              <w:rPr>
                <w:bCs/>
                <w:sz w:val="20"/>
              </w:rPr>
            </w:pPr>
          </w:p>
          <w:p w:rsidR="00C34E45" w:rsidRPr="00C34E45" w:rsidRDefault="00C34E45" w:rsidP="005B20EE">
            <w:pPr>
              <w:spacing w:after="120"/>
              <w:rPr>
                <w:b/>
                <w:bCs/>
                <w:sz w:val="20"/>
              </w:rPr>
            </w:pPr>
            <w:r w:rsidRPr="00C34E45">
              <w:rPr>
                <w:b/>
                <w:bCs/>
                <w:sz w:val="20"/>
              </w:rPr>
              <w:t>Working Holiday Maker Visas</w:t>
            </w:r>
          </w:p>
          <w:p w:rsidR="00C34E45" w:rsidRPr="00C34E45" w:rsidRDefault="00C34E45" w:rsidP="005B20EE">
            <w:pPr>
              <w:spacing w:after="120"/>
              <w:rPr>
                <w:sz w:val="20"/>
              </w:rPr>
            </w:pPr>
            <w:r w:rsidRPr="00C34E45">
              <w:rPr>
                <w:sz w:val="20"/>
              </w:rPr>
              <w:t>These visas provide young adults from partner economies, aged 18 to 30, with the opportunity to experience an extended holiday in Australia during which they can engage in short-term work or study.</w:t>
            </w:r>
          </w:p>
          <w:p w:rsidR="00C34E45" w:rsidRPr="00C34E45" w:rsidRDefault="00C34E45" w:rsidP="005B20EE">
            <w:pPr>
              <w:spacing w:after="120"/>
              <w:rPr>
                <w:sz w:val="20"/>
              </w:rPr>
            </w:pPr>
            <w:r w:rsidRPr="00C34E45">
              <w:rPr>
                <w:sz w:val="20"/>
              </w:rPr>
              <w:t xml:space="preserve">For improvements made since 2012 IAP Update, see: </w:t>
            </w:r>
            <w:hyperlink r:id="rId50" w:history="1">
              <w:r w:rsidRPr="00C34E45">
                <w:rPr>
                  <w:rStyle w:val="Hyperlink"/>
                  <w:color w:val="auto"/>
                  <w:sz w:val="20"/>
                </w:rPr>
                <w:t>http://www.immi.gov.au/visitors/working-holiday/whats-new.htm</w:t>
              </w:r>
            </w:hyperlink>
          </w:p>
          <w:p w:rsidR="00C34E45" w:rsidRPr="00C34E45" w:rsidRDefault="00C34E45" w:rsidP="005B20EE">
            <w:pPr>
              <w:spacing w:after="120"/>
              <w:rPr>
                <w:b/>
                <w:bCs/>
                <w:sz w:val="20"/>
              </w:rPr>
            </w:pPr>
            <w:r w:rsidRPr="00C34E45">
              <w:rPr>
                <w:b/>
                <w:bCs/>
                <w:sz w:val="20"/>
              </w:rPr>
              <w:t>Pacific Seasonal Worker Scheme</w:t>
            </w:r>
          </w:p>
          <w:p w:rsidR="00C34E45" w:rsidRPr="00C34E45" w:rsidRDefault="00C34E45" w:rsidP="005B20EE">
            <w:pPr>
              <w:spacing w:after="120"/>
              <w:rPr>
                <w:sz w:val="20"/>
              </w:rPr>
            </w:pPr>
            <w:r w:rsidRPr="00C34E45">
              <w:rPr>
                <w:sz w:val="20"/>
              </w:rPr>
              <w:t>This scheme is part of the department's Special Program and requires Approved Employers to invite people from the eligible Pacific economies to participate as Pacific seasonal workers.</w:t>
            </w:r>
          </w:p>
          <w:p w:rsidR="00C34E45" w:rsidRPr="00C34E45" w:rsidRDefault="00A31B9B" w:rsidP="005B20EE">
            <w:pPr>
              <w:widowControl w:val="0"/>
              <w:spacing w:after="120"/>
              <w:contextualSpacing/>
              <w:rPr>
                <w:sz w:val="20"/>
              </w:rPr>
            </w:pPr>
            <w:r>
              <w:rPr>
                <w:sz w:val="20"/>
              </w:rPr>
              <w:t>For improvements made since 2012</w:t>
            </w:r>
            <w:r w:rsidR="00C34E45" w:rsidRPr="00C34E45">
              <w:rPr>
                <w:sz w:val="20"/>
              </w:rPr>
              <w:t xml:space="preserve"> IAP Update, see:</w:t>
            </w:r>
          </w:p>
          <w:p w:rsidR="00C34E45" w:rsidRPr="00C34E45" w:rsidRDefault="00E632DC" w:rsidP="005B20EE">
            <w:pPr>
              <w:widowControl w:val="0"/>
              <w:spacing w:after="120"/>
              <w:contextualSpacing/>
              <w:rPr>
                <w:sz w:val="20"/>
              </w:rPr>
            </w:pPr>
            <w:hyperlink r:id="rId51" w:history="1">
              <w:r w:rsidR="00C34E45" w:rsidRPr="00C34E45">
                <w:rPr>
                  <w:rStyle w:val="Hyperlink"/>
                  <w:color w:val="auto"/>
                  <w:sz w:val="20"/>
                </w:rPr>
                <w:t>http://www.immi.gov.au/Visas/Pages/416-swp.aspx</w:t>
              </w:r>
            </w:hyperlink>
          </w:p>
          <w:p w:rsidR="00C34E45" w:rsidRPr="00C34E45" w:rsidRDefault="00C34E45" w:rsidP="005B20EE">
            <w:pPr>
              <w:widowControl w:val="0"/>
              <w:spacing w:after="120"/>
              <w:contextualSpacing/>
              <w:rPr>
                <w:sz w:val="20"/>
                <w:highlight w:val="yellow"/>
              </w:rPr>
            </w:pPr>
          </w:p>
          <w:p w:rsidR="00C34E45" w:rsidRPr="00C34E45" w:rsidRDefault="00C34E45" w:rsidP="005B20EE">
            <w:pPr>
              <w:widowControl w:val="0"/>
              <w:spacing w:after="120"/>
              <w:contextualSpacing/>
              <w:rPr>
                <w:b/>
                <w:bCs/>
                <w:sz w:val="20"/>
              </w:rPr>
            </w:pPr>
            <w:r w:rsidRPr="00C34E45">
              <w:rPr>
                <w:b/>
                <w:bCs/>
                <w:sz w:val="20"/>
              </w:rPr>
              <w:t>Temporary Skilled Migration</w:t>
            </w:r>
          </w:p>
          <w:p w:rsidR="00C34E45" w:rsidRPr="00C34E45" w:rsidRDefault="00C34E45" w:rsidP="005B20EE">
            <w:pPr>
              <w:widowControl w:val="0"/>
              <w:spacing w:after="120"/>
              <w:contextualSpacing/>
              <w:rPr>
                <w:sz w:val="20"/>
              </w:rPr>
            </w:pPr>
            <w:r w:rsidRPr="00C34E45">
              <w:rPr>
                <w:sz w:val="20"/>
              </w:rPr>
              <w:t>The temporary business (long stay)(subclass 457) visa allows Australian and overseas businesses to sponsor skilled overseas workers in a range of eligible occupations.</w:t>
            </w:r>
          </w:p>
          <w:p w:rsidR="00C34E45" w:rsidRPr="00C34E45" w:rsidRDefault="00A31B9B" w:rsidP="005B20EE">
            <w:pPr>
              <w:widowControl w:val="0"/>
              <w:spacing w:after="120"/>
              <w:contextualSpacing/>
              <w:rPr>
                <w:sz w:val="20"/>
              </w:rPr>
            </w:pPr>
            <w:r>
              <w:rPr>
                <w:sz w:val="20"/>
              </w:rPr>
              <w:t>For improvements made since 2012</w:t>
            </w:r>
            <w:r w:rsidR="00C34E45" w:rsidRPr="00C34E45">
              <w:rPr>
                <w:sz w:val="20"/>
              </w:rPr>
              <w:t xml:space="preserve"> IAP Update, see:</w:t>
            </w:r>
          </w:p>
          <w:p w:rsidR="00C34E45" w:rsidRPr="00C34E45" w:rsidRDefault="00E632DC" w:rsidP="005B20EE">
            <w:pPr>
              <w:spacing w:after="120"/>
              <w:rPr>
                <w:sz w:val="20"/>
                <w:u w:val="single"/>
              </w:rPr>
            </w:pPr>
            <w:hyperlink r:id="rId52" w:history="1">
              <w:r w:rsidR="00C34E45" w:rsidRPr="00C34E45">
                <w:rPr>
                  <w:rStyle w:val="Hyperlink"/>
                  <w:color w:val="auto"/>
                  <w:sz w:val="20"/>
                </w:rPr>
                <w:t>http://www.immi.gov.au/skilled/whats-new-esw.htm</w:t>
              </w:r>
            </w:hyperlink>
          </w:p>
          <w:p w:rsidR="00C34E45" w:rsidRPr="00C34E45" w:rsidRDefault="00C34E45" w:rsidP="005B20EE">
            <w:pPr>
              <w:widowControl w:val="0"/>
              <w:spacing w:after="120"/>
              <w:contextualSpacing/>
              <w:rPr>
                <w:b/>
                <w:bCs/>
                <w:sz w:val="20"/>
              </w:rPr>
            </w:pPr>
          </w:p>
          <w:p w:rsidR="00C34E45" w:rsidRPr="00C34E45" w:rsidRDefault="00C34E45" w:rsidP="005B20EE">
            <w:pPr>
              <w:widowControl w:val="0"/>
              <w:spacing w:after="120"/>
              <w:contextualSpacing/>
              <w:rPr>
                <w:b/>
                <w:bCs/>
                <w:sz w:val="20"/>
              </w:rPr>
            </w:pPr>
            <w:r w:rsidRPr="00C34E45">
              <w:rPr>
                <w:b/>
                <w:bCs/>
                <w:sz w:val="20"/>
              </w:rPr>
              <w:t xml:space="preserve">Employer Sponsored Workers </w:t>
            </w:r>
          </w:p>
          <w:p w:rsidR="00C34E45" w:rsidRPr="00C34E45" w:rsidRDefault="00C34E45" w:rsidP="005B20EE">
            <w:pPr>
              <w:spacing w:after="120"/>
              <w:rPr>
                <w:sz w:val="20"/>
              </w:rPr>
            </w:pPr>
            <w:r w:rsidRPr="00C34E45">
              <w:rPr>
                <w:sz w:val="20"/>
              </w:rPr>
              <w:t xml:space="preserve">The Employer Nomination Scheme (ENS) enables employers to sponsor highly skilled workers to fill skilled vacancies in their business. </w:t>
            </w:r>
          </w:p>
          <w:p w:rsidR="00C34E45" w:rsidRPr="00C34E45" w:rsidRDefault="00C34E45" w:rsidP="005B20EE">
            <w:pPr>
              <w:widowControl w:val="0"/>
              <w:spacing w:after="120"/>
              <w:contextualSpacing/>
              <w:rPr>
                <w:sz w:val="20"/>
              </w:rPr>
            </w:pPr>
            <w:r w:rsidRPr="00C34E45">
              <w:rPr>
                <w:sz w:val="20"/>
              </w:rPr>
              <w:t xml:space="preserve">For improvements made since 2012 IAP Update, see: </w:t>
            </w:r>
          </w:p>
          <w:p w:rsidR="00C34E45" w:rsidRPr="00B3069C" w:rsidRDefault="00E632DC" w:rsidP="005B20EE">
            <w:pPr>
              <w:spacing w:after="120"/>
              <w:rPr>
                <w:color w:val="808080"/>
                <w:sz w:val="20"/>
              </w:rPr>
            </w:pPr>
            <w:hyperlink r:id="rId53" w:anchor="12sept" w:history="1">
              <w:r w:rsidR="00C34E45" w:rsidRPr="00C34E45">
                <w:rPr>
                  <w:rStyle w:val="Hyperlink"/>
                  <w:color w:val="auto"/>
                  <w:sz w:val="20"/>
                </w:rPr>
                <w:t>http://www.immi.gov.au/skilled/whats-new-esw.htm#12sept</w:t>
              </w:r>
            </w:hyperlink>
          </w:p>
        </w:tc>
        <w:tc>
          <w:tcPr>
            <w:tcW w:w="4658" w:type="dxa"/>
          </w:tcPr>
          <w:p w:rsidR="00C34E45" w:rsidRPr="00C34E45" w:rsidRDefault="00C34E45" w:rsidP="005B20EE">
            <w:pPr>
              <w:rPr>
                <w:sz w:val="20"/>
              </w:rPr>
            </w:pPr>
            <w:r w:rsidRPr="00C34E45">
              <w:rPr>
                <w:sz w:val="20"/>
              </w:rPr>
              <w:t>Australia is the Project Overseer for an APEC Project for an End to End Review of the APEC Business Travel Card Scheme.  This review will be undertaken in 2014 and will provide recommendations to the Business Mobility Group on possible enhancements to the ABTC Scheme, including opportunities for online lodgement.</w:t>
            </w:r>
          </w:p>
          <w:p w:rsidR="00C34E45" w:rsidRPr="00C34E45" w:rsidRDefault="00C34E45" w:rsidP="005B20EE">
            <w:pPr>
              <w:rPr>
                <w:sz w:val="20"/>
              </w:rPr>
            </w:pPr>
          </w:p>
          <w:p w:rsidR="00C34E45" w:rsidRPr="00C34E45" w:rsidRDefault="00C34E45" w:rsidP="005B20EE">
            <w:pPr>
              <w:spacing w:before="60" w:after="120"/>
              <w:rPr>
                <w:sz w:val="20"/>
                <w:lang w:val="en-GB"/>
              </w:rPr>
            </w:pPr>
            <w:r w:rsidRPr="00C34E45">
              <w:rPr>
                <w:sz w:val="20"/>
                <w:lang w:val="en-GB"/>
              </w:rPr>
              <w:t xml:space="preserve">Australia will continue to assist member economies to update their information on temporary business entry arrangements in the Business Mobility Group (BMG) website.  </w:t>
            </w:r>
          </w:p>
          <w:p w:rsidR="00C34E45" w:rsidRPr="00C34E45" w:rsidRDefault="00C34E45" w:rsidP="005B20EE">
            <w:pPr>
              <w:spacing w:before="60" w:after="120"/>
              <w:rPr>
                <w:sz w:val="20"/>
              </w:rPr>
            </w:pPr>
            <w:r w:rsidRPr="00C34E45">
              <w:rPr>
                <w:sz w:val="20"/>
                <w:lang w:val="en-GB"/>
              </w:rPr>
              <w:t xml:space="preserve">On behalf of the BMG, Australia continues to review </w:t>
            </w:r>
            <w:r w:rsidRPr="00C34E45">
              <w:rPr>
                <w:sz w:val="20"/>
              </w:rPr>
              <w:t>and update all general information contained in the BMG website about the BMG, the APEC Business Travel Card (ABTC) scheme, work plan activities and current and future projects.</w:t>
            </w:r>
          </w:p>
          <w:p w:rsidR="00C34E45" w:rsidRPr="00B3069C" w:rsidRDefault="00C34E45" w:rsidP="005B20EE">
            <w:pPr>
              <w:spacing w:after="120"/>
              <w:rPr>
                <w:color w:val="808080"/>
                <w:sz w:val="20"/>
              </w:rPr>
            </w:pPr>
          </w:p>
        </w:tc>
      </w:tr>
      <w:tr w:rsidR="00213E36" w:rsidRPr="00B3069C" w:rsidTr="00714E4C">
        <w:tc>
          <w:tcPr>
            <w:tcW w:w="2552" w:type="dxa"/>
          </w:tcPr>
          <w:p w:rsidR="00213E36" w:rsidRPr="00DE4925" w:rsidRDefault="00213E36" w:rsidP="005B20EE">
            <w:pPr>
              <w:rPr>
                <w:i/>
                <w:sz w:val="20"/>
              </w:rPr>
            </w:pPr>
            <w:r w:rsidRPr="00DE4925">
              <w:rPr>
                <w:i/>
                <w:color w:val="808080"/>
                <w:sz w:val="20"/>
              </w:rPr>
              <w:t xml:space="preserve">Website for further information:  </w:t>
            </w:r>
          </w:p>
        </w:tc>
        <w:bookmarkStart w:id="30" w:name="Cell21"/>
        <w:bookmarkEnd w:id="30"/>
        <w:tc>
          <w:tcPr>
            <w:tcW w:w="7371" w:type="dxa"/>
          </w:tcPr>
          <w:p w:rsidR="00213E36" w:rsidRPr="008606A9" w:rsidRDefault="00213E36" w:rsidP="002349ED">
            <w:pPr>
              <w:rPr>
                <w:sz w:val="20"/>
              </w:rPr>
            </w:pPr>
            <w:r w:rsidRPr="008606A9">
              <w:fldChar w:fldCharType="begin"/>
            </w:r>
            <w:r w:rsidRPr="008606A9">
              <w:rPr>
                <w:sz w:val="20"/>
              </w:rPr>
              <w:instrText xml:space="preserve"> HYPERLINK "http://travel.apec.org" </w:instrText>
            </w:r>
            <w:r w:rsidRPr="008606A9">
              <w:fldChar w:fldCharType="separate"/>
            </w:r>
            <w:r w:rsidRPr="008606A9">
              <w:rPr>
                <w:rStyle w:val="Hyperlink"/>
                <w:sz w:val="20"/>
              </w:rPr>
              <w:t>http://travel.apec.org</w:t>
            </w:r>
            <w:r w:rsidRPr="008606A9">
              <w:rPr>
                <w:rStyle w:val="Hyperlink"/>
                <w:sz w:val="20"/>
              </w:rPr>
              <w:fldChar w:fldCharType="end"/>
            </w:r>
          </w:p>
          <w:p w:rsidR="00213E36" w:rsidRPr="00B3069C" w:rsidRDefault="00E632DC" w:rsidP="002349ED">
            <w:pPr>
              <w:rPr>
                <w:color w:val="808080"/>
                <w:sz w:val="20"/>
              </w:rPr>
            </w:pPr>
            <w:hyperlink r:id="rId54" w:history="1">
              <w:r w:rsidR="00213E36" w:rsidRPr="008606A9">
                <w:rPr>
                  <w:rStyle w:val="Hyperlink"/>
                  <w:sz w:val="20"/>
                </w:rPr>
                <w:t>http://www.immi.gov.au</w:t>
              </w:r>
            </w:hyperlink>
          </w:p>
        </w:tc>
        <w:tc>
          <w:tcPr>
            <w:tcW w:w="4658" w:type="dxa"/>
          </w:tcPr>
          <w:p w:rsidR="00213E36" w:rsidRPr="00B3069C" w:rsidRDefault="00213E36" w:rsidP="005B20EE">
            <w:pPr>
              <w:spacing w:after="120"/>
              <w:rPr>
                <w:color w:val="808080"/>
                <w:sz w:val="20"/>
              </w:rPr>
            </w:pPr>
            <w:bookmarkStart w:id="31" w:name="Cell22"/>
            <w:bookmarkEnd w:id="31"/>
          </w:p>
        </w:tc>
      </w:tr>
      <w:tr w:rsidR="008606A9" w:rsidRPr="00B3069C" w:rsidTr="00714E4C">
        <w:tc>
          <w:tcPr>
            <w:tcW w:w="2552" w:type="dxa"/>
          </w:tcPr>
          <w:p w:rsidR="008606A9" w:rsidRPr="000847DC" w:rsidRDefault="008606A9" w:rsidP="005B20EE">
            <w:pPr>
              <w:rPr>
                <w:color w:val="808080"/>
                <w:sz w:val="20"/>
              </w:rPr>
            </w:pPr>
            <w:r w:rsidRPr="00B3069C">
              <w:rPr>
                <w:i/>
                <w:color w:val="808080"/>
                <w:sz w:val="20"/>
              </w:rPr>
              <w:t>Contact point for further details:</w:t>
            </w:r>
          </w:p>
        </w:tc>
        <w:tc>
          <w:tcPr>
            <w:tcW w:w="7371" w:type="dxa"/>
          </w:tcPr>
          <w:p w:rsidR="008606A9" w:rsidRPr="008606A9" w:rsidRDefault="008606A9" w:rsidP="005B20EE">
            <w:pPr>
              <w:rPr>
                <w:sz w:val="20"/>
              </w:rPr>
            </w:pPr>
            <w:r w:rsidRPr="00B3069C">
              <w:rPr>
                <w:sz w:val="20"/>
                <w:lang w:val="en-US"/>
              </w:rPr>
              <w:t xml:space="preserve">Christian Cannock - Department of Immigration and Border Protection: </w:t>
            </w:r>
            <w:hyperlink r:id="rId55" w:history="1">
              <w:r w:rsidRPr="00B3069C">
                <w:rPr>
                  <w:rStyle w:val="Hyperlink"/>
                  <w:sz w:val="20"/>
                  <w:lang w:val="en-US"/>
                </w:rPr>
                <w:t>apec@immi.gov.au</w:t>
              </w:r>
            </w:hyperlink>
          </w:p>
        </w:tc>
        <w:tc>
          <w:tcPr>
            <w:tcW w:w="4658" w:type="dxa"/>
          </w:tcPr>
          <w:p w:rsidR="008606A9" w:rsidRPr="00B3069C" w:rsidRDefault="008606A9" w:rsidP="005B20EE">
            <w:pPr>
              <w:spacing w:after="120"/>
              <w:rPr>
                <w:color w:val="808080"/>
                <w:sz w:val="20"/>
              </w:rPr>
            </w:pPr>
          </w:p>
        </w:tc>
      </w:tr>
      <w:tr w:rsidR="00BD6E66" w:rsidRPr="00B3069C" w:rsidTr="00714E4C">
        <w:tc>
          <w:tcPr>
            <w:tcW w:w="2552" w:type="dxa"/>
            <w:vMerge w:val="restart"/>
          </w:tcPr>
          <w:p w:rsidR="00BD6E66" w:rsidRPr="008606A9" w:rsidRDefault="00BD6E66" w:rsidP="005B20EE">
            <w:pPr>
              <w:pStyle w:val="Heading5"/>
              <w:keepNext w:val="0"/>
              <w:spacing w:after="0"/>
              <w:rPr>
                <w:rFonts w:ascii="Times New Roman" w:hAnsi="Times New Roman"/>
                <w:i/>
              </w:rPr>
            </w:pPr>
            <w:r w:rsidRPr="008606A9">
              <w:rPr>
                <w:rFonts w:ascii="Times New Roman" w:hAnsi="Times New Roman"/>
                <w:i/>
              </w:rPr>
              <w:t>Official websites that gather economies’ information</w:t>
            </w:r>
          </w:p>
          <w:p w:rsidR="00BD6E66" w:rsidRPr="00B3069C" w:rsidRDefault="00BD6E66" w:rsidP="005B20EE">
            <w:pPr>
              <w:rPr>
                <w:b/>
                <w:i/>
                <w:color w:val="808080"/>
                <w:sz w:val="20"/>
              </w:rPr>
            </w:pPr>
            <w:r w:rsidRPr="00B3069C">
              <w:rPr>
                <w:b/>
                <w:color w:val="808080"/>
              </w:rPr>
              <w:t xml:space="preserve"> </w:t>
            </w:r>
          </w:p>
          <w:p w:rsidR="00BD6E66" w:rsidRPr="00B3069C" w:rsidRDefault="00BD6E66" w:rsidP="005B20EE">
            <w:pPr>
              <w:rPr>
                <w:b/>
                <w:color w:val="808080"/>
              </w:rPr>
            </w:pPr>
            <w:r w:rsidRPr="00B3069C">
              <w:rPr>
                <w:b/>
                <w:color w:val="808080"/>
              </w:rPr>
              <w:t xml:space="preserve"> </w:t>
            </w:r>
          </w:p>
        </w:tc>
        <w:tc>
          <w:tcPr>
            <w:tcW w:w="7371" w:type="dxa"/>
          </w:tcPr>
          <w:p w:rsidR="00BD6E66" w:rsidRPr="00B3069C" w:rsidRDefault="00BD6E66" w:rsidP="005B20EE">
            <w:pPr>
              <w:spacing w:after="120"/>
              <w:rPr>
                <w:b/>
                <w:bCs/>
                <w:sz w:val="20"/>
                <w:lang w:val="en-US"/>
              </w:rPr>
            </w:pPr>
            <w:r w:rsidRPr="00B3069C">
              <w:rPr>
                <w:b/>
                <w:bCs/>
                <w:sz w:val="20"/>
                <w:lang w:val="en-US"/>
              </w:rPr>
              <w:t>Anti</w:t>
            </w:r>
            <w:r w:rsidRPr="00B3069C">
              <w:rPr>
                <w:b/>
                <w:bCs/>
                <w:sz w:val="20"/>
                <w:lang w:val="en-US"/>
              </w:rPr>
              <w:noBreakHyphen/>
              <w:t xml:space="preserve">Dumping Commission Website </w:t>
            </w:r>
          </w:p>
          <w:p w:rsidR="00BD6E66" w:rsidRPr="00B3069C" w:rsidRDefault="00BD6E66" w:rsidP="005B20EE">
            <w:pPr>
              <w:spacing w:after="120"/>
              <w:rPr>
                <w:sz w:val="20"/>
                <w:lang w:val="en-US"/>
              </w:rPr>
            </w:pPr>
            <w:r w:rsidRPr="00B3069C">
              <w:rPr>
                <w:sz w:val="20"/>
                <w:lang w:val="en-US"/>
              </w:rPr>
              <w:t>The Anti</w:t>
            </w:r>
            <w:r w:rsidRPr="00B3069C">
              <w:rPr>
                <w:sz w:val="20"/>
                <w:lang w:val="en-US"/>
              </w:rPr>
              <w:noBreakHyphen/>
              <w:t xml:space="preserve">Dumping Commission investigates allegations of dumping and countervailiable subsidies causing injury to domestic producers of like products. Information on anti-dumping cases, including reporting dates, investigation reports, notices and outcomes is available on the Commission’s website at </w:t>
            </w:r>
            <w:hyperlink r:id="rId56" w:history="1">
              <w:r w:rsidRPr="00B3069C">
                <w:rPr>
                  <w:rStyle w:val="Hyperlink"/>
                  <w:sz w:val="20"/>
                  <w:lang w:val="en-US"/>
                </w:rPr>
                <w:t>www.adcommission.gov.au</w:t>
              </w:r>
            </w:hyperlink>
            <w:r w:rsidRPr="00B3069C">
              <w:rPr>
                <w:rStyle w:val="Hyperlink"/>
                <w:color w:val="auto"/>
                <w:sz w:val="20"/>
                <w:u w:val="none"/>
                <w:lang w:val="en-US"/>
              </w:rPr>
              <w:t>.  Reference material on Australia’s anti-dumping system is also available.</w:t>
            </w:r>
            <w:r w:rsidRPr="00B3069C">
              <w:rPr>
                <w:sz w:val="20"/>
                <w:lang w:val="en-US"/>
              </w:rPr>
              <w:t xml:space="preserve">    </w:t>
            </w:r>
          </w:p>
          <w:p w:rsidR="00BD6E66" w:rsidRPr="008606A9" w:rsidRDefault="00BD6E66" w:rsidP="005B20EE">
            <w:pPr>
              <w:pStyle w:val="Heading9"/>
              <w:keepNext w:val="0"/>
              <w:spacing w:after="120"/>
              <w:rPr>
                <w:rFonts w:ascii="Times New Roman" w:hAnsi="Times New Roman"/>
                <w:b w:val="0"/>
                <w:i w:val="0"/>
              </w:rPr>
            </w:pPr>
            <w:r w:rsidRPr="008606A9">
              <w:rPr>
                <w:rFonts w:ascii="Times New Roman" w:hAnsi="Times New Roman"/>
                <w:b w:val="0"/>
                <w:i w:val="0"/>
              </w:rPr>
              <w:t>Kim Farrant – Anti</w:t>
            </w:r>
            <w:r w:rsidRPr="008606A9">
              <w:rPr>
                <w:rFonts w:ascii="Times New Roman" w:hAnsi="Times New Roman"/>
                <w:b w:val="0"/>
                <w:i w:val="0"/>
              </w:rPr>
              <w:noBreakHyphen/>
              <w:t>Dumping Commission: +61 2 6275 6976</w:t>
            </w:r>
          </w:p>
        </w:tc>
        <w:tc>
          <w:tcPr>
            <w:tcW w:w="4658" w:type="dxa"/>
          </w:tcPr>
          <w:p w:rsidR="00BD6E66" w:rsidRPr="00B3069C" w:rsidRDefault="00BD6E66" w:rsidP="005B20EE">
            <w:pPr>
              <w:spacing w:after="120"/>
              <w:rPr>
                <w:i/>
                <w:color w:val="808080"/>
                <w:sz w:val="20"/>
              </w:rPr>
            </w:pPr>
          </w:p>
          <w:p w:rsidR="00BD6E66" w:rsidRPr="00B3069C" w:rsidRDefault="00BD6E66" w:rsidP="005B20EE">
            <w:pPr>
              <w:spacing w:after="120"/>
              <w:rPr>
                <w:i/>
                <w:color w:val="808080"/>
                <w:sz w:val="20"/>
              </w:rPr>
            </w:pPr>
          </w:p>
          <w:p w:rsidR="00BD6E66" w:rsidRPr="00B3069C" w:rsidRDefault="00BD6E66" w:rsidP="005B20EE">
            <w:pPr>
              <w:spacing w:after="120"/>
              <w:rPr>
                <w:i/>
                <w:color w:val="808080"/>
                <w:sz w:val="20"/>
              </w:rPr>
            </w:pPr>
          </w:p>
          <w:p w:rsidR="00BD6E66" w:rsidRPr="00B3069C" w:rsidRDefault="00BD6E66" w:rsidP="005B20EE">
            <w:pPr>
              <w:spacing w:after="120"/>
              <w:rPr>
                <w:i/>
                <w:color w:val="808080"/>
                <w:sz w:val="20"/>
              </w:rPr>
            </w:pPr>
          </w:p>
          <w:p w:rsidR="00BD6E66" w:rsidRPr="00B3069C" w:rsidRDefault="00BD6E66" w:rsidP="005B20EE">
            <w:pPr>
              <w:pStyle w:val="Heading9"/>
              <w:keepNext w:val="0"/>
              <w:spacing w:after="120"/>
              <w:rPr>
                <w:rFonts w:ascii="Times New Roman" w:hAnsi="Times New Roman"/>
                <w:b w:val="0"/>
              </w:rPr>
            </w:pPr>
          </w:p>
        </w:tc>
      </w:tr>
      <w:tr w:rsidR="00BD6E66" w:rsidRPr="00B3069C" w:rsidTr="00714E4C">
        <w:tc>
          <w:tcPr>
            <w:tcW w:w="2552" w:type="dxa"/>
            <w:vMerge/>
          </w:tcPr>
          <w:p w:rsidR="00BD6E66" w:rsidRPr="00B3069C" w:rsidRDefault="00BD6E66" w:rsidP="005B20EE">
            <w:pPr>
              <w:rPr>
                <w:b/>
                <w:i/>
                <w:color w:val="808080"/>
                <w:sz w:val="20"/>
              </w:rPr>
            </w:pPr>
          </w:p>
        </w:tc>
        <w:tc>
          <w:tcPr>
            <w:tcW w:w="7371" w:type="dxa"/>
          </w:tcPr>
          <w:p w:rsidR="00BD6E66" w:rsidRPr="00B3069C" w:rsidRDefault="00BD6E66" w:rsidP="005B20EE">
            <w:pPr>
              <w:spacing w:after="120"/>
              <w:rPr>
                <w:b/>
                <w:bCs/>
                <w:sz w:val="20"/>
                <w:lang w:val="en-US"/>
              </w:rPr>
            </w:pPr>
            <w:bookmarkStart w:id="32" w:name="Cell23"/>
            <w:bookmarkEnd w:id="32"/>
            <w:r w:rsidRPr="00B3069C">
              <w:rPr>
                <w:b/>
                <w:bCs/>
                <w:sz w:val="20"/>
                <w:lang w:val="en-US"/>
              </w:rPr>
              <w:t>The Australian Bureau of Statistics</w:t>
            </w:r>
          </w:p>
          <w:p w:rsidR="00BD6E66" w:rsidRPr="00B3069C" w:rsidRDefault="00BD6E66" w:rsidP="005B20EE">
            <w:pPr>
              <w:spacing w:after="120"/>
              <w:rPr>
                <w:color w:val="808080"/>
                <w:sz w:val="20"/>
              </w:rPr>
            </w:pPr>
            <w:r w:rsidRPr="00B3069C">
              <w:rPr>
                <w:bCs/>
                <w:color w:val="0000FF"/>
                <w:sz w:val="20"/>
                <w:u w:val="single"/>
                <w:lang w:val="en-US"/>
              </w:rPr>
              <w:t>http://www.abs.gov.au/</w:t>
            </w:r>
          </w:p>
        </w:tc>
        <w:tc>
          <w:tcPr>
            <w:tcW w:w="4658" w:type="dxa"/>
          </w:tcPr>
          <w:p w:rsidR="00BD6E66" w:rsidRPr="00B3069C" w:rsidRDefault="00BD6E66" w:rsidP="005B20EE">
            <w:pPr>
              <w:spacing w:after="120"/>
              <w:rPr>
                <w:color w:val="808080"/>
                <w:sz w:val="20"/>
              </w:rPr>
            </w:pPr>
            <w:bookmarkStart w:id="33" w:name="Cell24"/>
            <w:bookmarkEnd w:id="33"/>
          </w:p>
        </w:tc>
      </w:tr>
      <w:tr w:rsidR="00BD6E66" w:rsidRPr="00B3069C" w:rsidTr="00714E4C">
        <w:tc>
          <w:tcPr>
            <w:tcW w:w="2552" w:type="dxa"/>
            <w:vMerge/>
          </w:tcPr>
          <w:p w:rsidR="00BD6E66" w:rsidRPr="00B3069C" w:rsidRDefault="00BD6E66" w:rsidP="005B20EE">
            <w:pPr>
              <w:rPr>
                <w:b/>
                <w:color w:val="808080"/>
              </w:rPr>
            </w:pPr>
          </w:p>
        </w:tc>
        <w:tc>
          <w:tcPr>
            <w:tcW w:w="7371" w:type="dxa"/>
          </w:tcPr>
          <w:p w:rsidR="00BD6E66" w:rsidRPr="00B3069C" w:rsidRDefault="00BD6E66" w:rsidP="005B20EE">
            <w:pPr>
              <w:spacing w:after="120"/>
              <w:rPr>
                <w:b/>
                <w:bCs/>
                <w:sz w:val="20"/>
                <w:lang w:val="en-US"/>
              </w:rPr>
            </w:pPr>
            <w:r w:rsidRPr="00B3069C">
              <w:rPr>
                <w:b/>
                <w:bCs/>
                <w:sz w:val="20"/>
                <w:lang w:val="en-US"/>
              </w:rPr>
              <w:t>Department of Foreign Affairs and Trade</w:t>
            </w:r>
          </w:p>
          <w:p w:rsidR="00BD6E66" w:rsidRPr="00B3069C" w:rsidRDefault="00BD6E66" w:rsidP="005B20EE">
            <w:pPr>
              <w:spacing w:after="120"/>
              <w:rPr>
                <w:bCs/>
                <w:sz w:val="20"/>
                <w:lang w:val="en-US"/>
              </w:rPr>
            </w:pPr>
            <w:r w:rsidRPr="00B3069C">
              <w:rPr>
                <w:sz w:val="20"/>
                <w:lang w:val="en"/>
              </w:rPr>
              <w:t>The department provides foreign, trade and development policy advice to the government. We work with other government agencies to ensure that Australia’s pursuit of its global, regional and bilateral interests is coordinated effectively.</w:t>
            </w:r>
          </w:p>
          <w:p w:rsidR="00BD6E66" w:rsidRPr="00B3069C" w:rsidRDefault="00BD6E66" w:rsidP="005B20EE">
            <w:pPr>
              <w:spacing w:after="120"/>
              <w:rPr>
                <w:sz w:val="20"/>
              </w:rPr>
            </w:pPr>
            <w:r w:rsidRPr="00B3069C">
              <w:rPr>
                <w:bCs/>
                <w:color w:val="0000FF"/>
                <w:sz w:val="20"/>
                <w:u w:val="single"/>
                <w:lang w:val="en-US"/>
              </w:rPr>
              <w:t>http://www.dfat.gov.au/</w:t>
            </w:r>
          </w:p>
        </w:tc>
        <w:tc>
          <w:tcPr>
            <w:tcW w:w="4658" w:type="dxa"/>
          </w:tcPr>
          <w:p w:rsidR="00BD6E66" w:rsidRPr="00B3069C" w:rsidRDefault="00BD6E66" w:rsidP="005B20EE">
            <w:pPr>
              <w:spacing w:after="120"/>
              <w:rPr>
                <w:sz w:val="20"/>
              </w:rPr>
            </w:pPr>
          </w:p>
        </w:tc>
      </w:tr>
      <w:tr w:rsidR="00BD6E66" w:rsidRPr="00B3069C" w:rsidTr="00714E4C">
        <w:tc>
          <w:tcPr>
            <w:tcW w:w="2552" w:type="dxa"/>
            <w:vMerge/>
          </w:tcPr>
          <w:p w:rsidR="00BD6E66" w:rsidRPr="00B3069C" w:rsidRDefault="00BD6E66" w:rsidP="005B20EE">
            <w:pPr>
              <w:rPr>
                <w:b/>
                <w:color w:val="808080"/>
              </w:rPr>
            </w:pPr>
          </w:p>
        </w:tc>
        <w:tc>
          <w:tcPr>
            <w:tcW w:w="7371" w:type="dxa"/>
          </w:tcPr>
          <w:p w:rsidR="00BD6E66" w:rsidRPr="00B3069C" w:rsidRDefault="00BD6E66" w:rsidP="005B20EE">
            <w:pPr>
              <w:spacing w:after="120"/>
              <w:rPr>
                <w:rStyle w:val="Emphasis"/>
                <w:sz w:val="20"/>
              </w:rPr>
            </w:pPr>
            <w:r w:rsidRPr="00B3069C">
              <w:rPr>
                <w:rStyle w:val="Emphasis"/>
                <w:sz w:val="20"/>
              </w:rPr>
              <w:t>Australian Customs and Border Protection</w:t>
            </w:r>
          </w:p>
          <w:p w:rsidR="00BD6E66" w:rsidRPr="00B3069C" w:rsidRDefault="00BD6E66" w:rsidP="005B20EE">
            <w:pPr>
              <w:spacing w:after="120"/>
              <w:rPr>
                <w:rStyle w:val="Emphasis"/>
                <w:sz w:val="20"/>
              </w:rPr>
            </w:pPr>
            <w:r w:rsidRPr="00B3069C">
              <w:rPr>
                <w:sz w:val="19"/>
                <w:szCs w:val="19"/>
                <w:lang w:val="en"/>
              </w:rPr>
              <w:t>Australian Customs and Border Protection Service manage the security and integrity of Australia's borders. It works closely with other government and international agencies to detect and deter unlawful movement of goods and people across the border.</w:t>
            </w:r>
          </w:p>
          <w:p w:rsidR="00BD6E66" w:rsidRPr="00B3069C" w:rsidRDefault="00BD6E66" w:rsidP="005B20EE">
            <w:pPr>
              <w:pStyle w:val="Heading9"/>
              <w:keepNext w:val="0"/>
              <w:spacing w:after="120"/>
              <w:rPr>
                <w:rFonts w:ascii="Times New Roman" w:hAnsi="Times New Roman"/>
                <w:b w:val="0"/>
              </w:rPr>
            </w:pPr>
            <w:r w:rsidRPr="00B3069C">
              <w:rPr>
                <w:rStyle w:val="Emphasis"/>
                <w:rFonts w:ascii="Times New Roman" w:hAnsi="Times New Roman"/>
                <w:b/>
                <w:color w:val="0000FF"/>
                <w:u w:val="single"/>
              </w:rPr>
              <w:t>http://www.customs.gov.au/default.asp</w:t>
            </w:r>
          </w:p>
        </w:tc>
        <w:tc>
          <w:tcPr>
            <w:tcW w:w="4658" w:type="dxa"/>
          </w:tcPr>
          <w:p w:rsidR="00BD6E66" w:rsidRPr="00B3069C" w:rsidRDefault="00BD6E66" w:rsidP="005B20EE">
            <w:pPr>
              <w:pStyle w:val="Heading9"/>
              <w:keepNext w:val="0"/>
              <w:spacing w:after="120"/>
              <w:rPr>
                <w:rFonts w:ascii="Times New Roman" w:hAnsi="Times New Roman"/>
                <w:b w:val="0"/>
              </w:rPr>
            </w:pPr>
          </w:p>
        </w:tc>
      </w:tr>
      <w:tr w:rsidR="00BD6E66" w:rsidRPr="00B3069C" w:rsidTr="00714E4C">
        <w:tc>
          <w:tcPr>
            <w:tcW w:w="2552" w:type="dxa"/>
            <w:vMerge/>
          </w:tcPr>
          <w:p w:rsidR="00BD6E66" w:rsidRPr="00B3069C" w:rsidRDefault="00BD6E66" w:rsidP="005B20EE">
            <w:pPr>
              <w:rPr>
                <w:sz w:val="20"/>
              </w:rPr>
            </w:pPr>
          </w:p>
        </w:tc>
        <w:tc>
          <w:tcPr>
            <w:tcW w:w="7371" w:type="dxa"/>
          </w:tcPr>
          <w:p w:rsidR="00BD6E66" w:rsidRPr="00B3069C" w:rsidRDefault="00BD6E66" w:rsidP="005B20EE">
            <w:pPr>
              <w:spacing w:after="120"/>
              <w:rPr>
                <w:rStyle w:val="Emphasis"/>
                <w:sz w:val="20"/>
              </w:rPr>
            </w:pPr>
            <w:bookmarkStart w:id="34" w:name="Cell25"/>
            <w:bookmarkEnd w:id="34"/>
            <w:r w:rsidRPr="00B3069C">
              <w:rPr>
                <w:rStyle w:val="Emphasis"/>
                <w:sz w:val="20"/>
              </w:rPr>
              <w:t>Department of Immigration and Border Protection</w:t>
            </w:r>
          </w:p>
          <w:p w:rsidR="00BD6E66" w:rsidRPr="00B3069C" w:rsidRDefault="00BD6E66" w:rsidP="005B20EE">
            <w:pPr>
              <w:rPr>
                <w:sz w:val="20"/>
                <w:lang w:val="en-US"/>
              </w:rPr>
            </w:pPr>
            <w:r w:rsidRPr="00B3069C">
              <w:rPr>
                <w:rStyle w:val="Emphasis"/>
                <w:b w:val="0"/>
                <w:color w:val="0000FF"/>
                <w:sz w:val="20"/>
                <w:u w:val="single"/>
              </w:rPr>
              <w:t>http://www.immi.gov.au/Pages/Welcome.aspx</w:t>
            </w:r>
          </w:p>
        </w:tc>
        <w:tc>
          <w:tcPr>
            <w:tcW w:w="4658" w:type="dxa"/>
          </w:tcPr>
          <w:p w:rsidR="00BD6E66" w:rsidRPr="00B3069C" w:rsidRDefault="00BD6E66" w:rsidP="005B20EE">
            <w:pPr>
              <w:spacing w:after="120"/>
              <w:rPr>
                <w:color w:val="808080"/>
                <w:sz w:val="20"/>
              </w:rPr>
            </w:pPr>
            <w:bookmarkStart w:id="35" w:name="Cell26"/>
            <w:bookmarkEnd w:id="35"/>
          </w:p>
        </w:tc>
      </w:tr>
      <w:tr w:rsidR="00BD6E66" w:rsidRPr="00B3069C" w:rsidTr="00714E4C">
        <w:tc>
          <w:tcPr>
            <w:tcW w:w="2552" w:type="dxa"/>
            <w:vMerge/>
          </w:tcPr>
          <w:p w:rsidR="00BD6E66" w:rsidRPr="00B3069C" w:rsidRDefault="00BD6E66" w:rsidP="005B20EE">
            <w:pPr>
              <w:rPr>
                <w:b/>
                <w:color w:val="808080"/>
              </w:rPr>
            </w:pPr>
          </w:p>
        </w:tc>
        <w:tc>
          <w:tcPr>
            <w:tcW w:w="7371" w:type="dxa"/>
          </w:tcPr>
          <w:p w:rsidR="00BD6E66" w:rsidRPr="00B3069C" w:rsidRDefault="00BD6E66" w:rsidP="005B20EE">
            <w:pPr>
              <w:spacing w:after="120"/>
              <w:rPr>
                <w:sz w:val="20"/>
              </w:rPr>
            </w:pPr>
            <w:r w:rsidRPr="00B3069C">
              <w:rPr>
                <w:rStyle w:val="Emphasis"/>
                <w:sz w:val="20"/>
              </w:rPr>
              <w:t>Australian Bureau of Agricultural and Resource Economics and Sciences</w:t>
            </w:r>
          </w:p>
          <w:p w:rsidR="00BD6E66" w:rsidRPr="00B3069C" w:rsidRDefault="00BD6E66" w:rsidP="005B20EE">
            <w:pPr>
              <w:spacing w:after="120"/>
              <w:rPr>
                <w:sz w:val="20"/>
              </w:rPr>
            </w:pPr>
            <w:r w:rsidRPr="00B3069C">
              <w:rPr>
                <w:sz w:val="20"/>
              </w:rPr>
              <w:t>ABARES conducts research and analysis of key issues affecting world markets for major agricultural commodities.  ABARES collects and publishes statistical information relating to Australian and world agricultural commodity production and trade.</w:t>
            </w:r>
          </w:p>
          <w:p w:rsidR="00BD6E66" w:rsidRPr="00B3069C" w:rsidRDefault="00BD6E66" w:rsidP="005B20EE">
            <w:pPr>
              <w:spacing w:after="120"/>
              <w:rPr>
                <w:rStyle w:val="Emphasis"/>
                <w:sz w:val="20"/>
              </w:rPr>
            </w:pPr>
            <w:r w:rsidRPr="00B3069C">
              <w:rPr>
                <w:color w:val="0000FF"/>
                <w:sz w:val="20"/>
                <w:u w:val="single"/>
              </w:rPr>
              <w:t>http://www.daff.gov.au/abares</w:t>
            </w:r>
          </w:p>
        </w:tc>
        <w:tc>
          <w:tcPr>
            <w:tcW w:w="4658" w:type="dxa"/>
          </w:tcPr>
          <w:p w:rsidR="00BD6E66" w:rsidRPr="00B3069C" w:rsidRDefault="00BD6E66" w:rsidP="005B20EE">
            <w:pPr>
              <w:spacing w:after="120"/>
              <w:rPr>
                <w:color w:val="808080"/>
                <w:sz w:val="20"/>
              </w:rPr>
            </w:pPr>
          </w:p>
        </w:tc>
      </w:tr>
      <w:tr w:rsidR="00C34E45" w:rsidRPr="00B3069C" w:rsidTr="00714E4C">
        <w:tc>
          <w:tcPr>
            <w:tcW w:w="2552" w:type="dxa"/>
          </w:tcPr>
          <w:p w:rsidR="00C34E45" w:rsidRPr="00C34E45" w:rsidRDefault="00C34E45" w:rsidP="005B20EE">
            <w:pPr>
              <w:rPr>
                <w:b/>
                <w:i/>
                <w:color w:val="808080"/>
                <w:sz w:val="20"/>
              </w:rPr>
            </w:pPr>
            <w:r w:rsidRPr="00C34E45">
              <w:rPr>
                <w:b/>
                <w:i/>
                <w:sz w:val="20"/>
              </w:rPr>
              <w:t>Transparency</w:t>
            </w:r>
          </w:p>
        </w:tc>
        <w:tc>
          <w:tcPr>
            <w:tcW w:w="7371" w:type="dxa"/>
          </w:tcPr>
          <w:p w:rsidR="00C34E45" w:rsidRPr="00B3069C" w:rsidRDefault="00A31B9B" w:rsidP="00A31B9B">
            <w:pPr>
              <w:spacing w:after="120"/>
              <w:rPr>
                <w:rStyle w:val="Emphasis"/>
                <w:sz w:val="20"/>
              </w:rPr>
            </w:pPr>
            <w:r w:rsidRPr="000847DC">
              <w:rPr>
                <w:color w:val="808080"/>
                <w:sz w:val="20"/>
              </w:rPr>
              <w:t>No further update.</w:t>
            </w:r>
          </w:p>
        </w:tc>
        <w:tc>
          <w:tcPr>
            <w:tcW w:w="4658" w:type="dxa"/>
          </w:tcPr>
          <w:p w:rsidR="00C34E45" w:rsidRPr="00B3069C" w:rsidRDefault="00C34E45" w:rsidP="00A31B9B">
            <w:pPr>
              <w:pStyle w:val="BalloonText"/>
              <w:spacing w:before="60" w:after="120"/>
              <w:rPr>
                <w:color w:val="808080"/>
                <w:sz w:val="20"/>
              </w:rPr>
            </w:pPr>
          </w:p>
        </w:tc>
      </w:tr>
      <w:tr w:rsidR="00DE4925" w:rsidRPr="00B3069C" w:rsidTr="00714E4C">
        <w:tc>
          <w:tcPr>
            <w:tcW w:w="2552" w:type="dxa"/>
          </w:tcPr>
          <w:p w:rsidR="00DE4925" w:rsidRPr="00C34E45" w:rsidRDefault="00DE4925" w:rsidP="005B20EE">
            <w:pPr>
              <w:rPr>
                <w:b/>
                <w:i/>
                <w:sz w:val="20"/>
              </w:rPr>
            </w:pPr>
            <w:r w:rsidRPr="00DE4925">
              <w:rPr>
                <w:i/>
                <w:color w:val="808080"/>
                <w:sz w:val="20"/>
              </w:rPr>
              <w:t xml:space="preserve">Website for further information:  </w:t>
            </w:r>
          </w:p>
        </w:tc>
        <w:tc>
          <w:tcPr>
            <w:tcW w:w="7371" w:type="dxa"/>
          </w:tcPr>
          <w:p w:rsidR="00DE4925" w:rsidRPr="00C34E45" w:rsidRDefault="00DE4925" w:rsidP="005B20EE">
            <w:pPr>
              <w:spacing w:before="60" w:after="120"/>
              <w:rPr>
                <w:bCs/>
                <w:sz w:val="20"/>
              </w:rPr>
            </w:pPr>
          </w:p>
        </w:tc>
        <w:tc>
          <w:tcPr>
            <w:tcW w:w="4658" w:type="dxa"/>
          </w:tcPr>
          <w:p w:rsidR="00DE4925" w:rsidRPr="00C34E45" w:rsidRDefault="00DE4925" w:rsidP="005B20EE">
            <w:pPr>
              <w:pStyle w:val="BalloonText"/>
              <w:spacing w:before="60" w:after="120"/>
              <w:rPr>
                <w:rFonts w:ascii="Times New Roman" w:hAnsi="Times New Roman"/>
                <w:sz w:val="20"/>
                <w:szCs w:val="20"/>
              </w:rPr>
            </w:pPr>
          </w:p>
        </w:tc>
      </w:tr>
      <w:tr w:rsidR="00DE4925" w:rsidRPr="00B3069C" w:rsidTr="00714E4C">
        <w:tc>
          <w:tcPr>
            <w:tcW w:w="2552" w:type="dxa"/>
          </w:tcPr>
          <w:p w:rsidR="00DE4925" w:rsidRPr="00C34E45" w:rsidRDefault="00DE4925" w:rsidP="005B20EE">
            <w:pPr>
              <w:rPr>
                <w:b/>
                <w:i/>
                <w:sz w:val="20"/>
              </w:rPr>
            </w:pPr>
            <w:r w:rsidRPr="00B3069C">
              <w:rPr>
                <w:i/>
                <w:color w:val="808080"/>
                <w:sz w:val="20"/>
              </w:rPr>
              <w:t>Contact point for further details:</w:t>
            </w:r>
          </w:p>
        </w:tc>
        <w:tc>
          <w:tcPr>
            <w:tcW w:w="7371" w:type="dxa"/>
          </w:tcPr>
          <w:p w:rsidR="00DE4925" w:rsidRPr="00C34E45" w:rsidRDefault="00DE4925" w:rsidP="005B20EE">
            <w:pPr>
              <w:spacing w:before="60" w:after="120"/>
              <w:rPr>
                <w:bCs/>
                <w:sz w:val="20"/>
              </w:rPr>
            </w:pPr>
          </w:p>
        </w:tc>
        <w:tc>
          <w:tcPr>
            <w:tcW w:w="4658" w:type="dxa"/>
          </w:tcPr>
          <w:p w:rsidR="00DE4925" w:rsidRPr="00C34E45" w:rsidRDefault="00DE4925" w:rsidP="005B20EE">
            <w:pPr>
              <w:pStyle w:val="BalloonText"/>
              <w:spacing w:before="60" w:after="120"/>
              <w:rPr>
                <w:rFonts w:ascii="Times New Roman" w:hAnsi="Times New Roman"/>
                <w:sz w:val="20"/>
                <w:szCs w:val="20"/>
              </w:rPr>
            </w:pPr>
          </w:p>
        </w:tc>
      </w:tr>
    </w:tbl>
    <w:p w:rsidR="00A17C7F" w:rsidRPr="00B3069C" w:rsidRDefault="005B20EE">
      <w:pPr>
        <w:rPr>
          <w:sz w:val="20"/>
        </w:rPr>
      </w:pPr>
      <w:r>
        <w:rPr>
          <w:sz w:val="20"/>
        </w:rPr>
        <w:br w:type="page"/>
      </w: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11040"/>
        <w:gridCol w:w="17"/>
      </w:tblGrid>
      <w:tr w:rsidR="00CB6A57" w:rsidRPr="00B3069C" w:rsidTr="000A33A0">
        <w:trPr>
          <w:cantSplit/>
        </w:trPr>
        <w:tc>
          <w:tcPr>
            <w:tcW w:w="14581" w:type="dxa"/>
            <w:gridSpan w:val="3"/>
            <w:shd w:val="clear" w:color="auto" w:fill="DBE5F1" w:themeFill="accent1" w:themeFillTint="33"/>
          </w:tcPr>
          <w:p w:rsidR="00CB6A57" w:rsidRPr="00B3069C" w:rsidRDefault="00CB6A57">
            <w:pPr>
              <w:rPr>
                <w:b/>
                <w:sz w:val="20"/>
              </w:rPr>
            </w:pPr>
          </w:p>
          <w:p w:rsidR="00CB6A57" w:rsidRPr="00B3069C" w:rsidRDefault="00CB6A57">
            <w:pPr>
              <w:rPr>
                <w:b/>
                <w:sz w:val="20"/>
                <w:vertAlign w:val="superscript"/>
                <w:lang w:eastAsia="zh-TW"/>
              </w:rPr>
            </w:pPr>
            <w:r w:rsidRPr="00B3069C">
              <w:rPr>
                <w:b/>
                <w:sz w:val="20"/>
              </w:rPr>
              <w:t xml:space="preserve">RTAs/FTAs </w:t>
            </w:r>
            <w:r w:rsidR="008F223D" w:rsidRPr="00B3069C">
              <w:rPr>
                <w:b/>
                <w:sz w:val="20"/>
                <w:vertAlign w:val="superscript"/>
                <w:lang w:eastAsia="zh-TW"/>
              </w:rPr>
              <w:t xml:space="preserve"> </w:t>
            </w:r>
          </w:p>
          <w:p w:rsidR="00CB6A57" w:rsidRPr="00B3069C" w:rsidRDefault="00CB6A57">
            <w:pPr>
              <w:rPr>
                <w:sz w:val="20"/>
                <w:lang w:val="en-US"/>
              </w:rPr>
            </w:pPr>
          </w:p>
        </w:tc>
      </w:tr>
      <w:tr w:rsidR="00CB6A57" w:rsidRPr="00B3069C">
        <w:trPr>
          <w:gridAfter w:val="1"/>
          <w:wAfter w:w="17" w:type="dxa"/>
          <w:cantSplit/>
        </w:trPr>
        <w:tc>
          <w:tcPr>
            <w:tcW w:w="3524" w:type="dxa"/>
          </w:tcPr>
          <w:p w:rsidR="00CB6A57" w:rsidRPr="00B3069C" w:rsidRDefault="00CB6A57" w:rsidP="00BF37B1">
            <w:pPr>
              <w:spacing w:before="120" w:after="120"/>
              <w:rPr>
                <w:b/>
                <w:i/>
                <w:sz w:val="20"/>
              </w:rPr>
            </w:pPr>
            <w:r w:rsidRPr="00B3069C">
              <w:rPr>
                <w:b/>
                <w:i/>
                <w:sz w:val="20"/>
              </w:rPr>
              <w:t xml:space="preserve">- </w:t>
            </w:r>
            <w:bookmarkStart w:id="36" w:name="Row17"/>
            <w:r w:rsidR="00CC789E">
              <w:rPr>
                <w:b/>
                <w:i/>
                <w:sz w:val="20"/>
              </w:rPr>
              <w:t>Description of new</w:t>
            </w:r>
            <w:r w:rsidR="006649B1">
              <w:rPr>
                <w:b/>
                <w:i/>
                <w:sz w:val="20"/>
              </w:rPr>
              <w:t xml:space="preserve"> </w:t>
            </w:r>
            <w:r w:rsidRPr="00B3069C">
              <w:rPr>
                <w:b/>
                <w:i/>
                <w:sz w:val="20"/>
              </w:rPr>
              <w:t xml:space="preserve"> agreements</w:t>
            </w:r>
            <w:bookmarkEnd w:id="36"/>
          </w:p>
        </w:tc>
        <w:tc>
          <w:tcPr>
            <w:tcW w:w="11040" w:type="dxa"/>
          </w:tcPr>
          <w:p w:rsidR="009B0384" w:rsidRPr="00B3069C" w:rsidRDefault="009B0384" w:rsidP="000474CD">
            <w:pPr>
              <w:spacing w:after="120"/>
              <w:rPr>
                <w:sz w:val="20"/>
              </w:rPr>
            </w:pPr>
            <w:bookmarkStart w:id="37" w:name="Cell33"/>
            <w:bookmarkEnd w:id="37"/>
            <w:r w:rsidRPr="00B3069C">
              <w:rPr>
                <w:sz w:val="20"/>
              </w:rPr>
              <w:t>MAFTA, the Malaysia-Australia FTA, was signed in May 2012 and entere</w:t>
            </w:r>
            <w:r w:rsidR="000474CD" w:rsidRPr="00B3069C">
              <w:rPr>
                <w:sz w:val="20"/>
              </w:rPr>
              <w:t>d into force on 1 January 2013.</w:t>
            </w:r>
          </w:p>
          <w:p w:rsidR="009B0384" w:rsidRPr="00B3069C" w:rsidRDefault="009B0384" w:rsidP="000474CD">
            <w:pPr>
              <w:spacing w:after="120"/>
              <w:rPr>
                <w:sz w:val="20"/>
              </w:rPr>
            </w:pPr>
            <w:r w:rsidRPr="00B3069C">
              <w:rPr>
                <w:sz w:val="20"/>
              </w:rPr>
              <w:t>MAFTA builds on Australia’s existing commitments to Malaysia under AANZFTA.  It includes coverage of trade in goods, t</w:t>
            </w:r>
            <w:r w:rsidR="000474CD" w:rsidRPr="00B3069C">
              <w:rPr>
                <w:sz w:val="20"/>
              </w:rPr>
              <w:t>rade in services and investment</w:t>
            </w:r>
          </w:p>
          <w:p w:rsidR="00CB6A57" w:rsidRDefault="009B0384" w:rsidP="000474CD">
            <w:pPr>
              <w:spacing w:after="120"/>
              <w:rPr>
                <w:rStyle w:val="Hyperlink"/>
                <w:sz w:val="20"/>
              </w:rPr>
            </w:pPr>
            <w:r w:rsidRPr="00B3069C">
              <w:rPr>
                <w:sz w:val="20"/>
              </w:rPr>
              <w:t xml:space="preserve">Further information is available from </w:t>
            </w:r>
            <w:hyperlink r:id="rId57" w:history="1">
              <w:r w:rsidRPr="00B3069C">
                <w:rPr>
                  <w:rStyle w:val="Hyperlink"/>
                  <w:sz w:val="20"/>
                </w:rPr>
                <w:t>http://dfat.gov.au/fta/mafta/</w:t>
              </w:r>
            </w:hyperlink>
          </w:p>
          <w:p w:rsidR="008606A9" w:rsidRPr="00B3069C" w:rsidRDefault="008606A9" w:rsidP="008606A9">
            <w:pPr>
              <w:spacing w:after="120"/>
              <w:rPr>
                <w:sz w:val="20"/>
              </w:rPr>
            </w:pPr>
            <w:r w:rsidRPr="00B3069C">
              <w:rPr>
                <w:sz w:val="20"/>
              </w:rPr>
              <w:t>Australia and Korea concluded FTA negotiations in December 2013.  The FTA will be signed and come into operation following domestic approval processes in Australia and Korea.</w:t>
            </w:r>
          </w:p>
          <w:p w:rsidR="008606A9" w:rsidRPr="00B3069C" w:rsidRDefault="008606A9" w:rsidP="000474CD">
            <w:pPr>
              <w:spacing w:after="120"/>
              <w:rPr>
                <w:i/>
                <w:sz w:val="20"/>
              </w:rPr>
            </w:pPr>
            <w:r w:rsidRPr="00B3069C">
              <w:rPr>
                <w:sz w:val="20"/>
              </w:rPr>
              <w:t xml:space="preserve">Further information is available from </w:t>
            </w:r>
            <w:hyperlink r:id="rId58" w:history="1">
              <w:r w:rsidRPr="00B3069C">
                <w:rPr>
                  <w:rStyle w:val="Hyperlink"/>
                  <w:sz w:val="20"/>
                </w:rPr>
                <w:t>http://www.dfat.gov.au/fta/akfta/</w:t>
              </w:r>
            </w:hyperlink>
          </w:p>
        </w:tc>
      </w:tr>
      <w:tr w:rsidR="00CB6A57" w:rsidRPr="00B3069C">
        <w:trPr>
          <w:gridAfter w:val="1"/>
          <w:wAfter w:w="17" w:type="dxa"/>
          <w:cantSplit/>
        </w:trPr>
        <w:tc>
          <w:tcPr>
            <w:tcW w:w="3524" w:type="dxa"/>
          </w:tcPr>
          <w:p w:rsidR="00CB6A57" w:rsidRPr="00B3069C" w:rsidRDefault="00CB6A57" w:rsidP="00BF37B1">
            <w:pPr>
              <w:spacing w:before="120" w:after="120"/>
              <w:rPr>
                <w:b/>
                <w:i/>
                <w:sz w:val="20"/>
              </w:rPr>
            </w:pPr>
            <w:r w:rsidRPr="00B3069C">
              <w:rPr>
                <w:b/>
                <w:i/>
                <w:sz w:val="20"/>
              </w:rPr>
              <w:t>- Agreements under negotiation</w:t>
            </w:r>
          </w:p>
          <w:p w:rsidR="00CB6A57" w:rsidRPr="00B3069C" w:rsidRDefault="00CB6A57" w:rsidP="00BF37B1">
            <w:pPr>
              <w:spacing w:before="120" w:after="120"/>
              <w:rPr>
                <w:b/>
                <w:i/>
                <w:sz w:val="20"/>
              </w:rPr>
            </w:pPr>
          </w:p>
        </w:tc>
        <w:tc>
          <w:tcPr>
            <w:tcW w:w="11040" w:type="dxa"/>
          </w:tcPr>
          <w:p w:rsidR="00D95836" w:rsidRPr="00B3069C" w:rsidRDefault="00D95836" w:rsidP="00855AD4">
            <w:pPr>
              <w:spacing w:after="120"/>
              <w:rPr>
                <w:color w:val="000000" w:themeColor="text1"/>
                <w:sz w:val="20"/>
              </w:rPr>
            </w:pPr>
            <w:r w:rsidRPr="00B3069C">
              <w:rPr>
                <w:color w:val="000000" w:themeColor="text1"/>
                <w:sz w:val="20"/>
              </w:rPr>
              <w:t xml:space="preserve">Australia is negotiating bilateral free trade agreements with Japan, China, Indonesia and India.  </w:t>
            </w:r>
            <w:r w:rsidRPr="00B3069C">
              <w:rPr>
                <w:sz w:val="20"/>
              </w:rPr>
              <w:t xml:space="preserve">Australia is a participant in the negotiations towards a Regional Comprehensive Economic Partnership (RCEP), which include 11 other APEC economies.  </w:t>
            </w:r>
            <w:r w:rsidRPr="00B3069C">
              <w:rPr>
                <w:color w:val="000000" w:themeColor="text1"/>
                <w:sz w:val="20"/>
              </w:rPr>
              <w:t>Australia is also participating in the Trans-Pacific Partnership (TPP) negotiations with Brunei Darussalam,</w:t>
            </w:r>
            <w:r w:rsidR="00343007" w:rsidRPr="00B3069C">
              <w:rPr>
                <w:color w:val="000000" w:themeColor="text1"/>
                <w:sz w:val="20"/>
              </w:rPr>
              <w:t xml:space="preserve"> Canada,</w:t>
            </w:r>
            <w:r w:rsidRPr="00B3069C">
              <w:rPr>
                <w:color w:val="000000" w:themeColor="text1"/>
                <w:sz w:val="20"/>
              </w:rPr>
              <w:t xml:space="preserve"> Chile, Japan, Malaysia,</w:t>
            </w:r>
            <w:r w:rsidR="00D02645" w:rsidRPr="00B3069C">
              <w:rPr>
                <w:color w:val="000000" w:themeColor="text1"/>
                <w:sz w:val="20"/>
              </w:rPr>
              <w:t xml:space="preserve"> Mexico, </w:t>
            </w:r>
            <w:r w:rsidRPr="00B3069C">
              <w:rPr>
                <w:color w:val="000000" w:themeColor="text1"/>
                <w:sz w:val="20"/>
              </w:rPr>
              <w:t xml:space="preserve">New Zealand, Singapore, Peru, United States and Vietnam.  Australia commenced negotiations in 2007 with the Gulf Cooperation Council (comprising Bahrain, Kuwait, Oman, Qatar, Saudi Arabia and the United Arab Emirates) and in 2009 with Pacific Island Forum countries (Cook Islands, Federated States of Micronesia, Kiribati, Nauru, New Zealand, Niue, Palau, Papua New Guinea, Republic of Marshall Islands, Samoa, Solomon Islands, Tonga, Tuvalu and Vanuatu).  </w:t>
            </w:r>
          </w:p>
          <w:p w:rsidR="00CB6A57" w:rsidRPr="00B3069C" w:rsidRDefault="00D95836" w:rsidP="00855AD4">
            <w:pPr>
              <w:spacing w:after="120"/>
              <w:rPr>
                <w:color w:val="000000" w:themeColor="text1"/>
                <w:sz w:val="20"/>
                <w:lang w:eastAsia="en-AU"/>
              </w:rPr>
            </w:pPr>
            <w:r w:rsidRPr="00B3069C">
              <w:rPr>
                <w:color w:val="000000" w:themeColor="text1"/>
                <w:sz w:val="20"/>
              </w:rPr>
              <w:t>Further information about these negotiations is set out on the website of the Department of Foreign Affairs and Trade (www.dfat.gov.au).</w:t>
            </w:r>
          </w:p>
        </w:tc>
      </w:tr>
      <w:tr w:rsidR="00CB6A57" w:rsidRPr="00B3069C">
        <w:trPr>
          <w:gridAfter w:val="1"/>
          <w:wAfter w:w="17" w:type="dxa"/>
          <w:cantSplit/>
        </w:trPr>
        <w:tc>
          <w:tcPr>
            <w:tcW w:w="3524" w:type="dxa"/>
          </w:tcPr>
          <w:p w:rsidR="00CB6A57" w:rsidRPr="00B3069C" w:rsidRDefault="00CB6A57">
            <w:pPr>
              <w:rPr>
                <w:b/>
                <w:i/>
                <w:sz w:val="20"/>
              </w:rPr>
            </w:pPr>
          </w:p>
          <w:p w:rsidR="00CB6A57" w:rsidRPr="00B3069C" w:rsidRDefault="00CB6A57">
            <w:pPr>
              <w:rPr>
                <w:b/>
                <w:i/>
                <w:sz w:val="20"/>
              </w:rPr>
            </w:pPr>
            <w:r w:rsidRPr="00B3069C">
              <w:rPr>
                <w:b/>
                <w:i/>
                <w:sz w:val="20"/>
              </w:rPr>
              <w:t xml:space="preserve">- </w:t>
            </w:r>
            <w:bookmarkStart w:id="38" w:name="future"/>
            <w:r w:rsidRPr="00B3069C">
              <w:rPr>
                <w:b/>
                <w:i/>
                <w:sz w:val="20"/>
              </w:rPr>
              <w:t>Future plans</w:t>
            </w:r>
            <w:bookmarkEnd w:id="38"/>
          </w:p>
          <w:p w:rsidR="00CB6A57" w:rsidRPr="00B3069C" w:rsidRDefault="00CB6A57">
            <w:pPr>
              <w:rPr>
                <w:b/>
                <w:i/>
                <w:sz w:val="20"/>
              </w:rPr>
            </w:pPr>
          </w:p>
        </w:tc>
        <w:tc>
          <w:tcPr>
            <w:tcW w:w="11040" w:type="dxa"/>
          </w:tcPr>
          <w:p w:rsidR="00CB6A57" w:rsidRPr="00B3069C" w:rsidRDefault="00CB6A57">
            <w:pPr>
              <w:rPr>
                <w:sz w:val="20"/>
              </w:rPr>
            </w:pPr>
            <w:bookmarkStart w:id="39" w:name="cell34"/>
            <w:bookmarkEnd w:id="39"/>
          </w:p>
        </w:tc>
      </w:tr>
      <w:tr w:rsidR="0001261C" w:rsidRPr="00B3069C">
        <w:trPr>
          <w:gridAfter w:val="1"/>
          <w:wAfter w:w="17" w:type="dxa"/>
          <w:cantSplit/>
        </w:trPr>
        <w:tc>
          <w:tcPr>
            <w:tcW w:w="3524" w:type="dxa"/>
          </w:tcPr>
          <w:p w:rsidR="001A1859" w:rsidRPr="00B3069C" w:rsidRDefault="001A1859" w:rsidP="0001261C">
            <w:pPr>
              <w:pStyle w:val="Heading9"/>
              <w:rPr>
                <w:rFonts w:ascii="Times New Roman" w:hAnsi="Times New Roman"/>
                <w:b w:val="0"/>
                <w:color w:val="808080"/>
              </w:rPr>
            </w:pPr>
            <w:r w:rsidRPr="00B3069C">
              <w:rPr>
                <w:rFonts w:ascii="Times New Roman" w:hAnsi="Times New Roman"/>
                <w:b w:val="0"/>
                <w:color w:val="808080"/>
              </w:rPr>
              <w:t xml:space="preserve">Website for further information:  </w:t>
            </w:r>
          </w:p>
        </w:tc>
        <w:tc>
          <w:tcPr>
            <w:tcW w:w="11040" w:type="dxa"/>
          </w:tcPr>
          <w:p w:rsidR="001A1859" w:rsidRPr="00B3069C" w:rsidRDefault="001A1859" w:rsidP="0001261C">
            <w:pPr>
              <w:pStyle w:val="Heading9"/>
              <w:rPr>
                <w:rFonts w:ascii="Times New Roman" w:hAnsi="Times New Roman"/>
                <w:b w:val="0"/>
                <w:color w:val="FF0000"/>
              </w:rPr>
            </w:pPr>
          </w:p>
        </w:tc>
      </w:tr>
      <w:tr w:rsidR="0001261C" w:rsidRPr="00B3069C">
        <w:trPr>
          <w:gridAfter w:val="1"/>
          <w:wAfter w:w="17" w:type="dxa"/>
          <w:cantSplit/>
        </w:trPr>
        <w:tc>
          <w:tcPr>
            <w:tcW w:w="3524" w:type="dxa"/>
          </w:tcPr>
          <w:p w:rsidR="001A1859" w:rsidRPr="00B3069C" w:rsidRDefault="001A1859" w:rsidP="0001261C">
            <w:pPr>
              <w:pStyle w:val="Heading9"/>
              <w:rPr>
                <w:rFonts w:ascii="Times New Roman" w:hAnsi="Times New Roman"/>
                <w:b w:val="0"/>
                <w:color w:val="808080"/>
              </w:rPr>
            </w:pPr>
            <w:r w:rsidRPr="00B3069C">
              <w:rPr>
                <w:rFonts w:ascii="Times New Roman" w:hAnsi="Times New Roman"/>
                <w:b w:val="0"/>
                <w:color w:val="808080"/>
              </w:rPr>
              <w:t>Contact point for further details:</w:t>
            </w:r>
          </w:p>
        </w:tc>
        <w:tc>
          <w:tcPr>
            <w:tcW w:w="11040" w:type="dxa"/>
          </w:tcPr>
          <w:p w:rsidR="001A1859" w:rsidRPr="00B3069C" w:rsidRDefault="001A1859" w:rsidP="0001261C">
            <w:pPr>
              <w:pStyle w:val="Heading9"/>
              <w:rPr>
                <w:rFonts w:ascii="Times New Roman" w:hAnsi="Times New Roman"/>
                <w:b w:val="0"/>
                <w:color w:val="FF0000"/>
              </w:rPr>
            </w:pPr>
          </w:p>
        </w:tc>
      </w:tr>
    </w:tbl>
    <w:p w:rsidR="00CB6A57" w:rsidRPr="00B3069C" w:rsidRDefault="00CB6A57">
      <w:pPr>
        <w:pStyle w:val="Title"/>
        <w:jc w:val="both"/>
        <w:rPr>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RPr="00B3069C" w:rsidTr="008F223D">
        <w:tc>
          <w:tcPr>
            <w:tcW w:w="3524" w:type="dxa"/>
          </w:tcPr>
          <w:p w:rsidR="008F223D" w:rsidRPr="00B3069C" w:rsidRDefault="008F223D" w:rsidP="00B72FF6">
            <w:pPr>
              <w:rPr>
                <w:b/>
                <w:i/>
                <w:sz w:val="20"/>
              </w:rPr>
            </w:pPr>
            <w:r w:rsidRPr="00B3069C">
              <w:rPr>
                <w:b/>
                <w:i/>
                <w:sz w:val="20"/>
              </w:rPr>
              <w:t>Other voluntary reporting areas</w:t>
            </w:r>
          </w:p>
          <w:p w:rsidR="008F223D" w:rsidRPr="00B3069C" w:rsidRDefault="008F223D" w:rsidP="00B72FF6">
            <w:pPr>
              <w:rPr>
                <w:b/>
                <w:i/>
                <w:sz w:val="20"/>
              </w:rPr>
            </w:pPr>
          </w:p>
        </w:tc>
        <w:tc>
          <w:tcPr>
            <w:tcW w:w="5387" w:type="dxa"/>
          </w:tcPr>
          <w:p w:rsidR="008F223D" w:rsidRPr="00B3069C" w:rsidRDefault="008606A9" w:rsidP="00B72FF6">
            <w:pPr>
              <w:rPr>
                <w:color w:val="808080"/>
                <w:sz w:val="20"/>
              </w:rPr>
            </w:pPr>
            <w:r>
              <w:rPr>
                <w:i/>
                <w:color w:val="808080"/>
                <w:sz w:val="20"/>
              </w:rPr>
              <w:t>Nil</w:t>
            </w:r>
          </w:p>
        </w:tc>
        <w:tc>
          <w:tcPr>
            <w:tcW w:w="5670" w:type="dxa"/>
          </w:tcPr>
          <w:p w:rsidR="008F223D" w:rsidRPr="00B3069C" w:rsidRDefault="008F223D" w:rsidP="00B72FF6">
            <w:pPr>
              <w:rPr>
                <w:color w:val="808080"/>
                <w:sz w:val="20"/>
              </w:rPr>
            </w:pPr>
          </w:p>
        </w:tc>
      </w:tr>
    </w:tbl>
    <w:p w:rsidR="00CB6A57" w:rsidRPr="00B3069C" w:rsidRDefault="00CB6A57">
      <w:pPr>
        <w:pStyle w:val="Title"/>
        <w:jc w:val="both"/>
        <w:rPr>
          <w:b w:val="0"/>
          <w:i/>
          <w:sz w:val="20"/>
          <w:lang w:val="en-AU"/>
        </w:rPr>
      </w:pPr>
    </w:p>
    <w:sectPr w:rsidR="00CB6A57" w:rsidRPr="00B3069C" w:rsidSect="00EA5E66">
      <w:headerReference w:type="even" r:id="rId59"/>
      <w:pgSz w:w="16834" w:h="11909" w:orient="landscape" w:code="9"/>
      <w:pgMar w:top="1440" w:right="1452"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2DC" w:rsidRDefault="00E632DC">
      <w:r>
        <w:separator/>
      </w:r>
    </w:p>
  </w:endnote>
  <w:endnote w:type="continuationSeparator" w:id="0">
    <w:p w:rsidR="00E632DC" w:rsidRDefault="00E6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2DC" w:rsidRDefault="00E632DC">
      <w:r>
        <w:separator/>
      </w:r>
    </w:p>
  </w:footnote>
  <w:footnote w:type="continuationSeparator" w:id="0">
    <w:p w:rsidR="00E632DC" w:rsidRDefault="00E63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9B1" w:rsidRPr="00D05848" w:rsidRDefault="006649B1"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423E53">
      <w:rPr>
        <w:b/>
        <w:noProof/>
      </w:rPr>
      <w:t>2</w:t>
    </w:r>
    <w:r w:rsidRPr="00193F7C">
      <w:rPr>
        <w:b/>
      </w:rPr>
      <w:fldChar w:fldCharType="end"/>
    </w:r>
    <w:r>
      <w:rPr>
        <w:b/>
        <w:sz w:val="20"/>
        <w:szCs w:val="20"/>
      </w:rPr>
      <w:t xml:space="preserve"> | </w:t>
    </w:r>
    <w:r w:rsidRPr="00D05848">
      <w:t xml:space="preserve">Appendix </w:t>
    </w:r>
    <w:r>
      <w:t xml:space="preserve">1 </w:t>
    </w:r>
    <w:r>
      <w:rPr>
        <w:b/>
        <w:sz w:val="20"/>
        <w:szCs w:val="20"/>
      </w:rPr>
      <w:tab/>
    </w:r>
    <w:r>
      <w:rPr>
        <w:b/>
        <w:sz w:val="20"/>
        <w:szCs w:val="20"/>
      </w:rPr>
      <w:tab/>
    </w:r>
    <w:r>
      <w:t>2011</w:t>
    </w:r>
    <w:r w:rsidRPr="00D05848">
      <w:t xml:space="preserve"> CTI Report to Ministers</w:t>
    </w:r>
    <w:r w:rsidRPr="00D05848">
      <w:tab/>
    </w:r>
    <w:r>
      <w:tab/>
    </w:r>
  </w:p>
  <w:p w:rsidR="006649B1" w:rsidRDefault="00664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DAF"/>
    <w:multiLevelType w:val="multilevel"/>
    <w:tmpl w:val="5D5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80686"/>
    <w:multiLevelType w:val="hybridMultilevel"/>
    <w:tmpl w:val="5F524372"/>
    <w:lvl w:ilvl="0" w:tplc="D0F84D42">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F07F12"/>
    <w:multiLevelType w:val="multilevel"/>
    <w:tmpl w:val="3410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83B76"/>
    <w:multiLevelType w:val="hybridMultilevel"/>
    <w:tmpl w:val="B972CC34"/>
    <w:lvl w:ilvl="0" w:tplc="FFFFFFFF">
      <w:start w:val="1"/>
      <w:numFmt w:val="bullet"/>
      <w:lvlText w:val=""/>
      <w:lvlJc w:val="left"/>
      <w:pPr>
        <w:tabs>
          <w:tab w:val="num" w:pos="368"/>
        </w:tabs>
        <w:ind w:left="368" w:hanging="36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AE10377"/>
    <w:multiLevelType w:val="hybridMultilevel"/>
    <w:tmpl w:val="5C42E042"/>
    <w:lvl w:ilvl="0" w:tplc="E9EE026A">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0E3946AE"/>
    <w:multiLevelType w:val="hybridMultilevel"/>
    <w:tmpl w:val="89F873A8"/>
    <w:lvl w:ilvl="0" w:tplc="FFFFFFFF">
      <w:start w:val="1"/>
      <w:numFmt w:val="bullet"/>
      <w:lvlText w:val=""/>
      <w:lvlJc w:val="left"/>
      <w:pPr>
        <w:tabs>
          <w:tab w:val="num" w:pos="368"/>
        </w:tabs>
        <w:ind w:left="368" w:hanging="36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305634A"/>
    <w:multiLevelType w:val="hybridMultilevel"/>
    <w:tmpl w:val="CDAA8F6C"/>
    <w:lvl w:ilvl="0" w:tplc="E9EE026A">
      <w:start w:val="1"/>
      <w:numFmt w:val="bullet"/>
      <w:lvlText w:val="­"/>
      <w:lvlJc w:val="left"/>
      <w:pPr>
        <w:tabs>
          <w:tab w:val="num" w:pos="394"/>
        </w:tabs>
        <w:ind w:left="394" w:hanging="360"/>
      </w:pPr>
      <w:rPr>
        <w:rFonts w:ascii="Courier New" w:hAnsi="Courier New" w:cs="Times New Roman" w:hint="default"/>
      </w:rPr>
    </w:lvl>
    <w:lvl w:ilvl="1" w:tplc="0C090003">
      <w:start w:val="1"/>
      <w:numFmt w:val="bullet"/>
      <w:lvlText w:val="o"/>
      <w:lvlJc w:val="left"/>
      <w:pPr>
        <w:tabs>
          <w:tab w:val="num" w:pos="1114"/>
        </w:tabs>
        <w:ind w:left="1114" w:hanging="360"/>
      </w:pPr>
      <w:rPr>
        <w:rFonts w:ascii="Courier New" w:hAnsi="Courier New" w:cs="Times New Roman" w:hint="default"/>
      </w:rPr>
    </w:lvl>
    <w:lvl w:ilvl="2" w:tplc="0C090005">
      <w:start w:val="1"/>
      <w:numFmt w:val="bullet"/>
      <w:lvlText w:val=""/>
      <w:lvlJc w:val="left"/>
      <w:pPr>
        <w:tabs>
          <w:tab w:val="num" w:pos="1834"/>
        </w:tabs>
        <w:ind w:left="1834" w:hanging="360"/>
      </w:pPr>
      <w:rPr>
        <w:rFonts w:ascii="Wingdings" w:hAnsi="Wingdings" w:hint="default"/>
      </w:rPr>
    </w:lvl>
    <w:lvl w:ilvl="3" w:tplc="0C090001">
      <w:start w:val="1"/>
      <w:numFmt w:val="bullet"/>
      <w:lvlText w:val=""/>
      <w:lvlJc w:val="left"/>
      <w:pPr>
        <w:tabs>
          <w:tab w:val="num" w:pos="2554"/>
        </w:tabs>
        <w:ind w:left="2554" w:hanging="360"/>
      </w:pPr>
      <w:rPr>
        <w:rFonts w:ascii="Symbol" w:hAnsi="Symbol" w:hint="default"/>
      </w:rPr>
    </w:lvl>
    <w:lvl w:ilvl="4" w:tplc="0C090003">
      <w:start w:val="1"/>
      <w:numFmt w:val="bullet"/>
      <w:lvlText w:val="o"/>
      <w:lvlJc w:val="left"/>
      <w:pPr>
        <w:tabs>
          <w:tab w:val="num" w:pos="3274"/>
        </w:tabs>
        <w:ind w:left="3274" w:hanging="360"/>
      </w:pPr>
      <w:rPr>
        <w:rFonts w:ascii="Courier New" w:hAnsi="Courier New" w:cs="Times New Roman" w:hint="default"/>
      </w:rPr>
    </w:lvl>
    <w:lvl w:ilvl="5" w:tplc="0C090005">
      <w:start w:val="1"/>
      <w:numFmt w:val="bullet"/>
      <w:lvlText w:val=""/>
      <w:lvlJc w:val="left"/>
      <w:pPr>
        <w:tabs>
          <w:tab w:val="num" w:pos="3994"/>
        </w:tabs>
        <w:ind w:left="3994" w:hanging="360"/>
      </w:pPr>
      <w:rPr>
        <w:rFonts w:ascii="Wingdings" w:hAnsi="Wingdings" w:hint="default"/>
      </w:rPr>
    </w:lvl>
    <w:lvl w:ilvl="6" w:tplc="0C090001">
      <w:start w:val="1"/>
      <w:numFmt w:val="bullet"/>
      <w:lvlText w:val=""/>
      <w:lvlJc w:val="left"/>
      <w:pPr>
        <w:tabs>
          <w:tab w:val="num" w:pos="4714"/>
        </w:tabs>
        <w:ind w:left="4714" w:hanging="360"/>
      </w:pPr>
      <w:rPr>
        <w:rFonts w:ascii="Symbol" w:hAnsi="Symbol" w:hint="default"/>
      </w:rPr>
    </w:lvl>
    <w:lvl w:ilvl="7" w:tplc="0C090003">
      <w:start w:val="1"/>
      <w:numFmt w:val="bullet"/>
      <w:lvlText w:val="o"/>
      <w:lvlJc w:val="left"/>
      <w:pPr>
        <w:tabs>
          <w:tab w:val="num" w:pos="5434"/>
        </w:tabs>
        <w:ind w:left="5434" w:hanging="360"/>
      </w:pPr>
      <w:rPr>
        <w:rFonts w:ascii="Courier New" w:hAnsi="Courier New" w:cs="Times New Roman" w:hint="default"/>
      </w:rPr>
    </w:lvl>
    <w:lvl w:ilvl="8" w:tplc="0C090005">
      <w:start w:val="1"/>
      <w:numFmt w:val="bullet"/>
      <w:lvlText w:val=""/>
      <w:lvlJc w:val="left"/>
      <w:pPr>
        <w:tabs>
          <w:tab w:val="num" w:pos="6154"/>
        </w:tabs>
        <w:ind w:left="6154" w:hanging="360"/>
      </w:pPr>
      <w:rPr>
        <w:rFonts w:ascii="Wingdings" w:hAnsi="Wingdings" w:hint="default"/>
      </w:rPr>
    </w:lvl>
  </w:abstractNum>
  <w:abstractNum w:abstractNumId="8">
    <w:nsid w:val="132A6A12"/>
    <w:multiLevelType w:val="hybridMultilevel"/>
    <w:tmpl w:val="1F14C7E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18B63D50"/>
    <w:multiLevelType w:val="hybridMultilevel"/>
    <w:tmpl w:val="D12AF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1902161B"/>
    <w:multiLevelType w:val="hybridMultilevel"/>
    <w:tmpl w:val="7478A60C"/>
    <w:lvl w:ilvl="0" w:tplc="E9EE026A">
      <w:start w:val="1"/>
      <w:numFmt w:val="bullet"/>
      <w:lvlText w:val="­"/>
      <w:lvlJc w:val="left"/>
      <w:pPr>
        <w:tabs>
          <w:tab w:val="num" w:pos="284"/>
        </w:tabs>
        <w:ind w:left="284" w:hanging="284"/>
      </w:pPr>
      <w:rPr>
        <w:rFonts w:ascii="Courier New" w:hAnsi="Courier New" w:cs="Times New Roman"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12">
    <w:nsid w:val="212832F8"/>
    <w:multiLevelType w:val="hybridMultilevel"/>
    <w:tmpl w:val="12B88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21846F0D"/>
    <w:multiLevelType w:val="hybridMultilevel"/>
    <w:tmpl w:val="4D5C40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nsid w:val="2287465F"/>
    <w:multiLevelType w:val="hybridMultilevel"/>
    <w:tmpl w:val="B77CC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3415F76"/>
    <w:multiLevelType w:val="hybridMultilevel"/>
    <w:tmpl w:val="FF4234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48FB1539"/>
    <w:multiLevelType w:val="hybridMultilevel"/>
    <w:tmpl w:val="8E74A5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nsid w:val="49F165F9"/>
    <w:multiLevelType w:val="hybridMultilevel"/>
    <w:tmpl w:val="A7DC0F52"/>
    <w:lvl w:ilvl="0" w:tplc="E9EE026A">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8">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5E3C6802"/>
    <w:multiLevelType w:val="hybridMultilevel"/>
    <w:tmpl w:val="E0BC2D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DE2769"/>
    <w:multiLevelType w:val="hybridMultilevel"/>
    <w:tmpl w:val="22A476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98F4ED5"/>
    <w:multiLevelType w:val="hybridMultilevel"/>
    <w:tmpl w:val="23BEA6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6DD12712"/>
    <w:multiLevelType w:val="hybridMultilevel"/>
    <w:tmpl w:val="253E1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74B816C3"/>
    <w:multiLevelType w:val="hybridMultilevel"/>
    <w:tmpl w:val="ED323024"/>
    <w:lvl w:ilvl="0" w:tplc="E9EE026A">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nsid w:val="77705AF9"/>
    <w:multiLevelType w:val="hybridMultilevel"/>
    <w:tmpl w:val="78640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78134DFB"/>
    <w:multiLevelType w:val="multilevel"/>
    <w:tmpl w:val="B42E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483B50"/>
    <w:multiLevelType w:val="hybridMultilevel"/>
    <w:tmpl w:val="5D2AA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7CBF0809"/>
    <w:multiLevelType w:val="hybridMultilevel"/>
    <w:tmpl w:val="E5F23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6"/>
  </w:num>
  <w:num w:numId="4">
    <w:abstractNumId w:val="11"/>
  </w:num>
  <w:num w:numId="5">
    <w:abstractNumId w:val="4"/>
  </w:num>
  <w:num w:numId="6">
    <w:abstractNumId w:val="22"/>
  </w:num>
  <w:num w:numId="7">
    <w:abstractNumId w:val="27"/>
  </w:num>
  <w:num w:numId="8">
    <w:abstractNumId w:val="9"/>
  </w:num>
  <w:num w:numId="9">
    <w:abstractNumId w:val="23"/>
  </w:num>
  <w:num w:numId="10">
    <w:abstractNumId w:val="13"/>
  </w:num>
  <w:num w:numId="11">
    <w:abstractNumId w:val="15"/>
  </w:num>
  <w:num w:numId="12">
    <w:abstractNumId w:val="16"/>
  </w:num>
  <w:num w:numId="13">
    <w:abstractNumId w:val="28"/>
  </w:num>
  <w:num w:numId="14">
    <w:abstractNumId w:val="8"/>
  </w:num>
  <w:num w:numId="15">
    <w:abstractNumId w:val="5"/>
  </w:num>
  <w:num w:numId="16">
    <w:abstractNumId w:val="3"/>
  </w:num>
  <w:num w:numId="17">
    <w:abstractNumId w:val="24"/>
  </w:num>
  <w:num w:numId="18">
    <w:abstractNumId w:val="7"/>
  </w:num>
  <w:num w:numId="19">
    <w:abstractNumId w:val="19"/>
  </w:num>
  <w:num w:numId="20">
    <w:abstractNumId w:val="21"/>
  </w:num>
  <w:num w:numId="21">
    <w:abstractNumId w:val="25"/>
  </w:num>
  <w:num w:numId="22">
    <w:abstractNumId w:val="26"/>
  </w:num>
  <w:num w:numId="23">
    <w:abstractNumId w:val="2"/>
  </w:num>
  <w:num w:numId="24">
    <w:abstractNumId w:val="0"/>
  </w:num>
  <w:num w:numId="25">
    <w:abstractNumId w:val="10"/>
  </w:num>
  <w:num w:numId="26">
    <w:abstractNumId w:val="1"/>
  </w:num>
  <w:num w:numId="27">
    <w:abstractNumId w:val="17"/>
  </w:num>
  <w:num w:numId="28">
    <w:abstractNumId w:val="1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hideGrammaticalErrors/>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1261C"/>
    <w:rsid w:val="00046695"/>
    <w:rsid w:val="000474CD"/>
    <w:rsid w:val="00050995"/>
    <w:rsid w:val="00066458"/>
    <w:rsid w:val="000744F8"/>
    <w:rsid w:val="000847DC"/>
    <w:rsid w:val="00090838"/>
    <w:rsid w:val="00095C31"/>
    <w:rsid w:val="000A31A1"/>
    <w:rsid w:val="000A33A0"/>
    <w:rsid w:val="000C4DFA"/>
    <w:rsid w:val="001132F2"/>
    <w:rsid w:val="00114A0B"/>
    <w:rsid w:val="001155BD"/>
    <w:rsid w:val="00117089"/>
    <w:rsid w:val="0013401C"/>
    <w:rsid w:val="00170E5C"/>
    <w:rsid w:val="001778F5"/>
    <w:rsid w:val="00193F7C"/>
    <w:rsid w:val="00197C9C"/>
    <w:rsid w:val="001A1859"/>
    <w:rsid w:val="001B4F1B"/>
    <w:rsid w:val="001D27FF"/>
    <w:rsid w:val="001E6E8C"/>
    <w:rsid w:val="001F22A2"/>
    <w:rsid w:val="00202DAA"/>
    <w:rsid w:val="002101DA"/>
    <w:rsid w:val="00211099"/>
    <w:rsid w:val="00213E36"/>
    <w:rsid w:val="002232DA"/>
    <w:rsid w:val="00232A06"/>
    <w:rsid w:val="002349ED"/>
    <w:rsid w:val="002400F3"/>
    <w:rsid w:val="00241600"/>
    <w:rsid w:val="002425D2"/>
    <w:rsid w:val="00261573"/>
    <w:rsid w:val="00262E11"/>
    <w:rsid w:val="002825A0"/>
    <w:rsid w:val="002B19ED"/>
    <w:rsid w:val="002D728A"/>
    <w:rsid w:val="002F6EAE"/>
    <w:rsid w:val="002F7A75"/>
    <w:rsid w:val="003065F6"/>
    <w:rsid w:val="00321D59"/>
    <w:rsid w:val="00335546"/>
    <w:rsid w:val="00343007"/>
    <w:rsid w:val="00353454"/>
    <w:rsid w:val="00362042"/>
    <w:rsid w:val="00371203"/>
    <w:rsid w:val="003A3880"/>
    <w:rsid w:val="003B5A62"/>
    <w:rsid w:val="003C4806"/>
    <w:rsid w:val="003D0C55"/>
    <w:rsid w:val="00415BBE"/>
    <w:rsid w:val="00423E53"/>
    <w:rsid w:val="004446CF"/>
    <w:rsid w:val="00494D48"/>
    <w:rsid w:val="004D520C"/>
    <w:rsid w:val="004E11F1"/>
    <w:rsid w:val="00530B44"/>
    <w:rsid w:val="00541516"/>
    <w:rsid w:val="00541E3D"/>
    <w:rsid w:val="00543D0C"/>
    <w:rsid w:val="00560608"/>
    <w:rsid w:val="00586368"/>
    <w:rsid w:val="005A6A9A"/>
    <w:rsid w:val="005B20EE"/>
    <w:rsid w:val="005B42BE"/>
    <w:rsid w:val="005C5ACF"/>
    <w:rsid w:val="005D2597"/>
    <w:rsid w:val="00633FEF"/>
    <w:rsid w:val="00646C05"/>
    <w:rsid w:val="00655588"/>
    <w:rsid w:val="006649B1"/>
    <w:rsid w:val="00683AA7"/>
    <w:rsid w:val="006C2F68"/>
    <w:rsid w:val="006C6321"/>
    <w:rsid w:val="006D5DDE"/>
    <w:rsid w:val="00714E4C"/>
    <w:rsid w:val="0073132B"/>
    <w:rsid w:val="00750D35"/>
    <w:rsid w:val="007637AD"/>
    <w:rsid w:val="007852F5"/>
    <w:rsid w:val="007E5F37"/>
    <w:rsid w:val="008024A3"/>
    <w:rsid w:val="008221A5"/>
    <w:rsid w:val="00843F87"/>
    <w:rsid w:val="00855AD4"/>
    <w:rsid w:val="008606A9"/>
    <w:rsid w:val="00867FE7"/>
    <w:rsid w:val="0087547F"/>
    <w:rsid w:val="008A2A39"/>
    <w:rsid w:val="008F223D"/>
    <w:rsid w:val="009044FF"/>
    <w:rsid w:val="00913F14"/>
    <w:rsid w:val="00931AEE"/>
    <w:rsid w:val="009369C0"/>
    <w:rsid w:val="00942CED"/>
    <w:rsid w:val="00950932"/>
    <w:rsid w:val="00951E28"/>
    <w:rsid w:val="009606CD"/>
    <w:rsid w:val="00964DE4"/>
    <w:rsid w:val="00970DCB"/>
    <w:rsid w:val="009778E6"/>
    <w:rsid w:val="00980CAA"/>
    <w:rsid w:val="00982B0E"/>
    <w:rsid w:val="00992DA6"/>
    <w:rsid w:val="00996A66"/>
    <w:rsid w:val="009B0384"/>
    <w:rsid w:val="009B7C02"/>
    <w:rsid w:val="009C1EEE"/>
    <w:rsid w:val="009E1601"/>
    <w:rsid w:val="009E1689"/>
    <w:rsid w:val="009E28DA"/>
    <w:rsid w:val="009E7439"/>
    <w:rsid w:val="009F0572"/>
    <w:rsid w:val="009F2FD4"/>
    <w:rsid w:val="00A17C7F"/>
    <w:rsid w:val="00A17F49"/>
    <w:rsid w:val="00A31B9B"/>
    <w:rsid w:val="00A34AD9"/>
    <w:rsid w:val="00A42D7B"/>
    <w:rsid w:val="00A71F39"/>
    <w:rsid w:val="00A94F6A"/>
    <w:rsid w:val="00AD52DC"/>
    <w:rsid w:val="00AD7D65"/>
    <w:rsid w:val="00AE50B9"/>
    <w:rsid w:val="00AE6CFC"/>
    <w:rsid w:val="00AF4132"/>
    <w:rsid w:val="00B05F3D"/>
    <w:rsid w:val="00B101B9"/>
    <w:rsid w:val="00B149BF"/>
    <w:rsid w:val="00B3069C"/>
    <w:rsid w:val="00B34E82"/>
    <w:rsid w:val="00B723FF"/>
    <w:rsid w:val="00B72FF6"/>
    <w:rsid w:val="00BA7D76"/>
    <w:rsid w:val="00BB42A4"/>
    <w:rsid w:val="00BD6E66"/>
    <w:rsid w:val="00BE6401"/>
    <w:rsid w:val="00BF37B1"/>
    <w:rsid w:val="00C1436C"/>
    <w:rsid w:val="00C1563E"/>
    <w:rsid w:val="00C34E45"/>
    <w:rsid w:val="00C36C29"/>
    <w:rsid w:val="00C40318"/>
    <w:rsid w:val="00C52482"/>
    <w:rsid w:val="00C572B6"/>
    <w:rsid w:val="00C5768F"/>
    <w:rsid w:val="00C6530E"/>
    <w:rsid w:val="00C65AD1"/>
    <w:rsid w:val="00C677F3"/>
    <w:rsid w:val="00C868C9"/>
    <w:rsid w:val="00CA76A1"/>
    <w:rsid w:val="00CB6A57"/>
    <w:rsid w:val="00CC789E"/>
    <w:rsid w:val="00CD31BF"/>
    <w:rsid w:val="00CE0E84"/>
    <w:rsid w:val="00D02645"/>
    <w:rsid w:val="00D0659A"/>
    <w:rsid w:val="00D179F6"/>
    <w:rsid w:val="00D30D82"/>
    <w:rsid w:val="00D429C0"/>
    <w:rsid w:val="00D44C27"/>
    <w:rsid w:val="00D51AB9"/>
    <w:rsid w:val="00D555D0"/>
    <w:rsid w:val="00D95836"/>
    <w:rsid w:val="00DC345E"/>
    <w:rsid w:val="00DC5308"/>
    <w:rsid w:val="00DD2EB5"/>
    <w:rsid w:val="00DD3B23"/>
    <w:rsid w:val="00DE4925"/>
    <w:rsid w:val="00E0107A"/>
    <w:rsid w:val="00E021AD"/>
    <w:rsid w:val="00E12ED0"/>
    <w:rsid w:val="00E132A8"/>
    <w:rsid w:val="00E255E2"/>
    <w:rsid w:val="00E632DC"/>
    <w:rsid w:val="00E7114D"/>
    <w:rsid w:val="00E958BE"/>
    <w:rsid w:val="00EA5E66"/>
    <w:rsid w:val="00F01DD3"/>
    <w:rsid w:val="00F2261B"/>
    <w:rsid w:val="00F307D3"/>
    <w:rsid w:val="00F50BAA"/>
    <w:rsid w:val="00F71FF0"/>
    <w:rsid w:val="00FB28C4"/>
    <w:rsid w:val="00FB6FAD"/>
    <w:rsid w:val="00FC4DF9"/>
    <w:rsid w:val="00FF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link w:val="BodyTextChar"/>
    <w:semiHidden/>
    <w:rsid w:val="009C1EEE"/>
    <w:pPr>
      <w:jc w:val="both"/>
    </w:pPr>
    <w:rPr>
      <w:sz w:val="20"/>
      <w:lang w:val="en-US"/>
    </w:rPr>
  </w:style>
  <w:style w:type="paragraph" w:styleId="Subtitle">
    <w:name w:val="Subtitle"/>
    <w:basedOn w:val="Normal"/>
    <w:link w:val="SubtitleChar"/>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uiPriority w:val="99"/>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aliases w:val="List Paragraph1,Recommendation"/>
    <w:basedOn w:val="Normal"/>
    <w:link w:val="ListParagraphChar"/>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customStyle="1" w:styleId="ListParagraphChar">
    <w:name w:val="List Paragraph Char"/>
    <w:aliases w:val="List Paragraph1 Char,Recommendation Char"/>
    <w:link w:val="ListParagraph"/>
    <w:uiPriority w:val="34"/>
    <w:locked/>
    <w:rsid w:val="00FB28C4"/>
    <w:rPr>
      <w:rFonts w:ascii="Calibri" w:eastAsia="SimSun" w:hAnsi="Calibri"/>
      <w:sz w:val="22"/>
      <w:szCs w:val="22"/>
      <w:lang w:eastAsia="zh-CN"/>
    </w:rPr>
  </w:style>
  <w:style w:type="character" w:customStyle="1" w:styleId="Heading9Char">
    <w:name w:val="Heading 9 Char"/>
    <w:basedOn w:val="DefaultParagraphFont"/>
    <w:link w:val="Heading9"/>
    <w:rsid w:val="00FB28C4"/>
    <w:rPr>
      <w:rFonts w:ascii="Arial" w:hAnsi="Arial"/>
      <w:b/>
      <w:i/>
      <w:lang w:val="en-AU"/>
    </w:rPr>
  </w:style>
  <w:style w:type="character" w:customStyle="1" w:styleId="BodyTextChar">
    <w:name w:val="Body Text Char"/>
    <w:link w:val="BodyText"/>
    <w:uiPriority w:val="99"/>
    <w:semiHidden/>
    <w:rsid w:val="00C40318"/>
  </w:style>
  <w:style w:type="character" w:styleId="Strong">
    <w:name w:val="Strong"/>
    <w:basedOn w:val="DefaultParagraphFont"/>
    <w:uiPriority w:val="22"/>
    <w:qFormat/>
    <w:rsid w:val="00560608"/>
    <w:rPr>
      <w:b/>
      <w:bCs/>
    </w:rPr>
  </w:style>
  <w:style w:type="character" w:styleId="Emphasis">
    <w:name w:val="Emphasis"/>
    <w:basedOn w:val="DefaultParagraphFont"/>
    <w:uiPriority w:val="20"/>
    <w:qFormat/>
    <w:rsid w:val="00980CAA"/>
    <w:rPr>
      <w:b/>
      <w:bCs/>
      <w:i w:val="0"/>
      <w:iCs w:val="0"/>
    </w:rPr>
  </w:style>
  <w:style w:type="character" w:customStyle="1" w:styleId="SubtitleChar">
    <w:name w:val="Subtitle Char"/>
    <w:basedOn w:val="DefaultParagraphFont"/>
    <w:link w:val="Subtitle"/>
    <w:rsid w:val="00714E4C"/>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link w:val="BodyTextChar"/>
    <w:semiHidden/>
    <w:rsid w:val="009C1EEE"/>
    <w:pPr>
      <w:jc w:val="both"/>
    </w:pPr>
    <w:rPr>
      <w:sz w:val="20"/>
      <w:lang w:val="en-US"/>
    </w:rPr>
  </w:style>
  <w:style w:type="paragraph" w:styleId="Subtitle">
    <w:name w:val="Subtitle"/>
    <w:basedOn w:val="Normal"/>
    <w:link w:val="SubtitleChar"/>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uiPriority w:val="99"/>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aliases w:val="List Paragraph1,Recommendation"/>
    <w:basedOn w:val="Normal"/>
    <w:link w:val="ListParagraphChar"/>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customStyle="1" w:styleId="ListParagraphChar">
    <w:name w:val="List Paragraph Char"/>
    <w:aliases w:val="List Paragraph1 Char,Recommendation Char"/>
    <w:link w:val="ListParagraph"/>
    <w:uiPriority w:val="34"/>
    <w:locked/>
    <w:rsid w:val="00FB28C4"/>
    <w:rPr>
      <w:rFonts w:ascii="Calibri" w:eastAsia="SimSun" w:hAnsi="Calibri"/>
      <w:sz w:val="22"/>
      <w:szCs w:val="22"/>
      <w:lang w:eastAsia="zh-CN"/>
    </w:rPr>
  </w:style>
  <w:style w:type="character" w:customStyle="1" w:styleId="Heading9Char">
    <w:name w:val="Heading 9 Char"/>
    <w:basedOn w:val="DefaultParagraphFont"/>
    <w:link w:val="Heading9"/>
    <w:rsid w:val="00FB28C4"/>
    <w:rPr>
      <w:rFonts w:ascii="Arial" w:hAnsi="Arial"/>
      <w:b/>
      <w:i/>
      <w:lang w:val="en-AU"/>
    </w:rPr>
  </w:style>
  <w:style w:type="character" w:customStyle="1" w:styleId="BodyTextChar">
    <w:name w:val="Body Text Char"/>
    <w:link w:val="BodyText"/>
    <w:uiPriority w:val="99"/>
    <w:semiHidden/>
    <w:rsid w:val="00C40318"/>
  </w:style>
  <w:style w:type="character" w:styleId="Strong">
    <w:name w:val="Strong"/>
    <w:basedOn w:val="DefaultParagraphFont"/>
    <w:uiPriority w:val="22"/>
    <w:qFormat/>
    <w:rsid w:val="00560608"/>
    <w:rPr>
      <w:b/>
      <w:bCs/>
    </w:rPr>
  </w:style>
  <w:style w:type="character" w:styleId="Emphasis">
    <w:name w:val="Emphasis"/>
    <w:basedOn w:val="DefaultParagraphFont"/>
    <w:uiPriority w:val="20"/>
    <w:qFormat/>
    <w:rsid w:val="00980CAA"/>
    <w:rPr>
      <w:b/>
      <w:bCs/>
      <w:i w:val="0"/>
      <w:iCs w:val="0"/>
    </w:rPr>
  </w:style>
  <w:style w:type="character" w:customStyle="1" w:styleId="SubtitleChar">
    <w:name w:val="Subtitle Char"/>
    <w:basedOn w:val="DefaultParagraphFont"/>
    <w:link w:val="Subtitle"/>
    <w:rsid w:val="00714E4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4798">
      <w:bodyDiv w:val="1"/>
      <w:marLeft w:val="0"/>
      <w:marRight w:val="0"/>
      <w:marTop w:val="0"/>
      <w:marBottom w:val="0"/>
      <w:divBdr>
        <w:top w:val="none" w:sz="0" w:space="0" w:color="auto"/>
        <w:left w:val="none" w:sz="0" w:space="0" w:color="auto"/>
        <w:bottom w:val="none" w:sz="0" w:space="0" w:color="auto"/>
        <w:right w:val="none" w:sz="0" w:space="0" w:color="auto"/>
      </w:divBdr>
    </w:div>
    <w:div w:id="77792688">
      <w:bodyDiv w:val="1"/>
      <w:marLeft w:val="0"/>
      <w:marRight w:val="0"/>
      <w:marTop w:val="0"/>
      <w:marBottom w:val="0"/>
      <w:divBdr>
        <w:top w:val="none" w:sz="0" w:space="0" w:color="auto"/>
        <w:left w:val="none" w:sz="0" w:space="0" w:color="auto"/>
        <w:bottom w:val="none" w:sz="0" w:space="0" w:color="auto"/>
        <w:right w:val="none" w:sz="0" w:space="0" w:color="auto"/>
      </w:divBdr>
    </w:div>
    <w:div w:id="78715522">
      <w:bodyDiv w:val="1"/>
      <w:marLeft w:val="0"/>
      <w:marRight w:val="0"/>
      <w:marTop w:val="0"/>
      <w:marBottom w:val="0"/>
      <w:divBdr>
        <w:top w:val="none" w:sz="0" w:space="0" w:color="auto"/>
        <w:left w:val="none" w:sz="0" w:space="0" w:color="auto"/>
        <w:bottom w:val="none" w:sz="0" w:space="0" w:color="auto"/>
        <w:right w:val="none" w:sz="0" w:space="0" w:color="auto"/>
      </w:divBdr>
    </w:div>
    <w:div w:id="198050523">
      <w:bodyDiv w:val="1"/>
      <w:marLeft w:val="0"/>
      <w:marRight w:val="0"/>
      <w:marTop w:val="0"/>
      <w:marBottom w:val="0"/>
      <w:divBdr>
        <w:top w:val="none" w:sz="0" w:space="0" w:color="auto"/>
        <w:left w:val="none" w:sz="0" w:space="0" w:color="auto"/>
        <w:bottom w:val="none" w:sz="0" w:space="0" w:color="auto"/>
        <w:right w:val="none" w:sz="0" w:space="0" w:color="auto"/>
      </w:divBdr>
    </w:div>
    <w:div w:id="272905314">
      <w:bodyDiv w:val="1"/>
      <w:marLeft w:val="0"/>
      <w:marRight w:val="0"/>
      <w:marTop w:val="0"/>
      <w:marBottom w:val="0"/>
      <w:divBdr>
        <w:top w:val="none" w:sz="0" w:space="0" w:color="auto"/>
        <w:left w:val="none" w:sz="0" w:space="0" w:color="auto"/>
        <w:bottom w:val="none" w:sz="0" w:space="0" w:color="auto"/>
        <w:right w:val="none" w:sz="0" w:space="0" w:color="auto"/>
      </w:divBdr>
    </w:div>
    <w:div w:id="333190400">
      <w:bodyDiv w:val="1"/>
      <w:marLeft w:val="0"/>
      <w:marRight w:val="0"/>
      <w:marTop w:val="0"/>
      <w:marBottom w:val="0"/>
      <w:divBdr>
        <w:top w:val="none" w:sz="0" w:space="0" w:color="auto"/>
        <w:left w:val="none" w:sz="0" w:space="0" w:color="auto"/>
        <w:bottom w:val="none" w:sz="0" w:space="0" w:color="auto"/>
        <w:right w:val="none" w:sz="0" w:space="0" w:color="auto"/>
      </w:divBdr>
    </w:div>
    <w:div w:id="478233558">
      <w:bodyDiv w:val="1"/>
      <w:marLeft w:val="0"/>
      <w:marRight w:val="0"/>
      <w:marTop w:val="0"/>
      <w:marBottom w:val="0"/>
      <w:divBdr>
        <w:top w:val="none" w:sz="0" w:space="0" w:color="auto"/>
        <w:left w:val="none" w:sz="0" w:space="0" w:color="auto"/>
        <w:bottom w:val="none" w:sz="0" w:space="0" w:color="auto"/>
        <w:right w:val="none" w:sz="0" w:space="0" w:color="auto"/>
      </w:divBdr>
    </w:div>
    <w:div w:id="488207380">
      <w:bodyDiv w:val="1"/>
      <w:marLeft w:val="0"/>
      <w:marRight w:val="0"/>
      <w:marTop w:val="0"/>
      <w:marBottom w:val="0"/>
      <w:divBdr>
        <w:top w:val="none" w:sz="0" w:space="0" w:color="auto"/>
        <w:left w:val="none" w:sz="0" w:space="0" w:color="auto"/>
        <w:bottom w:val="none" w:sz="0" w:space="0" w:color="auto"/>
        <w:right w:val="none" w:sz="0" w:space="0" w:color="auto"/>
      </w:divBdr>
    </w:div>
    <w:div w:id="511916302">
      <w:bodyDiv w:val="1"/>
      <w:marLeft w:val="0"/>
      <w:marRight w:val="0"/>
      <w:marTop w:val="0"/>
      <w:marBottom w:val="0"/>
      <w:divBdr>
        <w:top w:val="none" w:sz="0" w:space="0" w:color="auto"/>
        <w:left w:val="none" w:sz="0" w:space="0" w:color="auto"/>
        <w:bottom w:val="none" w:sz="0" w:space="0" w:color="auto"/>
        <w:right w:val="none" w:sz="0" w:space="0" w:color="auto"/>
      </w:divBdr>
    </w:div>
    <w:div w:id="586227751">
      <w:bodyDiv w:val="1"/>
      <w:marLeft w:val="0"/>
      <w:marRight w:val="0"/>
      <w:marTop w:val="0"/>
      <w:marBottom w:val="0"/>
      <w:divBdr>
        <w:top w:val="none" w:sz="0" w:space="0" w:color="auto"/>
        <w:left w:val="none" w:sz="0" w:space="0" w:color="auto"/>
        <w:bottom w:val="none" w:sz="0" w:space="0" w:color="auto"/>
        <w:right w:val="none" w:sz="0" w:space="0" w:color="auto"/>
      </w:divBdr>
    </w:div>
    <w:div w:id="647322799">
      <w:bodyDiv w:val="1"/>
      <w:marLeft w:val="0"/>
      <w:marRight w:val="0"/>
      <w:marTop w:val="0"/>
      <w:marBottom w:val="0"/>
      <w:divBdr>
        <w:top w:val="none" w:sz="0" w:space="0" w:color="auto"/>
        <w:left w:val="none" w:sz="0" w:space="0" w:color="auto"/>
        <w:bottom w:val="none" w:sz="0" w:space="0" w:color="auto"/>
        <w:right w:val="none" w:sz="0" w:space="0" w:color="auto"/>
      </w:divBdr>
    </w:div>
    <w:div w:id="779684874">
      <w:bodyDiv w:val="1"/>
      <w:marLeft w:val="0"/>
      <w:marRight w:val="0"/>
      <w:marTop w:val="0"/>
      <w:marBottom w:val="0"/>
      <w:divBdr>
        <w:top w:val="none" w:sz="0" w:space="0" w:color="auto"/>
        <w:left w:val="none" w:sz="0" w:space="0" w:color="auto"/>
        <w:bottom w:val="none" w:sz="0" w:space="0" w:color="auto"/>
        <w:right w:val="none" w:sz="0" w:space="0" w:color="auto"/>
      </w:divBdr>
    </w:div>
    <w:div w:id="812675478">
      <w:bodyDiv w:val="1"/>
      <w:marLeft w:val="0"/>
      <w:marRight w:val="0"/>
      <w:marTop w:val="0"/>
      <w:marBottom w:val="0"/>
      <w:divBdr>
        <w:top w:val="none" w:sz="0" w:space="0" w:color="auto"/>
        <w:left w:val="none" w:sz="0" w:space="0" w:color="auto"/>
        <w:bottom w:val="none" w:sz="0" w:space="0" w:color="auto"/>
        <w:right w:val="none" w:sz="0" w:space="0" w:color="auto"/>
      </w:divBdr>
    </w:div>
    <w:div w:id="856313570">
      <w:bodyDiv w:val="1"/>
      <w:marLeft w:val="0"/>
      <w:marRight w:val="0"/>
      <w:marTop w:val="0"/>
      <w:marBottom w:val="0"/>
      <w:divBdr>
        <w:top w:val="none" w:sz="0" w:space="0" w:color="auto"/>
        <w:left w:val="none" w:sz="0" w:space="0" w:color="auto"/>
        <w:bottom w:val="none" w:sz="0" w:space="0" w:color="auto"/>
        <w:right w:val="none" w:sz="0" w:space="0" w:color="auto"/>
      </w:divBdr>
    </w:div>
    <w:div w:id="891304606">
      <w:bodyDiv w:val="1"/>
      <w:marLeft w:val="0"/>
      <w:marRight w:val="0"/>
      <w:marTop w:val="0"/>
      <w:marBottom w:val="0"/>
      <w:divBdr>
        <w:top w:val="none" w:sz="0" w:space="0" w:color="auto"/>
        <w:left w:val="none" w:sz="0" w:space="0" w:color="auto"/>
        <w:bottom w:val="none" w:sz="0" w:space="0" w:color="auto"/>
        <w:right w:val="none" w:sz="0" w:space="0" w:color="auto"/>
      </w:divBdr>
    </w:div>
    <w:div w:id="908468580">
      <w:bodyDiv w:val="1"/>
      <w:marLeft w:val="0"/>
      <w:marRight w:val="0"/>
      <w:marTop w:val="0"/>
      <w:marBottom w:val="0"/>
      <w:divBdr>
        <w:top w:val="none" w:sz="0" w:space="0" w:color="auto"/>
        <w:left w:val="none" w:sz="0" w:space="0" w:color="auto"/>
        <w:bottom w:val="none" w:sz="0" w:space="0" w:color="auto"/>
        <w:right w:val="none" w:sz="0" w:space="0" w:color="auto"/>
      </w:divBdr>
    </w:div>
    <w:div w:id="952789155">
      <w:bodyDiv w:val="1"/>
      <w:marLeft w:val="0"/>
      <w:marRight w:val="0"/>
      <w:marTop w:val="0"/>
      <w:marBottom w:val="0"/>
      <w:divBdr>
        <w:top w:val="none" w:sz="0" w:space="0" w:color="auto"/>
        <w:left w:val="none" w:sz="0" w:space="0" w:color="auto"/>
        <w:bottom w:val="none" w:sz="0" w:space="0" w:color="auto"/>
        <w:right w:val="none" w:sz="0" w:space="0" w:color="auto"/>
      </w:divBdr>
    </w:div>
    <w:div w:id="961421337">
      <w:bodyDiv w:val="1"/>
      <w:marLeft w:val="0"/>
      <w:marRight w:val="0"/>
      <w:marTop w:val="0"/>
      <w:marBottom w:val="0"/>
      <w:divBdr>
        <w:top w:val="none" w:sz="0" w:space="0" w:color="auto"/>
        <w:left w:val="none" w:sz="0" w:space="0" w:color="auto"/>
        <w:bottom w:val="none" w:sz="0" w:space="0" w:color="auto"/>
        <w:right w:val="none" w:sz="0" w:space="0" w:color="auto"/>
      </w:divBdr>
    </w:div>
    <w:div w:id="967009233">
      <w:bodyDiv w:val="1"/>
      <w:marLeft w:val="0"/>
      <w:marRight w:val="0"/>
      <w:marTop w:val="0"/>
      <w:marBottom w:val="0"/>
      <w:divBdr>
        <w:top w:val="none" w:sz="0" w:space="0" w:color="auto"/>
        <w:left w:val="none" w:sz="0" w:space="0" w:color="auto"/>
        <w:bottom w:val="none" w:sz="0" w:space="0" w:color="auto"/>
        <w:right w:val="none" w:sz="0" w:space="0" w:color="auto"/>
      </w:divBdr>
    </w:div>
    <w:div w:id="970135952">
      <w:bodyDiv w:val="1"/>
      <w:marLeft w:val="0"/>
      <w:marRight w:val="0"/>
      <w:marTop w:val="0"/>
      <w:marBottom w:val="0"/>
      <w:divBdr>
        <w:top w:val="none" w:sz="0" w:space="0" w:color="auto"/>
        <w:left w:val="none" w:sz="0" w:space="0" w:color="auto"/>
        <w:bottom w:val="none" w:sz="0" w:space="0" w:color="auto"/>
        <w:right w:val="none" w:sz="0" w:space="0" w:color="auto"/>
      </w:divBdr>
    </w:div>
    <w:div w:id="979261656">
      <w:bodyDiv w:val="1"/>
      <w:marLeft w:val="0"/>
      <w:marRight w:val="0"/>
      <w:marTop w:val="0"/>
      <w:marBottom w:val="0"/>
      <w:divBdr>
        <w:top w:val="none" w:sz="0" w:space="0" w:color="auto"/>
        <w:left w:val="none" w:sz="0" w:space="0" w:color="auto"/>
        <w:bottom w:val="none" w:sz="0" w:space="0" w:color="auto"/>
        <w:right w:val="none" w:sz="0" w:space="0" w:color="auto"/>
      </w:divBdr>
    </w:div>
    <w:div w:id="1030758443">
      <w:bodyDiv w:val="1"/>
      <w:marLeft w:val="0"/>
      <w:marRight w:val="0"/>
      <w:marTop w:val="0"/>
      <w:marBottom w:val="0"/>
      <w:divBdr>
        <w:top w:val="none" w:sz="0" w:space="0" w:color="auto"/>
        <w:left w:val="none" w:sz="0" w:space="0" w:color="auto"/>
        <w:bottom w:val="none" w:sz="0" w:space="0" w:color="auto"/>
        <w:right w:val="none" w:sz="0" w:space="0" w:color="auto"/>
      </w:divBdr>
    </w:div>
    <w:div w:id="1049767428">
      <w:bodyDiv w:val="1"/>
      <w:marLeft w:val="0"/>
      <w:marRight w:val="0"/>
      <w:marTop w:val="0"/>
      <w:marBottom w:val="0"/>
      <w:divBdr>
        <w:top w:val="none" w:sz="0" w:space="0" w:color="auto"/>
        <w:left w:val="none" w:sz="0" w:space="0" w:color="auto"/>
        <w:bottom w:val="none" w:sz="0" w:space="0" w:color="auto"/>
        <w:right w:val="none" w:sz="0" w:space="0" w:color="auto"/>
      </w:divBdr>
    </w:div>
    <w:div w:id="1196426647">
      <w:bodyDiv w:val="1"/>
      <w:marLeft w:val="0"/>
      <w:marRight w:val="0"/>
      <w:marTop w:val="0"/>
      <w:marBottom w:val="0"/>
      <w:divBdr>
        <w:top w:val="none" w:sz="0" w:space="0" w:color="auto"/>
        <w:left w:val="none" w:sz="0" w:space="0" w:color="auto"/>
        <w:bottom w:val="none" w:sz="0" w:space="0" w:color="auto"/>
        <w:right w:val="none" w:sz="0" w:space="0" w:color="auto"/>
      </w:divBdr>
    </w:div>
    <w:div w:id="1273173310">
      <w:bodyDiv w:val="1"/>
      <w:marLeft w:val="0"/>
      <w:marRight w:val="0"/>
      <w:marTop w:val="0"/>
      <w:marBottom w:val="0"/>
      <w:divBdr>
        <w:top w:val="none" w:sz="0" w:space="0" w:color="auto"/>
        <w:left w:val="none" w:sz="0" w:space="0" w:color="auto"/>
        <w:bottom w:val="none" w:sz="0" w:space="0" w:color="auto"/>
        <w:right w:val="none" w:sz="0" w:space="0" w:color="auto"/>
      </w:divBdr>
    </w:div>
    <w:div w:id="1285190296">
      <w:bodyDiv w:val="1"/>
      <w:marLeft w:val="0"/>
      <w:marRight w:val="0"/>
      <w:marTop w:val="0"/>
      <w:marBottom w:val="0"/>
      <w:divBdr>
        <w:top w:val="none" w:sz="0" w:space="0" w:color="auto"/>
        <w:left w:val="none" w:sz="0" w:space="0" w:color="auto"/>
        <w:bottom w:val="none" w:sz="0" w:space="0" w:color="auto"/>
        <w:right w:val="none" w:sz="0" w:space="0" w:color="auto"/>
      </w:divBdr>
    </w:div>
    <w:div w:id="1300841219">
      <w:bodyDiv w:val="1"/>
      <w:marLeft w:val="0"/>
      <w:marRight w:val="0"/>
      <w:marTop w:val="0"/>
      <w:marBottom w:val="0"/>
      <w:divBdr>
        <w:top w:val="none" w:sz="0" w:space="0" w:color="auto"/>
        <w:left w:val="none" w:sz="0" w:space="0" w:color="auto"/>
        <w:bottom w:val="none" w:sz="0" w:space="0" w:color="auto"/>
        <w:right w:val="none" w:sz="0" w:space="0" w:color="auto"/>
      </w:divBdr>
    </w:div>
    <w:div w:id="1401438570">
      <w:bodyDiv w:val="1"/>
      <w:marLeft w:val="0"/>
      <w:marRight w:val="0"/>
      <w:marTop w:val="0"/>
      <w:marBottom w:val="0"/>
      <w:divBdr>
        <w:top w:val="none" w:sz="0" w:space="0" w:color="auto"/>
        <w:left w:val="none" w:sz="0" w:space="0" w:color="auto"/>
        <w:bottom w:val="none" w:sz="0" w:space="0" w:color="auto"/>
        <w:right w:val="none" w:sz="0" w:space="0" w:color="auto"/>
      </w:divBdr>
    </w:div>
    <w:div w:id="1405028080">
      <w:bodyDiv w:val="1"/>
      <w:marLeft w:val="0"/>
      <w:marRight w:val="0"/>
      <w:marTop w:val="0"/>
      <w:marBottom w:val="0"/>
      <w:divBdr>
        <w:top w:val="none" w:sz="0" w:space="0" w:color="auto"/>
        <w:left w:val="none" w:sz="0" w:space="0" w:color="auto"/>
        <w:bottom w:val="none" w:sz="0" w:space="0" w:color="auto"/>
        <w:right w:val="none" w:sz="0" w:space="0" w:color="auto"/>
      </w:divBdr>
    </w:div>
    <w:div w:id="1408042028">
      <w:bodyDiv w:val="1"/>
      <w:marLeft w:val="0"/>
      <w:marRight w:val="0"/>
      <w:marTop w:val="0"/>
      <w:marBottom w:val="0"/>
      <w:divBdr>
        <w:top w:val="none" w:sz="0" w:space="0" w:color="auto"/>
        <w:left w:val="none" w:sz="0" w:space="0" w:color="auto"/>
        <w:bottom w:val="none" w:sz="0" w:space="0" w:color="auto"/>
        <w:right w:val="none" w:sz="0" w:space="0" w:color="auto"/>
      </w:divBdr>
    </w:div>
    <w:div w:id="1426345246">
      <w:bodyDiv w:val="1"/>
      <w:marLeft w:val="0"/>
      <w:marRight w:val="0"/>
      <w:marTop w:val="0"/>
      <w:marBottom w:val="0"/>
      <w:divBdr>
        <w:top w:val="none" w:sz="0" w:space="0" w:color="auto"/>
        <w:left w:val="none" w:sz="0" w:space="0" w:color="auto"/>
        <w:bottom w:val="none" w:sz="0" w:space="0" w:color="auto"/>
        <w:right w:val="none" w:sz="0" w:space="0" w:color="auto"/>
      </w:divBdr>
    </w:div>
    <w:div w:id="1518813599">
      <w:bodyDiv w:val="1"/>
      <w:marLeft w:val="0"/>
      <w:marRight w:val="0"/>
      <w:marTop w:val="0"/>
      <w:marBottom w:val="0"/>
      <w:divBdr>
        <w:top w:val="none" w:sz="0" w:space="0" w:color="auto"/>
        <w:left w:val="none" w:sz="0" w:space="0" w:color="auto"/>
        <w:bottom w:val="none" w:sz="0" w:space="0" w:color="auto"/>
        <w:right w:val="none" w:sz="0" w:space="0" w:color="auto"/>
      </w:divBdr>
    </w:div>
    <w:div w:id="1561289807">
      <w:bodyDiv w:val="1"/>
      <w:marLeft w:val="0"/>
      <w:marRight w:val="0"/>
      <w:marTop w:val="0"/>
      <w:marBottom w:val="0"/>
      <w:divBdr>
        <w:top w:val="none" w:sz="0" w:space="0" w:color="auto"/>
        <w:left w:val="none" w:sz="0" w:space="0" w:color="auto"/>
        <w:bottom w:val="none" w:sz="0" w:space="0" w:color="auto"/>
        <w:right w:val="none" w:sz="0" w:space="0" w:color="auto"/>
      </w:divBdr>
    </w:div>
    <w:div w:id="1602106427">
      <w:bodyDiv w:val="1"/>
      <w:marLeft w:val="0"/>
      <w:marRight w:val="0"/>
      <w:marTop w:val="0"/>
      <w:marBottom w:val="0"/>
      <w:divBdr>
        <w:top w:val="none" w:sz="0" w:space="0" w:color="auto"/>
        <w:left w:val="none" w:sz="0" w:space="0" w:color="auto"/>
        <w:bottom w:val="none" w:sz="0" w:space="0" w:color="auto"/>
        <w:right w:val="none" w:sz="0" w:space="0" w:color="auto"/>
      </w:divBdr>
    </w:div>
    <w:div w:id="1662124789">
      <w:bodyDiv w:val="1"/>
      <w:marLeft w:val="0"/>
      <w:marRight w:val="0"/>
      <w:marTop w:val="0"/>
      <w:marBottom w:val="0"/>
      <w:divBdr>
        <w:top w:val="none" w:sz="0" w:space="0" w:color="auto"/>
        <w:left w:val="none" w:sz="0" w:space="0" w:color="auto"/>
        <w:bottom w:val="none" w:sz="0" w:space="0" w:color="auto"/>
        <w:right w:val="none" w:sz="0" w:space="0" w:color="auto"/>
      </w:divBdr>
    </w:div>
    <w:div w:id="1708488574">
      <w:bodyDiv w:val="1"/>
      <w:marLeft w:val="0"/>
      <w:marRight w:val="0"/>
      <w:marTop w:val="0"/>
      <w:marBottom w:val="0"/>
      <w:divBdr>
        <w:top w:val="none" w:sz="0" w:space="0" w:color="auto"/>
        <w:left w:val="none" w:sz="0" w:space="0" w:color="auto"/>
        <w:bottom w:val="none" w:sz="0" w:space="0" w:color="auto"/>
        <w:right w:val="none" w:sz="0" w:space="0" w:color="auto"/>
      </w:divBdr>
    </w:div>
    <w:div w:id="1774395487">
      <w:bodyDiv w:val="1"/>
      <w:marLeft w:val="0"/>
      <w:marRight w:val="0"/>
      <w:marTop w:val="0"/>
      <w:marBottom w:val="0"/>
      <w:divBdr>
        <w:top w:val="none" w:sz="0" w:space="0" w:color="auto"/>
        <w:left w:val="none" w:sz="0" w:space="0" w:color="auto"/>
        <w:bottom w:val="none" w:sz="0" w:space="0" w:color="auto"/>
        <w:right w:val="none" w:sz="0" w:space="0" w:color="auto"/>
      </w:divBdr>
    </w:div>
    <w:div w:id="1830556115">
      <w:bodyDiv w:val="1"/>
      <w:marLeft w:val="0"/>
      <w:marRight w:val="0"/>
      <w:marTop w:val="0"/>
      <w:marBottom w:val="0"/>
      <w:divBdr>
        <w:top w:val="none" w:sz="0" w:space="0" w:color="auto"/>
        <w:left w:val="none" w:sz="0" w:space="0" w:color="auto"/>
        <w:bottom w:val="none" w:sz="0" w:space="0" w:color="auto"/>
        <w:right w:val="none" w:sz="0" w:space="0" w:color="auto"/>
      </w:divBdr>
    </w:div>
    <w:div w:id="1898663366">
      <w:bodyDiv w:val="1"/>
      <w:marLeft w:val="0"/>
      <w:marRight w:val="0"/>
      <w:marTop w:val="0"/>
      <w:marBottom w:val="0"/>
      <w:divBdr>
        <w:top w:val="none" w:sz="0" w:space="0" w:color="auto"/>
        <w:left w:val="none" w:sz="0" w:space="0" w:color="auto"/>
        <w:bottom w:val="none" w:sz="0" w:space="0" w:color="auto"/>
        <w:right w:val="none" w:sz="0" w:space="0" w:color="auto"/>
      </w:divBdr>
    </w:div>
    <w:div w:id="1938250906">
      <w:bodyDiv w:val="1"/>
      <w:marLeft w:val="0"/>
      <w:marRight w:val="0"/>
      <w:marTop w:val="0"/>
      <w:marBottom w:val="0"/>
      <w:divBdr>
        <w:top w:val="none" w:sz="0" w:space="0" w:color="auto"/>
        <w:left w:val="none" w:sz="0" w:space="0" w:color="auto"/>
        <w:bottom w:val="none" w:sz="0" w:space="0" w:color="auto"/>
        <w:right w:val="none" w:sz="0" w:space="0" w:color="auto"/>
      </w:divBdr>
    </w:div>
    <w:div w:id="1953436129">
      <w:bodyDiv w:val="1"/>
      <w:marLeft w:val="0"/>
      <w:marRight w:val="0"/>
      <w:marTop w:val="0"/>
      <w:marBottom w:val="0"/>
      <w:divBdr>
        <w:top w:val="none" w:sz="0" w:space="0" w:color="auto"/>
        <w:left w:val="none" w:sz="0" w:space="0" w:color="auto"/>
        <w:bottom w:val="none" w:sz="0" w:space="0" w:color="auto"/>
        <w:right w:val="none" w:sz="0" w:space="0" w:color="auto"/>
      </w:divBdr>
    </w:div>
    <w:div w:id="1988974209">
      <w:bodyDiv w:val="1"/>
      <w:marLeft w:val="0"/>
      <w:marRight w:val="0"/>
      <w:marTop w:val="0"/>
      <w:marBottom w:val="0"/>
      <w:divBdr>
        <w:top w:val="none" w:sz="0" w:space="0" w:color="auto"/>
        <w:left w:val="none" w:sz="0" w:space="0" w:color="auto"/>
        <w:bottom w:val="none" w:sz="0" w:space="0" w:color="auto"/>
        <w:right w:val="none" w:sz="0" w:space="0" w:color="auto"/>
      </w:divBdr>
    </w:div>
    <w:div w:id="209644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ff.gov.au" TargetMode="External"/><Relationship Id="rId18" Type="http://schemas.openxmlformats.org/officeDocument/2006/relationships/hyperlink" Target="http://www.training.gov.au" TargetMode="External"/><Relationship Id="rId26" Type="http://schemas.openxmlformats.org/officeDocument/2006/relationships/hyperlink" Target="http://www.firb.gov.au/" TargetMode="External"/><Relationship Id="rId39" Type="http://schemas.openxmlformats.org/officeDocument/2006/relationships/hyperlink" Target="http://www.acip.gov.au/" TargetMode="External"/><Relationship Id="rId21" Type="http://schemas.openxmlformats.org/officeDocument/2006/relationships/hyperlink" Target="https://tps.gov.au" TargetMode="External"/><Relationship Id="rId34" Type="http://schemas.openxmlformats.org/officeDocument/2006/relationships/hyperlink" Target="mailto:shifra.joseph@industry.gov.au%20" TargetMode="External"/><Relationship Id="rId42" Type="http://schemas.openxmlformats.org/officeDocument/2006/relationships/hyperlink" Target="http://www.acip.gov.au/" TargetMode="External"/><Relationship Id="rId47" Type="http://schemas.openxmlformats.org/officeDocument/2006/relationships/hyperlink" Target="http://www.dpmc.gov.au/deregulation/obpr/index.cfm" TargetMode="External"/><Relationship Id="rId50" Type="http://schemas.openxmlformats.org/officeDocument/2006/relationships/hyperlink" Target="http://www.immi.gov.au/visitors/working-holiday/whats-new.htm" TargetMode="External"/><Relationship Id="rId55" Type="http://schemas.openxmlformats.org/officeDocument/2006/relationships/hyperlink" Target="mailto:apec@immi.gov.a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raoul.raward@communications.gov.au" TargetMode="External"/><Relationship Id="rId20" Type="http://schemas.openxmlformats.org/officeDocument/2006/relationships/hyperlink" Target="http://www.teqsa.gov.au" TargetMode="External"/><Relationship Id="rId29" Type="http://schemas.openxmlformats.org/officeDocument/2006/relationships/hyperlink" Target="http://www.aplac.org" TargetMode="External"/><Relationship Id="rId41" Type="http://schemas.openxmlformats.org/officeDocument/2006/relationships/hyperlink" Target="http://www.ipaustralia.gov.au" TargetMode="External"/><Relationship Id="rId54" Type="http://schemas.openxmlformats.org/officeDocument/2006/relationships/hyperlink" Target="http://www.immi.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ustoms.gov.au" TargetMode="External"/><Relationship Id="rId24" Type="http://schemas.openxmlformats.org/officeDocument/2006/relationships/hyperlink" Target="mailto:.vincent@innovation.gov.au" TargetMode="External"/><Relationship Id="rId32" Type="http://schemas.openxmlformats.org/officeDocument/2006/relationships/hyperlink" Target="http://www.iaf.nu" TargetMode="External"/><Relationship Id="rId37" Type="http://schemas.openxmlformats.org/officeDocument/2006/relationships/hyperlink" Target="http://www.ipaustralia.gov.au/about-us/ip-legislation-changes/ip-laws-amendment-act-2012/" TargetMode="External"/><Relationship Id="rId40" Type="http://schemas.openxmlformats.org/officeDocument/2006/relationships/hyperlink" Target="http://www.ipaustralia.gov.au/about-us/what-we-do/international-activity/single-economic-market/" TargetMode="External"/><Relationship Id="rId45" Type="http://schemas.openxmlformats.org/officeDocument/2006/relationships/hyperlink" Target="http://www.accc.gov.au/" TargetMode="External"/><Relationship Id="rId53" Type="http://schemas.openxmlformats.org/officeDocument/2006/relationships/hyperlink" Target="http://www.immi.gov.au/skilled/whats-new-esw.htm" TargetMode="External"/><Relationship Id="rId58" Type="http://schemas.openxmlformats.org/officeDocument/2006/relationships/hyperlink" Target="http://www.dfat.gov.au/fta/akfta/" TargetMode="External"/><Relationship Id="rId5" Type="http://schemas.openxmlformats.org/officeDocument/2006/relationships/settings" Target="settings.xml"/><Relationship Id="rId15" Type="http://schemas.openxmlformats.org/officeDocument/2006/relationships/hyperlink" Target="http://www.daff.gov.au" TargetMode="External"/><Relationship Id="rId23" Type="http://schemas.openxmlformats.org/officeDocument/2006/relationships/hyperlink" Target="mailto:jarrod.campbell@industry.gov.au" TargetMode="External"/><Relationship Id="rId28" Type="http://schemas.openxmlformats.org/officeDocument/2006/relationships/hyperlink" Target="http://www.measurement.gov.au/" TargetMode="External"/><Relationship Id="rId36" Type="http://schemas.openxmlformats.org/officeDocument/2006/relationships/hyperlink" Target="mailto:mark.collidge@customs.gov.au" TargetMode="External"/><Relationship Id="rId49" Type="http://schemas.openxmlformats.org/officeDocument/2006/relationships/hyperlink" Target="http://www.immi.gov.au/visas/temporary-visa/" TargetMode="External"/><Relationship Id="rId57" Type="http://schemas.openxmlformats.org/officeDocument/2006/relationships/hyperlink" Target="http://dfat.gov.au/fta/mafta/" TargetMode="External"/><Relationship Id="rId61" Type="http://schemas.openxmlformats.org/officeDocument/2006/relationships/theme" Target="theme/theme1.xml"/><Relationship Id="rId10" Type="http://schemas.openxmlformats.org/officeDocument/2006/relationships/hyperlink" Target="http://www.customs.gov.au/" TargetMode="External"/><Relationship Id="rId19" Type="http://schemas.openxmlformats.org/officeDocument/2006/relationships/hyperlink" Target="http://www.myskills.gov.au" TargetMode="External"/><Relationship Id="rId31" Type="http://schemas.openxmlformats.org/officeDocument/2006/relationships/hyperlink" Target="http://www.apec-pac.org/" TargetMode="External"/><Relationship Id="rId44" Type="http://schemas.openxmlformats.org/officeDocument/2006/relationships/hyperlink" Target="http://www.accc.gov.au/" TargetMode="External"/><Relationship Id="rId52" Type="http://schemas.openxmlformats.org/officeDocument/2006/relationships/hyperlink" Target="http://www.immi.gov.au/skilled/whats-new-esw.htm"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fat.gov.au/fta/mafta" TargetMode="External"/><Relationship Id="rId14" Type="http://schemas.openxmlformats.org/officeDocument/2006/relationships/hyperlink" Target="http://www.adcommission.gov.au" TargetMode="External"/><Relationship Id="rId22" Type="http://schemas.openxmlformats.org/officeDocument/2006/relationships/hyperlink" Target="http://www.asqa.gov.au" TargetMode="External"/><Relationship Id="rId27" Type="http://schemas.openxmlformats.org/officeDocument/2006/relationships/hyperlink" Target="http://www.firb.gov.au/" TargetMode="External"/><Relationship Id="rId30" Type="http://schemas.openxmlformats.org/officeDocument/2006/relationships/hyperlink" Target="http://www.nata.com.au" TargetMode="External"/><Relationship Id="rId35" Type="http://schemas.openxmlformats.org/officeDocument/2006/relationships/hyperlink" Target="mailto:ann.backhouse@daff.gov.au" TargetMode="External"/><Relationship Id="rId43" Type="http://schemas.openxmlformats.org/officeDocument/2006/relationships/hyperlink" Target="http://www.coag.gov.au/" TargetMode="External"/><Relationship Id="rId48" Type="http://schemas.openxmlformats.org/officeDocument/2006/relationships/hyperlink" Target="http://travel.apec.org" TargetMode="External"/><Relationship Id="rId56" Type="http://schemas.openxmlformats.org/officeDocument/2006/relationships/hyperlink" Target="http://www.adcommission.gov.au" TargetMode="External"/><Relationship Id="rId8" Type="http://schemas.openxmlformats.org/officeDocument/2006/relationships/endnotes" Target="endnotes.xml"/><Relationship Id="rId51" Type="http://schemas.openxmlformats.org/officeDocument/2006/relationships/hyperlink" Target="http://www.immi.gov.au/Visas/Pages/416-swp.aspx" TargetMode="External"/><Relationship Id="rId3" Type="http://schemas.openxmlformats.org/officeDocument/2006/relationships/styles" Target="styles.xml"/><Relationship Id="rId12" Type="http://schemas.openxmlformats.org/officeDocument/2006/relationships/hyperlink" Target="http://www.adcommission.gov.au" TargetMode="External"/><Relationship Id="rId17" Type="http://schemas.openxmlformats.org/officeDocument/2006/relationships/hyperlink" Target="http://jbh.ministers.treasury.gov.au/media-release/037-2013/" TargetMode="External"/><Relationship Id="rId25" Type="http://schemas.openxmlformats.org/officeDocument/2006/relationships/hyperlink" Target="http://www.firb.gov.au/content/policy.asp?NavID=1" TargetMode="External"/><Relationship Id="rId33" Type="http://schemas.openxmlformats.org/officeDocument/2006/relationships/hyperlink" Target="http://www.iso.org/iso/resources/conformity_assessment/objectives_and_structure_of_casco.htm" TargetMode="External"/><Relationship Id="rId38" Type="http://schemas.openxmlformats.org/officeDocument/2006/relationships/hyperlink" Target="http://www.ipaustralia.gov.au" TargetMode="External"/><Relationship Id="rId46" Type="http://schemas.openxmlformats.org/officeDocument/2006/relationships/hyperlink" Target="http://www.coag.gov.au/"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8CD7E-4197-4624-83BB-A9C92190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62B80897</Template>
  <TotalTime>1</TotalTime>
  <Pages>1</Pages>
  <Words>6758</Words>
  <Characters>41838</Characters>
  <Application>Microsoft Office Word</Application>
  <DocSecurity>0</DocSecurity>
  <Lines>1195</Lines>
  <Paragraphs>449</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48147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Nicholas Cooper</cp:lastModifiedBy>
  <cp:revision>2</cp:revision>
  <cp:lastPrinted>2014-02-03T05:35:00Z</cp:lastPrinted>
  <dcterms:created xsi:type="dcterms:W3CDTF">2014-02-04T00:52:00Z</dcterms:created>
  <dcterms:modified xsi:type="dcterms:W3CDTF">2014-02-04T00:52:00Z</dcterms:modified>
</cp:coreProperties>
</file>