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2" w:type="dxa"/>
        <w:tblInd w:w="91" w:type="dxa"/>
        <w:tblLook w:val="04A0" w:firstRow="1" w:lastRow="0" w:firstColumn="1" w:lastColumn="0" w:noHBand="0" w:noVBand="1"/>
      </w:tblPr>
      <w:tblGrid>
        <w:gridCol w:w="674"/>
        <w:gridCol w:w="8788"/>
      </w:tblGrid>
      <w:tr w:rsidR="00B81C5A" w:rsidRPr="001B3EEA" w14:paraId="4362B02F" w14:textId="77777777" w:rsidTr="0089340C">
        <w:trPr>
          <w:trHeight w:val="330"/>
        </w:trPr>
        <w:tc>
          <w:tcPr>
            <w:tcW w:w="9462" w:type="dxa"/>
            <w:gridSpan w:val="2"/>
            <w:tcBorders>
              <w:top w:val="nil"/>
              <w:left w:val="nil"/>
              <w:bottom w:val="nil"/>
              <w:right w:val="nil"/>
            </w:tcBorders>
            <w:shd w:val="clear" w:color="000000" w:fill="0070C0"/>
            <w:noWrap/>
            <w:vAlign w:val="bottom"/>
            <w:hideMark/>
          </w:tcPr>
          <w:p w14:paraId="46C309FB" w14:textId="3692B342" w:rsidR="00B81C5A" w:rsidRPr="004265A5" w:rsidRDefault="00B81C5A" w:rsidP="008472EF">
            <w:pPr>
              <w:spacing w:after="0" w:line="240" w:lineRule="auto"/>
              <w:jc w:val="both"/>
              <w:rPr>
                <w:rFonts w:ascii="Times New Roman" w:eastAsia="Times New Roman" w:hAnsi="Times New Roman"/>
                <w:b/>
                <w:bCs/>
                <w:color w:val="FFFFFF"/>
                <w:sz w:val="28"/>
                <w:szCs w:val="28"/>
              </w:rPr>
            </w:pPr>
            <w:r w:rsidRPr="00B81C5A">
              <w:rPr>
                <w:rFonts w:ascii="Times New Roman" w:eastAsia="Times New Roman" w:hAnsi="Times New Roman"/>
                <w:b/>
                <w:bCs/>
                <w:color w:val="FFFFFF"/>
                <w:sz w:val="28"/>
                <w:szCs w:val="28"/>
              </w:rPr>
              <w:t xml:space="preserve">Thailand’s </w:t>
            </w:r>
            <w:r w:rsidR="004F65F2">
              <w:rPr>
                <w:rFonts w:ascii="Times New Roman" w:eastAsia="Times New Roman" w:hAnsi="Times New Roman"/>
                <w:b/>
                <w:bCs/>
                <w:color w:val="FFFFFF"/>
                <w:sz w:val="28"/>
                <w:szCs w:val="28"/>
              </w:rPr>
              <w:t>Bogor Goals Progress Report</w:t>
            </w:r>
            <w:r w:rsidR="00DF3E7F">
              <w:rPr>
                <w:rFonts w:ascii="Times New Roman" w:eastAsia="Times New Roman" w:hAnsi="Times New Roman"/>
                <w:b/>
                <w:bCs/>
                <w:color w:val="FFFFFF"/>
                <w:sz w:val="28"/>
                <w:szCs w:val="28"/>
              </w:rPr>
              <w:t xml:space="preserve"> (as at </w:t>
            </w:r>
            <w:r w:rsidR="00240177">
              <w:rPr>
                <w:rFonts w:ascii="Times New Roman" w:eastAsia="Times New Roman" w:hAnsi="Times New Roman"/>
                <w:b/>
                <w:bCs/>
                <w:color w:val="FFFFFF"/>
                <w:sz w:val="28"/>
                <w:szCs w:val="28"/>
              </w:rPr>
              <w:t>30</w:t>
            </w:r>
            <w:bookmarkStart w:id="0" w:name="_GoBack"/>
            <w:bookmarkEnd w:id="0"/>
            <w:r w:rsidR="0075460E">
              <w:rPr>
                <w:rFonts w:ascii="Times New Roman" w:eastAsia="Times New Roman" w:hAnsi="Times New Roman"/>
                <w:b/>
                <w:bCs/>
                <w:color w:val="FFFFFF"/>
                <w:sz w:val="28"/>
                <w:szCs w:val="28"/>
              </w:rPr>
              <w:t xml:space="preserve"> </w:t>
            </w:r>
            <w:r w:rsidR="00240177" w:rsidRPr="00240177">
              <w:rPr>
                <w:rFonts w:ascii="Times New Roman" w:eastAsia="Times New Roman" w:hAnsi="Times New Roman"/>
                <w:b/>
                <w:bCs/>
                <w:color w:val="FFFFFF"/>
                <w:sz w:val="28"/>
                <w:szCs w:val="28"/>
              </w:rPr>
              <w:t xml:space="preserve">September </w:t>
            </w:r>
            <w:r w:rsidR="008472EF">
              <w:rPr>
                <w:rFonts w:ascii="Times New Roman" w:eastAsia="Times New Roman" w:hAnsi="Times New Roman"/>
                <w:b/>
                <w:bCs/>
                <w:color w:val="FFFFFF"/>
                <w:sz w:val="28"/>
                <w:szCs w:val="28"/>
              </w:rPr>
              <w:t>2016</w:t>
            </w:r>
            <w:r w:rsidR="00DF3E7F">
              <w:rPr>
                <w:rFonts w:ascii="Times New Roman" w:eastAsia="Times New Roman" w:hAnsi="Times New Roman"/>
                <w:b/>
                <w:bCs/>
                <w:color w:val="FFFFFF"/>
                <w:sz w:val="28"/>
                <w:szCs w:val="28"/>
              </w:rPr>
              <w:t>)</w:t>
            </w:r>
            <w:r w:rsidRPr="00B81C5A">
              <w:rPr>
                <w:rFonts w:eastAsia="Times New Roman"/>
                <w:bCs/>
                <w:color w:val="FFFFFF"/>
                <w:sz w:val="28"/>
                <w:szCs w:val="28"/>
              </w:rPr>
              <w:footnoteReference w:customMarkFollows="1" w:id="1"/>
              <w:sym w:font="Symbol" w:char="F02A"/>
            </w:r>
          </w:p>
        </w:tc>
      </w:tr>
      <w:tr w:rsidR="00B81C5A" w:rsidRPr="001B3EEA" w14:paraId="01D817AF" w14:textId="77777777" w:rsidTr="0089340C">
        <w:trPr>
          <w:trHeight w:val="315"/>
        </w:trPr>
        <w:tc>
          <w:tcPr>
            <w:tcW w:w="674" w:type="dxa"/>
            <w:tcBorders>
              <w:top w:val="nil"/>
              <w:left w:val="nil"/>
              <w:bottom w:val="nil"/>
              <w:right w:val="nil"/>
            </w:tcBorders>
            <w:shd w:val="clear" w:color="000000" w:fill="B6DDE8"/>
            <w:noWrap/>
            <w:vAlign w:val="bottom"/>
            <w:hideMark/>
          </w:tcPr>
          <w:p w14:paraId="3C0DD849" w14:textId="77777777" w:rsidR="00B81C5A" w:rsidRPr="001B3EEA" w:rsidRDefault="00B81C5A" w:rsidP="00B83CAF">
            <w:pPr>
              <w:spacing w:after="0" w:line="240" w:lineRule="auto"/>
              <w:jc w:val="center"/>
              <w:rPr>
                <w:rFonts w:ascii="Times New Roman" w:eastAsia="Times New Roman" w:hAnsi="Times New Roman"/>
                <w:color w:val="000000"/>
              </w:rPr>
            </w:pPr>
            <w:r w:rsidRPr="001B3EEA">
              <w:rPr>
                <w:rFonts w:ascii="Times New Roman" w:eastAsia="Times New Roman" w:hAnsi="Times New Roman"/>
                <w:color w:val="000000"/>
              </w:rPr>
              <w:t> </w:t>
            </w:r>
          </w:p>
        </w:tc>
        <w:tc>
          <w:tcPr>
            <w:tcW w:w="8788" w:type="dxa"/>
            <w:tcBorders>
              <w:top w:val="nil"/>
              <w:left w:val="nil"/>
              <w:bottom w:val="nil"/>
              <w:right w:val="nil"/>
            </w:tcBorders>
            <w:shd w:val="clear" w:color="000000" w:fill="B6DDE8"/>
            <w:noWrap/>
            <w:vAlign w:val="bottom"/>
            <w:hideMark/>
          </w:tcPr>
          <w:p w14:paraId="7A2F40DB" w14:textId="77777777" w:rsidR="00B81C5A" w:rsidRPr="001B3EEA" w:rsidRDefault="00B81C5A" w:rsidP="00B83CAF">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Highlights of Achievements and Areas for Improvement</w:t>
            </w:r>
          </w:p>
        </w:tc>
      </w:tr>
    </w:tbl>
    <w:p w14:paraId="5A114D72" w14:textId="77777777" w:rsidR="00ED5AF0" w:rsidRDefault="00ED5AF0" w:rsidP="006E4189">
      <w:pPr>
        <w:spacing w:after="0" w:line="240" w:lineRule="auto"/>
        <w:jc w:val="both"/>
        <w:rPr>
          <w:rFonts w:ascii="Times New Roman" w:hAnsi="Times New Roman"/>
          <w:sz w:val="24"/>
          <w:szCs w:val="24"/>
        </w:rPr>
      </w:pPr>
    </w:p>
    <w:p w14:paraId="64D4E315" w14:textId="77777777" w:rsidR="00322D05" w:rsidRPr="00F046D7" w:rsidRDefault="00322D05" w:rsidP="00404CFB">
      <w:pPr>
        <w:pStyle w:val="ListParagraph"/>
        <w:numPr>
          <w:ilvl w:val="0"/>
          <w:numId w:val="5"/>
        </w:numPr>
        <w:spacing w:after="0" w:line="240" w:lineRule="auto"/>
        <w:jc w:val="both"/>
        <w:rPr>
          <w:rFonts w:ascii="Times New Roman" w:hAnsi="Times New Roman"/>
          <w:sz w:val="24"/>
          <w:szCs w:val="24"/>
        </w:rPr>
      </w:pPr>
      <w:r w:rsidRPr="00F046D7">
        <w:rPr>
          <w:rFonts w:ascii="Times New Roman" w:hAnsi="Times New Roman"/>
          <w:sz w:val="24"/>
          <w:szCs w:val="24"/>
        </w:rPr>
        <w:t>Simple average MFN applied t</w:t>
      </w:r>
      <w:r w:rsidR="00196374" w:rsidRPr="00F046D7">
        <w:rPr>
          <w:rFonts w:ascii="Times New Roman" w:hAnsi="Times New Roman"/>
          <w:sz w:val="24"/>
          <w:szCs w:val="24"/>
        </w:rPr>
        <w:t xml:space="preserve">ariffs </w:t>
      </w:r>
      <w:r w:rsidRPr="00F046D7">
        <w:rPr>
          <w:rFonts w:ascii="Times New Roman" w:hAnsi="Times New Roman"/>
          <w:sz w:val="24"/>
          <w:szCs w:val="24"/>
        </w:rPr>
        <w:t>stood at 11.2% in 2014. Agricultural products still have relatively higher tariffs than non-agric</w:t>
      </w:r>
      <w:r w:rsidR="00F046D7" w:rsidRPr="00F046D7">
        <w:rPr>
          <w:rFonts w:ascii="Times New Roman" w:hAnsi="Times New Roman"/>
          <w:sz w:val="24"/>
          <w:szCs w:val="24"/>
        </w:rPr>
        <w:t>ultural products especially</w:t>
      </w:r>
      <w:r w:rsidR="001F4A87">
        <w:rPr>
          <w:rFonts w:ascii="Times New Roman" w:hAnsi="Times New Roman"/>
          <w:sz w:val="24"/>
          <w:szCs w:val="24"/>
        </w:rPr>
        <w:t>.</w:t>
      </w:r>
    </w:p>
    <w:p w14:paraId="56189736" w14:textId="05991C11" w:rsidR="00BF349E" w:rsidRPr="00F046D7" w:rsidRDefault="00F046D7" w:rsidP="00404CFB">
      <w:pPr>
        <w:pStyle w:val="ListParagraph"/>
        <w:numPr>
          <w:ilvl w:val="0"/>
          <w:numId w:val="5"/>
        </w:numPr>
        <w:spacing w:after="0" w:line="240" w:lineRule="auto"/>
        <w:jc w:val="both"/>
        <w:rPr>
          <w:rFonts w:ascii="Times New Roman" w:hAnsi="Times New Roman"/>
          <w:sz w:val="24"/>
          <w:szCs w:val="24"/>
        </w:rPr>
      </w:pPr>
      <w:r w:rsidRPr="00F046D7">
        <w:rPr>
          <w:rFonts w:ascii="Times New Roman" w:hAnsi="Times New Roman"/>
          <w:sz w:val="24"/>
          <w:szCs w:val="24"/>
        </w:rPr>
        <w:t xml:space="preserve">Tariff-rate quotas still </w:t>
      </w:r>
      <w:r w:rsidR="007022C9" w:rsidRPr="00F046D7">
        <w:rPr>
          <w:rFonts w:ascii="Times New Roman" w:hAnsi="Times New Roman"/>
          <w:sz w:val="24"/>
          <w:szCs w:val="24"/>
        </w:rPr>
        <w:t>appl</w:t>
      </w:r>
      <w:r w:rsidR="007022C9">
        <w:rPr>
          <w:rFonts w:ascii="Times New Roman" w:hAnsi="Times New Roman"/>
          <w:sz w:val="24"/>
          <w:szCs w:val="24"/>
        </w:rPr>
        <w:t>y</w:t>
      </w:r>
      <w:r w:rsidR="007022C9" w:rsidRPr="00F046D7">
        <w:rPr>
          <w:rFonts w:ascii="Times New Roman" w:hAnsi="Times New Roman"/>
          <w:sz w:val="24"/>
          <w:szCs w:val="24"/>
        </w:rPr>
        <w:t xml:space="preserve"> </w:t>
      </w:r>
      <w:r w:rsidRPr="00F046D7">
        <w:rPr>
          <w:rFonts w:ascii="Times New Roman" w:hAnsi="Times New Roman"/>
          <w:sz w:val="24"/>
          <w:szCs w:val="24"/>
        </w:rPr>
        <w:t>to a number of agricultural products</w:t>
      </w:r>
      <w:r w:rsidR="001F4A87">
        <w:rPr>
          <w:rFonts w:ascii="Times New Roman" w:hAnsi="Times New Roman"/>
          <w:sz w:val="24"/>
          <w:szCs w:val="24"/>
        </w:rPr>
        <w:t>.</w:t>
      </w:r>
    </w:p>
    <w:p w14:paraId="086DD2C1" w14:textId="67C24F17" w:rsidR="00F046D7" w:rsidRDefault="00F046D7" w:rsidP="00E314E4">
      <w:pPr>
        <w:pStyle w:val="ListParagraph"/>
        <w:numPr>
          <w:ilvl w:val="0"/>
          <w:numId w:val="5"/>
        </w:numPr>
        <w:spacing w:after="0" w:line="240" w:lineRule="auto"/>
        <w:jc w:val="both"/>
        <w:rPr>
          <w:rFonts w:ascii="Times New Roman" w:hAnsi="Times New Roman"/>
          <w:sz w:val="24"/>
          <w:szCs w:val="24"/>
        </w:rPr>
      </w:pPr>
      <w:r w:rsidRPr="00F046D7">
        <w:rPr>
          <w:rFonts w:ascii="Times New Roman" w:hAnsi="Times New Roman"/>
          <w:sz w:val="24"/>
          <w:szCs w:val="24"/>
        </w:rPr>
        <w:t>Import prohibitions and licensing requirement remained in place on certain goods</w:t>
      </w:r>
      <w:r w:rsidR="007022C9">
        <w:rPr>
          <w:rFonts w:ascii="Times New Roman" w:hAnsi="Times New Roman"/>
          <w:sz w:val="24"/>
          <w:szCs w:val="24"/>
        </w:rPr>
        <w:t>. N</w:t>
      </w:r>
      <w:r w:rsidR="001F4A87" w:rsidRPr="00F046D7">
        <w:rPr>
          <w:rFonts w:ascii="Times New Roman" w:hAnsi="Times New Roman"/>
          <w:sz w:val="24"/>
          <w:szCs w:val="24"/>
        </w:rPr>
        <w:t>either import</w:t>
      </w:r>
      <w:r w:rsidR="007022C9">
        <w:rPr>
          <w:rFonts w:ascii="Times New Roman" w:hAnsi="Times New Roman"/>
          <w:sz w:val="24"/>
          <w:szCs w:val="24"/>
        </w:rPr>
        <w:t>/</w:t>
      </w:r>
      <w:r w:rsidR="001F4A87" w:rsidRPr="00F046D7">
        <w:rPr>
          <w:rFonts w:ascii="Times New Roman" w:hAnsi="Times New Roman"/>
          <w:sz w:val="24"/>
          <w:szCs w:val="24"/>
        </w:rPr>
        <w:t>export levies nor</w:t>
      </w:r>
      <w:r w:rsidRPr="00F046D7">
        <w:rPr>
          <w:rFonts w:ascii="Times New Roman" w:hAnsi="Times New Roman"/>
          <w:sz w:val="24"/>
          <w:szCs w:val="24"/>
        </w:rPr>
        <w:t xml:space="preserve"> export subsidies </w:t>
      </w:r>
      <w:r w:rsidR="007022C9">
        <w:rPr>
          <w:rFonts w:ascii="Times New Roman" w:hAnsi="Times New Roman"/>
          <w:sz w:val="24"/>
          <w:szCs w:val="24"/>
        </w:rPr>
        <w:t>are in place</w:t>
      </w:r>
      <w:r w:rsidR="001F4A87">
        <w:rPr>
          <w:rFonts w:ascii="Times New Roman" w:hAnsi="Times New Roman"/>
          <w:sz w:val="24"/>
          <w:szCs w:val="24"/>
        </w:rPr>
        <w:t>.</w:t>
      </w:r>
    </w:p>
    <w:p w14:paraId="0762348E" w14:textId="67BAFCBD" w:rsidR="000E67A6" w:rsidRPr="007022C9" w:rsidRDefault="000E67A6" w:rsidP="007022C9">
      <w:pPr>
        <w:pStyle w:val="ListParagraph"/>
        <w:numPr>
          <w:ilvl w:val="0"/>
          <w:numId w:val="5"/>
        </w:numPr>
        <w:spacing w:after="0" w:line="240" w:lineRule="auto"/>
        <w:jc w:val="both"/>
        <w:rPr>
          <w:rFonts w:ascii="Times New Roman" w:hAnsi="Times New Roman"/>
          <w:sz w:val="24"/>
          <w:szCs w:val="24"/>
        </w:rPr>
      </w:pPr>
      <w:r w:rsidRPr="007022C9">
        <w:rPr>
          <w:rFonts w:ascii="Times New Roman" w:hAnsi="Times New Roman"/>
          <w:sz w:val="24"/>
          <w:szCs w:val="24"/>
        </w:rPr>
        <w:t xml:space="preserve">Some </w:t>
      </w:r>
      <w:r w:rsidR="007022C9">
        <w:rPr>
          <w:rFonts w:ascii="Times New Roman" w:hAnsi="Times New Roman"/>
          <w:sz w:val="24"/>
          <w:szCs w:val="24"/>
        </w:rPr>
        <w:t xml:space="preserve">foreign ownership </w:t>
      </w:r>
      <w:r w:rsidRPr="007022C9">
        <w:rPr>
          <w:rFonts w:ascii="Times New Roman" w:hAnsi="Times New Roman"/>
          <w:sz w:val="24"/>
          <w:szCs w:val="24"/>
        </w:rPr>
        <w:t xml:space="preserve">restrictions remain in </w:t>
      </w:r>
      <w:r w:rsidR="007022C9">
        <w:rPr>
          <w:rFonts w:ascii="Times New Roman" w:hAnsi="Times New Roman"/>
          <w:sz w:val="24"/>
          <w:szCs w:val="24"/>
        </w:rPr>
        <w:t xml:space="preserve">the </w:t>
      </w:r>
      <w:r w:rsidR="007022C9" w:rsidRPr="007022C9">
        <w:rPr>
          <w:rFonts w:ascii="Times New Roman" w:hAnsi="Times New Roman"/>
          <w:sz w:val="24"/>
          <w:szCs w:val="24"/>
        </w:rPr>
        <w:t>transport</w:t>
      </w:r>
      <w:r w:rsidR="007022C9">
        <w:rPr>
          <w:rFonts w:ascii="Times New Roman" w:hAnsi="Times New Roman"/>
          <w:sz w:val="24"/>
          <w:szCs w:val="24"/>
        </w:rPr>
        <w:t xml:space="preserve"> sector.</w:t>
      </w:r>
      <w:r w:rsidRPr="007022C9">
        <w:rPr>
          <w:rFonts w:ascii="Times New Roman" w:hAnsi="Times New Roman"/>
          <w:sz w:val="24"/>
          <w:szCs w:val="24"/>
        </w:rPr>
        <w:t xml:space="preserve"> </w:t>
      </w:r>
    </w:p>
    <w:p w14:paraId="5D86F2FE" w14:textId="466F5FD4" w:rsidR="000E67A6" w:rsidRDefault="000E67A6" w:rsidP="00E314E4">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A multi-year investment promotion package was introduced which consists a wide range of tax credits, </w:t>
      </w:r>
      <w:r w:rsidR="00B200D1">
        <w:rPr>
          <w:rFonts w:ascii="Times New Roman" w:hAnsi="Times New Roman"/>
          <w:sz w:val="24"/>
          <w:szCs w:val="24"/>
        </w:rPr>
        <w:t>activity-</w:t>
      </w:r>
      <w:r>
        <w:rPr>
          <w:rFonts w:ascii="Times New Roman" w:hAnsi="Times New Roman"/>
          <w:sz w:val="24"/>
          <w:szCs w:val="24"/>
        </w:rPr>
        <w:t xml:space="preserve"> and merit-based incentives.</w:t>
      </w:r>
    </w:p>
    <w:p w14:paraId="2982875B" w14:textId="016F16D3" w:rsidR="00155241" w:rsidRDefault="007022C9" w:rsidP="001F4A87">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Efforts</w:t>
      </w:r>
      <w:r w:rsidR="001F4A87">
        <w:rPr>
          <w:rFonts w:ascii="Times New Roman" w:hAnsi="Times New Roman"/>
          <w:sz w:val="24"/>
          <w:szCs w:val="24"/>
        </w:rPr>
        <w:t xml:space="preserve"> in aligning domestic standards to international standards</w:t>
      </w:r>
      <w:r>
        <w:rPr>
          <w:rFonts w:ascii="Times New Roman" w:hAnsi="Times New Roman"/>
          <w:sz w:val="24"/>
          <w:szCs w:val="24"/>
        </w:rPr>
        <w:t>. Active participation in several M</w:t>
      </w:r>
      <w:r w:rsidR="001F4A87">
        <w:rPr>
          <w:rFonts w:ascii="Times New Roman" w:hAnsi="Times New Roman"/>
          <w:sz w:val="24"/>
          <w:szCs w:val="24"/>
        </w:rPr>
        <w:t xml:space="preserve">utual </w:t>
      </w:r>
      <w:r>
        <w:rPr>
          <w:rFonts w:ascii="Times New Roman" w:hAnsi="Times New Roman"/>
          <w:sz w:val="24"/>
          <w:szCs w:val="24"/>
        </w:rPr>
        <w:t>Recognition Arrangements</w:t>
      </w:r>
      <w:r w:rsidR="001F4A87">
        <w:rPr>
          <w:rFonts w:ascii="Times New Roman" w:hAnsi="Times New Roman"/>
          <w:sz w:val="24"/>
          <w:szCs w:val="24"/>
        </w:rPr>
        <w:t>.</w:t>
      </w:r>
    </w:p>
    <w:p w14:paraId="0F8F6CDA" w14:textId="1DCB5F91" w:rsidR="00406BE0" w:rsidRDefault="00406BE0" w:rsidP="001F4A87">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A new phase of the National Single Window </w:t>
      </w:r>
      <w:r w:rsidR="007022C9">
        <w:rPr>
          <w:rFonts w:ascii="Times New Roman" w:hAnsi="Times New Roman"/>
          <w:sz w:val="24"/>
          <w:szCs w:val="24"/>
        </w:rPr>
        <w:t xml:space="preserve">has </w:t>
      </w:r>
      <w:r>
        <w:rPr>
          <w:rFonts w:ascii="Times New Roman" w:hAnsi="Times New Roman"/>
          <w:sz w:val="24"/>
          <w:szCs w:val="24"/>
        </w:rPr>
        <w:t>introduced more features to speed up the customs proce</w:t>
      </w:r>
      <w:r w:rsidR="007022C9">
        <w:rPr>
          <w:rFonts w:ascii="Times New Roman" w:hAnsi="Times New Roman"/>
          <w:sz w:val="24"/>
          <w:szCs w:val="24"/>
        </w:rPr>
        <w:t>dures</w:t>
      </w:r>
      <w:r>
        <w:rPr>
          <w:rFonts w:ascii="Times New Roman" w:hAnsi="Times New Roman"/>
          <w:sz w:val="24"/>
          <w:szCs w:val="24"/>
        </w:rPr>
        <w:t xml:space="preserve">. </w:t>
      </w:r>
    </w:p>
    <w:p w14:paraId="6629BBEE" w14:textId="61D3CCE8" w:rsidR="00DF4DA9" w:rsidRDefault="00DF4DA9" w:rsidP="001F4A87">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Revised legislation </w:t>
      </w:r>
      <w:r w:rsidR="00C37872">
        <w:rPr>
          <w:rFonts w:ascii="Times New Roman" w:hAnsi="Times New Roman"/>
          <w:sz w:val="24"/>
          <w:szCs w:val="24"/>
        </w:rPr>
        <w:t>on competition policy is expected to enter into force this year.</w:t>
      </w:r>
    </w:p>
    <w:p w14:paraId="6A1B79E4" w14:textId="59DE2C64" w:rsidR="00C37872" w:rsidRDefault="000C4C5F" w:rsidP="001F4A87">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New bidding systems were introduced in government procurement process to enhance transparency</w:t>
      </w:r>
      <w:r w:rsidR="00047E67">
        <w:rPr>
          <w:rFonts w:ascii="Times New Roman" w:hAnsi="Times New Roman"/>
          <w:sz w:val="24"/>
          <w:szCs w:val="24"/>
        </w:rPr>
        <w:t>.</w:t>
      </w:r>
    </w:p>
    <w:p w14:paraId="3B201744" w14:textId="1568BD59" w:rsidR="000C4C5F" w:rsidRPr="001F4A87" w:rsidRDefault="000C4C5F" w:rsidP="001F4A87">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Revised legislation ensures that </w:t>
      </w:r>
      <w:r w:rsidR="00A353F6">
        <w:rPr>
          <w:rFonts w:ascii="Times New Roman" w:hAnsi="Times New Roman"/>
          <w:sz w:val="24"/>
          <w:szCs w:val="24"/>
        </w:rPr>
        <w:t xml:space="preserve">most </w:t>
      </w:r>
      <w:r>
        <w:rPr>
          <w:rFonts w:ascii="Times New Roman" w:hAnsi="Times New Roman"/>
          <w:sz w:val="24"/>
          <w:szCs w:val="24"/>
        </w:rPr>
        <w:t xml:space="preserve">laws and regulations are reviewed </w:t>
      </w:r>
      <w:r w:rsidR="00A353F6">
        <w:rPr>
          <w:rFonts w:ascii="Times New Roman" w:hAnsi="Times New Roman"/>
          <w:sz w:val="24"/>
          <w:szCs w:val="24"/>
        </w:rPr>
        <w:t>every five years</w:t>
      </w:r>
      <w:r w:rsidR="00C70047">
        <w:rPr>
          <w:rFonts w:ascii="Times New Roman" w:hAnsi="Times New Roman"/>
          <w:sz w:val="24"/>
          <w:szCs w:val="24"/>
        </w:rPr>
        <w:t>.</w:t>
      </w:r>
    </w:p>
    <w:p w14:paraId="592953B5" w14:textId="77777777" w:rsidR="003763E3" w:rsidRPr="00E314E4" w:rsidRDefault="003763E3" w:rsidP="003763E3">
      <w:pPr>
        <w:pStyle w:val="ListParagraph"/>
        <w:spacing w:after="0" w:line="240" w:lineRule="auto"/>
        <w:jc w:val="both"/>
        <w:rPr>
          <w:rFonts w:ascii="Times New Roman" w:hAnsi="Times New Roman"/>
          <w:sz w:val="24"/>
          <w:szCs w:val="24"/>
        </w:rPr>
      </w:pPr>
    </w:p>
    <w:tbl>
      <w:tblPr>
        <w:tblW w:w="9462" w:type="dxa"/>
        <w:tblInd w:w="91" w:type="dxa"/>
        <w:tblLook w:val="04A0" w:firstRow="1" w:lastRow="0" w:firstColumn="1" w:lastColumn="0" w:noHBand="0" w:noVBand="1"/>
      </w:tblPr>
      <w:tblGrid>
        <w:gridCol w:w="674"/>
        <w:gridCol w:w="8788"/>
      </w:tblGrid>
      <w:tr w:rsidR="00B81C5A" w:rsidRPr="001B3EEA" w14:paraId="0FEF3F0F" w14:textId="77777777" w:rsidTr="00B83CAF">
        <w:trPr>
          <w:trHeight w:val="315"/>
        </w:trPr>
        <w:tc>
          <w:tcPr>
            <w:tcW w:w="491" w:type="dxa"/>
            <w:tcBorders>
              <w:top w:val="nil"/>
              <w:left w:val="nil"/>
              <w:bottom w:val="nil"/>
              <w:right w:val="nil"/>
            </w:tcBorders>
            <w:shd w:val="clear" w:color="000000" w:fill="B6DDE8"/>
            <w:noWrap/>
            <w:vAlign w:val="bottom"/>
            <w:hideMark/>
          </w:tcPr>
          <w:p w14:paraId="217D35F3" w14:textId="77777777" w:rsidR="00B81C5A" w:rsidRPr="001B3EEA" w:rsidRDefault="00B81C5A" w:rsidP="00B83CAF">
            <w:pPr>
              <w:spacing w:after="0" w:line="240" w:lineRule="auto"/>
              <w:jc w:val="center"/>
              <w:rPr>
                <w:rFonts w:ascii="Times New Roman" w:eastAsia="Times New Roman" w:hAnsi="Times New Roman"/>
                <w:color w:val="000000"/>
              </w:rPr>
            </w:pPr>
            <w:r w:rsidRPr="001B3EEA">
              <w:rPr>
                <w:rFonts w:ascii="Times New Roman" w:eastAsia="Times New Roman" w:hAnsi="Times New Roman"/>
                <w:color w:val="000000"/>
              </w:rPr>
              <w:t> </w:t>
            </w:r>
          </w:p>
        </w:tc>
        <w:tc>
          <w:tcPr>
            <w:tcW w:w="6406" w:type="dxa"/>
            <w:tcBorders>
              <w:top w:val="nil"/>
              <w:left w:val="nil"/>
              <w:bottom w:val="nil"/>
              <w:right w:val="nil"/>
            </w:tcBorders>
            <w:shd w:val="clear" w:color="000000" w:fill="B6DDE8"/>
            <w:noWrap/>
            <w:vAlign w:val="bottom"/>
            <w:hideMark/>
          </w:tcPr>
          <w:p w14:paraId="5B8B7408" w14:textId="77777777" w:rsidR="00B81C5A" w:rsidRPr="001B3EEA" w:rsidRDefault="00B81C5A" w:rsidP="00525E6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Summary of </w:t>
            </w:r>
            <w:r w:rsidR="00525E6C">
              <w:rPr>
                <w:rFonts w:ascii="Times New Roman" w:eastAsia="Times New Roman" w:hAnsi="Times New Roman"/>
                <w:b/>
                <w:bCs/>
                <w:color w:val="000000"/>
                <w:sz w:val="24"/>
                <w:szCs w:val="24"/>
              </w:rPr>
              <w:t>Topics</w:t>
            </w:r>
          </w:p>
        </w:tc>
      </w:tr>
    </w:tbl>
    <w:p w14:paraId="6852E85B" w14:textId="77777777" w:rsidR="00FB45F2" w:rsidRDefault="00FB45F2" w:rsidP="006E4189">
      <w:pPr>
        <w:spacing w:after="0" w:line="240" w:lineRule="auto"/>
        <w:jc w:val="both"/>
        <w:rPr>
          <w:rFonts w:ascii="Times New Roman" w:hAnsi="Times New Roman"/>
          <w:sz w:val="24"/>
          <w:szCs w:val="24"/>
          <w:u w:val="single"/>
        </w:rPr>
      </w:pPr>
    </w:p>
    <w:p w14:paraId="4FA8D6F4" w14:textId="77777777" w:rsidR="00B81C5A" w:rsidRDefault="00ED5AF0" w:rsidP="006E4189">
      <w:pPr>
        <w:spacing w:after="0" w:line="240" w:lineRule="auto"/>
        <w:jc w:val="both"/>
        <w:rPr>
          <w:rFonts w:ascii="Times New Roman" w:hAnsi="Times New Roman"/>
          <w:b/>
          <w:color w:val="0070C0"/>
          <w:sz w:val="24"/>
          <w:szCs w:val="24"/>
        </w:rPr>
      </w:pPr>
      <w:r w:rsidRPr="00B81C5A">
        <w:rPr>
          <w:rFonts w:ascii="Times New Roman" w:hAnsi="Times New Roman"/>
          <w:b/>
          <w:color w:val="0070C0"/>
          <w:sz w:val="24"/>
          <w:szCs w:val="24"/>
        </w:rPr>
        <w:t>Tariffs</w:t>
      </w:r>
    </w:p>
    <w:p w14:paraId="1B4B3E10" w14:textId="01141F76" w:rsidR="00546FE7" w:rsidRDefault="006C7056" w:rsidP="006E4189">
      <w:pPr>
        <w:spacing w:after="0" w:line="240" w:lineRule="auto"/>
        <w:jc w:val="both"/>
        <w:rPr>
          <w:rFonts w:ascii="Times New Roman" w:hAnsi="Times New Roman"/>
          <w:sz w:val="24"/>
          <w:szCs w:val="24"/>
        </w:rPr>
      </w:pPr>
      <w:r>
        <w:rPr>
          <w:rFonts w:ascii="Times New Roman" w:hAnsi="Times New Roman"/>
          <w:sz w:val="24"/>
          <w:szCs w:val="24"/>
        </w:rPr>
        <w:t xml:space="preserve">According to its 2016 Individual Action Plan, </w:t>
      </w:r>
      <w:r w:rsidR="00047E67">
        <w:rPr>
          <w:rFonts w:ascii="Times New Roman" w:hAnsi="Times New Roman"/>
          <w:sz w:val="24"/>
          <w:szCs w:val="24"/>
        </w:rPr>
        <w:t>Thailand reported</w:t>
      </w:r>
      <w:r w:rsidR="00093E28">
        <w:rPr>
          <w:rFonts w:ascii="Times New Roman" w:hAnsi="Times New Roman"/>
          <w:sz w:val="24"/>
          <w:szCs w:val="24"/>
        </w:rPr>
        <w:t xml:space="preserve"> simple average MFN tariff of 11.2% in 2014. </w:t>
      </w:r>
      <w:r w:rsidR="00546FE7">
        <w:rPr>
          <w:rFonts w:ascii="Times New Roman" w:hAnsi="Times New Roman"/>
          <w:sz w:val="24"/>
          <w:szCs w:val="24"/>
        </w:rPr>
        <w:t xml:space="preserve">Average MFN applied duties have been lowered compared to last year </w:t>
      </w:r>
      <w:r w:rsidR="00C70047">
        <w:rPr>
          <w:rFonts w:ascii="Times New Roman" w:hAnsi="Times New Roman"/>
          <w:sz w:val="24"/>
          <w:szCs w:val="24"/>
        </w:rPr>
        <w:t>for</w:t>
      </w:r>
      <w:r w:rsidR="00546FE7">
        <w:rPr>
          <w:rFonts w:ascii="Times New Roman" w:hAnsi="Times New Roman"/>
          <w:sz w:val="24"/>
          <w:szCs w:val="24"/>
        </w:rPr>
        <w:t xml:space="preserve"> products such as fruit &amp; vegetables, fish, petroleum, wood &amp; paper and leather &amp; footwear.</w:t>
      </w:r>
    </w:p>
    <w:p w14:paraId="3098A31C" w14:textId="77777777" w:rsidR="00611ED3" w:rsidRDefault="00546FE7" w:rsidP="006E4189">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6AB644F5" w14:textId="49767423" w:rsidR="001F3E8D" w:rsidRDefault="005A0C85" w:rsidP="006E4189">
      <w:pPr>
        <w:spacing w:after="0" w:line="240" w:lineRule="auto"/>
        <w:jc w:val="both"/>
        <w:rPr>
          <w:rFonts w:ascii="Times New Roman" w:hAnsi="Times New Roman"/>
          <w:sz w:val="24"/>
          <w:szCs w:val="24"/>
        </w:rPr>
      </w:pPr>
      <w:r>
        <w:rPr>
          <w:rFonts w:ascii="Times New Roman" w:hAnsi="Times New Roman"/>
          <w:sz w:val="24"/>
          <w:szCs w:val="24"/>
        </w:rPr>
        <w:t>While around 23</w:t>
      </w:r>
      <w:r w:rsidR="00FF41EB">
        <w:rPr>
          <w:rFonts w:ascii="Times New Roman" w:hAnsi="Times New Roman"/>
          <w:sz w:val="24"/>
          <w:szCs w:val="24"/>
        </w:rPr>
        <w:t>.3</w:t>
      </w:r>
      <w:r w:rsidR="00C77FF8" w:rsidRPr="00FF41EB">
        <w:rPr>
          <w:rStyle w:val="CommentReference"/>
          <w:rFonts w:ascii="Times New Roman" w:hAnsi="Times New Roman"/>
          <w:sz w:val="24"/>
          <w:szCs w:val="24"/>
        </w:rPr>
        <w:t>%</w:t>
      </w:r>
      <w:r w:rsidR="00D15AE0" w:rsidRPr="005A0C85">
        <w:rPr>
          <w:rFonts w:ascii="Times New Roman" w:hAnsi="Times New Roman"/>
          <w:sz w:val="24"/>
          <w:szCs w:val="24"/>
        </w:rPr>
        <w:t xml:space="preserve"> of non-</w:t>
      </w:r>
      <w:r w:rsidRPr="005A0C85">
        <w:rPr>
          <w:rFonts w:ascii="Times New Roman" w:hAnsi="Times New Roman"/>
          <w:sz w:val="24"/>
          <w:szCs w:val="24"/>
        </w:rPr>
        <w:t xml:space="preserve">agricultural </w:t>
      </w:r>
      <w:r>
        <w:rPr>
          <w:rFonts w:ascii="Times New Roman" w:hAnsi="Times New Roman"/>
          <w:sz w:val="24"/>
          <w:szCs w:val="24"/>
        </w:rPr>
        <w:t>tariff lines</w:t>
      </w:r>
      <w:r w:rsidRPr="005A0C85">
        <w:rPr>
          <w:rFonts w:ascii="Times New Roman" w:hAnsi="Times New Roman"/>
          <w:sz w:val="24"/>
          <w:szCs w:val="24"/>
        </w:rPr>
        <w:t xml:space="preserve"> </w:t>
      </w:r>
      <w:r w:rsidR="00C70047">
        <w:rPr>
          <w:rFonts w:ascii="Times New Roman" w:hAnsi="Times New Roman"/>
          <w:sz w:val="24"/>
          <w:szCs w:val="24"/>
        </w:rPr>
        <w:t>were</w:t>
      </w:r>
      <w:r w:rsidRPr="005A0C85">
        <w:rPr>
          <w:rFonts w:ascii="Times New Roman" w:hAnsi="Times New Roman"/>
          <w:sz w:val="24"/>
          <w:szCs w:val="24"/>
        </w:rPr>
        <w:t xml:space="preserve"> duty free in 201</w:t>
      </w:r>
      <w:r w:rsidR="00C70047">
        <w:rPr>
          <w:rFonts w:ascii="Times New Roman" w:hAnsi="Times New Roman"/>
          <w:sz w:val="24"/>
          <w:szCs w:val="24"/>
        </w:rPr>
        <w:t>4</w:t>
      </w:r>
      <w:r>
        <w:rPr>
          <w:rFonts w:ascii="Times New Roman" w:hAnsi="Times New Roman"/>
          <w:sz w:val="24"/>
          <w:szCs w:val="24"/>
        </w:rPr>
        <w:t xml:space="preserve">, </w:t>
      </w:r>
      <w:r w:rsidR="00C77FF8">
        <w:rPr>
          <w:rFonts w:ascii="Times New Roman" w:hAnsi="Times New Roman"/>
          <w:sz w:val="24"/>
          <w:szCs w:val="24"/>
        </w:rPr>
        <w:t xml:space="preserve">only 4.4% of the agricultural tariff lines were duty free. Agricultural </w:t>
      </w:r>
      <w:r>
        <w:rPr>
          <w:rFonts w:ascii="Times New Roman" w:hAnsi="Times New Roman"/>
          <w:sz w:val="24"/>
          <w:szCs w:val="24"/>
        </w:rPr>
        <w:t xml:space="preserve">products still face considerably higher tariffs with more than half of the MFN applied tariff lines </w:t>
      </w:r>
      <w:r w:rsidR="00047E67">
        <w:rPr>
          <w:rFonts w:ascii="Times New Roman" w:hAnsi="Times New Roman"/>
          <w:sz w:val="24"/>
          <w:szCs w:val="24"/>
        </w:rPr>
        <w:t xml:space="preserve">lie </w:t>
      </w:r>
      <w:r w:rsidR="00C77FF8">
        <w:rPr>
          <w:rFonts w:ascii="Times New Roman" w:hAnsi="Times New Roman"/>
          <w:sz w:val="24"/>
          <w:szCs w:val="24"/>
        </w:rPr>
        <w:t>with</w:t>
      </w:r>
      <w:r>
        <w:rPr>
          <w:rFonts w:ascii="Times New Roman" w:hAnsi="Times New Roman"/>
          <w:sz w:val="24"/>
          <w:szCs w:val="24"/>
        </w:rPr>
        <w:t>in the 25-50</w:t>
      </w:r>
      <w:r w:rsidR="00C77FF8">
        <w:rPr>
          <w:rFonts w:ascii="Times New Roman" w:hAnsi="Times New Roman"/>
          <w:sz w:val="24"/>
          <w:szCs w:val="24"/>
        </w:rPr>
        <w:t>% range</w:t>
      </w:r>
      <w:r>
        <w:rPr>
          <w:rFonts w:ascii="Times New Roman" w:hAnsi="Times New Roman"/>
          <w:sz w:val="24"/>
          <w:szCs w:val="24"/>
        </w:rPr>
        <w:t xml:space="preserve"> in 2014. </w:t>
      </w:r>
      <w:r w:rsidR="00A14E61">
        <w:rPr>
          <w:rFonts w:ascii="Times New Roman" w:hAnsi="Times New Roman"/>
          <w:sz w:val="24"/>
          <w:szCs w:val="24"/>
        </w:rPr>
        <w:t xml:space="preserve">Products with notably high tariffs include beverages, spirits, tobacco, coffee and tea, and dairy products. </w:t>
      </w:r>
      <w:r>
        <w:rPr>
          <w:rFonts w:ascii="Times New Roman" w:hAnsi="Times New Roman"/>
          <w:sz w:val="24"/>
          <w:szCs w:val="24"/>
        </w:rPr>
        <w:t xml:space="preserve">Among non-agricultural products, transport equipment </w:t>
      </w:r>
      <w:r w:rsidR="00C77FF8">
        <w:rPr>
          <w:rFonts w:ascii="Times New Roman" w:hAnsi="Times New Roman"/>
          <w:sz w:val="24"/>
          <w:szCs w:val="24"/>
        </w:rPr>
        <w:t xml:space="preserve">and clothing </w:t>
      </w:r>
      <w:r>
        <w:rPr>
          <w:rFonts w:ascii="Times New Roman" w:hAnsi="Times New Roman"/>
          <w:sz w:val="24"/>
          <w:szCs w:val="24"/>
        </w:rPr>
        <w:t xml:space="preserve">reported </w:t>
      </w:r>
      <w:r w:rsidR="00C77FF8">
        <w:rPr>
          <w:rFonts w:ascii="Times New Roman" w:hAnsi="Times New Roman"/>
          <w:sz w:val="24"/>
          <w:szCs w:val="24"/>
        </w:rPr>
        <w:t xml:space="preserve">a </w:t>
      </w:r>
      <w:r>
        <w:rPr>
          <w:rFonts w:ascii="Times New Roman" w:hAnsi="Times New Roman"/>
          <w:sz w:val="24"/>
          <w:szCs w:val="24"/>
        </w:rPr>
        <w:t>relatively higher average tariff</w:t>
      </w:r>
      <w:r w:rsidR="00C77FF8">
        <w:rPr>
          <w:rFonts w:ascii="Times New Roman" w:hAnsi="Times New Roman"/>
          <w:sz w:val="24"/>
          <w:szCs w:val="24"/>
        </w:rPr>
        <w:t xml:space="preserve"> than others</w:t>
      </w:r>
      <w:r>
        <w:rPr>
          <w:rFonts w:ascii="Times New Roman" w:hAnsi="Times New Roman"/>
          <w:sz w:val="24"/>
          <w:szCs w:val="24"/>
        </w:rPr>
        <w:t>.</w:t>
      </w:r>
    </w:p>
    <w:p w14:paraId="6D805866" w14:textId="77777777" w:rsidR="00A14E61" w:rsidRDefault="00A14E61" w:rsidP="006E4189">
      <w:pPr>
        <w:spacing w:after="0" w:line="240" w:lineRule="auto"/>
        <w:jc w:val="both"/>
        <w:rPr>
          <w:rFonts w:ascii="Times New Roman" w:hAnsi="Times New Roman"/>
          <w:sz w:val="24"/>
          <w:szCs w:val="24"/>
        </w:rPr>
      </w:pPr>
    </w:p>
    <w:p w14:paraId="6FCC2262" w14:textId="0BA5750B" w:rsidR="00A14E61" w:rsidRPr="005A0C85" w:rsidRDefault="00A14E61" w:rsidP="006E4189">
      <w:pPr>
        <w:spacing w:after="0" w:line="240" w:lineRule="auto"/>
        <w:jc w:val="both"/>
        <w:rPr>
          <w:rFonts w:ascii="Times New Roman" w:hAnsi="Times New Roman"/>
          <w:sz w:val="24"/>
          <w:szCs w:val="24"/>
        </w:rPr>
      </w:pPr>
      <w:r>
        <w:rPr>
          <w:rFonts w:ascii="Times New Roman" w:hAnsi="Times New Roman"/>
          <w:sz w:val="24"/>
          <w:szCs w:val="24"/>
        </w:rPr>
        <w:t>Thailand has expanded its preferential trading commitments</w:t>
      </w:r>
      <w:r w:rsidR="006235AB">
        <w:rPr>
          <w:rFonts w:ascii="Times New Roman" w:hAnsi="Times New Roman"/>
          <w:sz w:val="24"/>
          <w:szCs w:val="24"/>
        </w:rPr>
        <w:t xml:space="preserve"> to its trading partners at </w:t>
      </w:r>
      <w:r w:rsidR="00A43933">
        <w:rPr>
          <w:rFonts w:ascii="Times New Roman" w:hAnsi="Times New Roman"/>
          <w:sz w:val="24"/>
          <w:szCs w:val="24"/>
        </w:rPr>
        <w:t xml:space="preserve">both </w:t>
      </w:r>
      <w:r w:rsidR="00C77FF8">
        <w:rPr>
          <w:rFonts w:ascii="Times New Roman" w:hAnsi="Times New Roman"/>
          <w:sz w:val="24"/>
          <w:szCs w:val="24"/>
        </w:rPr>
        <w:t xml:space="preserve">regional </w:t>
      </w:r>
      <w:r w:rsidR="006235AB">
        <w:rPr>
          <w:rFonts w:ascii="Times New Roman" w:hAnsi="Times New Roman"/>
          <w:sz w:val="24"/>
          <w:szCs w:val="24"/>
        </w:rPr>
        <w:t>an</w:t>
      </w:r>
      <w:r w:rsidR="00F046D7">
        <w:rPr>
          <w:rFonts w:ascii="Times New Roman" w:hAnsi="Times New Roman"/>
          <w:sz w:val="24"/>
          <w:szCs w:val="24"/>
        </w:rPr>
        <w:t>d bilateral levels</w:t>
      </w:r>
      <w:r w:rsidR="00C77FF8">
        <w:rPr>
          <w:rFonts w:ascii="Times New Roman" w:hAnsi="Times New Roman"/>
          <w:sz w:val="24"/>
          <w:szCs w:val="24"/>
        </w:rPr>
        <w:t xml:space="preserve"> through the </w:t>
      </w:r>
      <w:r w:rsidR="00047E67">
        <w:rPr>
          <w:rFonts w:ascii="Times New Roman" w:hAnsi="Times New Roman"/>
          <w:sz w:val="24"/>
          <w:szCs w:val="24"/>
        </w:rPr>
        <w:t>utilization</w:t>
      </w:r>
      <w:r w:rsidR="00C77FF8">
        <w:rPr>
          <w:rFonts w:ascii="Times New Roman" w:hAnsi="Times New Roman"/>
          <w:sz w:val="24"/>
          <w:szCs w:val="24"/>
        </w:rPr>
        <w:t xml:space="preserve"> of RTA/FTAs</w:t>
      </w:r>
      <w:r w:rsidR="00047E67">
        <w:rPr>
          <w:rFonts w:ascii="Times New Roman" w:hAnsi="Times New Roman"/>
          <w:sz w:val="24"/>
          <w:szCs w:val="24"/>
        </w:rPr>
        <w:t>.</w:t>
      </w:r>
      <w:r w:rsidR="00F046D7">
        <w:rPr>
          <w:rFonts w:ascii="Times New Roman" w:hAnsi="Times New Roman"/>
          <w:sz w:val="24"/>
          <w:szCs w:val="24"/>
        </w:rPr>
        <w:t xml:space="preserve"> </w:t>
      </w:r>
      <w:r w:rsidR="00047E67">
        <w:rPr>
          <w:rFonts w:ascii="Times New Roman" w:hAnsi="Times New Roman"/>
          <w:sz w:val="24"/>
          <w:szCs w:val="24"/>
        </w:rPr>
        <w:t>F</w:t>
      </w:r>
      <w:r w:rsidR="00F046D7">
        <w:rPr>
          <w:rFonts w:ascii="Times New Roman" w:hAnsi="Times New Roman"/>
          <w:sz w:val="24"/>
          <w:szCs w:val="24"/>
        </w:rPr>
        <w:t>or instance</w:t>
      </w:r>
      <w:r w:rsidR="004E02B0">
        <w:rPr>
          <w:rFonts w:ascii="Times New Roman" w:hAnsi="Times New Roman"/>
          <w:sz w:val="24"/>
          <w:szCs w:val="24"/>
        </w:rPr>
        <w:t xml:space="preserve"> </w:t>
      </w:r>
      <w:r w:rsidR="00A43933">
        <w:rPr>
          <w:rFonts w:ascii="Times New Roman" w:hAnsi="Times New Roman"/>
          <w:sz w:val="24"/>
          <w:szCs w:val="24"/>
        </w:rPr>
        <w:t xml:space="preserve">it </w:t>
      </w:r>
      <w:r w:rsidR="004E02B0">
        <w:rPr>
          <w:rFonts w:ascii="Times New Roman" w:hAnsi="Times New Roman"/>
          <w:sz w:val="24"/>
          <w:szCs w:val="24"/>
        </w:rPr>
        <w:t>grant</w:t>
      </w:r>
      <w:r w:rsidR="00A43933">
        <w:rPr>
          <w:rFonts w:ascii="Times New Roman" w:hAnsi="Times New Roman"/>
          <w:sz w:val="24"/>
          <w:szCs w:val="24"/>
        </w:rPr>
        <w:t>ed</w:t>
      </w:r>
      <w:r w:rsidR="004E02B0">
        <w:rPr>
          <w:rFonts w:ascii="Times New Roman" w:hAnsi="Times New Roman"/>
          <w:sz w:val="24"/>
          <w:szCs w:val="24"/>
        </w:rPr>
        <w:t xml:space="preserve"> tariff</w:t>
      </w:r>
      <w:r w:rsidR="006235AB">
        <w:rPr>
          <w:rFonts w:ascii="Times New Roman" w:hAnsi="Times New Roman"/>
          <w:sz w:val="24"/>
          <w:szCs w:val="24"/>
        </w:rPr>
        <w:t>-free access to goods originating in ASEAN trading partners</w:t>
      </w:r>
      <w:r w:rsidR="00C77FF8">
        <w:rPr>
          <w:rFonts w:ascii="Times New Roman" w:hAnsi="Times New Roman"/>
          <w:sz w:val="24"/>
          <w:szCs w:val="24"/>
        </w:rPr>
        <w:t>, except for 13 of them considered sensitive.</w:t>
      </w:r>
    </w:p>
    <w:p w14:paraId="05500802" w14:textId="77777777" w:rsidR="006E4189" w:rsidRPr="00BB5F89" w:rsidRDefault="006E4189" w:rsidP="006E4189">
      <w:pPr>
        <w:spacing w:after="0" w:line="240" w:lineRule="auto"/>
        <w:jc w:val="both"/>
        <w:rPr>
          <w:rFonts w:ascii="Times New Roman" w:hAnsi="Times New Roman"/>
          <w:sz w:val="24"/>
          <w:szCs w:val="24"/>
          <w:highlight w:val="yellow"/>
        </w:rPr>
      </w:pPr>
    </w:p>
    <w:p w14:paraId="6A4FF8AF" w14:textId="77777777" w:rsidR="00B81C5A" w:rsidRDefault="00534035" w:rsidP="006E4189">
      <w:pPr>
        <w:spacing w:after="0" w:line="240" w:lineRule="auto"/>
        <w:jc w:val="both"/>
        <w:rPr>
          <w:rFonts w:ascii="Times New Roman" w:hAnsi="Times New Roman"/>
          <w:sz w:val="24"/>
          <w:szCs w:val="24"/>
          <w:u w:val="single"/>
        </w:rPr>
      </w:pPr>
      <w:r w:rsidRPr="00B81C5A">
        <w:rPr>
          <w:rFonts w:ascii="Times New Roman" w:hAnsi="Times New Roman"/>
          <w:b/>
          <w:color w:val="0070C0"/>
          <w:sz w:val="24"/>
          <w:szCs w:val="24"/>
        </w:rPr>
        <w:t>Non-Tariff Measures</w:t>
      </w:r>
    </w:p>
    <w:p w14:paraId="1904481D" w14:textId="77777777" w:rsidR="004E02B0" w:rsidRDefault="0061070D" w:rsidP="009061F8">
      <w:pPr>
        <w:spacing w:after="0" w:line="240" w:lineRule="auto"/>
        <w:jc w:val="both"/>
        <w:rPr>
          <w:rFonts w:ascii="Times New Roman" w:hAnsi="Times New Roman"/>
          <w:sz w:val="24"/>
          <w:szCs w:val="24"/>
        </w:rPr>
      </w:pPr>
      <w:r>
        <w:rPr>
          <w:rFonts w:ascii="Times New Roman" w:hAnsi="Times New Roman"/>
          <w:sz w:val="24"/>
          <w:szCs w:val="24"/>
        </w:rPr>
        <w:t>In 20</w:t>
      </w:r>
      <w:r w:rsidR="0087672A">
        <w:rPr>
          <w:rFonts w:ascii="Times New Roman" w:hAnsi="Times New Roman"/>
          <w:sz w:val="24"/>
          <w:szCs w:val="24"/>
        </w:rPr>
        <w:t>14, tariff-rate quotas (TRQ) were</w:t>
      </w:r>
      <w:r>
        <w:rPr>
          <w:rFonts w:ascii="Times New Roman" w:hAnsi="Times New Roman"/>
          <w:sz w:val="24"/>
          <w:szCs w:val="24"/>
        </w:rPr>
        <w:t xml:space="preserve"> applied to 23 agricultural products, representing 1.2% of all tariff lines.</w:t>
      </w:r>
    </w:p>
    <w:p w14:paraId="7F965139" w14:textId="51DA29F9" w:rsidR="0087672A" w:rsidRPr="0061070D" w:rsidRDefault="0087672A" w:rsidP="009061F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In general, import prohibitions are imposed on goods that endanger public morals, </w:t>
      </w:r>
      <w:r w:rsidR="00DC0B83">
        <w:rPr>
          <w:rFonts w:ascii="Times New Roman" w:hAnsi="Times New Roman"/>
          <w:sz w:val="24"/>
          <w:szCs w:val="24"/>
        </w:rPr>
        <w:t xml:space="preserve">domestic </w:t>
      </w:r>
      <w:r>
        <w:rPr>
          <w:rFonts w:ascii="Times New Roman" w:hAnsi="Times New Roman"/>
          <w:sz w:val="24"/>
          <w:szCs w:val="24"/>
        </w:rPr>
        <w:t xml:space="preserve">security, human or animal life, health and intellectual property. </w:t>
      </w:r>
      <w:r w:rsidR="00DC0B83">
        <w:rPr>
          <w:rFonts w:ascii="Times New Roman" w:hAnsi="Times New Roman"/>
          <w:sz w:val="24"/>
          <w:szCs w:val="24"/>
        </w:rPr>
        <w:t>Some examples of import prohibitions cover goods such as</w:t>
      </w:r>
      <w:r>
        <w:rPr>
          <w:rFonts w:ascii="Times New Roman" w:hAnsi="Times New Roman"/>
          <w:sz w:val="24"/>
          <w:szCs w:val="24"/>
        </w:rPr>
        <w:t xml:space="preserve"> electronic cigarette</w:t>
      </w:r>
      <w:r w:rsidR="00DC0B83">
        <w:rPr>
          <w:rFonts w:ascii="Times New Roman" w:hAnsi="Times New Roman"/>
          <w:sz w:val="24"/>
          <w:szCs w:val="24"/>
        </w:rPr>
        <w:t>s</w:t>
      </w:r>
      <w:r>
        <w:rPr>
          <w:rFonts w:ascii="Times New Roman" w:hAnsi="Times New Roman"/>
          <w:sz w:val="24"/>
          <w:szCs w:val="24"/>
        </w:rPr>
        <w:t>, CFC refrigerators</w:t>
      </w:r>
      <w:r w:rsidR="00DC0B83">
        <w:rPr>
          <w:rFonts w:ascii="Times New Roman" w:hAnsi="Times New Roman"/>
          <w:sz w:val="24"/>
          <w:szCs w:val="24"/>
        </w:rPr>
        <w:t>,</w:t>
      </w:r>
      <w:r>
        <w:rPr>
          <w:rFonts w:ascii="Times New Roman" w:hAnsi="Times New Roman"/>
          <w:sz w:val="24"/>
          <w:szCs w:val="24"/>
        </w:rPr>
        <w:t xml:space="preserve"> used car bodies</w:t>
      </w:r>
      <w:r w:rsidR="00DC0B83">
        <w:rPr>
          <w:rFonts w:ascii="Times New Roman" w:hAnsi="Times New Roman"/>
          <w:sz w:val="24"/>
          <w:szCs w:val="24"/>
        </w:rPr>
        <w:t xml:space="preserve">, used </w:t>
      </w:r>
      <w:r w:rsidR="00AB2EF1">
        <w:rPr>
          <w:rFonts w:ascii="Times New Roman" w:hAnsi="Times New Roman"/>
          <w:sz w:val="24"/>
          <w:szCs w:val="24"/>
        </w:rPr>
        <w:t>tires</w:t>
      </w:r>
      <w:r w:rsidR="00DC0B83">
        <w:rPr>
          <w:rFonts w:ascii="Times New Roman" w:hAnsi="Times New Roman"/>
          <w:sz w:val="24"/>
          <w:szCs w:val="24"/>
        </w:rPr>
        <w:t>, slot machines, among others</w:t>
      </w:r>
      <w:r>
        <w:rPr>
          <w:rFonts w:ascii="Times New Roman" w:hAnsi="Times New Roman"/>
          <w:sz w:val="24"/>
          <w:szCs w:val="24"/>
        </w:rPr>
        <w:t>.</w:t>
      </w:r>
    </w:p>
    <w:p w14:paraId="44B6E254" w14:textId="77777777" w:rsidR="00B07F31" w:rsidRDefault="00B07F31" w:rsidP="009061F8">
      <w:pPr>
        <w:spacing w:after="0" w:line="240" w:lineRule="auto"/>
        <w:jc w:val="both"/>
        <w:rPr>
          <w:rFonts w:ascii="Times New Roman" w:hAnsi="Times New Roman"/>
          <w:color w:val="808080" w:themeColor="background1" w:themeShade="80"/>
          <w:sz w:val="24"/>
          <w:szCs w:val="24"/>
        </w:rPr>
      </w:pPr>
    </w:p>
    <w:p w14:paraId="37159CA3" w14:textId="39891930" w:rsidR="00796D76" w:rsidRPr="00915B0D" w:rsidRDefault="00595564" w:rsidP="00796D76">
      <w:pPr>
        <w:spacing w:after="0" w:line="240" w:lineRule="auto"/>
        <w:jc w:val="both"/>
        <w:rPr>
          <w:rFonts w:ascii="Times New Roman" w:hAnsi="Times New Roman"/>
          <w:sz w:val="24"/>
          <w:szCs w:val="24"/>
        </w:rPr>
      </w:pPr>
      <w:r>
        <w:rPr>
          <w:rFonts w:ascii="Times New Roman" w:hAnsi="Times New Roman"/>
          <w:sz w:val="24"/>
          <w:szCs w:val="24"/>
        </w:rPr>
        <w:t>Thailand has reported</w:t>
      </w:r>
      <w:r w:rsidR="005875D3">
        <w:rPr>
          <w:rFonts w:ascii="Times New Roman" w:hAnsi="Times New Roman"/>
          <w:sz w:val="24"/>
          <w:szCs w:val="24"/>
        </w:rPr>
        <w:t xml:space="preserve"> no import or export levies nor export subsidies in place</w:t>
      </w:r>
      <w:r w:rsidR="00DD0D4A">
        <w:rPr>
          <w:rFonts w:ascii="Times New Roman" w:hAnsi="Times New Roman"/>
          <w:sz w:val="24"/>
          <w:szCs w:val="24"/>
        </w:rPr>
        <w:t>, but export taxes</w:t>
      </w:r>
      <w:r w:rsidR="00F366F9">
        <w:rPr>
          <w:rFonts w:ascii="Times New Roman" w:hAnsi="Times New Roman"/>
          <w:sz w:val="24"/>
          <w:szCs w:val="24"/>
        </w:rPr>
        <w:t xml:space="preserve"> are</w:t>
      </w:r>
      <w:r w:rsidR="00DD0D4A">
        <w:rPr>
          <w:rFonts w:ascii="Times New Roman" w:hAnsi="Times New Roman"/>
          <w:sz w:val="24"/>
          <w:szCs w:val="24"/>
        </w:rPr>
        <w:t xml:space="preserve"> applied to specific products such as hides of bovine animals and </w:t>
      </w:r>
      <w:r w:rsidR="00F366F9">
        <w:rPr>
          <w:rFonts w:ascii="Times New Roman" w:hAnsi="Times New Roman"/>
          <w:sz w:val="24"/>
          <w:szCs w:val="24"/>
        </w:rPr>
        <w:t xml:space="preserve">certain </w:t>
      </w:r>
      <w:r w:rsidR="00DD0D4A">
        <w:rPr>
          <w:rFonts w:ascii="Times New Roman" w:hAnsi="Times New Roman"/>
          <w:sz w:val="24"/>
          <w:szCs w:val="24"/>
        </w:rPr>
        <w:t>wood</w:t>
      </w:r>
      <w:r w:rsidR="00F366F9">
        <w:rPr>
          <w:rFonts w:ascii="Times New Roman" w:hAnsi="Times New Roman"/>
          <w:sz w:val="24"/>
          <w:szCs w:val="24"/>
        </w:rPr>
        <w:t>-related products</w:t>
      </w:r>
      <w:r w:rsidR="005875D3">
        <w:rPr>
          <w:rFonts w:ascii="Times New Roman" w:hAnsi="Times New Roman"/>
          <w:sz w:val="24"/>
          <w:szCs w:val="24"/>
        </w:rPr>
        <w:t>.</w:t>
      </w:r>
      <w:r w:rsidR="00242689">
        <w:rPr>
          <w:rFonts w:ascii="Times New Roman" w:hAnsi="Times New Roman"/>
          <w:sz w:val="24"/>
          <w:szCs w:val="24"/>
        </w:rPr>
        <w:t xml:space="preserve"> New import licensing requirement for automotive </w:t>
      </w:r>
      <w:r w:rsidR="00F366F9">
        <w:rPr>
          <w:rFonts w:ascii="Times New Roman" w:hAnsi="Times New Roman"/>
          <w:sz w:val="24"/>
          <w:szCs w:val="24"/>
        </w:rPr>
        <w:t xml:space="preserve">tires </w:t>
      </w:r>
      <w:r w:rsidR="00CE2A5A">
        <w:rPr>
          <w:rFonts w:ascii="Times New Roman" w:hAnsi="Times New Roman"/>
          <w:sz w:val="24"/>
          <w:szCs w:val="24"/>
        </w:rPr>
        <w:t>came</w:t>
      </w:r>
      <w:r w:rsidR="00242689">
        <w:rPr>
          <w:rFonts w:ascii="Times New Roman" w:hAnsi="Times New Roman"/>
          <w:sz w:val="24"/>
          <w:szCs w:val="24"/>
        </w:rPr>
        <w:t xml:space="preserve"> into force since March 2013 with additional prerequisite to obtain a Certificate of Competent Authority (COCA) issued by the government of exporting </w:t>
      </w:r>
      <w:r w:rsidR="00F366F9">
        <w:rPr>
          <w:rFonts w:ascii="Times New Roman" w:hAnsi="Times New Roman"/>
          <w:sz w:val="24"/>
          <w:szCs w:val="24"/>
        </w:rPr>
        <w:t>side</w:t>
      </w:r>
      <w:r w:rsidR="00242689">
        <w:rPr>
          <w:rFonts w:ascii="Times New Roman" w:hAnsi="Times New Roman"/>
          <w:sz w:val="24"/>
          <w:szCs w:val="24"/>
        </w:rPr>
        <w:t>.</w:t>
      </w:r>
    </w:p>
    <w:p w14:paraId="5326F72D" w14:textId="77777777" w:rsidR="00796D76" w:rsidRDefault="00796D76" w:rsidP="00796D76">
      <w:pPr>
        <w:spacing w:after="0" w:line="240" w:lineRule="auto"/>
        <w:jc w:val="both"/>
        <w:rPr>
          <w:rFonts w:ascii="Times New Roman" w:hAnsi="Times New Roman"/>
          <w:sz w:val="24"/>
          <w:szCs w:val="24"/>
        </w:rPr>
      </w:pPr>
    </w:p>
    <w:p w14:paraId="18E54AA6" w14:textId="77777777" w:rsidR="00796D76" w:rsidRDefault="00796D76" w:rsidP="00796D76">
      <w:pPr>
        <w:spacing w:after="0" w:line="240" w:lineRule="auto"/>
        <w:jc w:val="both"/>
        <w:rPr>
          <w:rFonts w:ascii="Times New Roman" w:hAnsi="Times New Roman"/>
          <w:b/>
          <w:color w:val="0070C0"/>
          <w:sz w:val="24"/>
          <w:szCs w:val="24"/>
        </w:rPr>
      </w:pPr>
      <w:r>
        <w:rPr>
          <w:rFonts w:ascii="Times New Roman" w:hAnsi="Times New Roman"/>
          <w:b/>
          <w:color w:val="0070C0"/>
          <w:sz w:val="24"/>
          <w:szCs w:val="24"/>
        </w:rPr>
        <w:t>S</w:t>
      </w:r>
      <w:r w:rsidRPr="00B81C5A">
        <w:rPr>
          <w:rFonts w:ascii="Times New Roman" w:hAnsi="Times New Roman"/>
          <w:b/>
          <w:color w:val="0070C0"/>
          <w:sz w:val="24"/>
          <w:szCs w:val="24"/>
        </w:rPr>
        <w:t>ervices</w:t>
      </w:r>
      <w:r>
        <w:rPr>
          <w:rFonts w:ascii="Times New Roman" w:hAnsi="Times New Roman"/>
          <w:b/>
          <w:color w:val="0070C0"/>
          <w:sz w:val="24"/>
          <w:szCs w:val="24"/>
        </w:rPr>
        <w:t xml:space="preserve"> </w:t>
      </w:r>
    </w:p>
    <w:p w14:paraId="2F6D78DB" w14:textId="325A0B4E" w:rsidR="00915B0D" w:rsidRDefault="00DA0212" w:rsidP="00796D76">
      <w:pPr>
        <w:spacing w:after="0" w:line="240" w:lineRule="auto"/>
        <w:jc w:val="both"/>
        <w:rPr>
          <w:rFonts w:ascii="Times New Roman" w:hAnsi="Times New Roman"/>
          <w:sz w:val="24"/>
          <w:szCs w:val="24"/>
        </w:rPr>
      </w:pPr>
      <w:r>
        <w:rPr>
          <w:rFonts w:ascii="Times New Roman" w:hAnsi="Times New Roman"/>
          <w:sz w:val="24"/>
          <w:szCs w:val="24"/>
        </w:rPr>
        <w:t xml:space="preserve">The </w:t>
      </w:r>
      <w:r w:rsidR="006F027A">
        <w:rPr>
          <w:rFonts w:ascii="Times New Roman" w:hAnsi="Times New Roman"/>
          <w:sz w:val="24"/>
          <w:szCs w:val="24"/>
        </w:rPr>
        <w:t xml:space="preserve">Ministry of Information and Communication Technology has introduced several bills, </w:t>
      </w:r>
      <w:r w:rsidR="0020109C">
        <w:rPr>
          <w:rFonts w:ascii="Times New Roman" w:hAnsi="Times New Roman"/>
          <w:sz w:val="24"/>
          <w:szCs w:val="24"/>
        </w:rPr>
        <w:t>aim</w:t>
      </w:r>
      <w:r w:rsidR="00F80FD9">
        <w:rPr>
          <w:rFonts w:ascii="Times New Roman" w:hAnsi="Times New Roman"/>
          <w:sz w:val="24"/>
          <w:szCs w:val="24"/>
        </w:rPr>
        <w:t>ing</w:t>
      </w:r>
      <w:r w:rsidR="006F027A">
        <w:rPr>
          <w:rFonts w:ascii="Times New Roman" w:hAnsi="Times New Roman"/>
          <w:sz w:val="24"/>
          <w:szCs w:val="24"/>
        </w:rPr>
        <w:t xml:space="preserve"> to transform Thailand as a digital economy.</w:t>
      </w:r>
      <w:r w:rsidR="002B5B5E">
        <w:rPr>
          <w:rFonts w:ascii="Times New Roman" w:hAnsi="Times New Roman"/>
          <w:sz w:val="24"/>
          <w:szCs w:val="24"/>
        </w:rPr>
        <w:t xml:space="preserve"> Proposed features in the bills include </w:t>
      </w:r>
      <w:r w:rsidR="00F80FD9">
        <w:rPr>
          <w:rFonts w:ascii="Times New Roman" w:hAnsi="Times New Roman"/>
          <w:sz w:val="24"/>
          <w:szCs w:val="24"/>
        </w:rPr>
        <w:t xml:space="preserve">updating </w:t>
      </w:r>
      <w:r w:rsidR="002B5B5E">
        <w:rPr>
          <w:rFonts w:ascii="Times New Roman" w:hAnsi="Times New Roman"/>
          <w:sz w:val="24"/>
          <w:szCs w:val="24"/>
        </w:rPr>
        <w:t xml:space="preserve">existing regulations to capture the pace of technological change; </w:t>
      </w:r>
      <w:r w:rsidR="00F80FD9">
        <w:rPr>
          <w:rFonts w:ascii="Times New Roman" w:hAnsi="Times New Roman"/>
          <w:sz w:val="24"/>
          <w:szCs w:val="24"/>
        </w:rPr>
        <w:t xml:space="preserve">encouraging </w:t>
      </w:r>
      <w:r w:rsidR="002B5B5E">
        <w:rPr>
          <w:rFonts w:ascii="Times New Roman" w:hAnsi="Times New Roman"/>
          <w:sz w:val="24"/>
          <w:szCs w:val="24"/>
        </w:rPr>
        <w:t>development of public e-services</w:t>
      </w:r>
      <w:r w:rsidR="00F80FD9">
        <w:rPr>
          <w:rFonts w:ascii="Times New Roman" w:hAnsi="Times New Roman"/>
          <w:sz w:val="24"/>
          <w:szCs w:val="24"/>
        </w:rPr>
        <w:t>;</w:t>
      </w:r>
      <w:r w:rsidR="002B5B5E">
        <w:rPr>
          <w:rFonts w:ascii="Times New Roman" w:hAnsi="Times New Roman"/>
          <w:sz w:val="24"/>
          <w:szCs w:val="24"/>
        </w:rPr>
        <w:t xml:space="preserve"> and boost</w:t>
      </w:r>
      <w:r w:rsidR="00F80FD9">
        <w:rPr>
          <w:rFonts w:ascii="Times New Roman" w:hAnsi="Times New Roman"/>
          <w:sz w:val="24"/>
          <w:szCs w:val="24"/>
        </w:rPr>
        <w:t>ing</w:t>
      </w:r>
      <w:r w:rsidR="002B5B5E">
        <w:rPr>
          <w:rFonts w:ascii="Times New Roman" w:hAnsi="Times New Roman"/>
          <w:sz w:val="24"/>
          <w:szCs w:val="24"/>
        </w:rPr>
        <w:t xml:space="preserve"> the use of technology among businesses.</w:t>
      </w:r>
      <w:r w:rsidR="00930419">
        <w:rPr>
          <w:rFonts w:ascii="Times New Roman" w:hAnsi="Times New Roman"/>
          <w:sz w:val="24"/>
          <w:szCs w:val="24"/>
        </w:rPr>
        <w:t xml:space="preserve"> </w:t>
      </w:r>
    </w:p>
    <w:p w14:paraId="4265A0D2" w14:textId="77777777" w:rsidR="00AB0240" w:rsidRDefault="00AB0240" w:rsidP="00796D76">
      <w:pPr>
        <w:spacing w:after="0" w:line="240" w:lineRule="auto"/>
        <w:jc w:val="both"/>
        <w:rPr>
          <w:rFonts w:ascii="Times New Roman" w:hAnsi="Times New Roman"/>
          <w:sz w:val="24"/>
          <w:szCs w:val="24"/>
        </w:rPr>
      </w:pPr>
    </w:p>
    <w:p w14:paraId="4FD76D1B" w14:textId="64272EA6" w:rsidR="00AB0240" w:rsidRDefault="00AB0240" w:rsidP="00796D76">
      <w:pPr>
        <w:spacing w:after="0" w:line="240" w:lineRule="auto"/>
        <w:jc w:val="both"/>
        <w:rPr>
          <w:rFonts w:ascii="Times New Roman" w:hAnsi="Times New Roman"/>
          <w:sz w:val="24"/>
          <w:szCs w:val="24"/>
        </w:rPr>
      </w:pPr>
      <w:r>
        <w:rPr>
          <w:rFonts w:ascii="Times New Roman" w:hAnsi="Times New Roman"/>
          <w:sz w:val="24"/>
          <w:szCs w:val="24"/>
        </w:rPr>
        <w:t xml:space="preserve">In air transport, </w:t>
      </w:r>
      <w:r w:rsidR="00FE780B">
        <w:rPr>
          <w:rFonts w:ascii="Times New Roman" w:hAnsi="Times New Roman"/>
          <w:sz w:val="24"/>
          <w:szCs w:val="24"/>
        </w:rPr>
        <w:t>a</w:t>
      </w:r>
      <w:r w:rsidR="0020109C">
        <w:rPr>
          <w:rFonts w:ascii="Times New Roman" w:hAnsi="Times New Roman"/>
          <w:sz w:val="24"/>
          <w:szCs w:val="24"/>
        </w:rPr>
        <w:t xml:space="preserve"> maximum </w:t>
      </w:r>
      <w:r w:rsidR="00FE780B">
        <w:rPr>
          <w:rFonts w:ascii="Times New Roman" w:hAnsi="Times New Roman"/>
          <w:sz w:val="24"/>
          <w:szCs w:val="24"/>
        </w:rPr>
        <w:t xml:space="preserve">of </w:t>
      </w:r>
      <w:r w:rsidR="00592AFB">
        <w:rPr>
          <w:rFonts w:ascii="Times New Roman" w:hAnsi="Times New Roman"/>
          <w:sz w:val="24"/>
          <w:szCs w:val="24"/>
        </w:rPr>
        <w:t>7</w:t>
      </w:r>
      <w:r w:rsidR="0020109C">
        <w:rPr>
          <w:rFonts w:ascii="Times New Roman" w:hAnsi="Times New Roman"/>
          <w:sz w:val="24"/>
          <w:szCs w:val="24"/>
        </w:rPr>
        <w:t>0</w:t>
      </w:r>
      <w:r w:rsidR="00FE780B">
        <w:rPr>
          <w:rFonts w:ascii="Times New Roman" w:hAnsi="Times New Roman"/>
          <w:sz w:val="24"/>
          <w:szCs w:val="24"/>
        </w:rPr>
        <w:t>%</w:t>
      </w:r>
      <w:r>
        <w:rPr>
          <w:rFonts w:ascii="Times New Roman" w:hAnsi="Times New Roman"/>
          <w:sz w:val="24"/>
          <w:szCs w:val="24"/>
        </w:rPr>
        <w:t xml:space="preserve"> of foreign equity participation on domestic air transportation</w:t>
      </w:r>
      <w:r w:rsidR="00FE780B">
        <w:rPr>
          <w:rFonts w:ascii="Times New Roman" w:hAnsi="Times New Roman"/>
          <w:sz w:val="24"/>
          <w:szCs w:val="24"/>
        </w:rPr>
        <w:t xml:space="preserve"> is allowed</w:t>
      </w:r>
      <w:r>
        <w:rPr>
          <w:rFonts w:ascii="Times New Roman" w:hAnsi="Times New Roman"/>
          <w:sz w:val="24"/>
          <w:szCs w:val="24"/>
        </w:rPr>
        <w:t>. As of</w:t>
      </w:r>
      <w:r w:rsidR="00592AFB">
        <w:rPr>
          <w:rFonts w:ascii="Times New Roman" w:hAnsi="Times New Roman"/>
          <w:sz w:val="24"/>
          <w:szCs w:val="24"/>
        </w:rPr>
        <w:t xml:space="preserve"> May 2014, Thailand maintains 99</w:t>
      </w:r>
      <w:r>
        <w:rPr>
          <w:rFonts w:ascii="Times New Roman" w:hAnsi="Times New Roman"/>
          <w:sz w:val="24"/>
          <w:szCs w:val="24"/>
        </w:rPr>
        <w:t xml:space="preserve"> bilateral air services agreements with other economies.</w:t>
      </w:r>
      <w:r w:rsidR="00A507B6">
        <w:rPr>
          <w:rFonts w:ascii="Times New Roman" w:hAnsi="Times New Roman"/>
          <w:sz w:val="24"/>
          <w:szCs w:val="24"/>
        </w:rPr>
        <w:t xml:space="preserve"> </w:t>
      </w:r>
      <w:r w:rsidR="005645C2">
        <w:rPr>
          <w:rFonts w:ascii="Times New Roman" w:hAnsi="Times New Roman"/>
          <w:sz w:val="24"/>
          <w:szCs w:val="24"/>
        </w:rPr>
        <w:t xml:space="preserve">Several FDI restrictions still apply in </w:t>
      </w:r>
      <w:r w:rsidR="00D7047A">
        <w:rPr>
          <w:rFonts w:ascii="Times New Roman" w:hAnsi="Times New Roman"/>
          <w:sz w:val="24"/>
          <w:szCs w:val="24"/>
        </w:rPr>
        <w:t xml:space="preserve">the </w:t>
      </w:r>
      <w:r w:rsidR="005645C2">
        <w:rPr>
          <w:rFonts w:ascii="Times New Roman" w:hAnsi="Times New Roman"/>
          <w:sz w:val="24"/>
          <w:szCs w:val="24"/>
        </w:rPr>
        <w:t xml:space="preserve">shipping industry </w:t>
      </w:r>
      <w:r w:rsidR="00064596">
        <w:rPr>
          <w:rFonts w:ascii="Times New Roman" w:hAnsi="Times New Roman"/>
          <w:sz w:val="24"/>
          <w:szCs w:val="24"/>
        </w:rPr>
        <w:t>on</w:t>
      </w:r>
      <w:r w:rsidR="005645C2">
        <w:rPr>
          <w:rFonts w:ascii="Times New Roman" w:hAnsi="Times New Roman"/>
          <w:sz w:val="24"/>
          <w:szCs w:val="24"/>
        </w:rPr>
        <w:t xml:space="preserve"> foreign firms </w:t>
      </w:r>
      <w:r w:rsidR="00064596">
        <w:rPr>
          <w:rFonts w:ascii="Times New Roman" w:hAnsi="Times New Roman"/>
          <w:sz w:val="24"/>
          <w:szCs w:val="24"/>
        </w:rPr>
        <w:t xml:space="preserve">who </w:t>
      </w:r>
      <w:r w:rsidR="005645C2">
        <w:rPr>
          <w:rFonts w:ascii="Times New Roman" w:hAnsi="Times New Roman"/>
          <w:sz w:val="24"/>
          <w:szCs w:val="24"/>
        </w:rPr>
        <w:t>wish to provide domestic shipping services.</w:t>
      </w:r>
      <w:r w:rsidR="00634ACE">
        <w:rPr>
          <w:rFonts w:ascii="Times New Roman" w:hAnsi="Times New Roman"/>
          <w:sz w:val="24"/>
          <w:szCs w:val="24"/>
        </w:rPr>
        <w:t xml:space="preserve"> In land transport, Thailand has engaged with several neighboring economies, like Malaysia, Lao</w:t>
      </w:r>
      <w:r w:rsidR="00064596">
        <w:rPr>
          <w:rFonts w:ascii="Times New Roman" w:hAnsi="Times New Roman"/>
          <w:sz w:val="24"/>
          <w:szCs w:val="24"/>
        </w:rPr>
        <w:t>s</w:t>
      </w:r>
      <w:r w:rsidR="00634ACE">
        <w:rPr>
          <w:rFonts w:ascii="Times New Roman" w:hAnsi="Times New Roman"/>
          <w:sz w:val="24"/>
          <w:szCs w:val="24"/>
        </w:rPr>
        <w:t xml:space="preserve"> and Cambodia, </w:t>
      </w:r>
      <w:r w:rsidR="00064596">
        <w:rPr>
          <w:rFonts w:ascii="Times New Roman" w:hAnsi="Times New Roman"/>
          <w:sz w:val="24"/>
          <w:szCs w:val="24"/>
        </w:rPr>
        <w:t>signing</w:t>
      </w:r>
      <w:r w:rsidR="00634ACE">
        <w:rPr>
          <w:rFonts w:ascii="Times New Roman" w:hAnsi="Times New Roman"/>
          <w:sz w:val="24"/>
          <w:szCs w:val="24"/>
        </w:rPr>
        <w:t xml:space="preserve"> bilateral agreements </w:t>
      </w:r>
      <w:r w:rsidR="00D7047A">
        <w:rPr>
          <w:rFonts w:ascii="Times New Roman" w:hAnsi="Times New Roman"/>
          <w:sz w:val="24"/>
          <w:szCs w:val="24"/>
        </w:rPr>
        <w:t>facilitating land crossings on goods and passengers</w:t>
      </w:r>
      <w:r w:rsidR="00634ACE">
        <w:rPr>
          <w:rFonts w:ascii="Times New Roman" w:hAnsi="Times New Roman"/>
          <w:sz w:val="24"/>
          <w:szCs w:val="24"/>
        </w:rPr>
        <w:t>.</w:t>
      </w:r>
    </w:p>
    <w:p w14:paraId="16819654" w14:textId="77777777" w:rsidR="005645C2" w:rsidRDefault="005645C2" w:rsidP="00796D76">
      <w:pPr>
        <w:spacing w:after="0" w:line="240" w:lineRule="auto"/>
        <w:jc w:val="both"/>
        <w:rPr>
          <w:rFonts w:ascii="Times New Roman" w:hAnsi="Times New Roman"/>
          <w:sz w:val="24"/>
          <w:szCs w:val="24"/>
        </w:rPr>
      </w:pPr>
    </w:p>
    <w:p w14:paraId="0470CF1D" w14:textId="43258B76" w:rsidR="005645C2" w:rsidRPr="00592AFB" w:rsidRDefault="00064596" w:rsidP="00796D76">
      <w:pPr>
        <w:spacing w:after="0" w:line="240" w:lineRule="auto"/>
        <w:jc w:val="both"/>
        <w:rPr>
          <w:rFonts w:ascii="Times New Roman" w:hAnsi="Times New Roman"/>
          <w:sz w:val="24"/>
          <w:szCs w:val="24"/>
        </w:rPr>
      </w:pPr>
      <w:r w:rsidRPr="00592AFB">
        <w:rPr>
          <w:rFonts w:ascii="Times New Roman" w:hAnsi="Times New Roman"/>
          <w:sz w:val="24"/>
          <w:szCs w:val="24"/>
        </w:rPr>
        <w:t>Under Tourism Business and Tour Guides Act</w:t>
      </w:r>
      <w:r w:rsidR="00592AFB">
        <w:rPr>
          <w:rFonts w:ascii="Times New Roman" w:hAnsi="Times New Roman"/>
          <w:sz w:val="24"/>
          <w:szCs w:val="24"/>
        </w:rPr>
        <w:t xml:space="preserve"> B.E. 2550(2007)</w:t>
      </w:r>
      <w:r w:rsidRPr="00592AFB">
        <w:rPr>
          <w:rFonts w:ascii="Times New Roman" w:hAnsi="Times New Roman"/>
          <w:sz w:val="24"/>
          <w:szCs w:val="24"/>
        </w:rPr>
        <w:t>, r</w:t>
      </w:r>
      <w:r w:rsidR="00651DC7" w:rsidRPr="00592AFB">
        <w:rPr>
          <w:rFonts w:ascii="Times New Roman" w:hAnsi="Times New Roman"/>
          <w:sz w:val="24"/>
          <w:szCs w:val="24"/>
        </w:rPr>
        <w:t>estrictions on foreign participation i</w:t>
      </w:r>
      <w:r w:rsidR="005645C2" w:rsidRPr="00592AFB">
        <w:rPr>
          <w:rFonts w:ascii="Times New Roman" w:hAnsi="Times New Roman"/>
          <w:sz w:val="24"/>
          <w:szCs w:val="24"/>
        </w:rPr>
        <w:t>n tourism sector</w:t>
      </w:r>
      <w:r w:rsidR="00651DC7" w:rsidRPr="00592AFB">
        <w:rPr>
          <w:rFonts w:ascii="Times New Roman" w:hAnsi="Times New Roman"/>
          <w:sz w:val="24"/>
          <w:szCs w:val="24"/>
        </w:rPr>
        <w:t>, such as ownership ceiling</w:t>
      </w:r>
      <w:r w:rsidR="00D7047A" w:rsidRPr="00592AFB">
        <w:rPr>
          <w:rFonts w:ascii="Times New Roman" w:hAnsi="Times New Roman"/>
          <w:sz w:val="24"/>
          <w:szCs w:val="24"/>
        </w:rPr>
        <w:t>s</w:t>
      </w:r>
      <w:r w:rsidR="00651DC7" w:rsidRPr="00592AFB">
        <w:rPr>
          <w:rFonts w:ascii="Times New Roman" w:hAnsi="Times New Roman"/>
          <w:sz w:val="24"/>
          <w:szCs w:val="24"/>
        </w:rPr>
        <w:t xml:space="preserve"> on hotel operator</w:t>
      </w:r>
      <w:r w:rsidR="00D7047A" w:rsidRPr="00592AFB">
        <w:rPr>
          <w:rFonts w:ascii="Times New Roman" w:hAnsi="Times New Roman"/>
          <w:sz w:val="24"/>
          <w:szCs w:val="24"/>
        </w:rPr>
        <w:t>s</w:t>
      </w:r>
      <w:r w:rsidR="00651DC7" w:rsidRPr="00592AFB">
        <w:rPr>
          <w:rFonts w:ascii="Times New Roman" w:hAnsi="Times New Roman"/>
          <w:sz w:val="24"/>
          <w:szCs w:val="24"/>
        </w:rPr>
        <w:t xml:space="preserve">, travel </w:t>
      </w:r>
      <w:r w:rsidR="00D7047A" w:rsidRPr="00592AFB">
        <w:rPr>
          <w:rFonts w:ascii="Times New Roman" w:hAnsi="Times New Roman"/>
          <w:sz w:val="24"/>
          <w:szCs w:val="24"/>
        </w:rPr>
        <w:t xml:space="preserve">agencies </w:t>
      </w:r>
      <w:r w:rsidR="0090719F" w:rsidRPr="00592AFB">
        <w:rPr>
          <w:rFonts w:ascii="Times New Roman" w:hAnsi="Times New Roman"/>
          <w:sz w:val="24"/>
          <w:szCs w:val="24"/>
        </w:rPr>
        <w:t xml:space="preserve">and tour operators, </w:t>
      </w:r>
      <w:r w:rsidR="00D7047A" w:rsidRPr="00592AFB">
        <w:rPr>
          <w:rFonts w:ascii="Times New Roman" w:hAnsi="Times New Roman"/>
          <w:sz w:val="24"/>
          <w:szCs w:val="24"/>
        </w:rPr>
        <w:t xml:space="preserve">remains </w:t>
      </w:r>
      <w:r w:rsidR="0090719F" w:rsidRPr="00592AFB">
        <w:rPr>
          <w:rFonts w:ascii="Times New Roman" w:hAnsi="Times New Roman"/>
          <w:sz w:val="24"/>
          <w:szCs w:val="24"/>
        </w:rPr>
        <w:t>in place.</w:t>
      </w:r>
    </w:p>
    <w:p w14:paraId="76C640A8" w14:textId="77777777" w:rsidR="001D612A" w:rsidRDefault="001D612A" w:rsidP="006E4189">
      <w:pPr>
        <w:spacing w:after="0" w:line="240" w:lineRule="auto"/>
        <w:jc w:val="both"/>
        <w:rPr>
          <w:rFonts w:ascii="Times New Roman" w:hAnsi="Times New Roman"/>
          <w:sz w:val="24"/>
          <w:szCs w:val="24"/>
          <w:highlight w:val="yellow"/>
        </w:rPr>
      </w:pPr>
    </w:p>
    <w:p w14:paraId="2EAB64EB" w14:textId="77777777" w:rsidR="00B81C5A" w:rsidRDefault="00E6454C" w:rsidP="00FB45F2">
      <w:pPr>
        <w:spacing w:after="0" w:line="240" w:lineRule="auto"/>
        <w:jc w:val="both"/>
        <w:outlineLvl w:val="0"/>
        <w:rPr>
          <w:rFonts w:ascii="Times New Roman" w:hAnsi="Times New Roman"/>
          <w:b/>
          <w:color w:val="0070C0"/>
          <w:sz w:val="24"/>
          <w:szCs w:val="24"/>
        </w:rPr>
      </w:pPr>
      <w:r w:rsidRPr="00B81C5A">
        <w:rPr>
          <w:rFonts w:ascii="Times New Roman" w:hAnsi="Times New Roman"/>
          <w:b/>
          <w:color w:val="0070C0"/>
          <w:sz w:val="24"/>
          <w:szCs w:val="24"/>
        </w:rPr>
        <w:t>Investment</w:t>
      </w:r>
    </w:p>
    <w:p w14:paraId="004B56D4" w14:textId="0CD72985" w:rsidR="0090719F" w:rsidRDefault="00A21EF0" w:rsidP="009B183C">
      <w:pPr>
        <w:spacing w:after="0" w:line="240" w:lineRule="auto"/>
        <w:jc w:val="both"/>
        <w:outlineLvl w:val="0"/>
        <w:rPr>
          <w:rFonts w:ascii="Times New Roman" w:hAnsi="Times New Roman"/>
          <w:sz w:val="24"/>
          <w:szCs w:val="24"/>
        </w:rPr>
      </w:pPr>
      <w:r>
        <w:rPr>
          <w:rFonts w:ascii="Times New Roman" w:hAnsi="Times New Roman"/>
          <w:sz w:val="24"/>
          <w:szCs w:val="24"/>
        </w:rPr>
        <w:t>The Thailand Board</w:t>
      </w:r>
      <w:r w:rsidR="00C05884">
        <w:rPr>
          <w:rFonts w:ascii="Times New Roman" w:hAnsi="Times New Roman"/>
          <w:sz w:val="24"/>
          <w:szCs w:val="24"/>
        </w:rPr>
        <w:t xml:space="preserve"> of Investment introduced the</w:t>
      </w:r>
      <w:r>
        <w:rPr>
          <w:rFonts w:ascii="Times New Roman" w:hAnsi="Times New Roman"/>
          <w:sz w:val="24"/>
          <w:szCs w:val="24"/>
        </w:rPr>
        <w:t xml:space="preserve"> “New Seven Year Investment Strategy”</w:t>
      </w:r>
      <w:r w:rsidR="00C05884">
        <w:rPr>
          <w:rFonts w:ascii="Times New Roman" w:hAnsi="Times New Roman"/>
          <w:sz w:val="24"/>
          <w:szCs w:val="24"/>
        </w:rPr>
        <w:t>,</w:t>
      </w:r>
      <w:r>
        <w:rPr>
          <w:rFonts w:ascii="Times New Roman" w:hAnsi="Times New Roman"/>
          <w:sz w:val="24"/>
          <w:szCs w:val="24"/>
        </w:rPr>
        <w:t xml:space="preserve"> effective </w:t>
      </w:r>
      <w:r w:rsidR="00C05884">
        <w:rPr>
          <w:rFonts w:ascii="Times New Roman" w:hAnsi="Times New Roman"/>
          <w:sz w:val="24"/>
          <w:szCs w:val="24"/>
        </w:rPr>
        <w:t xml:space="preserve">from </w:t>
      </w:r>
      <w:r>
        <w:rPr>
          <w:rFonts w:ascii="Times New Roman" w:hAnsi="Times New Roman"/>
          <w:sz w:val="24"/>
          <w:szCs w:val="24"/>
        </w:rPr>
        <w:t>2015</w:t>
      </w:r>
      <w:r w:rsidR="00C05884">
        <w:rPr>
          <w:rFonts w:ascii="Times New Roman" w:hAnsi="Times New Roman"/>
          <w:sz w:val="24"/>
          <w:szCs w:val="24"/>
        </w:rPr>
        <w:t xml:space="preserve"> through 2021. The package includes a mix of </w:t>
      </w:r>
      <w:r w:rsidR="009B183C">
        <w:rPr>
          <w:rFonts w:ascii="Times New Roman" w:hAnsi="Times New Roman"/>
          <w:sz w:val="24"/>
          <w:szCs w:val="24"/>
        </w:rPr>
        <w:t>activity</w:t>
      </w:r>
      <w:r w:rsidR="00AB4B82">
        <w:rPr>
          <w:rFonts w:ascii="Times New Roman" w:hAnsi="Times New Roman"/>
          <w:sz w:val="24"/>
          <w:szCs w:val="24"/>
        </w:rPr>
        <w:t>-</w:t>
      </w:r>
      <w:r w:rsidR="00C05884">
        <w:rPr>
          <w:rFonts w:ascii="Times New Roman" w:hAnsi="Times New Roman"/>
          <w:sz w:val="24"/>
          <w:szCs w:val="24"/>
        </w:rPr>
        <w:t>based incentives</w:t>
      </w:r>
      <w:r w:rsidR="009B183C">
        <w:rPr>
          <w:rFonts w:ascii="Times New Roman" w:hAnsi="Times New Roman"/>
          <w:sz w:val="24"/>
          <w:szCs w:val="24"/>
        </w:rPr>
        <w:t xml:space="preserve"> and merit-based incentives and non-</w:t>
      </w:r>
      <w:r w:rsidR="00C05884">
        <w:rPr>
          <w:rFonts w:ascii="Times New Roman" w:hAnsi="Times New Roman"/>
          <w:sz w:val="24"/>
          <w:szCs w:val="24"/>
        </w:rPr>
        <w:t xml:space="preserve">tax </w:t>
      </w:r>
      <w:r w:rsidR="009B183C">
        <w:rPr>
          <w:rFonts w:ascii="Times New Roman" w:hAnsi="Times New Roman"/>
          <w:sz w:val="24"/>
          <w:szCs w:val="24"/>
        </w:rPr>
        <w:t xml:space="preserve">incentives </w:t>
      </w:r>
      <w:r w:rsidR="00C05884">
        <w:rPr>
          <w:rFonts w:ascii="Times New Roman" w:hAnsi="Times New Roman"/>
          <w:sz w:val="24"/>
          <w:szCs w:val="24"/>
        </w:rPr>
        <w:t xml:space="preserve">and </w:t>
      </w:r>
      <w:r w:rsidR="00AB4B82">
        <w:rPr>
          <w:rFonts w:ascii="Times New Roman" w:hAnsi="Times New Roman"/>
          <w:sz w:val="24"/>
          <w:szCs w:val="24"/>
        </w:rPr>
        <w:t>it removes the</w:t>
      </w:r>
      <w:r w:rsidR="00C05884">
        <w:rPr>
          <w:rFonts w:ascii="Times New Roman" w:hAnsi="Times New Roman"/>
          <w:sz w:val="24"/>
          <w:szCs w:val="24"/>
        </w:rPr>
        <w:t xml:space="preserve"> zoning </w:t>
      </w:r>
      <w:r w:rsidR="009B183C">
        <w:rPr>
          <w:rFonts w:ascii="Times New Roman" w:hAnsi="Times New Roman"/>
          <w:sz w:val="24"/>
          <w:szCs w:val="24"/>
        </w:rPr>
        <w:t xml:space="preserve">criteria </w:t>
      </w:r>
      <w:r w:rsidR="00C05884">
        <w:rPr>
          <w:rFonts w:ascii="Times New Roman" w:hAnsi="Times New Roman"/>
          <w:sz w:val="24"/>
          <w:szCs w:val="24"/>
        </w:rPr>
        <w:t xml:space="preserve">for </w:t>
      </w:r>
      <w:r w:rsidR="009B183C">
        <w:rPr>
          <w:rFonts w:ascii="Times New Roman" w:hAnsi="Times New Roman"/>
          <w:sz w:val="24"/>
          <w:szCs w:val="24"/>
        </w:rPr>
        <w:t>promoted companies</w:t>
      </w:r>
      <w:r w:rsidR="00C05884">
        <w:rPr>
          <w:rFonts w:ascii="Times New Roman" w:hAnsi="Times New Roman"/>
          <w:sz w:val="24"/>
          <w:szCs w:val="24"/>
        </w:rPr>
        <w:t xml:space="preserve">. In </w:t>
      </w:r>
      <w:r w:rsidR="009B183C">
        <w:rPr>
          <w:rFonts w:ascii="Times New Roman" w:hAnsi="Times New Roman"/>
          <w:sz w:val="24"/>
          <w:szCs w:val="24"/>
        </w:rPr>
        <w:t xml:space="preserve">order to </w:t>
      </w:r>
      <w:r w:rsidR="00C05884">
        <w:rPr>
          <w:rFonts w:ascii="Times New Roman" w:hAnsi="Times New Roman"/>
          <w:sz w:val="24"/>
          <w:szCs w:val="24"/>
        </w:rPr>
        <w:t xml:space="preserve">attract foreign companies to set up headquarters in Thailand, </w:t>
      </w:r>
      <w:r w:rsidR="00D7047A">
        <w:rPr>
          <w:rFonts w:ascii="Times New Roman" w:hAnsi="Times New Roman"/>
          <w:sz w:val="24"/>
          <w:szCs w:val="24"/>
        </w:rPr>
        <w:t xml:space="preserve">the </w:t>
      </w:r>
      <w:r w:rsidR="00C05884">
        <w:rPr>
          <w:rFonts w:ascii="Times New Roman" w:hAnsi="Times New Roman"/>
          <w:sz w:val="24"/>
          <w:szCs w:val="24"/>
        </w:rPr>
        <w:t>government also offered qualified companies with incentives</w:t>
      </w:r>
      <w:r w:rsidR="00AB4B82">
        <w:rPr>
          <w:rFonts w:ascii="Times New Roman" w:hAnsi="Times New Roman"/>
          <w:sz w:val="24"/>
          <w:szCs w:val="24"/>
        </w:rPr>
        <w:t xml:space="preserve">, such as </w:t>
      </w:r>
      <w:r w:rsidR="00D7047A">
        <w:rPr>
          <w:rFonts w:ascii="Times New Roman" w:hAnsi="Times New Roman"/>
          <w:sz w:val="24"/>
          <w:szCs w:val="24"/>
        </w:rPr>
        <w:t xml:space="preserve">the </w:t>
      </w:r>
      <w:r w:rsidR="00AB4B82">
        <w:rPr>
          <w:rFonts w:ascii="Times New Roman" w:hAnsi="Times New Roman"/>
          <w:sz w:val="24"/>
          <w:szCs w:val="24"/>
        </w:rPr>
        <w:t>reduction of corporate income tax</w:t>
      </w:r>
      <w:r w:rsidR="009B183C">
        <w:rPr>
          <w:rFonts w:ascii="Times New Roman" w:hAnsi="Times New Roman"/>
          <w:sz w:val="24"/>
          <w:szCs w:val="24"/>
        </w:rPr>
        <w:t xml:space="preserve"> and personal income tax</w:t>
      </w:r>
      <w:r w:rsidR="00AB4B82">
        <w:rPr>
          <w:rFonts w:ascii="Times New Roman" w:hAnsi="Times New Roman"/>
          <w:sz w:val="24"/>
          <w:szCs w:val="24"/>
        </w:rPr>
        <w:t xml:space="preserve">, </w:t>
      </w:r>
      <w:r w:rsidR="009B183C">
        <w:rPr>
          <w:rFonts w:ascii="Times New Roman" w:hAnsi="Times New Roman"/>
          <w:sz w:val="24"/>
          <w:szCs w:val="24"/>
        </w:rPr>
        <w:t>exemption of import duty on machinery and raw materials, permission to own land, permission to bring in skilled personnel and experts, and tec.</w:t>
      </w:r>
      <w:r w:rsidR="00284125">
        <w:rPr>
          <w:rFonts w:ascii="Times New Roman" w:hAnsi="Times New Roman"/>
          <w:sz w:val="24"/>
          <w:szCs w:val="24"/>
        </w:rPr>
        <w:t xml:space="preserve"> </w:t>
      </w:r>
      <w:r w:rsidR="0051355F">
        <w:rPr>
          <w:rFonts w:ascii="Times New Roman" w:hAnsi="Times New Roman"/>
          <w:sz w:val="24"/>
          <w:szCs w:val="24"/>
        </w:rPr>
        <w:t xml:space="preserve">The interest is to promote investment in special economic development zones in </w:t>
      </w:r>
      <w:r w:rsidR="009B183C">
        <w:rPr>
          <w:rFonts w:ascii="Times New Roman" w:hAnsi="Times New Roman"/>
          <w:sz w:val="24"/>
          <w:szCs w:val="24"/>
        </w:rPr>
        <w:t xml:space="preserve">ten </w:t>
      </w:r>
      <w:r w:rsidR="0051355F">
        <w:rPr>
          <w:rFonts w:ascii="Times New Roman" w:hAnsi="Times New Roman"/>
          <w:sz w:val="24"/>
          <w:szCs w:val="24"/>
        </w:rPr>
        <w:t>provinces</w:t>
      </w:r>
      <w:r w:rsidR="009B183C">
        <w:rPr>
          <w:rFonts w:ascii="Times New Roman" w:hAnsi="Times New Roman"/>
          <w:sz w:val="24"/>
          <w:szCs w:val="24"/>
        </w:rPr>
        <w:t xml:space="preserve"> and cluster industry</w:t>
      </w:r>
      <w:r w:rsidR="0051355F">
        <w:rPr>
          <w:rFonts w:ascii="Times New Roman" w:hAnsi="Times New Roman"/>
          <w:sz w:val="24"/>
          <w:szCs w:val="24"/>
        </w:rPr>
        <w:t>. Nevertheless, the Foreign Business Act still imposes ownership ceilings on foreign investment in many services sectors.</w:t>
      </w:r>
    </w:p>
    <w:p w14:paraId="654EB31E" w14:textId="77777777" w:rsidR="0090719F" w:rsidRDefault="0090719F" w:rsidP="00FB45F2">
      <w:pPr>
        <w:spacing w:after="0" w:line="240" w:lineRule="auto"/>
        <w:jc w:val="both"/>
        <w:outlineLvl w:val="0"/>
        <w:rPr>
          <w:rFonts w:ascii="Times New Roman" w:hAnsi="Times New Roman"/>
          <w:sz w:val="24"/>
          <w:szCs w:val="24"/>
        </w:rPr>
      </w:pPr>
    </w:p>
    <w:p w14:paraId="173A7745" w14:textId="51A75C5C" w:rsidR="00A21EF0" w:rsidRDefault="0051355F" w:rsidP="00FB45F2">
      <w:pPr>
        <w:spacing w:after="0" w:line="240" w:lineRule="auto"/>
        <w:jc w:val="both"/>
        <w:outlineLvl w:val="0"/>
        <w:rPr>
          <w:rFonts w:ascii="Times New Roman" w:hAnsi="Times New Roman"/>
          <w:sz w:val="24"/>
          <w:szCs w:val="24"/>
        </w:rPr>
      </w:pPr>
      <w:r>
        <w:rPr>
          <w:rFonts w:ascii="Times New Roman" w:hAnsi="Times New Roman"/>
          <w:sz w:val="24"/>
          <w:szCs w:val="24"/>
        </w:rPr>
        <w:t xml:space="preserve">In terms of investment facilitation, the government has been expanding the services offered at </w:t>
      </w:r>
      <w:r w:rsidR="00AB2EF1">
        <w:rPr>
          <w:rFonts w:ascii="Times New Roman" w:hAnsi="Times New Roman"/>
          <w:sz w:val="24"/>
          <w:szCs w:val="24"/>
        </w:rPr>
        <w:t>the One</w:t>
      </w:r>
      <w:r>
        <w:rPr>
          <w:rFonts w:ascii="Times New Roman" w:hAnsi="Times New Roman"/>
          <w:sz w:val="24"/>
          <w:szCs w:val="24"/>
        </w:rPr>
        <w:t xml:space="preserve"> Start One Stop Services</w:t>
      </w:r>
      <w:r w:rsidR="00284125">
        <w:rPr>
          <w:rFonts w:ascii="Times New Roman" w:hAnsi="Times New Roman"/>
          <w:sz w:val="24"/>
          <w:szCs w:val="24"/>
        </w:rPr>
        <w:t xml:space="preserve"> centers </w:t>
      </w:r>
      <w:r>
        <w:rPr>
          <w:rFonts w:ascii="Times New Roman" w:hAnsi="Times New Roman"/>
          <w:sz w:val="24"/>
          <w:szCs w:val="24"/>
        </w:rPr>
        <w:t xml:space="preserve">such as the application of </w:t>
      </w:r>
      <w:r w:rsidR="00284125">
        <w:rPr>
          <w:rFonts w:ascii="Times New Roman" w:hAnsi="Times New Roman"/>
          <w:sz w:val="24"/>
          <w:szCs w:val="24"/>
        </w:rPr>
        <w:t>licenses and permits</w:t>
      </w:r>
      <w:r>
        <w:rPr>
          <w:rFonts w:ascii="Times New Roman" w:hAnsi="Times New Roman"/>
          <w:sz w:val="24"/>
          <w:szCs w:val="24"/>
        </w:rPr>
        <w:t xml:space="preserve"> in charge of </w:t>
      </w:r>
      <w:r w:rsidR="009B183C">
        <w:rPr>
          <w:rFonts w:ascii="Times New Roman" w:hAnsi="Times New Roman"/>
          <w:sz w:val="24"/>
          <w:szCs w:val="24"/>
        </w:rPr>
        <w:t xml:space="preserve">33 </w:t>
      </w:r>
      <w:r>
        <w:rPr>
          <w:rFonts w:ascii="Times New Roman" w:hAnsi="Times New Roman"/>
          <w:sz w:val="24"/>
          <w:szCs w:val="24"/>
        </w:rPr>
        <w:t>agencies</w:t>
      </w:r>
      <w:r w:rsidR="00284125">
        <w:rPr>
          <w:rFonts w:ascii="Times New Roman" w:hAnsi="Times New Roman"/>
          <w:sz w:val="24"/>
          <w:szCs w:val="24"/>
        </w:rPr>
        <w:t>.</w:t>
      </w:r>
      <w:r w:rsidR="006B54CB">
        <w:rPr>
          <w:rFonts w:ascii="Times New Roman" w:hAnsi="Times New Roman"/>
          <w:sz w:val="24"/>
          <w:szCs w:val="24"/>
        </w:rPr>
        <w:t xml:space="preserve"> </w:t>
      </w:r>
    </w:p>
    <w:p w14:paraId="38FE4D1C" w14:textId="77777777" w:rsidR="00AB4B82" w:rsidRDefault="00AB4B82" w:rsidP="00FB45F2">
      <w:pPr>
        <w:spacing w:after="0" w:line="240" w:lineRule="auto"/>
        <w:jc w:val="both"/>
        <w:outlineLvl w:val="0"/>
        <w:rPr>
          <w:rFonts w:ascii="Times New Roman" w:hAnsi="Times New Roman"/>
          <w:sz w:val="24"/>
          <w:szCs w:val="24"/>
        </w:rPr>
      </w:pPr>
    </w:p>
    <w:p w14:paraId="3C25D3CC" w14:textId="77777777" w:rsidR="00AB4B82" w:rsidRDefault="00AB4B82" w:rsidP="00FB45F2">
      <w:pPr>
        <w:spacing w:after="0" w:line="240" w:lineRule="auto"/>
        <w:jc w:val="both"/>
        <w:outlineLvl w:val="0"/>
        <w:rPr>
          <w:rFonts w:ascii="Times New Roman" w:hAnsi="Times New Roman"/>
          <w:sz w:val="24"/>
          <w:szCs w:val="24"/>
        </w:rPr>
      </w:pPr>
      <w:r>
        <w:rPr>
          <w:rFonts w:ascii="Times New Roman" w:hAnsi="Times New Roman"/>
          <w:sz w:val="24"/>
          <w:szCs w:val="24"/>
        </w:rPr>
        <w:t>As of 2015, Thailand has 55 international investment agreements in force.</w:t>
      </w:r>
    </w:p>
    <w:p w14:paraId="678B99F3" w14:textId="77777777" w:rsidR="001B04FC" w:rsidRDefault="001B04FC" w:rsidP="00FB45F2">
      <w:pPr>
        <w:spacing w:after="0" w:line="240" w:lineRule="auto"/>
        <w:jc w:val="both"/>
        <w:outlineLvl w:val="0"/>
        <w:rPr>
          <w:rFonts w:ascii="Times New Roman" w:hAnsi="Times New Roman"/>
          <w:sz w:val="24"/>
          <w:szCs w:val="24"/>
        </w:rPr>
      </w:pPr>
    </w:p>
    <w:p w14:paraId="7BA6D03C" w14:textId="77777777" w:rsidR="00B81C5A" w:rsidRDefault="00E6454C" w:rsidP="00FB45F2">
      <w:pPr>
        <w:spacing w:after="0" w:line="240" w:lineRule="auto"/>
        <w:jc w:val="both"/>
        <w:outlineLvl w:val="0"/>
        <w:rPr>
          <w:rFonts w:ascii="Times New Roman" w:hAnsi="Times New Roman"/>
          <w:b/>
          <w:color w:val="0070C0"/>
          <w:sz w:val="24"/>
          <w:szCs w:val="24"/>
        </w:rPr>
      </w:pPr>
      <w:r w:rsidRPr="00B81C5A">
        <w:rPr>
          <w:rFonts w:ascii="Times New Roman" w:hAnsi="Times New Roman"/>
          <w:b/>
          <w:color w:val="0070C0"/>
          <w:sz w:val="24"/>
          <w:szCs w:val="24"/>
        </w:rPr>
        <w:lastRenderedPageBreak/>
        <w:t>Standards and Conformance</w:t>
      </w:r>
    </w:p>
    <w:p w14:paraId="498F926B" w14:textId="16C3059B" w:rsidR="0029356A" w:rsidRPr="0029356A" w:rsidRDefault="00AB2EF1" w:rsidP="00FB45F2">
      <w:pPr>
        <w:spacing w:after="0" w:line="240" w:lineRule="auto"/>
        <w:jc w:val="both"/>
        <w:outlineLvl w:val="0"/>
        <w:rPr>
          <w:rFonts w:ascii="Times New Roman" w:hAnsi="Times New Roman"/>
          <w:sz w:val="24"/>
          <w:szCs w:val="24"/>
        </w:rPr>
      </w:pPr>
      <w:r>
        <w:rPr>
          <w:rFonts w:ascii="Times New Roman" w:hAnsi="Times New Roman"/>
          <w:sz w:val="24"/>
          <w:szCs w:val="24"/>
        </w:rPr>
        <w:t>According to its 2016 Individual Action Plan, t</w:t>
      </w:r>
      <w:r w:rsidR="00AB6351">
        <w:rPr>
          <w:rFonts w:ascii="Times New Roman" w:hAnsi="Times New Roman"/>
          <w:sz w:val="24"/>
          <w:szCs w:val="24"/>
        </w:rPr>
        <w:t xml:space="preserve">he </w:t>
      </w:r>
      <w:r w:rsidR="005D70F0">
        <w:rPr>
          <w:rFonts w:ascii="Times New Roman" w:hAnsi="Times New Roman"/>
          <w:sz w:val="24"/>
          <w:szCs w:val="24"/>
        </w:rPr>
        <w:t xml:space="preserve">total number of aligned industrial standards </w:t>
      </w:r>
      <w:r w:rsidR="00AB6351">
        <w:rPr>
          <w:rFonts w:ascii="Times New Roman" w:hAnsi="Times New Roman"/>
          <w:sz w:val="24"/>
          <w:szCs w:val="24"/>
        </w:rPr>
        <w:t>with international standards is currently</w:t>
      </w:r>
      <w:r w:rsidR="005D70F0">
        <w:rPr>
          <w:rFonts w:ascii="Times New Roman" w:hAnsi="Times New Roman"/>
          <w:sz w:val="24"/>
          <w:szCs w:val="24"/>
        </w:rPr>
        <w:t xml:space="preserve"> 1,083. For agricultural products, </w:t>
      </w:r>
      <w:r w:rsidR="00AB6351">
        <w:rPr>
          <w:rFonts w:ascii="Times New Roman" w:hAnsi="Times New Roman"/>
          <w:sz w:val="24"/>
          <w:szCs w:val="24"/>
        </w:rPr>
        <w:t>250</w:t>
      </w:r>
      <w:r w:rsidR="005D70F0">
        <w:rPr>
          <w:rFonts w:ascii="Times New Roman" w:hAnsi="Times New Roman"/>
          <w:sz w:val="24"/>
          <w:szCs w:val="24"/>
        </w:rPr>
        <w:t xml:space="preserve"> standards </w:t>
      </w:r>
      <w:r w:rsidR="00AB6351">
        <w:rPr>
          <w:rFonts w:ascii="Times New Roman" w:hAnsi="Times New Roman"/>
          <w:sz w:val="24"/>
          <w:szCs w:val="24"/>
        </w:rPr>
        <w:t>have been</w:t>
      </w:r>
      <w:r w:rsidR="005D70F0">
        <w:rPr>
          <w:rFonts w:ascii="Times New Roman" w:hAnsi="Times New Roman"/>
          <w:sz w:val="24"/>
          <w:szCs w:val="24"/>
        </w:rPr>
        <w:t xml:space="preserve"> established</w:t>
      </w:r>
      <w:r w:rsidR="00AB6351">
        <w:rPr>
          <w:rFonts w:ascii="Times New Roman" w:hAnsi="Times New Roman"/>
          <w:sz w:val="24"/>
          <w:szCs w:val="24"/>
        </w:rPr>
        <w:t>,</w:t>
      </w:r>
      <w:r w:rsidR="005D70F0">
        <w:rPr>
          <w:rFonts w:ascii="Times New Roman" w:hAnsi="Times New Roman"/>
          <w:sz w:val="24"/>
          <w:szCs w:val="24"/>
        </w:rPr>
        <w:t xml:space="preserve"> with almost all of them are aligned with international standards.</w:t>
      </w:r>
    </w:p>
    <w:p w14:paraId="23F10032" w14:textId="77777777" w:rsidR="00471878" w:rsidRPr="00266F51" w:rsidRDefault="00471878" w:rsidP="00FB45F2">
      <w:pPr>
        <w:spacing w:after="0" w:line="240" w:lineRule="auto"/>
        <w:jc w:val="both"/>
        <w:outlineLvl w:val="0"/>
        <w:rPr>
          <w:rFonts w:ascii="Times New Roman" w:hAnsi="Times New Roman"/>
          <w:sz w:val="24"/>
          <w:szCs w:val="24"/>
        </w:rPr>
      </w:pPr>
    </w:p>
    <w:p w14:paraId="6FA13229" w14:textId="342E0BF2" w:rsidR="00832483" w:rsidRDefault="00266F51" w:rsidP="00FB45F2">
      <w:pPr>
        <w:spacing w:after="0" w:line="240" w:lineRule="auto"/>
        <w:jc w:val="both"/>
        <w:outlineLvl w:val="0"/>
        <w:rPr>
          <w:rFonts w:ascii="Times New Roman" w:hAnsi="Times New Roman"/>
          <w:sz w:val="24"/>
          <w:szCs w:val="24"/>
        </w:rPr>
      </w:pPr>
      <w:r w:rsidRPr="00266F51">
        <w:rPr>
          <w:rFonts w:ascii="Times New Roman" w:hAnsi="Times New Roman"/>
          <w:sz w:val="24"/>
          <w:szCs w:val="24"/>
        </w:rPr>
        <w:t>Thailand</w:t>
      </w:r>
      <w:r>
        <w:rPr>
          <w:rFonts w:ascii="Times New Roman" w:hAnsi="Times New Roman"/>
          <w:sz w:val="24"/>
          <w:szCs w:val="24"/>
        </w:rPr>
        <w:t xml:space="preserve"> maintains a number of </w:t>
      </w:r>
      <w:r w:rsidR="002632D6">
        <w:rPr>
          <w:rFonts w:ascii="Times New Roman" w:hAnsi="Times New Roman"/>
          <w:sz w:val="24"/>
          <w:szCs w:val="24"/>
        </w:rPr>
        <w:t>Mutual Recognition Agreements (MRAs)</w:t>
      </w:r>
      <w:r>
        <w:rPr>
          <w:rFonts w:ascii="Times New Roman" w:hAnsi="Times New Roman"/>
          <w:sz w:val="24"/>
          <w:szCs w:val="24"/>
        </w:rPr>
        <w:t>, such as a bilateral</w:t>
      </w:r>
      <w:r w:rsidR="002632D6">
        <w:rPr>
          <w:rFonts w:ascii="Times New Roman" w:hAnsi="Times New Roman"/>
          <w:sz w:val="24"/>
          <w:szCs w:val="24"/>
        </w:rPr>
        <w:t xml:space="preserve"> </w:t>
      </w:r>
      <w:r>
        <w:rPr>
          <w:rFonts w:ascii="Times New Roman" w:hAnsi="Times New Roman"/>
          <w:sz w:val="24"/>
          <w:szCs w:val="24"/>
        </w:rPr>
        <w:t>MRA on automotive products; and APEC MRAs</w:t>
      </w:r>
      <w:r w:rsidR="002632D6">
        <w:rPr>
          <w:rFonts w:ascii="Times New Roman" w:hAnsi="Times New Roman"/>
          <w:sz w:val="24"/>
          <w:szCs w:val="24"/>
        </w:rPr>
        <w:t xml:space="preserve"> on Conformity Assessment on electric and electronic equipment; and food products</w:t>
      </w:r>
      <w:r>
        <w:rPr>
          <w:rFonts w:ascii="Times New Roman" w:hAnsi="Times New Roman"/>
          <w:sz w:val="24"/>
          <w:szCs w:val="24"/>
        </w:rPr>
        <w:t>.</w:t>
      </w:r>
      <w:r w:rsidR="00832483">
        <w:rPr>
          <w:rFonts w:ascii="Times New Roman" w:hAnsi="Times New Roman"/>
          <w:sz w:val="24"/>
          <w:szCs w:val="24"/>
        </w:rPr>
        <w:t xml:space="preserve"> Thailand is also active </w:t>
      </w:r>
      <w:r w:rsidR="0043451A">
        <w:rPr>
          <w:rFonts w:ascii="Times New Roman" w:hAnsi="Times New Roman"/>
          <w:sz w:val="24"/>
          <w:szCs w:val="24"/>
        </w:rPr>
        <w:t>at both</w:t>
      </w:r>
      <w:r w:rsidR="00832483">
        <w:rPr>
          <w:rFonts w:ascii="Times New Roman" w:hAnsi="Times New Roman"/>
          <w:sz w:val="24"/>
          <w:szCs w:val="24"/>
        </w:rPr>
        <w:t xml:space="preserve"> international and regional level </w:t>
      </w:r>
      <w:r w:rsidR="001B13ED">
        <w:rPr>
          <w:rFonts w:ascii="Times New Roman" w:hAnsi="Times New Roman"/>
          <w:sz w:val="24"/>
          <w:szCs w:val="24"/>
        </w:rPr>
        <w:t>at the</w:t>
      </w:r>
      <w:r w:rsidR="00832483">
        <w:rPr>
          <w:rFonts w:ascii="Times New Roman" w:hAnsi="Times New Roman"/>
          <w:sz w:val="24"/>
          <w:szCs w:val="24"/>
        </w:rPr>
        <w:t xml:space="preserve"> International Organization for Standardization (ISO)</w:t>
      </w:r>
      <w:r w:rsidR="001B13ED">
        <w:rPr>
          <w:rFonts w:ascii="Times New Roman" w:hAnsi="Times New Roman"/>
          <w:sz w:val="24"/>
          <w:szCs w:val="24"/>
        </w:rPr>
        <w:t xml:space="preserve">; </w:t>
      </w:r>
      <w:r w:rsidR="00832483">
        <w:rPr>
          <w:rFonts w:ascii="Times New Roman" w:hAnsi="Times New Roman"/>
          <w:sz w:val="24"/>
          <w:szCs w:val="24"/>
        </w:rPr>
        <w:t>ASEAN Consultative Committee for Standards and Quality</w:t>
      </w:r>
      <w:r w:rsidR="001B13ED">
        <w:rPr>
          <w:rFonts w:ascii="Times New Roman" w:hAnsi="Times New Roman"/>
          <w:sz w:val="24"/>
          <w:szCs w:val="24"/>
        </w:rPr>
        <w:t xml:space="preserve">; </w:t>
      </w:r>
      <w:r w:rsidR="00BD2C59">
        <w:rPr>
          <w:rFonts w:ascii="Times New Roman" w:hAnsi="Times New Roman"/>
          <w:sz w:val="24"/>
          <w:szCs w:val="24"/>
        </w:rPr>
        <w:t>Pacific Accreditation Cooperation</w:t>
      </w:r>
      <w:r w:rsidR="001B13ED">
        <w:rPr>
          <w:rFonts w:ascii="Times New Roman" w:hAnsi="Times New Roman"/>
          <w:sz w:val="24"/>
          <w:szCs w:val="24"/>
        </w:rPr>
        <w:t xml:space="preserve">; </w:t>
      </w:r>
      <w:r w:rsidR="00BD2C59">
        <w:rPr>
          <w:rFonts w:ascii="Times New Roman" w:hAnsi="Times New Roman"/>
          <w:sz w:val="24"/>
          <w:szCs w:val="24"/>
        </w:rPr>
        <w:t>Quality Management System</w:t>
      </w:r>
      <w:r w:rsidR="001B13ED">
        <w:rPr>
          <w:rFonts w:ascii="Times New Roman" w:hAnsi="Times New Roman"/>
          <w:sz w:val="24"/>
          <w:szCs w:val="24"/>
        </w:rPr>
        <w:t xml:space="preserve">; and </w:t>
      </w:r>
      <w:r w:rsidR="00BD2C59">
        <w:rPr>
          <w:rFonts w:ascii="Times New Roman" w:hAnsi="Times New Roman"/>
          <w:sz w:val="24"/>
          <w:szCs w:val="24"/>
        </w:rPr>
        <w:t>Product Certification Bodies Accreditation, among others.</w:t>
      </w:r>
    </w:p>
    <w:p w14:paraId="160E5159" w14:textId="77777777" w:rsidR="007945DE" w:rsidRDefault="007945DE" w:rsidP="00E6454C">
      <w:pPr>
        <w:spacing w:after="0" w:line="240" w:lineRule="auto"/>
        <w:jc w:val="both"/>
        <w:rPr>
          <w:rFonts w:ascii="Times New Roman" w:hAnsi="Times New Roman"/>
          <w:sz w:val="24"/>
          <w:szCs w:val="24"/>
        </w:rPr>
      </w:pPr>
    </w:p>
    <w:p w14:paraId="3E537FF3" w14:textId="4E61F926" w:rsidR="00BD2C59" w:rsidRDefault="001B13ED" w:rsidP="00E6454C">
      <w:pPr>
        <w:spacing w:after="0" w:line="240" w:lineRule="auto"/>
        <w:jc w:val="both"/>
        <w:rPr>
          <w:rFonts w:ascii="Times New Roman" w:hAnsi="Times New Roman"/>
          <w:sz w:val="24"/>
          <w:szCs w:val="24"/>
        </w:rPr>
      </w:pPr>
      <w:r>
        <w:rPr>
          <w:rFonts w:ascii="Times New Roman" w:hAnsi="Times New Roman"/>
          <w:sz w:val="24"/>
          <w:szCs w:val="24"/>
        </w:rPr>
        <w:t xml:space="preserve">In </w:t>
      </w:r>
      <w:r w:rsidR="00BD2C59">
        <w:rPr>
          <w:rFonts w:ascii="Times New Roman" w:hAnsi="Times New Roman"/>
          <w:sz w:val="24"/>
          <w:szCs w:val="24"/>
        </w:rPr>
        <w:t xml:space="preserve">2014 </w:t>
      </w:r>
      <w:r>
        <w:rPr>
          <w:rFonts w:ascii="Times New Roman" w:hAnsi="Times New Roman"/>
          <w:sz w:val="24"/>
          <w:szCs w:val="24"/>
        </w:rPr>
        <w:t xml:space="preserve">and </w:t>
      </w:r>
      <w:r w:rsidR="00BD2C59">
        <w:rPr>
          <w:rFonts w:ascii="Times New Roman" w:hAnsi="Times New Roman"/>
          <w:sz w:val="24"/>
          <w:szCs w:val="24"/>
        </w:rPr>
        <w:t xml:space="preserve">2015, Thailand made 45 notifications </w:t>
      </w:r>
      <w:r w:rsidR="001E7CBD">
        <w:rPr>
          <w:rFonts w:ascii="Times New Roman" w:hAnsi="Times New Roman"/>
          <w:sz w:val="24"/>
          <w:szCs w:val="24"/>
        </w:rPr>
        <w:t>under the WTO Agreement on Technical Barriers to Trade</w:t>
      </w:r>
      <w:r w:rsidR="00534394">
        <w:rPr>
          <w:rFonts w:ascii="Times New Roman" w:hAnsi="Times New Roman"/>
          <w:sz w:val="24"/>
          <w:szCs w:val="24"/>
        </w:rPr>
        <w:t xml:space="preserve"> (TBT)</w:t>
      </w:r>
      <w:r w:rsidR="001E7CBD">
        <w:rPr>
          <w:rFonts w:ascii="Times New Roman" w:hAnsi="Times New Roman"/>
          <w:sz w:val="24"/>
          <w:szCs w:val="24"/>
        </w:rPr>
        <w:t xml:space="preserve">. </w:t>
      </w:r>
      <w:r>
        <w:rPr>
          <w:rFonts w:ascii="Times New Roman" w:hAnsi="Times New Roman"/>
          <w:sz w:val="24"/>
          <w:szCs w:val="24"/>
        </w:rPr>
        <w:t xml:space="preserve">Currently, </w:t>
      </w:r>
      <w:r w:rsidR="0057272D">
        <w:rPr>
          <w:rFonts w:ascii="Times New Roman" w:hAnsi="Times New Roman"/>
          <w:sz w:val="24"/>
          <w:szCs w:val="24"/>
        </w:rPr>
        <w:t>nine and three</w:t>
      </w:r>
      <w:r>
        <w:rPr>
          <w:rFonts w:ascii="Times New Roman" w:hAnsi="Times New Roman"/>
          <w:sz w:val="24"/>
          <w:szCs w:val="24"/>
        </w:rPr>
        <w:t xml:space="preserve"> specific </w:t>
      </w:r>
      <w:r w:rsidR="001E7CBD">
        <w:rPr>
          <w:rFonts w:ascii="Times New Roman" w:hAnsi="Times New Roman"/>
          <w:sz w:val="24"/>
          <w:szCs w:val="24"/>
        </w:rPr>
        <w:t xml:space="preserve">trade concerns (STCs) </w:t>
      </w:r>
      <w:r>
        <w:rPr>
          <w:rFonts w:ascii="Times New Roman" w:hAnsi="Times New Roman"/>
          <w:sz w:val="24"/>
          <w:szCs w:val="24"/>
        </w:rPr>
        <w:t>against</w:t>
      </w:r>
      <w:r w:rsidR="001E7CBD">
        <w:rPr>
          <w:rFonts w:ascii="Times New Roman" w:hAnsi="Times New Roman"/>
          <w:sz w:val="24"/>
          <w:szCs w:val="24"/>
        </w:rPr>
        <w:t xml:space="preserve"> Thailand</w:t>
      </w:r>
      <w:r>
        <w:rPr>
          <w:rFonts w:ascii="Times New Roman" w:hAnsi="Times New Roman"/>
          <w:sz w:val="24"/>
          <w:szCs w:val="24"/>
        </w:rPr>
        <w:t xml:space="preserve"> remain unresolved at the WTO TBT and </w:t>
      </w:r>
      <w:r w:rsidR="00A11D45">
        <w:rPr>
          <w:rFonts w:ascii="Times New Roman" w:hAnsi="Times New Roman"/>
          <w:sz w:val="24"/>
          <w:szCs w:val="24"/>
        </w:rPr>
        <w:t>Sanitary and Phytosanitary (</w:t>
      </w:r>
      <w:r>
        <w:rPr>
          <w:rFonts w:ascii="Times New Roman" w:hAnsi="Times New Roman"/>
          <w:sz w:val="24"/>
          <w:szCs w:val="24"/>
        </w:rPr>
        <w:t>SPS</w:t>
      </w:r>
      <w:r w:rsidR="00A11D45">
        <w:rPr>
          <w:rFonts w:ascii="Times New Roman" w:hAnsi="Times New Roman"/>
          <w:sz w:val="24"/>
          <w:szCs w:val="24"/>
        </w:rPr>
        <w:t>)</w:t>
      </w:r>
      <w:r>
        <w:rPr>
          <w:rFonts w:ascii="Times New Roman" w:hAnsi="Times New Roman"/>
          <w:sz w:val="24"/>
          <w:szCs w:val="24"/>
        </w:rPr>
        <w:t xml:space="preserve"> Committees</w:t>
      </w:r>
      <w:r w:rsidR="0057272D">
        <w:rPr>
          <w:rFonts w:ascii="Times New Roman" w:hAnsi="Times New Roman"/>
          <w:sz w:val="24"/>
          <w:szCs w:val="24"/>
        </w:rPr>
        <w:t xml:space="preserve"> respectively</w:t>
      </w:r>
      <w:r>
        <w:rPr>
          <w:rFonts w:ascii="Times New Roman" w:hAnsi="Times New Roman"/>
          <w:sz w:val="24"/>
          <w:szCs w:val="24"/>
        </w:rPr>
        <w:t>. The most recent STCs are related to</w:t>
      </w:r>
      <w:r w:rsidR="0057272D">
        <w:rPr>
          <w:rFonts w:ascii="Times New Roman" w:hAnsi="Times New Roman"/>
          <w:sz w:val="24"/>
          <w:szCs w:val="24"/>
        </w:rPr>
        <w:t xml:space="preserve"> labels of</w:t>
      </w:r>
      <w:r w:rsidR="001E7CBD">
        <w:rPr>
          <w:rFonts w:ascii="Times New Roman" w:hAnsi="Times New Roman"/>
          <w:sz w:val="24"/>
          <w:szCs w:val="24"/>
        </w:rPr>
        <w:t xml:space="preserve"> alcoholic beverages</w:t>
      </w:r>
      <w:r w:rsidR="0057272D">
        <w:rPr>
          <w:rFonts w:ascii="Times New Roman" w:hAnsi="Times New Roman"/>
          <w:sz w:val="24"/>
          <w:szCs w:val="24"/>
        </w:rPr>
        <w:t xml:space="preserve"> and industrial standard for</w:t>
      </w:r>
      <w:r w:rsidR="001E7CBD">
        <w:rPr>
          <w:rFonts w:ascii="Times New Roman" w:hAnsi="Times New Roman"/>
          <w:sz w:val="24"/>
          <w:szCs w:val="24"/>
        </w:rPr>
        <w:t xml:space="preserve"> ceramic tiles.</w:t>
      </w:r>
    </w:p>
    <w:p w14:paraId="24606518" w14:textId="77777777" w:rsidR="00E6454C" w:rsidRDefault="00E6454C" w:rsidP="00E6454C">
      <w:pPr>
        <w:spacing w:after="0" w:line="240" w:lineRule="auto"/>
        <w:jc w:val="both"/>
        <w:rPr>
          <w:rFonts w:ascii="Times New Roman" w:hAnsi="Times New Roman"/>
          <w:sz w:val="24"/>
          <w:szCs w:val="24"/>
        </w:rPr>
      </w:pPr>
    </w:p>
    <w:p w14:paraId="21131F10" w14:textId="77777777" w:rsidR="00B81C5A" w:rsidRDefault="00E6454C" w:rsidP="00B81C5A">
      <w:pPr>
        <w:keepNext/>
        <w:spacing w:after="0" w:line="240" w:lineRule="auto"/>
        <w:jc w:val="both"/>
        <w:outlineLvl w:val="0"/>
        <w:rPr>
          <w:rFonts w:ascii="Times New Roman" w:hAnsi="Times New Roman"/>
          <w:sz w:val="24"/>
          <w:szCs w:val="24"/>
          <w:u w:val="single"/>
        </w:rPr>
      </w:pPr>
      <w:r w:rsidRPr="00B81C5A">
        <w:rPr>
          <w:rFonts w:ascii="Times New Roman" w:hAnsi="Times New Roman"/>
          <w:b/>
          <w:color w:val="0070C0"/>
          <w:sz w:val="24"/>
          <w:szCs w:val="24"/>
        </w:rPr>
        <w:t>Customs Procedures</w:t>
      </w:r>
    </w:p>
    <w:p w14:paraId="759B7E61" w14:textId="77777777" w:rsidR="00471C23" w:rsidRDefault="00471C23" w:rsidP="00AB7A61">
      <w:pPr>
        <w:spacing w:after="0" w:line="240" w:lineRule="auto"/>
        <w:jc w:val="both"/>
        <w:outlineLvl w:val="0"/>
        <w:rPr>
          <w:rFonts w:ascii="Times New Roman" w:hAnsi="Times New Roman"/>
          <w:sz w:val="24"/>
          <w:szCs w:val="24"/>
        </w:rPr>
      </w:pPr>
      <w:r>
        <w:rPr>
          <w:rFonts w:ascii="Times New Roman" w:hAnsi="Times New Roman"/>
          <w:sz w:val="24"/>
          <w:szCs w:val="24"/>
        </w:rPr>
        <w:t xml:space="preserve">Thailand has implemented the Phase III of the National Single Window (NSW) since 2013 and </w:t>
      </w:r>
    </w:p>
    <w:p w14:paraId="694C39B6" w14:textId="2A96E8D3" w:rsidR="008A0461" w:rsidRDefault="00471C23" w:rsidP="00AB7A61">
      <w:pPr>
        <w:spacing w:after="0" w:line="240" w:lineRule="auto"/>
        <w:jc w:val="both"/>
        <w:outlineLvl w:val="0"/>
        <w:rPr>
          <w:rFonts w:ascii="Times New Roman" w:hAnsi="Times New Roman"/>
          <w:sz w:val="24"/>
          <w:szCs w:val="24"/>
        </w:rPr>
      </w:pPr>
      <w:r>
        <w:rPr>
          <w:rFonts w:ascii="Times New Roman" w:hAnsi="Times New Roman"/>
          <w:sz w:val="24"/>
          <w:szCs w:val="24"/>
        </w:rPr>
        <w:t xml:space="preserve">32 government agencies </w:t>
      </w:r>
      <w:r w:rsidR="00AB7A61">
        <w:rPr>
          <w:rFonts w:ascii="Times New Roman" w:hAnsi="Times New Roman"/>
          <w:sz w:val="24"/>
          <w:szCs w:val="24"/>
        </w:rPr>
        <w:t xml:space="preserve">are </w:t>
      </w:r>
      <w:r>
        <w:rPr>
          <w:rFonts w:ascii="Times New Roman" w:hAnsi="Times New Roman"/>
          <w:sz w:val="24"/>
          <w:szCs w:val="24"/>
        </w:rPr>
        <w:t xml:space="preserve">already </w:t>
      </w:r>
      <w:r w:rsidR="00AB7A61">
        <w:rPr>
          <w:rFonts w:ascii="Times New Roman" w:hAnsi="Times New Roman"/>
          <w:sz w:val="24"/>
          <w:szCs w:val="24"/>
        </w:rPr>
        <w:t>part of it. The NSW allows for</w:t>
      </w:r>
      <w:r w:rsidR="004645F3">
        <w:rPr>
          <w:rFonts w:ascii="Times New Roman" w:hAnsi="Times New Roman"/>
          <w:sz w:val="24"/>
          <w:szCs w:val="24"/>
        </w:rPr>
        <w:t xml:space="preserve"> electronic payment transactions</w:t>
      </w:r>
      <w:r>
        <w:rPr>
          <w:rFonts w:ascii="Times New Roman" w:hAnsi="Times New Roman"/>
          <w:sz w:val="24"/>
          <w:szCs w:val="24"/>
        </w:rPr>
        <w:t xml:space="preserve">. </w:t>
      </w:r>
      <w:r w:rsidR="00425305">
        <w:rPr>
          <w:rFonts w:ascii="Times New Roman" w:hAnsi="Times New Roman"/>
          <w:sz w:val="24"/>
          <w:szCs w:val="24"/>
        </w:rPr>
        <w:t>Thailand</w:t>
      </w:r>
      <w:r>
        <w:rPr>
          <w:rFonts w:ascii="Times New Roman" w:hAnsi="Times New Roman"/>
          <w:sz w:val="24"/>
          <w:szCs w:val="24"/>
        </w:rPr>
        <w:t xml:space="preserve"> also participates in the ASEAN Single Window Pilot project</w:t>
      </w:r>
      <w:r w:rsidR="00425305">
        <w:rPr>
          <w:rFonts w:ascii="Times New Roman" w:hAnsi="Times New Roman"/>
          <w:sz w:val="24"/>
          <w:szCs w:val="24"/>
        </w:rPr>
        <w:t xml:space="preserve"> and its Customs Automation System already enable</w:t>
      </w:r>
      <w:r w:rsidR="00EF1EAC">
        <w:rPr>
          <w:rFonts w:ascii="Times New Roman" w:hAnsi="Times New Roman"/>
          <w:sz w:val="24"/>
          <w:szCs w:val="24"/>
        </w:rPr>
        <w:t>d</w:t>
      </w:r>
      <w:r w:rsidR="00425305">
        <w:rPr>
          <w:rFonts w:ascii="Times New Roman" w:hAnsi="Times New Roman"/>
          <w:sz w:val="24"/>
          <w:szCs w:val="24"/>
        </w:rPr>
        <w:t xml:space="preserve"> electronic exchange of document with ASEAN member</w:t>
      </w:r>
      <w:r w:rsidR="00AB7A61">
        <w:rPr>
          <w:rFonts w:ascii="Times New Roman" w:hAnsi="Times New Roman"/>
          <w:sz w:val="24"/>
          <w:szCs w:val="24"/>
        </w:rPr>
        <w:t>s</w:t>
      </w:r>
      <w:r w:rsidR="00425305">
        <w:rPr>
          <w:rFonts w:ascii="Times New Roman" w:hAnsi="Times New Roman"/>
          <w:sz w:val="24"/>
          <w:szCs w:val="24"/>
        </w:rPr>
        <w:t>.</w:t>
      </w:r>
      <w:r w:rsidR="00E60302">
        <w:rPr>
          <w:rFonts w:ascii="Times New Roman" w:hAnsi="Times New Roman"/>
          <w:sz w:val="24"/>
          <w:szCs w:val="24"/>
        </w:rPr>
        <w:t xml:space="preserve"> </w:t>
      </w:r>
    </w:p>
    <w:p w14:paraId="2C4ED94E" w14:textId="77777777" w:rsidR="008A0461" w:rsidRDefault="008A0461" w:rsidP="00FB45F2">
      <w:pPr>
        <w:spacing w:after="0" w:line="240" w:lineRule="auto"/>
        <w:jc w:val="both"/>
        <w:outlineLvl w:val="0"/>
        <w:rPr>
          <w:rFonts w:ascii="Times New Roman" w:hAnsi="Times New Roman"/>
          <w:sz w:val="24"/>
          <w:szCs w:val="24"/>
        </w:rPr>
      </w:pPr>
    </w:p>
    <w:p w14:paraId="67F3452C" w14:textId="77777777" w:rsidR="008A0461" w:rsidRDefault="00E60302" w:rsidP="00FB45F2">
      <w:pPr>
        <w:spacing w:after="0" w:line="240" w:lineRule="auto"/>
        <w:jc w:val="both"/>
        <w:outlineLvl w:val="0"/>
        <w:rPr>
          <w:rFonts w:ascii="Times New Roman" w:hAnsi="Times New Roman"/>
          <w:sz w:val="24"/>
          <w:szCs w:val="24"/>
        </w:rPr>
      </w:pPr>
      <w:r>
        <w:rPr>
          <w:rFonts w:ascii="Times New Roman" w:hAnsi="Times New Roman"/>
          <w:sz w:val="24"/>
          <w:szCs w:val="24"/>
        </w:rPr>
        <w:t xml:space="preserve">In 2015, Thailand became a contracting party to the Revised Kyoto Convention on simplification and harmonization of customs procedures. </w:t>
      </w:r>
    </w:p>
    <w:p w14:paraId="7AB19FE4" w14:textId="77777777" w:rsidR="008A0461" w:rsidRDefault="008A0461" w:rsidP="00FB45F2">
      <w:pPr>
        <w:spacing w:after="0" w:line="240" w:lineRule="auto"/>
        <w:jc w:val="both"/>
        <w:outlineLvl w:val="0"/>
        <w:rPr>
          <w:rFonts w:ascii="Times New Roman" w:hAnsi="Times New Roman"/>
          <w:sz w:val="24"/>
          <w:szCs w:val="24"/>
        </w:rPr>
      </w:pPr>
    </w:p>
    <w:p w14:paraId="0B4FF826" w14:textId="696307A1" w:rsidR="001E7CBD" w:rsidRPr="001E7CBD" w:rsidRDefault="00E60302" w:rsidP="00FB45F2">
      <w:pPr>
        <w:spacing w:after="0" w:line="240" w:lineRule="auto"/>
        <w:jc w:val="both"/>
        <w:outlineLvl w:val="0"/>
        <w:rPr>
          <w:rFonts w:ascii="Times New Roman" w:hAnsi="Times New Roman"/>
          <w:sz w:val="24"/>
          <w:szCs w:val="24"/>
        </w:rPr>
      </w:pPr>
      <w:r>
        <w:rPr>
          <w:rFonts w:ascii="Times New Roman" w:hAnsi="Times New Roman"/>
          <w:sz w:val="24"/>
          <w:szCs w:val="24"/>
        </w:rPr>
        <w:t>Amendment</w:t>
      </w:r>
      <w:r w:rsidR="00AB7A61">
        <w:rPr>
          <w:rFonts w:ascii="Times New Roman" w:hAnsi="Times New Roman"/>
          <w:sz w:val="24"/>
          <w:szCs w:val="24"/>
        </w:rPr>
        <w:t>s</w:t>
      </w:r>
      <w:r>
        <w:rPr>
          <w:rFonts w:ascii="Times New Roman" w:hAnsi="Times New Roman"/>
          <w:sz w:val="24"/>
          <w:szCs w:val="24"/>
        </w:rPr>
        <w:t xml:space="preserve"> to</w:t>
      </w:r>
      <w:r w:rsidR="00EF1EAC">
        <w:rPr>
          <w:rFonts w:ascii="Times New Roman" w:hAnsi="Times New Roman"/>
          <w:sz w:val="24"/>
          <w:szCs w:val="24"/>
        </w:rPr>
        <w:t xml:space="preserve"> the Customs Act in 2014 enabled</w:t>
      </w:r>
      <w:r>
        <w:rPr>
          <w:rFonts w:ascii="Times New Roman" w:hAnsi="Times New Roman"/>
          <w:sz w:val="24"/>
          <w:szCs w:val="24"/>
        </w:rPr>
        <w:t xml:space="preserve"> Thai Customs to have advance ruling</w:t>
      </w:r>
      <w:r w:rsidR="00AB7A61">
        <w:rPr>
          <w:rFonts w:ascii="Times New Roman" w:hAnsi="Times New Roman"/>
          <w:sz w:val="24"/>
          <w:szCs w:val="24"/>
        </w:rPr>
        <w:t>s</w:t>
      </w:r>
      <w:r>
        <w:rPr>
          <w:rFonts w:ascii="Times New Roman" w:hAnsi="Times New Roman"/>
          <w:sz w:val="24"/>
          <w:szCs w:val="24"/>
        </w:rPr>
        <w:t xml:space="preserve"> on tariff classification based on requests from importers. </w:t>
      </w:r>
      <w:r w:rsidR="0072791F">
        <w:rPr>
          <w:rFonts w:ascii="Times New Roman" w:hAnsi="Times New Roman"/>
          <w:sz w:val="24"/>
          <w:szCs w:val="24"/>
        </w:rPr>
        <w:t>Advanced Ruling</w:t>
      </w:r>
      <w:r w:rsidR="00AB7A61">
        <w:rPr>
          <w:rFonts w:ascii="Times New Roman" w:hAnsi="Times New Roman"/>
          <w:sz w:val="24"/>
          <w:szCs w:val="24"/>
        </w:rPr>
        <w:t>s</w:t>
      </w:r>
      <w:r w:rsidR="0072791F">
        <w:rPr>
          <w:rFonts w:ascii="Times New Roman" w:hAnsi="Times New Roman"/>
          <w:sz w:val="24"/>
          <w:szCs w:val="24"/>
        </w:rPr>
        <w:t xml:space="preserve"> on Customs Valuation became effective </w:t>
      </w:r>
      <w:r w:rsidR="00DB730E">
        <w:rPr>
          <w:rFonts w:ascii="Times New Roman" w:hAnsi="Times New Roman"/>
          <w:sz w:val="24"/>
          <w:szCs w:val="24"/>
        </w:rPr>
        <w:t>in March 2015</w:t>
      </w:r>
      <w:r w:rsidR="0072791F">
        <w:rPr>
          <w:rFonts w:ascii="Times New Roman" w:hAnsi="Times New Roman"/>
          <w:sz w:val="24"/>
          <w:szCs w:val="24"/>
        </w:rPr>
        <w:t xml:space="preserve">. However, the Electronic Valuation ruling system was suspended in March 2015 due to concerns about the authenticity of documents submitted </w:t>
      </w:r>
      <w:r w:rsidR="00AB7A61">
        <w:rPr>
          <w:rFonts w:ascii="Times New Roman" w:hAnsi="Times New Roman"/>
          <w:sz w:val="24"/>
          <w:szCs w:val="24"/>
        </w:rPr>
        <w:t>electronically</w:t>
      </w:r>
      <w:r w:rsidR="0072791F">
        <w:rPr>
          <w:rFonts w:ascii="Times New Roman" w:hAnsi="Times New Roman"/>
          <w:sz w:val="24"/>
          <w:szCs w:val="24"/>
        </w:rPr>
        <w:t xml:space="preserve">. </w:t>
      </w:r>
    </w:p>
    <w:p w14:paraId="15EF8946" w14:textId="77777777" w:rsidR="004443FA" w:rsidRDefault="004443FA" w:rsidP="000D2FD6">
      <w:pPr>
        <w:spacing w:after="0" w:line="240" w:lineRule="auto"/>
        <w:jc w:val="both"/>
        <w:rPr>
          <w:rFonts w:ascii="Times New Roman" w:hAnsi="Times New Roman"/>
          <w:sz w:val="24"/>
          <w:szCs w:val="24"/>
          <w:highlight w:val="yellow"/>
        </w:rPr>
      </w:pPr>
    </w:p>
    <w:p w14:paraId="2171F023" w14:textId="77777777" w:rsidR="00C64631" w:rsidRDefault="00C64631" w:rsidP="00C64631">
      <w:pPr>
        <w:spacing w:after="0" w:line="240" w:lineRule="auto"/>
        <w:jc w:val="both"/>
        <w:outlineLvl w:val="0"/>
        <w:rPr>
          <w:rFonts w:ascii="Times New Roman" w:hAnsi="Times New Roman"/>
          <w:b/>
          <w:color w:val="0070C0"/>
          <w:sz w:val="24"/>
          <w:szCs w:val="24"/>
        </w:rPr>
      </w:pPr>
      <w:r>
        <w:rPr>
          <w:rFonts w:ascii="Times New Roman" w:hAnsi="Times New Roman"/>
          <w:b/>
          <w:color w:val="0070C0"/>
          <w:sz w:val="24"/>
          <w:szCs w:val="24"/>
        </w:rPr>
        <w:t>Intellectual Property Rights</w:t>
      </w:r>
    </w:p>
    <w:p w14:paraId="2B1640EA" w14:textId="5E75B287" w:rsidR="00C64631" w:rsidRPr="00C64631" w:rsidRDefault="00C64631" w:rsidP="00C64631">
      <w:pPr>
        <w:spacing w:after="0" w:line="240" w:lineRule="auto"/>
        <w:jc w:val="both"/>
        <w:outlineLvl w:val="0"/>
        <w:rPr>
          <w:rFonts w:ascii="Times New Roman" w:hAnsi="Times New Roman"/>
          <w:sz w:val="24"/>
          <w:szCs w:val="24"/>
        </w:rPr>
      </w:pPr>
      <w:r>
        <w:rPr>
          <w:rFonts w:ascii="Times New Roman" w:hAnsi="Times New Roman"/>
          <w:sz w:val="24"/>
          <w:szCs w:val="24"/>
        </w:rPr>
        <w:t xml:space="preserve">As agreed by ASEAN members under the ASEAN Economic Community Blueprint, member economies are expected to join the Protocol relating to the Madrid Agreement Concerning the International Registration of Marks by the end of 2015. As of February 2016, Thailand has not </w:t>
      </w:r>
      <w:r w:rsidR="00FF7363">
        <w:rPr>
          <w:rFonts w:ascii="Times New Roman" w:hAnsi="Times New Roman"/>
          <w:sz w:val="24"/>
          <w:szCs w:val="24"/>
        </w:rPr>
        <w:t>acceded</w:t>
      </w:r>
      <w:r>
        <w:rPr>
          <w:rFonts w:ascii="Times New Roman" w:hAnsi="Times New Roman"/>
          <w:sz w:val="24"/>
          <w:szCs w:val="24"/>
        </w:rPr>
        <w:t xml:space="preserve"> to the Madrid Agreement and the Madrid Protocol </w:t>
      </w:r>
      <w:r w:rsidR="00AB7A61">
        <w:rPr>
          <w:rFonts w:ascii="Times New Roman" w:hAnsi="Times New Roman"/>
          <w:sz w:val="24"/>
          <w:szCs w:val="24"/>
        </w:rPr>
        <w:t xml:space="preserve">yet, </w:t>
      </w:r>
      <w:r>
        <w:rPr>
          <w:rFonts w:ascii="Times New Roman" w:hAnsi="Times New Roman"/>
          <w:sz w:val="24"/>
          <w:szCs w:val="24"/>
        </w:rPr>
        <w:t xml:space="preserve">as it has been preparing </w:t>
      </w:r>
      <w:r w:rsidR="00FF7363">
        <w:rPr>
          <w:rFonts w:ascii="Times New Roman" w:hAnsi="Times New Roman"/>
          <w:sz w:val="24"/>
          <w:szCs w:val="24"/>
        </w:rPr>
        <w:t>to meet the relevant requirements.</w:t>
      </w:r>
    </w:p>
    <w:p w14:paraId="0FC50E74" w14:textId="77777777" w:rsidR="00C64631" w:rsidRDefault="00C64631" w:rsidP="000D2FD6">
      <w:pPr>
        <w:spacing w:after="0" w:line="240" w:lineRule="auto"/>
        <w:jc w:val="both"/>
        <w:rPr>
          <w:rFonts w:ascii="Times New Roman" w:hAnsi="Times New Roman"/>
          <w:sz w:val="24"/>
          <w:szCs w:val="24"/>
          <w:highlight w:val="yellow"/>
        </w:rPr>
      </w:pPr>
    </w:p>
    <w:p w14:paraId="15C82985" w14:textId="77777777" w:rsidR="00243335" w:rsidRDefault="00243335" w:rsidP="00243335">
      <w:pPr>
        <w:spacing w:after="0" w:line="240" w:lineRule="auto"/>
        <w:jc w:val="both"/>
        <w:outlineLvl w:val="0"/>
        <w:rPr>
          <w:rFonts w:ascii="Times New Roman" w:hAnsi="Times New Roman"/>
          <w:b/>
          <w:color w:val="0070C0"/>
          <w:sz w:val="24"/>
          <w:szCs w:val="24"/>
        </w:rPr>
      </w:pPr>
      <w:r>
        <w:rPr>
          <w:rFonts w:ascii="Times New Roman" w:hAnsi="Times New Roman"/>
          <w:b/>
          <w:color w:val="0070C0"/>
          <w:sz w:val="24"/>
          <w:szCs w:val="24"/>
        </w:rPr>
        <w:t>Competition Policy</w:t>
      </w:r>
    </w:p>
    <w:p w14:paraId="3AEDA1B1" w14:textId="0594EE77" w:rsidR="00243335" w:rsidRDefault="00B86455" w:rsidP="000D2FD6">
      <w:pPr>
        <w:spacing w:after="0" w:line="240" w:lineRule="auto"/>
        <w:jc w:val="both"/>
        <w:rPr>
          <w:rFonts w:ascii="Times New Roman" w:hAnsi="Times New Roman"/>
          <w:sz w:val="24"/>
          <w:szCs w:val="24"/>
        </w:rPr>
      </w:pPr>
      <w:r>
        <w:rPr>
          <w:rFonts w:ascii="Times New Roman" w:hAnsi="Times New Roman"/>
          <w:sz w:val="24"/>
          <w:szCs w:val="24"/>
        </w:rPr>
        <w:t xml:space="preserve">In February 2016, the </w:t>
      </w:r>
      <w:r w:rsidR="00EF1EAC">
        <w:rPr>
          <w:rFonts w:ascii="Times New Roman" w:hAnsi="Times New Roman"/>
          <w:sz w:val="24"/>
          <w:szCs w:val="24"/>
        </w:rPr>
        <w:t>C</w:t>
      </w:r>
      <w:r>
        <w:rPr>
          <w:rFonts w:ascii="Times New Roman" w:hAnsi="Times New Roman"/>
          <w:sz w:val="24"/>
          <w:szCs w:val="24"/>
        </w:rPr>
        <w:t xml:space="preserve">abinet approved the draft amendments of the Trade Competition Act and is expected to be </w:t>
      </w:r>
      <w:r w:rsidR="00AD3DEB">
        <w:rPr>
          <w:rFonts w:ascii="Times New Roman" w:hAnsi="Times New Roman"/>
          <w:sz w:val="24"/>
          <w:szCs w:val="24"/>
        </w:rPr>
        <w:t xml:space="preserve">in force </w:t>
      </w:r>
      <w:r>
        <w:rPr>
          <w:rFonts w:ascii="Times New Roman" w:hAnsi="Times New Roman"/>
          <w:sz w:val="24"/>
          <w:szCs w:val="24"/>
        </w:rPr>
        <w:t xml:space="preserve">this year. The amendments include </w:t>
      </w:r>
      <w:r w:rsidR="0024494A">
        <w:rPr>
          <w:rFonts w:ascii="Times New Roman" w:hAnsi="Times New Roman"/>
          <w:sz w:val="24"/>
          <w:szCs w:val="24"/>
        </w:rPr>
        <w:t>provisions</w:t>
      </w:r>
      <w:r>
        <w:rPr>
          <w:rFonts w:ascii="Times New Roman" w:hAnsi="Times New Roman"/>
          <w:sz w:val="24"/>
          <w:szCs w:val="24"/>
        </w:rPr>
        <w:t xml:space="preserve"> to better reflect </w:t>
      </w:r>
      <w:r w:rsidR="0087106A">
        <w:rPr>
          <w:rFonts w:ascii="Times New Roman" w:hAnsi="Times New Roman"/>
          <w:sz w:val="24"/>
          <w:szCs w:val="24"/>
        </w:rPr>
        <w:t xml:space="preserve">penalties for </w:t>
      </w:r>
      <w:r>
        <w:rPr>
          <w:rFonts w:ascii="Times New Roman" w:hAnsi="Times New Roman"/>
          <w:sz w:val="24"/>
          <w:szCs w:val="24"/>
        </w:rPr>
        <w:t>unfair practices</w:t>
      </w:r>
      <w:r w:rsidR="0087106A">
        <w:rPr>
          <w:rFonts w:ascii="Times New Roman" w:hAnsi="Times New Roman"/>
          <w:sz w:val="24"/>
          <w:szCs w:val="24"/>
        </w:rPr>
        <w:t>; and redefine what market domination means. They also</w:t>
      </w:r>
      <w:r>
        <w:rPr>
          <w:rFonts w:ascii="Times New Roman" w:hAnsi="Times New Roman"/>
          <w:sz w:val="24"/>
          <w:szCs w:val="24"/>
        </w:rPr>
        <w:t xml:space="preserve"> </w:t>
      </w:r>
      <w:r w:rsidR="0087106A">
        <w:rPr>
          <w:rFonts w:ascii="Times New Roman" w:hAnsi="Times New Roman"/>
          <w:sz w:val="24"/>
          <w:szCs w:val="24"/>
        </w:rPr>
        <w:t xml:space="preserve">include provisions on </w:t>
      </w:r>
      <w:r>
        <w:rPr>
          <w:rFonts w:ascii="Times New Roman" w:hAnsi="Times New Roman"/>
          <w:sz w:val="24"/>
          <w:szCs w:val="24"/>
        </w:rPr>
        <w:t>state</w:t>
      </w:r>
      <w:r w:rsidR="0024494A">
        <w:rPr>
          <w:rFonts w:ascii="Times New Roman" w:hAnsi="Times New Roman"/>
          <w:sz w:val="24"/>
          <w:szCs w:val="24"/>
        </w:rPr>
        <w:t>-owned</w:t>
      </w:r>
      <w:r>
        <w:rPr>
          <w:rFonts w:ascii="Times New Roman" w:hAnsi="Times New Roman"/>
          <w:sz w:val="24"/>
          <w:szCs w:val="24"/>
        </w:rPr>
        <w:t xml:space="preserve"> enterprises </w:t>
      </w:r>
      <w:r w:rsidR="0024494A">
        <w:rPr>
          <w:rFonts w:ascii="Times New Roman" w:hAnsi="Times New Roman"/>
          <w:sz w:val="24"/>
          <w:szCs w:val="24"/>
        </w:rPr>
        <w:t>that compete with the private sector</w:t>
      </w:r>
      <w:r w:rsidR="0087106A">
        <w:rPr>
          <w:rFonts w:ascii="Times New Roman" w:hAnsi="Times New Roman"/>
          <w:sz w:val="24"/>
          <w:szCs w:val="24"/>
        </w:rPr>
        <w:t xml:space="preserve"> in order</w:t>
      </w:r>
      <w:r w:rsidR="0024494A">
        <w:rPr>
          <w:rFonts w:ascii="Times New Roman" w:hAnsi="Times New Roman"/>
          <w:sz w:val="24"/>
          <w:szCs w:val="24"/>
        </w:rPr>
        <w:t xml:space="preserve"> </w:t>
      </w:r>
      <w:r>
        <w:rPr>
          <w:rFonts w:ascii="Times New Roman" w:hAnsi="Times New Roman"/>
          <w:sz w:val="24"/>
          <w:szCs w:val="24"/>
        </w:rPr>
        <w:t>to ensure fair competition.</w:t>
      </w:r>
    </w:p>
    <w:p w14:paraId="4960DCFD" w14:textId="77777777" w:rsidR="00243335" w:rsidRPr="00243335" w:rsidRDefault="00243335" w:rsidP="000D2FD6">
      <w:pPr>
        <w:spacing w:after="0" w:line="240" w:lineRule="auto"/>
        <w:jc w:val="both"/>
        <w:rPr>
          <w:rFonts w:ascii="Times New Roman" w:hAnsi="Times New Roman"/>
          <w:sz w:val="24"/>
          <w:szCs w:val="24"/>
        </w:rPr>
      </w:pPr>
    </w:p>
    <w:p w14:paraId="240AC003" w14:textId="77777777" w:rsidR="00B81C5A" w:rsidRDefault="00E6454C" w:rsidP="00FB45F2">
      <w:pPr>
        <w:spacing w:after="0" w:line="240" w:lineRule="auto"/>
        <w:jc w:val="both"/>
        <w:outlineLvl w:val="0"/>
        <w:rPr>
          <w:rFonts w:ascii="Times New Roman" w:hAnsi="Times New Roman"/>
          <w:b/>
          <w:color w:val="0070C0"/>
          <w:sz w:val="24"/>
          <w:szCs w:val="24"/>
        </w:rPr>
      </w:pPr>
      <w:r w:rsidRPr="00B81C5A">
        <w:rPr>
          <w:rFonts w:ascii="Times New Roman" w:hAnsi="Times New Roman"/>
          <w:b/>
          <w:color w:val="0070C0"/>
          <w:sz w:val="24"/>
          <w:szCs w:val="24"/>
        </w:rPr>
        <w:lastRenderedPageBreak/>
        <w:t>Government Procurement</w:t>
      </w:r>
    </w:p>
    <w:p w14:paraId="4B74EE5C" w14:textId="77777777" w:rsidR="005B1E3B" w:rsidRDefault="005B1E3B" w:rsidP="00FB45F2">
      <w:pPr>
        <w:spacing w:after="0" w:line="240" w:lineRule="auto"/>
        <w:jc w:val="both"/>
        <w:outlineLvl w:val="0"/>
        <w:rPr>
          <w:rFonts w:ascii="Times New Roman" w:hAnsi="Times New Roman"/>
          <w:sz w:val="24"/>
          <w:szCs w:val="24"/>
        </w:rPr>
      </w:pPr>
      <w:r>
        <w:rPr>
          <w:rFonts w:ascii="Times New Roman" w:hAnsi="Times New Roman"/>
          <w:sz w:val="24"/>
          <w:szCs w:val="24"/>
        </w:rPr>
        <w:t>Thailand has been an observer to the WTO Government Procurement Committee since June 2015.</w:t>
      </w:r>
    </w:p>
    <w:p w14:paraId="5FE90CE5" w14:textId="77777777" w:rsidR="005B1E3B" w:rsidRDefault="005B1E3B" w:rsidP="00FB45F2">
      <w:pPr>
        <w:spacing w:after="0" w:line="240" w:lineRule="auto"/>
        <w:jc w:val="both"/>
        <w:outlineLvl w:val="0"/>
        <w:rPr>
          <w:rFonts w:ascii="Times New Roman" w:hAnsi="Times New Roman"/>
          <w:sz w:val="24"/>
          <w:szCs w:val="24"/>
        </w:rPr>
      </w:pPr>
    </w:p>
    <w:p w14:paraId="27806074" w14:textId="327339E6" w:rsidR="00EC0722" w:rsidRPr="005B1E3B" w:rsidRDefault="00420971" w:rsidP="0023039A">
      <w:pPr>
        <w:spacing w:after="0" w:line="240" w:lineRule="auto"/>
        <w:jc w:val="both"/>
        <w:outlineLvl w:val="0"/>
        <w:rPr>
          <w:rFonts w:ascii="Times New Roman" w:hAnsi="Times New Roman"/>
          <w:sz w:val="24"/>
          <w:szCs w:val="24"/>
        </w:rPr>
      </w:pPr>
      <w:r>
        <w:rPr>
          <w:rFonts w:ascii="Times New Roman" w:hAnsi="Times New Roman"/>
          <w:sz w:val="24"/>
          <w:szCs w:val="24"/>
        </w:rPr>
        <w:t>T</w:t>
      </w:r>
      <w:r w:rsidR="00904098">
        <w:rPr>
          <w:rFonts w:ascii="Times New Roman" w:hAnsi="Times New Roman"/>
          <w:sz w:val="24"/>
          <w:szCs w:val="24"/>
        </w:rPr>
        <w:t xml:space="preserve">wo new </w:t>
      </w:r>
      <w:r>
        <w:rPr>
          <w:rFonts w:ascii="Times New Roman" w:hAnsi="Times New Roman"/>
          <w:sz w:val="24"/>
          <w:szCs w:val="24"/>
        </w:rPr>
        <w:t xml:space="preserve">electronic government procurement </w:t>
      </w:r>
      <w:r w:rsidR="00904098">
        <w:rPr>
          <w:rFonts w:ascii="Times New Roman" w:hAnsi="Times New Roman"/>
          <w:sz w:val="24"/>
          <w:szCs w:val="24"/>
        </w:rPr>
        <w:t>systems</w:t>
      </w:r>
      <w:r>
        <w:rPr>
          <w:rFonts w:ascii="Times New Roman" w:hAnsi="Times New Roman"/>
          <w:sz w:val="24"/>
          <w:szCs w:val="24"/>
        </w:rPr>
        <w:t xml:space="preserve"> were launched in 2015:</w:t>
      </w:r>
      <w:r w:rsidR="00904098">
        <w:rPr>
          <w:rFonts w:ascii="Times New Roman" w:hAnsi="Times New Roman"/>
          <w:sz w:val="24"/>
          <w:szCs w:val="24"/>
        </w:rPr>
        <w:t xml:space="preserve"> e-bidding and e-markets. </w:t>
      </w:r>
      <w:r>
        <w:rPr>
          <w:rFonts w:ascii="Times New Roman" w:hAnsi="Times New Roman"/>
          <w:sz w:val="24"/>
          <w:szCs w:val="24"/>
        </w:rPr>
        <w:t xml:space="preserve">With electronic systems, the transparency </w:t>
      </w:r>
      <w:r w:rsidR="00904098">
        <w:rPr>
          <w:rFonts w:ascii="Times New Roman" w:hAnsi="Times New Roman"/>
          <w:sz w:val="24"/>
          <w:szCs w:val="24"/>
        </w:rPr>
        <w:t xml:space="preserve">is enhanced due to </w:t>
      </w:r>
      <w:r w:rsidR="0023039A">
        <w:rPr>
          <w:rFonts w:ascii="Times New Roman" w:hAnsi="Times New Roman"/>
          <w:sz w:val="24"/>
          <w:szCs w:val="24"/>
        </w:rPr>
        <w:t>the fact that the public has access to all information in every step of each process. In order to fight against corruption,</w:t>
      </w:r>
      <w:r w:rsidR="00EC0722">
        <w:rPr>
          <w:rFonts w:ascii="Times New Roman" w:hAnsi="Times New Roman"/>
          <w:sz w:val="24"/>
          <w:szCs w:val="24"/>
        </w:rPr>
        <w:t xml:space="preserve"> the government has been </w:t>
      </w:r>
      <w:r w:rsidR="0023039A">
        <w:rPr>
          <w:rFonts w:ascii="Times New Roman" w:hAnsi="Times New Roman"/>
          <w:sz w:val="24"/>
          <w:szCs w:val="24"/>
        </w:rPr>
        <w:t xml:space="preserve">working on a new </w:t>
      </w:r>
      <w:r w:rsidR="00EC0722">
        <w:rPr>
          <w:rFonts w:ascii="Times New Roman" w:hAnsi="Times New Roman"/>
          <w:sz w:val="24"/>
          <w:szCs w:val="24"/>
        </w:rPr>
        <w:t>public procurement law</w:t>
      </w:r>
      <w:r w:rsidR="0023039A">
        <w:rPr>
          <w:rFonts w:ascii="Times New Roman" w:hAnsi="Times New Roman"/>
          <w:sz w:val="24"/>
          <w:szCs w:val="24"/>
        </w:rPr>
        <w:t>, which is</w:t>
      </w:r>
      <w:r w:rsidR="00EC0722">
        <w:rPr>
          <w:rFonts w:ascii="Times New Roman" w:hAnsi="Times New Roman"/>
          <w:sz w:val="24"/>
          <w:szCs w:val="24"/>
        </w:rPr>
        <w:t xml:space="preserve"> expected to enter into force </w:t>
      </w:r>
      <w:r w:rsidR="0023039A">
        <w:rPr>
          <w:rFonts w:ascii="Times New Roman" w:hAnsi="Times New Roman"/>
          <w:sz w:val="24"/>
          <w:szCs w:val="24"/>
        </w:rPr>
        <w:t xml:space="preserve">in </w:t>
      </w:r>
      <w:r w:rsidR="00EC0722">
        <w:rPr>
          <w:rFonts w:ascii="Times New Roman" w:hAnsi="Times New Roman"/>
          <w:sz w:val="24"/>
          <w:szCs w:val="24"/>
        </w:rPr>
        <w:t>2016</w:t>
      </w:r>
      <w:r w:rsidR="0023039A">
        <w:rPr>
          <w:rFonts w:ascii="Times New Roman" w:hAnsi="Times New Roman"/>
          <w:sz w:val="24"/>
          <w:szCs w:val="24"/>
        </w:rPr>
        <w:t>.</w:t>
      </w:r>
    </w:p>
    <w:p w14:paraId="03011384" w14:textId="77777777" w:rsidR="008C593A" w:rsidRPr="008C593A" w:rsidRDefault="008C593A" w:rsidP="008C593A">
      <w:pPr>
        <w:spacing w:after="0" w:line="240" w:lineRule="auto"/>
        <w:jc w:val="both"/>
        <w:rPr>
          <w:rFonts w:ascii="Times New Roman" w:hAnsi="Times New Roman"/>
          <w:b/>
          <w:color w:val="0070C0"/>
          <w:sz w:val="24"/>
          <w:szCs w:val="24"/>
        </w:rPr>
      </w:pPr>
    </w:p>
    <w:p w14:paraId="5B566C78" w14:textId="77777777" w:rsidR="00DD78D0" w:rsidRPr="008C593A" w:rsidRDefault="008C593A" w:rsidP="00E6454C">
      <w:pPr>
        <w:spacing w:after="0" w:line="240" w:lineRule="auto"/>
        <w:jc w:val="both"/>
        <w:rPr>
          <w:rFonts w:ascii="Times New Roman" w:hAnsi="Times New Roman"/>
          <w:b/>
          <w:color w:val="0070C0"/>
          <w:sz w:val="24"/>
          <w:szCs w:val="24"/>
        </w:rPr>
      </w:pPr>
      <w:r w:rsidRPr="008C593A">
        <w:rPr>
          <w:rFonts w:ascii="Times New Roman" w:hAnsi="Times New Roman"/>
          <w:b/>
          <w:color w:val="0070C0"/>
          <w:sz w:val="24"/>
          <w:szCs w:val="24"/>
        </w:rPr>
        <w:t>Deregulation/Regulatory Review</w:t>
      </w:r>
    </w:p>
    <w:p w14:paraId="1D8C164F" w14:textId="77777777" w:rsidR="00123E5F" w:rsidRPr="00123E5F" w:rsidRDefault="00F54F9E" w:rsidP="00E6454C">
      <w:pPr>
        <w:spacing w:after="0" w:line="240" w:lineRule="auto"/>
        <w:jc w:val="both"/>
        <w:rPr>
          <w:rFonts w:ascii="Times New Roman" w:hAnsi="Times New Roman"/>
          <w:sz w:val="24"/>
          <w:szCs w:val="24"/>
        </w:rPr>
      </w:pPr>
      <w:r>
        <w:rPr>
          <w:rFonts w:ascii="Times New Roman" w:hAnsi="Times New Roman"/>
          <w:sz w:val="24"/>
          <w:szCs w:val="24"/>
        </w:rPr>
        <w:t>Thailand issued the Royal Decree on the Revision of Law in 2015, which specifies that each ministry needs to assess the laws and regulations under its purview and review them every five years to evaluate the need for amendment or elimination.</w:t>
      </w:r>
    </w:p>
    <w:p w14:paraId="22408F98" w14:textId="77777777" w:rsidR="008C593A" w:rsidRDefault="008C593A" w:rsidP="00E6454C">
      <w:pPr>
        <w:spacing w:after="0" w:line="240" w:lineRule="auto"/>
        <w:jc w:val="both"/>
        <w:rPr>
          <w:rFonts w:ascii="Times New Roman" w:hAnsi="Times New Roman"/>
          <w:sz w:val="24"/>
          <w:szCs w:val="24"/>
        </w:rPr>
      </w:pPr>
    </w:p>
    <w:p w14:paraId="21D18B38" w14:textId="77777777" w:rsidR="00B81C5A" w:rsidRDefault="00E6454C" w:rsidP="00FB45F2">
      <w:pPr>
        <w:spacing w:after="0" w:line="240" w:lineRule="auto"/>
        <w:jc w:val="both"/>
        <w:outlineLvl w:val="0"/>
        <w:rPr>
          <w:rFonts w:ascii="Times New Roman" w:hAnsi="Times New Roman"/>
          <w:sz w:val="24"/>
          <w:szCs w:val="24"/>
          <w:u w:val="single"/>
        </w:rPr>
      </w:pPr>
      <w:r w:rsidRPr="00B81C5A">
        <w:rPr>
          <w:rFonts w:ascii="Times New Roman" w:hAnsi="Times New Roman"/>
          <w:b/>
          <w:color w:val="0070C0"/>
          <w:sz w:val="24"/>
          <w:szCs w:val="24"/>
        </w:rPr>
        <w:t>Mobility of Business People</w:t>
      </w:r>
    </w:p>
    <w:p w14:paraId="7ED6A461" w14:textId="6284E4EE" w:rsidR="009A24E8" w:rsidRPr="00A15A5D" w:rsidRDefault="009A24E8" w:rsidP="00E6454C">
      <w:pPr>
        <w:spacing w:after="0" w:line="240" w:lineRule="auto"/>
        <w:jc w:val="both"/>
        <w:rPr>
          <w:rFonts w:ascii="Times New Roman" w:hAnsi="Times New Roman"/>
          <w:sz w:val="24"/>
          <w:szCs w:val="24"/>
        </w:rPr>
      </w:pPr>
      <w:r>
        <w:rPr>
          <w:rFonts w:ascii="Times New Roman" w:hAnsi="Times New Roman"/>
          <w:sz w:val="24"/>
          <w:szCs w:val="24"/>
        </w:rPr>
        <w:t xml:space="preserve">Non-Immigrant “B” (business) Visa holders can make the notification of staying </w:t>
      </w:r>
      <w:r w:rsidR="007022C9">
        <w:rPr>
          <w:rFonts w:ascii="Times New Roman" w:hAnsi="Times New Roman"/>
          <w:sz w:val="24"/>
          <w:szCs w:val="24"/>
        </w:rPr>
        <w:t xml:space="preserve">in Thailand </w:t>
      </w:r>
      <w:r>
        <w:rPr>
          <w:rFonts w:ascii="Times New Roman" w:hAnsi="Times New Roman"/>
          <w:sz w:val="24"/>
          <w:szCs w:val="24"/>
        </w:rPr>
        <w:t>over 90 days online</w:t>
      </w:r>
      <w:r w:rsidR="00B94336">
        <w:rPr>
          <w:rFonts w:ascii="Times New Roman" w:hAnsi="Times New Roman"/>
          <w:sz w:val="24"/>
          <w:szCs w:val="24"/>
        </w:rPr>
        <w:t xml:space="preserve">. </w:t>
      </w:r>
      <w:r>
        <w:rPr>
          <w:rFonts w:ascii="Times New Roman" w:hAnsi="Times New Roman"/>
          <w:sz w:val="24"/>
          <w:szCs w:val="24"/>
        </w:rPr>
        <w:t xml:space="preserve">As of October 2015, Thailand </w:t>
      </w:r>
      <w:r w:rsidR="007022C9">
        <w:rPr>
          <w:rFonts w:ascii="Times New Roman" w:hAnsi="Times New Roman"/>
          <w:sz w:val="24"/>
          <w:szCs w:val="24"/>
        </w:rPr>
        <w:t xml:space="preserve">had </w:t>
      </w:r>
      <w:r>
        <w:rPr>
          <w:rFonts w:ascii="Times New Roman" w:hAnsi="Times New Roman"/>
          <w:sz w:val="24"/>
          <w:szCs w:val="24"/>
        </w:rPr>
        <w:t xml:space="preserve">issued more than 11,004 APEC Business Travel Cards (ABTCs), </w:t>
      </w:r>
      <w:r w:rsidR="007022C9">
        <w:rPr>
          <w:rFonts w:ascii="Times New Roman" w:hAnsi="Times New Roman"/>
          <w:sz w:val="24"/>
          <w:szCs w:val="24"/>
        </w:rPr>
        <w:t xml:space="preserve">a </w:t>
      </w:r>
      <w:r>
        <w:rPr>
          <w:rFonts w:ascii="Times New Roman" w:hAnsi="Times New Roman"/>
          <w:sz w:val="24"/>
          <w:szCs w:val="24"/>
        </w:rPr>
        <w:t>53</w:t>
      </w:r>
      <w:r w:rsidR="007022C9">
        <w:rPr>
          <w:rFonts w:ascii="Times New Roman" w:hAnsi="Times New Roman"/>
          <w:sz w:val="24"/>
          <w:szCs w:val="24"/>
        </w:rPr>
        <w:t xml:space="preserve">% increase since </w:t>
      </w:r>
      <w:r>
        <w:rPr>
          <w:rFonts w:ascii="Times New Roman" w:hAnsi="Times New Roman"/>
          <w:sz w:val="24"/>
          <w:szCs w:val="24"/>
        </w:rPr>
        <w:t>December 2013. Since September 2015, Thailand started to issue 5-year ABTC</w:t>
      </w:r>
      <w:r w:rsidR="007022C9">
        <w:rPr>
          <w:rFonts w:ascii="Times New Roman" w:hAnsi="Times New Roman"/>
          <w:sz w:val="24"/>
          <w:szCs w:val="24"/>
        </w:rPr>
        <w:t>s</w:t>
      </w:r>
      <w:r>
        <w:rPr>
          <w:rFonts w:ascii="Times New Roman" w:hAnsi="Times New Roman"/>
          <w:sz w:val="24"/>
          <w:szCs w:val="24"/>
        </w:rPr>
        <w:t xml:space="preserve"> to eligible business people.</w:t>
      </w:r>
      <w:r w:rsidR="009B183C">
        <w:rPr>
          <w:rFonts w:ascii="Times New Roman" w:hAnsi="Times New Roman"/>
          <w:sz w:val="24"/>
          <w:szCs w:val="24"/>
        </w:rPr>
        <w:t xml:space="preserve"> Additionally, the Joint Standing Committee on Commerce, Industry, and Banking (JSCCIB), together with the Department of Consular Affairs, Ministry of Foreign Affairs, has been developing an online ABTCs application system which is expected to be operational within 2016.</w:t>
      </w:r>
    </w:p>
    <w:p w14:paraId="0B6D108E" w14:textId="77777777" w:rsidR="007945DE" w:rsidRDefault="007945DE" w:rsidP="00E6454C">
      <w:pPr>
        <w:spacing w:after="0" w:line="240" w:lineRule="auto"/>
        <w:jc w:val="both"/>
        <w:rPr>
          <w:rFonts w:ascii="Times New Roman" w:hAnsi="Times New Roman" w:cs="Cordia New"/>
          <w:sz w:val="24"/>
          <w:szCs w:val="30"/>
          <w:lang w:bidi="th-TH"/>
        </w:rPr>
      </w:pPr>
    </w:p>
    <w:p w14:paraId="7220E00A" w14:textId="77777777" w:rsidR="00B81C5A" w:rsidRDefault="00E6454C" w:rsidP="00B81C5A">
      <w:pPr>
        <w:spacing w:after="0" w:line="240" w:lineRule="auto"/>
        <w:jc w:val="both"/>
        <w:outlineLvl w:val="0"/>
        <w:rPr>
          <w:rFonts w:ascii="Times New Roman" w:hAnsi="Times New Roman"/>
          <w:b/>
          <w:color w:val="0070C0"/>
          <w:sz w:val="24"/>
          <w:szCs w:val="24"/>
        </w:rPr>
      </w:pPr>
      <w:r w:rsidRPr="00B81C5A">
        <w:rPr>
          <w:rFonts w:ascii="Times New Roman" w:hAnsi="Times New Roman"/>
          <w:b/>
          <w:color w:val="0070C0"/>
          <w:sz w:val="24"/>
          <w:szCs w:val="24"/>
        </w:rPr>
        <w:t>RTA/FTAs</w:t>
      </w:r>
    </w:p>
    <w:p w14:paraId="723FD245" w14:textId="3335FDEA" w:rsidR="00C26FDD" w:rsidRPr="008F2C98" w:rsidRDefault="008A0461" w:rsidP="00B81C5A">
      <w:pPr>
        <w:spacing w:after="0" w:line="240" w:lineRule="auto"/>
        <w:jc w:val="both"/>
        <w:outlineLvl w:val="0"/>
        <w:rPr>
          <w:rFonts w:ascii="Times New Roman" w:hAnsi="Times New Roman"/>
          <w:sz w:val="24"/>
          <w:szCs w:val="24"/>
        </w:rPr>
      </w:pPr>
      <w:r>
        <w:rPr>
          <w:rFonts w:ascii="Times New Roman" w:hAnsi="Times New Roman"/>
          <w:sz w:val="24"/>
          <w:szCs w:val="24"/>
        </w:rPr>
        <w:t>Thailand has 1</w:t>
      </w:r>
      <w:r w:rsidR="00592AFB">
        <w:rPr>
          <w:rFonts w:ascii="Times New Roman" w:hAnsi="Times New Roman"/>
          <w:sz w:val="24"/>
          <w:szCs w:val="24"/>
        </w:rPr>
        <w:t>2</w:t>
      </w:r>
      <w:r>
        <w:rPr>
          <w:rFonts w:ascii="Times New Roman" w:hAnsi="Times New Roman"/>
          <w:sz w:val="24"/>
          <w:szCs w:val="24"/>
        </w:rPr>
        <w:t xml:space="preserve"> RTA/FTAs in </w:t>
      </w:r>
      <w:r w:rsidR="008F2C98">
        <w:rPr>
          <w:rFonts w:ascii="Times New Roman" w:hAnsi="Times New Roman"/>
          <w:sz w:val="24"/>
          <w:szCs w:val="24"/>
        </w:rPr>
        <w:t>place</w:t>
      </w:r>
      <w:r w:rsidR="008F2C98">
        <w:rPr>
          <w:rStyle w:val="FootnoteReference"/>
          <w:rFonts w:ascii="Times New Roman" w:hAnsi="Times New Roman"/>
          <w:sz w:val="24"/>
          <w:szCs w:val="24"/>
        </w:rPr>
        <w:footnoteReference w:id="2"/>
      </w:r>
      <w:r w:rsidR="008F2C98">
        <w:rPr>
          <w:rFonts w:ascii="Times New Roman" w:hAnsi="Times New Roman"/>
          <w:sz w:val="24"/>
          <w:szCs w:val="24"/>
        </w:rPr>
        <w:t xml:space="preserve"> and </w:t>
      </w:r>
      <w:r w:rsidR="00592AFB">
        <w:rPr>
          <w:rFonts w:ascii="Times New Roman" w:hAnsi="Times New Roman"/>
          <w:sz w:val="24"/>
          <w:szCs w:val="24"/>
        </w:rPr>
        <w:t>five</w:t>
      </w:r>
      <w:r w:rsidR="008F2C98">
        <w:rPr>
          <w:rFonts w:ascii="Times New Roman" w:hAnsi="Times New Roman"/>
          <w:sz w:val="24"/>
          <w:szCs w:val="24"/>
        </w:rPr>
        <w:t xml:space="preserve"> more under negotiations on new RTA/FTAs, </w:t>
      </w:r>
      <w:r w:rsidR="00592AFB">
        <w:rPr>
          <w:rFonts w:ascii="Times New Roman" w:hAnsi="Times New Roman"/>
          <w:sz w:val="24"/>
          <w:szCs w:val="24"/>
        </w:rPr>
        <w:t>namely</w:t>
      </w:r>
      <w:r w:rsidR="00A64F16">
        <w:rPr>
          <w:rFonts w:ascii="Times New Roman" w:hAnsi="Times New Roman"/>
          <w:sz w:val="24"/>
          <w:szCs w:val="24"/>
        </w:rPr>
        <w:t xml:space="preserve"> </w:t>
      </w:r>
      <w:r w:rsidR="008F2C98">
        <w:rPr>
          <w:rFonts w:ascii="Times New Roman" w:hAnsi="Times New Roman"/>
          <w:sz w:val="24"/>
          <w:szCs w:val="24"/>
        </w:rPr>
        <w:t>the Regional Comprehensive Economic Partnership</w:t>
      </w:r>
      <w:r w:rsidR="00592AFB">
        <w:rPr>
          <w:rFonts w:ascii="Times New Roman" w:hAnsi="Times New Roman"/>
          <w:sz w:val="24"/>
          <w:szCs w:val="24"/>
        </w:rPr>
        <w:t>, ASEAN-Hong Kong Free Trade Agreement (AHKFTA)</w:t>
      </w:r>
      <w:r w:rsidR="008F2C98">
        <w:rPr>
          <w:rFonts w:ascii="Times New Roman" w:hAnsi="Times New Roman"/>
          <w:sz w:val="24"/>
          <w:szCs w:val="24"/>
        </w:rPr>
        <w:t xml:space="preserve"> a</w:t>
      </w:r>
      <w:r w:rsidR="002C06A7">
        <w:rPr>
          <w:rFonts w:ascii="Times New Roman" w:hAnsi="Times New Roman"/>
          <w:sz w:val="24"/>
          <w:szCs w:val="24"/>
        </w:rPr>
        <w:t>nd bilateral FTA</w:t>
      </w:r>
      <w:r w:rsidR="00592AFB">
        <w:rPr>
          <w:rFonts w:ascii="Times New Roman" w:hAnsi="Times New Roman"/>
          <w:sz w:val="24"/>
          <w:szCs w:val="24"/>
        </w:rPr>
        <w:t>s</w:t>
      </w:r>
      <w:r w:rsidR="002C06A7">
        <w:rPr>
          <w:rFonts w:ascii="Times New Roman" w:hAnsi="Times New Roman"/>
          <w:sz w:val="24"/>
          <w:szCs w:val="24"/>
        </w:rPr>
        <w:t xml:space="preserve"> with the</w:t>
      </w:r>
      <w:r w:rsidR="008F2C98">
        <w:rPr>
          <w:rFonts w:ascii="Times New Roman" w:hAnsi="Times New Roman"/>
          <w:sz w:val="24"/>
          <w:szCs w:val="24"/>
        </w:rPr>
        <w:t xml:space="preserve"> European Union</w:t>
      </w:r>
      <w:r w:rsidR="00592AFB">
        <w:rPr>
          <w:rFonts w:ascii="Times New Roman" w:hAnsi="Times New Roman"/>
          <w:sz w:val="24"/>
          <w:szCs w:val="24"/>
        </w:rPr>
        <w:t>, the European Free Trade Association, and Pakistan.</w:t>
      </w:r>
    </w:p>
    <w:p w14:paraId="15729DFA" w14:textId="77777777" w:rsidR="00C26FDD" w:rsidRDefault="00C26FDD" w:rsidP="00B81C5A">
      <w:pPr>
        <w:spacing w:after="0" w:line="240" w:lineRule="auto"/>
        <w:jc w:val="both"/>
        <w:outlineLvl w:val="0"/>
        <w:rPr>
          <w:rFonts w:ascii="Times New Roman" w:hAnsi="Times New Roman" w:cs="Cordia New"/>
          <w:sz w:val="24"/>
          <w:szCs w:val="30"/>
          <w:lang w:bidi="th-TH"/>
        </w:rPr>
      </w:pPr>
    </w:p>
    <w:sectPr w:rsidR="00C26FDD" w:rsidSect="00941E5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1A4E7" w14:textId="77777777" w:rsidR="00C91762" w:rsidRDefault="00C91762" w:rsidP="00FB45F2">
      <w:pPr>
        <w:spacing w:after="0" w:line="240" w:lineRule="auto"/>
      </w:pPr>
      <w:r>
        <w:separator/>
      </w:r>
    </w:p>
  </w:endnote>
  <w:endnote w:type="continuationSeparator" w:id="0">
    <w:p w14:paraId="59E26198" w14:textId="77777777" w:rsidR="00C91762" w:rsidRDefault="00C91762" w:rsidP="00FB4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3BAB1" w14:textId="77777777" w:rsidR="00C91762" w:rsidRDefault="00C91762" w:rsidP="00FB45F2">
      <w:pPr>
        <w:spacing w:after="0" w:line="240" w:lineRule="auto"/>
      </w:pPr>
      <w:r>
        <w:separator/>
      </w:r>
    </w:p>
  </w:footnote>
  <w:footnote w:type="continuationSeparator" w:id="0">
    <w:p w14:paraId="3A6E1770" w14:textId="77777777" w:rsidR="00C91762" w:rsidRDefault="00C91762" w:rsidP="00FB45F2">
      <w:pPr>
        <w:spacing w:after="0" w:line="240" w:lineRule="auto"/>
      </w:pPr>
      <w:r>
        <w:continuationSeparator/>
      </w:r>
    </w:p>
  </w:footnote>
  <w:footnote w:id="1">
    <w:p w14:paraId="1981CB7E" w14:textId="52035B79" w:rsidR="00420971" w:rsidRPr="00660029" w:rsidRDefault="00420971" w:rsidP="00404CFB">
      <w:pPr>
        <w:pStyle w:val="FootnoteText"/>
        <w:jc w:val="both"/>
      </w:pPr>
      <w:r w:rsidRPr="00660029">
        <w:rPr>
          <w:rStyle w:val="FootnoteReference"/>
        </w:rPr>
        <w:sym w:font="Symbol" w:char="F02A"/>
      </w:r>
      <w:r w:rsidRPr="00660029">
        <w:t xml:space="preserve"> </w:t>
      </w:r>
      <w:r w:rsidRPr="00660029">
        <w:rPr>
          <w:rFonts w:ascii="Times New Roman" w:hAnsi="Times New Roman"/>
        </w:rPr>
        <w:t xml:space="preserve">This brief report was prepared with information from the Thailand’s submission of </w:t>
      </w:r>
      <w:r w:rsidR="0075460E">
        <w:rPr>
          <w:rFonts w:ascii="Times New Roman" w:hAnsi="Times New Roman"/>
        </w:rPr>
        <w:t xml:space="preserve">the </w:t>
      </w:r>
      <w:r w:rsidRPr="00660029">
        <w:rPr>
          <w:rFonts w:ascii="Times New Roman" w:hAnsi="Times New Roman"/>
        </w:rPr>
        <w:t xml:space="preserve">2016 APEC Individual Action Plan (IAP) template; </w:t>
      </w:r>
      <w:r w:rsidR="0075460E">
        <w:rPr>
          <w:rFonts w:ascii="Times New Roman" w:hAnsi="Times New Roman"/>
        </w:rPr>
        <w:t xml:space="preserve">the </w:t>
      </w:r>
      <w:r w:rsidRPr="00660029">
        <w:rPr>
          <w:rFonts w:ascii="Times New Roman" w:hAnsi="Times New Roman"/>
        </w:rPr>
        <w:t>WTO 2015 World Tariff Profiles;</w:t>
      </w:r>
      <w:r>
        <w:rPr>
          <w:rFonts w:ascii="Times New Roman" w:hAnsi="Times New Roman"/>
        </w:rPr>
        <w:t xml:space="preserve"> </w:t>
      </w:r>
      <w:r w:rsidR="0075460E">
        <w:rPr>
          <w:rFonts w:ascii="Times New Roman" w:hAnsi="Times New Roman"/>
        </w:rPr>
        <w:t xml:space="preserve">the </w:t>
      </w:r>
      <w:r>
        <w:rPr>
          <w:rFonts w:ascii="Times New Roman" w:hAnsi="Times New Roman"/>
        </w:rPr>
        <w:t xml:space="preserve">2016 </w:t>
      </w:r>
      <w:r w:rsidRPr="009C2C79">
        <w:rPr>
          <w:rFonts w:ascii="Times New Roman" w:hAnsi="Times New Roman"/>
        </w:rPr>
        <w:t>WTO Trade Policy Review</w:t>
      </w:r>
      <w:r>
        <w:rPr>
          <w:rFonts w:ascii="Times New Roman" w:hAnsi="Times New Roman"/>
        </w:rPr>
        <w:t xml:space="preserve"> - Report by the Secretariat – Thailand;</w:t>
      </w:r>
      <w:r w:rsidRPr="00660029">
        <w:rPr>
          <w:rFonts w:ascii="Times New Roman" w:hAnsi="Times New Roman"/>
        </w:rPr>
        <w:t xml:space="preserve"> </w:t>
      </w:r>
      <w:r w:rsidR="0075460E">
        <w:rPr>
          <w:rFonts w:ascii="Times New Roman" w:hAnsi="Times New Roman"/>
        </w:rPr>
        <w:t xml:space="preserve">the </w:t>
      </w:r>
      <w:r w:rsidR="00047E67">
        <w:rPr>
          <w:rFonts w:ascii="Times New Roman" w:hAnsi="Times New Roman"/>
        </w:rPr>
        <w:t>WTO TBT and SPS Information System</w:t>
      </w:r>
      <w:r w:rsidR="0075460E">
        <w:rPr>
          <w:rFonts w:ascii="Times New Roman" w:hAnsi="Times New Roman"/>
        </w:rPr>
        <w:t>s</w:t>
      </w:r>
      <w:r w:rsidR="00047E67">
        <w:rPr>
          <w:rFonts w:ascii="Times New Roman" w:hAnsi="Times New Roman"/>
        </w:rPr>
        <w:t xml:space="preserve">; </w:t>
      </w:r>
      <w:r w:rsidR="0075460E">
        <w:rPr>
          <w:rFonts w:ascii="Times New Roman" w:hAnsi="Times New Roman"/>
        </w:rPr>
        <w:t xml:space="preserve">the </w:t>
      </w:r>
      <w:r w:rsidR="00047E67">
        <w:rPr>
          <w:rFonts w:ascii="Times New Roman" w:hAnsi="Times New Roman"/>
        </w:rPr>
        <w:t xml:space="preserve">UNCTAD Investment Policy Hub; </w:t>
      </w:r>
      <w:r w:rsidR="009B7C56">
        <w:rPr>
          <w:rFonts w:ascii="Times New Roman" w:hAnsi="Times New Roman"/>
        </w:rPr>
        <w:t xml:space="preserve">the Comptroller General’s Department website; the Government Gazette; the Revenue Department; </w:t>
      </w:r>
      <w:r w:rsidR="0098589B">
        <w:rPr>
          <w:rFonts w:ascii="Times New Roman" w:hAnsi="Times New Roman"/>
        </w:rPr>
        <w:t>the Board of Investment; and the Department of Civil Aviation.</w:t>
      </w:r>
    </w:p>
  </w:footnote>
  <w:footnote w:id="2">
    <w:p w14:paraId="236855D3" w14:textId="26C8661C" w:rsidR="00420971" w:rsidRDefault="00420971" w:rsidP="001B04FC">
      <w:pPr>
        <w:pStyle w:val="FootnoteText"/>
        <w:jc w:val="both"/>
      </w:pPr>
      <w:r>
        <w:rPr>
          <w:rStyle w:val="FootnoteReference"/>
        </w:rPr>
        <w:footnoteRef/>
      </w:r>
      <w:r>
        <w:t xml:space="preserve"> </w:t>
      </w:r>
      <w:r w:rsidRPr="00DF3E7F">
        <w:rPr>
          <w:rFonts w:ascii="Times New Roman" w:hAnsi="Times New Roman"/>
        </w:rPr>
        <w:t>Th</w:t>
      </w:r>
      <w:r>
        <w:rPr>
          <w:rFonts w:ascii="Times New Roman" w:hAnsi="Times New Roman"/>
        </w:rPr>
        <w:t>ailand’s RTA/FTAs in force are</w:t>
      </w:r>
      <w:r w:rsidRPr="00DF3E7F">
        <w:rPr>
          <w:rFonts w:ascii="Times New Roman" w:hAnsi="Times New Roman"/>
        </w:rPr>
        <w:t xml:space="preserve"> following</w:t>
      </w:r>
      <w:r>
        <w:rPr>
          <w:rFonts w:ascii="Times New Roman" w:hAnsi="Times New Roman"/>
        </w:rPr>
        <w:t xml:space="preserve"> ones</w:t>
      </w:r>
      <w:r w:rsidRPr="00DF3E7F">
        <w:rPr>
          <w:rFonts w:ascii="Times New Roman" w:hAnsi="Times New Roman"/>
        </w:rPr>
        <w:t>: ASEAN (1992), Thailand-India (2004), Thailand-Australia (2005), ASEAN-China (2005), Thailand-New Zealand (2005), ASEAN-Korea (2007), Thailand-Japan (2007), ASEAN-Japan (2009), ASEAN-Australia-New Zealand (2010), ASEAN-India (</w:t>
      </w:r>
      <w:r>
        <w:rPr>
          <w:rFonts w:ascii="Times New Roman" w:hAnsi="Times New Roman"/>
        </w:rPr>
        <w:t>2010), Thailand-Peru (2011) and Thailand-Chile (2015)</w:t>
      </w:r>
      <w:r w:rsidR="00A64F16">
        <w:rPr>
          <w:rFonts w:ascii="Times New Roman" w:hAnsi="Times New Roman"/>
        </w:rPr>
        <w:t>. RTA/FTAs under the process of ratif</w:t>
      </w:r>
      <w:r w:rsidR="001B04FC">
        <w:rPr>
          <w:rFonts w:ascii="Times New Roman" w:hAnsi="Times New Roman"/>
        </w:rPr>
        <w:t>ication are: Thailand-Bahrain and Thailand-BIMSTEC</w:t>
      </w:r>
      <w:r w:rsidR="00A64F16">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8F1BB" w14:textId="77777777" w:rsidR="00420971" w:rsidRPr="006B34A0" w:rsidRDefault="00420971" w:rsidP="00C0266B">
    <w:pPr>
      <w:pStyle w:val="Header"/>
      <w:tabs>
        <w:tab w:val="clear" w:pos="4680"/>
        <w:tab w:val="clear" w:pos="9360"/>
        <w:tab w:val="right" w:pos="8280"/>
        <w:tab w:val="right" w:pos="9000"/>
      </w:tabs>
      <w:jc w:val="right"/>
      <w:rPr>
        <w:rFonts w:ascii="Times New Roman" w:hAnsi="Times New Roman"/>
        <w:b/>
        <w:i/>
      </w:rPr>
    </w:pPr>
    <w:r w:rsidRPr="006B34A0">
      <w:rPr>
        <w:b/>
      </w:rPr>
      <w:tab/>
    </w:r>
    <w:r w:rsidRPr="006B34A0">
      <w:rPr>
        <w:rFonts w:ascii="Times New Roman" w:eastAsia="Times New Roman" w:hAnsi="Times New Roman"/>
        <w:i/>
      </w:rPr>
      <w:t>Progress</w:t>
    </w:r>
    <w:r w:rsidRPr="006B34A0">
      <w:rPr>
        <w:rFonts w:ascii="Times New Roman" w:hAnsi="Times New Roman"/>
        <w:i/>
      </w:rPr>
      <w:t xml:space="preserve"> Report - </w:t>
    </w:r>
    <w:r>
      <w:rPr>
        <w:rFonts w:ascii="Times New Roman" w:hAnsi="Times New Roman"/>
        <w:i/>
      </w:rPr>
      <w:t>Thailand</w:t>
    </w:r>
    <w:r w:rsidRPr="006B34A0">
      <w:rPr>
        <w:rFonts w:ascii="Times New Roman" w:hAnsi="Times New Roman"/>
        <w:b/>
        <w:i/>
      </w:rPr>
      <w:tab/>
    </w:r>
    <w:r w:rsidRPr="006B34A0">
      <w:rPr>
        <w:rFonts w:ascii="Times New Roman" w:hAnsi="Times New Roman"/>
        <w:i/>
      </w:rPr>
      <w:fldChar w:fldCharType="begin"/>
    </w:r>
    <w:r w:rsidRPr="006B34A0">
      <w:rPr>
        <w:rFonts w:ascii="Times New Roman" w:hAnsi="Times New Roman"/>
        <w:i/>
      </w:rPr>
      <w:instrText xml:space="preserve"> PAGE   \* MERGEFORMAT </w:instrText>
    </w:r>
    <w:r w:rsidRPr="006B34A0">
      <w:rPr>
        <w:rFonts w:ascii="Times New Roman" w:hAnsi="Times New Roman"/>
        <w:i/>
      </w:rPr>
      <w:fldChar w:fldCharType="separate"/>
    </w:r>
    <w:r w:rsidR="00240177">
      <w:rPr>
        <w:rFonts w:ascii="Times New Roman" w:hAnsi="Times New Roman"/>
        <w:i/>
        <w:noProof/>
      </w:rPr>
      <w:t>4</w:t>
    </w:r>
    <w:r w:rsidRPr="006B34A0">
      <w:rPr>
        <w:rFonts w:ascii="Times New Roman" w:hAnsi="Times New Roman"/>
        <w:i/>
      </w:rPr>
      <w:fldChar w:fldCharType="end"/>
    </w:r>
  </w:p>
  <w:p w14:paraId="36AE4A4E" w14:textId="77777777" w:rsidR="00420971" w:rsidRDefault="004209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4E2"/>
    <w:multiLevelType w:val="hybridMultilevel"/>
    <w:tmpl w:val="8988A6F6"/>
    <w:lvl w:ilvl="0" w:tplc="95D219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B14A4"/>
    <w:multiLevelType w:val="hybridMultilevel"/>
    <w:tmpl w:val="606CA75A"/>
    <w:lvl w:ilvl="0" w:tplc="0060E41A">
      <w:numFmt w:val="bullet"/>
      <w:lvlText w:val="-"/>
      <w:lvlJc w:val="left"/>
      <w:pPr>
        <w:tabs>
          <w:tab w:val="num" w:pos="1080"/>
        </w:tabs>
        <w:ind w:left="1080" w:hanging="720"/>
      </w:pPr>
      <w:rPr>
        <w:rFonts w:ascii="Times New Roman" w:eastAsia="MS Mincho" w:hAnsi="Times New Roman" w:cs="Angsana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C3545"/>
    <w:multiLevelType w:val="hybridMultilevel"/>
    <w:tmpl w:val="9AB6E438"/>
    <w:lvl w:ilvl="0" w:tplc="BF162130">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5843566E"/>
    <w:multiLevelType w:val="hybridMultilevel"/>
    <w:tmpl w:val="A808B0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AF0"/>
    <w:rsid w:val="0000629B"/>
    <w:rsid w:val="00021224"/>
    <w:rsid w:val="00033577"/>
    <w:rsid w:val="00037174"/>
    <w:rsid w:val="000373CB"/>
    <w:rsid w:val="00047E67"/>
    <w:rsid w:val="00064596"/>
    <w:rsid w:val="00070B45"/>
    <w:rsid w:val="000864C3"/>
    <w:rsid w:val="00093E28"/>
    <w:rsid w:val="00095A7E"/>
    <w:rsid w:val="000A77E3"/>
    <w:rsid w:val="000B1C91"/>
    <w:rsid w:val="000C0CAC"/>
    <w:rsid w:val="000C4C5F"/>
    <w:rsid w:val="000D2FD6"/>
    <w:rsid w:val="000D4CA3"/>
    <w:rsid w:val="000D60C8"/>
    <w:rsid w:val="000D7C90"/>
    <w:rsid w:val="000E0BB3"/>
    <w:rsid w:val="000E3CD3"/>
    <w:rsid w:val="000E67A6"/>
    <w:rsid w:val="00104569"/>
    <w:rsid w:val="00111FC9"/>
    <w:rsid w:val="00112F4C"/>
    <w:rsid w:val="001138AD"/>
    <w:rsid w:val="00117FFC"/>
    <w:rsid w:val="00123E5F"/>
    <w:rsid w:val="00142F48"/>
    <w:rsid w:val="00155241"/>
    <w:rsid w:val="00155963"/>
    <w:rsid w:val="00173E99"/>
    <w:rsid w:val="00196374"/>
    <w:rsid w:val="001B04FC"/>
    <w:rsid w:val="001B13ED"/>
    <w:rsid w:val="001B71CE"/>
    <w:rsid w:val="001C5CCD"/>
    <w:rsid w:val="001C775C"/>
    <w:rsid w:val="001D612A"/>
    <w:rsid w:val="001E6880"/>
    <w:rsid w:val="001E7CBD"/>
    <w:rsid w:val="001E7F4E"/>
    <w:rsid w:val="001F0A46"/>
    <w:rsid w:val="001F3E8D"/>
    <w:rsid w:val="001F4A87"/>
    <w:rsid w:val="00200DB9"/>
    <w:rsid w:val="0020109C"/>
    <w:rsid w:val="00206707"/>
    <w:rsid w:val="00207AD7"/>
    <w:rsid w:val="00212D6E"/>
    <w:rsid w:val="00217716"/>
    <w:rsid w:val="00217805"/>
    <w:rsid w:val="0023039A"/>
    <w:rsid w:val="002308F0"/>
    <w:rsid w:val="00235056"/>
    <w:rsid w:val="00240177"/>
    <w:rsid w:val="00242689"/>
    <w:rsid w:val="00243335"/>
    <w:rsid w:val="0024494A"/>
    <w:rsid w:val="00255F9C"/>
    <w:rsid w:val="002632D6"/>
    <w:rsid w:val="00266F51"/>
    <w:rsid w:val="00270D9A"/>
    <w:rsid w:val="002769BE"/>
    <w:rsid w:val="00277FB2"/>
    <w:rsid w:val="00284125"/>
    <w:rsid w:val="00290F5D"/>
    <w:rsid w:val="00292D4D"/>
    <w:rsid w:val="00293480"/>
    <w:rsid w:val="0029356A"/>
    <w:rsid w:val="002A638C"/>
    <w:rsid w:val="002B581E"/>
    <w:rsid w:val="002B5B5E"/>
    <w:rsid w:val="002C06A7"/>
    <w:rsid w:val="002C6704"/>
    <w:rsid w:val="002D45BC"/>
    <w:rsid w:val="00322D05"/>
    <w:rsid w:val="00343098"/>
    <w:rsid w:val="003763E3"/>
    <w:rsid w:val="00380539"/>
    <w:rsid w:val="00382339"/>
    <w:rsid w:val="00383367"/>
    <w:rsid w:val="00386009"/>
    <w:rsid w:val="00396C0C"/>
    <w:rsid w:val="003A0589"/>
    <w:rsid w:val="003A2786"/>
    <w:rsid w:val="003B3038"/>
    <w:rsid w:val="003B7E15"/>
    <w:rsid w:val="003D481E"/>
    <w:rsid w:val="00400B2F"/>
    <w:rsid w:val="00404CFB"/>
    <w:rsid w:val="00406BE0"/>
    <w:rsid w:val="00413A4E"/>
    <w:rsid w:val="00415A2C"/>
    <w:rsid w:val="00420971"/>
    <w:rsid w:val="00425305"/>
    <w:rsid w:val="00431B3C"/>
    <w:rsid w:val="004329C3"/>
    <w:rsid w:val="004336FE"/>
    <w:rsid w:val="0043451A"/>
    <w:rsid w:val="004443FA"/>
    <w:rsid w:val="004535B0"/>
    <w:rsid w:val="00456CA9"/>
    <w:rsid w:val="00462A0C"/>
    <w:rsid w:val="004645F3"/>
    <w:rsid w:val="00471878"/>
    <w:rsid w:val="00471C23"/>
    <w:rsid w:val="0048399B"/>
    <w:rsid w:val="00487726"/>
    <w:rsid w:val="00487C85"/>
    <w:rsid w:val="00492553"/>
    <w:rsid w:val="00494F9E"/>
    <w:rsid w:val="004B12E2"/>
    <w:rsid w:val="004B6756"/>
    <w:rsid w:val="004D37F8"/>
    <w:rsid w:val="004D7768"/>
    <w:rsid w:val="004E02B0"/>
    <w:rsid w:val="004E58D2"/>
    <w:rsid w:val="004F622F"/>
    <w:rsid w:val="004F65F2"/>
    <w:rsid w:val="00504259"/>
    <w:rsid w:val="005065F7"/>
    <w:rsid w:val="00506657"/>
    <w:rsid w:val="00507926"/>
    <w:rsid w:val="0050793A"/>
    <w:rsid w:val="0051355F"/>
    <w:rsid w:val="00525E6C"/>
    <w:rsid w:val="00526349"/>
    <w:rsid w:val="005272C0"/>
    <w:rsid w:val="00530609"/>
    <w:rsid w:val="00534035"/>
    <w:rsid w:val="00534394"/>
    <w:rsid w:val="00546FE7"/>
    <w:rsid w:val="00547783"/>
    <w:rsid w:val="00562DED"/>
    <w:rsid w:val="005645C2"/>
    <w:rsid w:val="005724C7"/>
    <w:rsid w:val="0057272D"/>
    <w:rsid w:val="005858F2"/>
    <w:rsid w:val="00586902"/>
    <w:rsid w:val="005875D3"/>
    <w:rsid w:val="005917C9"/>
    <w:rsid w:val="00592AFB"/>
    <w:rsid w:val="00595564"/>
    <w:rsid w:val="005A0C85"/>
    <w:rsid w:val="005A73BA"/>
    <w:rsid w:val="005B1E3B"/>
    <w:rsid w:val="005B7B31"/>
    <w:rsid w:val="005C1F2A"/>
    <w:rsid w:val="005D70F0"/>
    <w:rsid w:val="005D7BDF"/>
    <w:rsid w:val="005E53E1"/>
    <w:rsid w:val="005F5049"/>
    <w:rsid w:val="0061070D"/>
    <w:rsid w:val="00611ED3"/>
    <w:rsid w:val="00611EF7"/>
    <w:rsid w:val="006235AB"/>
    <w:rsid w:val="00634ACE"/>
    <w:rsid w:val="00651DC7"/>
    <w:rsid w:val="00660029"/>
    <w:rsid w:val="00663FBF"/>
    <w:rsid w:val="00684F5E"/>
    <w:rsid w:val="00686CFF"/>
    <w:rsid w:val="006871F4"/>
    <w:rsid w:val="006B378D"/>
    <w:rsid w:val="006B54CB"/>
    <w:rsid w:val="006C5EEE"/>
    <w:rsid w:val="006C7056"/>
    <w:rsid w:val="006E4189"/>
    <w:rsid w:val="006E65B5"/>
    <w:rsid w:val="006F027A"/>
    <w:rsid w:val="006F0794"/>
    <w:rsid w:val="006F67E8"/>
    <w:rsid w:val="006F738C"/>
    <w:rsid w:val="007022C9"/>
    <w:rsid w:val="00703640"/>
    <w:rsid w:val="0072791F"/>
    <w:rsid w:val="00740803"/>
    <w:rsid w:val="007460F6"/>
    <w:rsid w:val="00751743"/>
    <w:rsid w:val="00752A78"/>
    <w:rsid w:val="0075460E"/>
    <w:rsid w:val="007818F4"/>
    <w:rsid w:val="007945DE"/>
    <w:rsid w:val="00796D76"/>
    <w:rsid w:val="007C41AF"/>
    <w:rsid w:val="007C75B8"/>
    <w:rsid w:val="007D06AB"/>
    <w:rsid w:val="007D671E"/>
    <w:rsid w:val="00800202"/>
    <w:rsid w:val="0080092D"/>
    <w:rsid w:val="008022A2"/>
    <w:rsid w:val="00826887"/>
    <w:rsid w:val="00832483"/>
    <w:rsid w:val="00834FD5"/>
    <w:rsid w:val="008472EF"/>
    <w:rsid w:val="008539EE"/>
    <w:rsid w:val="008619A4"/>
    <w:rsid w:val="0087106A"/>
    <w:rsid w:val="00873B82"/>
    <w:rsid w:val="008765CF"/>
    <w:rsid w:val="0087672A"/>
    <w:rsid w:val="00880ABC"/>
    <w:rsid w:val="00886076"/>
    <w:rsid w:val="0089340C"/>
    <w:rsid w:val="008942A9"/>
    <w:rsid w:val="008A0461"/>
    <w:rsid w:val="008A3911"/>
    <w:rsid w:val="008A54FB"/>
    <w:rsid w:val="008C507E"/>
    <w:rsid w:val="008C593A"/>
    <w:rsid w:val="008E4202"/>
    <w:rsid w:val="008E746B"/>
    <w:rsid w:val="008F2C98"/>
    <w:rsid w:val="00904098"/>
    <w:rsid w:val="009061F8"/>
    <w:rsid w:val="0090719F"/>
    <w:rsid w:val="00915B0D"/>
    <w:rsid w:val="00920978"/>
    <w:rsid w:val="00926242"/>
    <w:rsid w:val="00930419"/>
    <w:rsid w:val="00941E51"/>
    <w:rsid w:val="00970147"/>
    <w:rsid w:val="00982DCA"/>
    <w:rsid w:val="0098589B"/>
    <w:rsid w:val="009A24E8"/>
    <w:rsid w:val="009B183C"/>
    <w:rsid w:val="009B7C56"/>
    <w:rsid w:val="009E3194"/>
    <w:rsid w:val="00A00CBE"/>
    <w:rsid w:val="00A11D45"/>
    <w:rsid w:val="00A14E61"/>
    <w:rsid w:val="00A15A5D"/>
    <w:rsid w:val="00A21EF0"/>
    <w:rsid w:val="00A25073"/>
    <w:rsid w:val="00A353F6"/>
    <w:rsid w:val="00A43933"/>
    <w:rsid w:val="00A4592B"/>
    <w:rsid w:val="00A507B6"/>
    <w:rsid w:val="00A64F16"/>
    <w:rsid w:val="00A65173"/>
    <w:rsid w:val="00A65452"/>
    <w:rsid w:val="00A673C7"/>
    <w:rsid w:val="00A723E7"/>
    <w:rsid w:val="00A81237"/>
    <w:rsid w:val="00A86D3E"/>
    <w:rsid w:val="00AA5AFC"/>
    <w:rsid w:val="00AB0240"/>
    <w:rsid w:val="00AB2EF1"/>
    <w:rsid w:val="00AB4B82"/>
    <w:rsid w:val="00AB4D36"/>
    <w:rsid w:val="00AB5FC3"/>
    <w:rsid w:val="00AB6351"/>
    <w:rsid w:val="00AB7A61"/>
    <w:rsid w:val="00AD3DEB"/>
    <w:rsid w:val="00AF3502"/>
    <w:rsid w:val="00B07EF8"/>
    <w:rsid w:val="00B07F31"/>
    <w:rsid w:val="00B130E5"/>
    <w:rsid w:val="00B200D1"/>
    <w:rsid w:val="00B80378"/>
    <w:rsid w:val="00B81C5A"/>
    <w:rsid w:val="00B83CAF"/>
    <w:rsid w:val="00B86455"/>
    <w:rsid w:val="00B94336"/>
    <w:rsid w:val="00BB44C1"/>
    <w:rsid w:val="00BB587C"/>
    <w:rsid w:val="00BB5F89"/>
    <w:rsid w:val="00BC44AC"/>
    <w:rsid w:val="00BD2750"/>
    <w:rsid w:val="00BD2C59"/>
    <w:rsid w:val="00BD33F9"/>
    <w:rsid w:val="00BF349E"/>
    <w:rsid w:val="00C0266B"/>
    <w:rsid w:val="00C04F58"/>
    <w:rsid w:val="00C05884"/>
    <w:rsid w:val="00C06479"/>
    <w:rsid w:val="00C06FF1"/>
    <w:rsid w:val="00C22FFF"/>
    <w:rsid w:val="00C2685A"/>
    <w:rsid w:val="00C26FDD"/>
    <w:rsid w:val="00C367ED"/>
    <w:rsid w:val="00C36C9E"/>
    <w:rsid w:val="00C37872"/>
    <w:rsid w:val="00C4093E"/>
    <w:rsid w:val="00C41625"/>
    <w:rsid w:val="00C41FA8"/>
    <w:rsid w:val="00C64631"/>
    <w:rsid w:val="00C65CD3"/>
    <w:rsid w:val="00C70047"/>
    <w:rsid w:val="00C77FF8"/>
    <w:rsid w:val="00C91762"/>
    <w:rsid w:val="00CA0A3F"/>
    <w:rsid w:val="00CC23CC"/>
    <w:rsid w:val="00CE2A5A"/>
    <w:rsid w:val="00CF0FA8"/>
    <w:rsid w:val="00D00B26"/>
    <w:rsid w:val="00D04DE3"/>
    <w:rsid w:val="00D050DB"/>
    <w:rsid w:val="00D15AE0"/>
    <w:rsid w:val="00D273B0"/>
    <w:rsid w:val="00D4050C"/>
    <w:rsid w:val="00D453DC"/>
    <w:rsid w:val="00D559B0"/>
    <w:rsid w:val="00D7047A"/>
    <w:rsid w:val="00D747E2"/>
    <w:rsid w:val="00D95FC1"/>
    <w:rsid w:val="00DA0212"/>
    <w:rsid w:val="00DA1406"/>
    <w:rsid w:val="00DA4EA2"/>
    <w:rsid w:val="00DB730E"/>
    <w:rsid w:val="00DC0B83"/>
    <w:rsid w:val="00DD0D4A"/>
    <w:rsid w:val="00DD78D0"/>
    <w:rsid w:val="00DD7AFE"/>
    <w:rsid w:val="00DE2C3B"/>
    <w:rsid w:val="00DF3E7F"/>
    <w:rsid w:val="00DF4DA9"/>
    <w:rsid w:val="00E314E4"/>
    <w:rsid w:val="00E41446"/>
    <w:rsid w:val="00E4560C"/>
    <w:rsid w:val="00E60302"/>
    <w:rsid w:val="00E6454C"/>
    <w:rsid w:val="00E77F26"/>
    <w:rsid w:val="00E94BEE"/>
    <w:rsid w:val="00EB298D"/>
    <w:rsid w:val="00EB30FF"/>
    <w:rsid w:val="00EC0722"/>
    <w:rsid w:val="00ED073A"/>
    <w:rsid w:val="00ED5AF0"/>
    <w:rsid w:val="00ED6E98"/>
    <w:rsid w:val="00ED77C0"/>
    <w:rsid w:val="00EE5DC5"/>
    <w:rsid w:val="00EF1EAC"/>
    <w:rsid w:val="00EF4449"/>
    <w:rsid w:val="00F046D7"/>
    <w:rsid w:val="00F22BFA"/>
    <w:rsid w:val="00F366F9"/>
    <w:rsid w:val="00F43A9F"/>
    <w:rsid w:val="00F50FF0"/>
    <w:rsid w:val="00F539AD"/>
    <w:rsid w:val="00F54F9E"/>
    <w:rsid w:val="00F66486"/>
    <w:rsid w:val="00F73890"/>
    <w:rsid w:val="00F80FD9"/>
    <w:rsid w:val="00F81E12"/>
    <w:rsid w:val="00F82E4B"/>
    <w:rsid w:val="00F97451"/>
    <w:rsid w:val="00FB45F2"/>
    <w:rsid w:val="00FC5690"/>
    <w:rsid w:val="00FE780B"/>
    <w:rsid w:val="00FF41EB"/>
    <w:rsid w:val="00FF7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B7542"/>
  <w15:docId w15:val="{DAD9F499-9148-499F-B438-BAD519E3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ordia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AF0"/>
    <w:pPr>
      <w:spacing w:after="200" w:line="276" w:lineRule="auto"/>
    </w:pPr>
    <w:rPr>
      <w:rFonts w:eastAsia="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49E"/>
    <w:pPr>
      <w:ind w:left="720"/>
      <w:contextualSpacing/>
    </w:pPr>
  </w:style>
  <w:style w:type="paragraph" w:styleId="BalloonText">
    <w:name w:val="Balloon Text"/>
    <w:basedOn w:val="Normal"/>
    <w:link w:val="BalloonTextChar"/>
    <w:uiPriority w:val="99"/>
    <w:semiHidden/>
    <w:unhideWhenUsed/>
    <w:rsid w:val="00413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A4E"/>
    <w:rPr>
      <w:rFonts w:ascii="Tahoma" w:eastAsia="Calibri" w:hAnsi="Tahoma" w:cs="Tahoma"/>
      <w:sz w:val="16"/>
      <w:szCs w:val="16"/>
      <w:lang w:eastAsia="en-US"/>
    </w:rPr>
  </w:style>
  <w:style w:type="paragraph" w:styleId="FootnoteText">
    <w:name w:val="footnote text"/>
    <w:basedOn w:val="Normal"/>
    <w:link w:val="FootnoteTextChar"/>
    <w:uiPriority w:val="99"/>
    <w:semiHidden/>
    <w:unhideWhenUsed/>
    <w:rsid w:val="00FB45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45F2"/>
    <w:rPr>
      <w:rFonts w:ascii="Calibri" w:eastAsia="Calibri" w:hAnsi="Calibri" w:cs="Times New Roman"/>
      <w:sz w:val="20"/>
      <w:szCs w:val="20"/>
      <w:lang w:eastAsia="en-US"/>
    </w:rPr>
  </w:style>
  <w:style w:type="character" w:styleId="FootnoteReference">
    <w:name w:val="footnote reference"/>
    <w:basedOn w:val="DefaultParagraphFont"/>
    <w:uiPriority w:val="99"/>
    <w:semiHidden/>
    <w:unhideWhenUsed/>
    <w:rsid w:val="00FB45F2"/>
    <w:rPr>
      <w:vertAlign w:val="superscript"/>
    </w:rPr>
  </w:style>
  <w:style w:type="paragraph" w:styleId="Footer">
    <w:name w:val="footer"/>
    <w:basedOn w:val="Normal"/>
    <w:link w:val="FooterChar"/>
    <w:rsid w:val="00C06FF1"/>
    <w:pPr>
      <w:tabs>
        <w:tab w:val="center" w:pos="4153"/>
        <w:tab w:val="right" w:pos="8306"/>
      </w:tabs>
      <w:spacing w:after="0" w:line="240" w:lineRule="auto"/>
    </w:pPr>
    <w:rPr>
      <w:rFonts w:ascii="Times New Roman" w:eastAsia="MS Mincho" w:hAnsi="Times New Roman" w:cs="Angsana New"/>
      <w:sz w:val="24"/>
      <w:szCs w:val="28"/>
      <w:lang w:eastAsia="ja-JP" w:bidi="th-TH"/>
    </w:rPr>
  </w:style>
  <w:style w:type="character" w:customStyle="1" w:styleId="FooterChar">
    <w:name w:val="Footer Char"/>
    <w:basedOn w:val="DefaultParagraphFont"/>
    <w:link w:val="Footer"/>
    <w:rsid w:val="00C06FF1"/>
    <w:rPr>
      <w:rFonts w:ascii="Times New Roman" w:eastAsia="MS Mincho" w:hAnsi="Times New Roman" w:cs="Angsana New"/>
      <w:sz w:val="24"/>
      <w:szCs w:val="28"/>
      <w:lang w:eastAsia="ja-JP"/>
    </w:rPr>
  </w:style>
  <w:style w:type="character" w:styleId="CommentReference">
    <w:name w:val="annotation reference"/>
    <w:basedOn w:val="DefaultParagraphFont"/>
    <w:uiPriority w:val="99"/>
    <w:semiHidden/>
    <w:unhideWhenUsed/>
    <w:rsid w:val="002C6704"/>
    <w:rPr>
      <w:sz w:val="16"/>
      <w:szCs w:val="16"/>
    </w:rPr>
  </w:style>
  <w:style w:type="paragraph" w:styleId="CommentText">
    <w:name w:val="annotation text"/>
    <w:basedOn w:val="Normal"/>
    <w:link w:val="CommentTextChar"/>
    <w:uiPriority w:val="99"/>
    <w:semiHidden/>
    <w:unhideWhenUsed/>
    <w:rsid w:val="002C6704"/>
    <w:pPr>
      <w:spacing w:line="240" w:lineRule="auto"/>
    </w:pPr>
    <w:rPr>
      <w:sz w:val="20"/>
      <w:szCs w:val="20"/>
    </w:rPr>
  </w:style>
  <w:style w:type="character" w:customStyle="1" w:styleId="CommentTextChar">
    <w:name w:val="Comment Text Char"/>
    <w:basedOn w:val="DefaultParagraphFont"/>
    <w:link w:val="CommentText"/>
    <w:uiPriority w:val="99"/>
    <w:semiHidden/>
    <w:rsid w:val="002C6704"/>
    <w:rPr>
      <w:rFonts w:eastAsia="Calibri" w:cs="Times New Roman"/>
    </w:rPr>
  </w:style>
  <w:style w:type="paragraph" w:styleId="CommentSubject">
    <w:name w:val="annotation subject"/>
    <w:basedOn w:val="CommentText"/>
    <w:next w:val="CommentText"/>
    <w:link w:val="CommentSubjectChar"/>
    <w:uiPriority w:val="99"/>
    <w:semiHidden/>
    <w:unhideWhenUsed/>
    <w:rsid w:val="002C6704"/>
    <w:rPr>
      <w:b/>
      <w:bCs/>
    </w:rPr>
  </w:style>
  <w:style w:type="character" w:customStyle="1" w:styleId="CommentSubjectChar">
    <w:name w:val="Comment Subject Char"/>
    <w:basedOn w:val="CommentTextChar"/>
    <w:link w:val="CommentSubject"/>
    <w:uiPriority w:val="99"/>
    <w:semiHidden/>
    <w:rsid w:val="002C6704"/>
    <w:rPr>
      <w:rFonts w:eastAsia="Calibri" w:cs="Times New Roman"/>
      <w:b/>
      <w:bCs/>
    </w:rPr>
  </w:style>
  <w:style w:type="paragraph" w:styleId="Header">
    <w:name w:val="header"/>
    <w:basedOn w:val="Normal"/>
    <w:link w:val="HeaderChar"/>
    <w:uiPriority w:val="99"/>
    <w:unhideWhenUsed/>
    <w:rsid w:val="00C02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66B"/>
    <w:rPr>
      <w:rFonts w:eastAsia="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91702">
      <w:bodyDiv w:val="1"/>
      <w:marLeft w:val="0"/>
      <w:marRight w:val="0"/>
      <w:marTop w:val="0"/>
      <w:marBottom w:val="0"/>
      <w:divBdr>
        <w:top w:val="none" w:sz="0" w:space="0" w:color="auto"/>
        <w:left w:val="none" w:sz="0" w:space="0" w:color="auto"/>
        <w:bottom w:val="none" w:sz="0" w:space="0" w:color="auto"/>
        <w:right w:val="none" w:sz="0" w:space="0" w:color="auto"/>
      </w:divBdr>
    </w:div>
    <w:div w:id="1127747521">
      <w:bodyDiv w:val="1"/>
      <w:marLeft w:val="0"/>
      <w:marRight w:val="0"/>
      <w:marTop w:val="0"/>
      <w:marBottom w:val="0"/>
      <w:divBdr>
        <w:top w:val="none" w:sz="0" w:space="0" w:color="auto"/>
        <w:left w:val="none" w:sz="0" w:space="0" w:color="auto"/>
        <w:bottom w:val="none" w:sz="0" w:space="0" w:color="auto"/>
        <w:right w:val="none" w:sz="0" w:space="0" w:color="auto"/>
      </w:divBdr>
    </w:div>
    <w:div w:id="165688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7A808-9912-43A9-A2CF-B1806DB32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Denise Cheok Jia Yuan</cp:lastModifiedBy>
  <cp:revision>4</cp:revision>
  <cp:lastPrinted>2016-03-03T09:09:00Z</cp:lastPrinted>
  <dcterms:created xsi:type="dcterms:W3CDTF">2016-10-13T09:27:00Z</dcterms:created>
  <dcterms:modified xsi:type="dcterms:W3CDTF">2016-10-14T08:11:00Z</dcterms:modified>
</cp:coreProperties>
</file>