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tblInd w:w="91" w:type="dxa"/>
        <w:tblLook w:val="04A0" w:firstRow="1" w:lastRow="0" w:firstColumn="1" w:lastColumn="0" w:noHBand="0" w:noVBand="1"/>
      </w:tblPr>
      <w:tblGrid>
        <w:gridCol w:w="674"/>
        <w:gridCol w:w="8788"/>
      </w:tblGrid>
      <w:tr w:rsidR="009529F5" w:rsidRPr="00921F1D" w14:paraId="57E682DB" w14:textId="77777777" w:rsidTr="00BA71E8">
        <w:trPr>
          <w:trHeight w:val="330"/>
        </w:trPr>
        <w:tc>
          <w:tcPr>
            <w:tcW w:w="6897" w:type="dxa"/>
            <w:gridSpan w:val="2"/>
            <w:tcBorders>
              <w:top w:val="nil"/>
              <w:left w:val="nil"/>
              <w:bottom w:val="nil"/>
              <w:right w:val="nil"/>
            </w:tcBorders>
            <w:shd w:val="clear" w:color="000000" w:fill="0070C0"/>
            <w:noWrap/>
            <w:vAlign w:val="bottom"/>
            <w:hideMark/>
          </w:tcPr>
          <w:p w14:paraId="10B3AC52" w14:textId="2E59CCF7" w:rsidR="009529F5" w:rsidRPr="00921F1D" w:rsidRDefault="009529F5" w:rsidP="00160ABE">
            <w:pPr>
              <w:spacing w:after="0" w:line="240" w:lineRule="auto"/>
              <w:jc w:val="both"/>
              <w:rPr>
                <w:rFonts w:ascii="Times New Roman" w:eastAsia="Times New Roman" w:hAnsi="Times New Roman"/>
                <w:b/>
                <w:bCs/>
                <w:color w:val="FFFFFF"/>
                <w:sz w:val="28"/>
                <w:szCs w:val="28"/>
              </w:rPr>
            </w:pPr>
            <w:r w:rsidRPr="00921F1D">
              <w:rPr>
                <w:rFonts w:ascii="Times New Roman" w:eastAsia="Times New Roman" w:hAnsi="Times New Roman"/>
                <w:b/>
                <w:bCs/>
                <w:color w:val="FFFFFF"/>
                <w:sz w:val="28"/>
                <w:szCs w:val="28"/>
              </w:rPr>
              <w:t xml:space="preserve">The Philippines’s </w:t>
            </w:r>
            <w:r w:rsidR="008A6CE8" w:rsidRPr="00921F1D">
              <w:rPr>
                <w:rFonts w:ascii="Times New Roman" w:eastAsia="Times New Roman" w:hAnsi="Times New Roman"/>
                <w:b/>
                <w:bCs/>
                <w:color w:val="FFFFFF"/>
                <w:sz w:val="28"/>
                <w:szCs w:val="28"/>
              </w:rPr>
              <w:t>Bogor Goals Progress Report</w:t>
            </w:r>
            <w:r w:rsidR="0069256D" w:rsidRPr="00921F1D">
              <w:rPr>
                <w:rFonts w:ascii="Times New Roman" w:eastAsia="Times New Roman" w:hAnsi="Times New Roman"/>
                <w:b/>
                <w:bCs/>
                <w:color w:val="FFFFFF"/>
                <w:sz w:val="28"/>
                <w:szCs w:val="28"/>
              </w:rPr>
              <w:t xml:space="preserve"> (as at </w:t>
            </w:r>
            <w:r w:rsidR="00160ABE">
              <w:rPr>
                <w:rFonts w:ascii="Times New Roman" w:eastAsia="Times New Roman" w:hAnsi="Times New Roman"/>
                <w:b/>
                <w:bCs/>
                <w:color w:val="FFFFFF"/>
                <w:sz w:val="28"/>
                <w:szCs w:val="28"/>
              </w:rPr>
              <w:t xml:space="preserve">30 </w:t>
            </w:r>
            <w:r w:rsidR="00087512" w:rsidRPr="00087512">
              <w:rPr>
                <w:rFonts w:ascii="Times New Roman" w:eastAsia="Times New Roman" w:hAnsi="Times New Roman"/>
                <w:b/>
                <w:bCs/>
                <w:color w:val="FFFFFF"/>
                <w:sz w:val="28"/>
                <w:szCs w:val="28"/>
              </w:rPr>
              <w:t xml:space="preserve">September </w:t>
            </w:r>
            <w:r w:rsidR="00231428" w:rsidRPr="00921F1D">
              <w:rPr>
                <w:rFonts w:ascii="Times New Roman" w:eastAsia="Times New Roman" w:hAnsi="Times New Roman"/>
                <w:b/>
                <w:bCs/>
                <w:color w:val="FFFFFF"/>
                <w:sz w:val="28"/>
                <w:szCs w:val="28"/>
              </w:rPr>
              <w:t>2016</w:t>
            </w:r>
            <w:r w:rsidR="0069256D" w:rsidRPr="00921F1D">
              <w:rPr>
                <w:rFonts w:ascii="Times New Roman" w:eastAsia="Times New Roman" w:hAnsi="Times New Roman"/>
                <w:b/>
                <w:bCs/>
                <w:color w:val="FFFFFF"/>
                <w:sz w:val="28"/>
                <w:szCs w:val="28"/>
              </w:rPr>
              <w:t>)</w:t>
            </w:r>
            <w:r w:rsidRPr="00921F1D">
              <w:rPr>
                <w:rFonts w:eastAsia="Times New Roman"/>
                <w:bCs/>
                <w:color w:val="FFFFFF"/>
                <w:sz w:val="28"/>
                <w:szCs w:val="28"/>
              </w:rPr>
              <w:footnoteReference w:customMarkFollows="1" w:id="1"/>
              <w:sym w:font="Symbol" w:char="F02A"/>
            </w:r>
          </w:p>
        </w:tc>
      </w:tr>
      <w:tr w:rsidR="009529F5" w:rsidRPr="00921F1D" w14:paraId="659ED3E1" w14:textId="77777777" w:rsidTr="00BA71E8">
        <w:trPr>
          <w:trHeight w:val="315"/>
        </w:trPr>
        <w:tc>
          <w:tcPr>
            <w:tcW w:w="491" w:type="dxa"/>
            <w:tcBorders>
              <w:top w:val="nil"/>
              <w:left w:val="nil"/>
              <w:bottom w:val="nil"/>
              <w:right w:val="nil"/>
            </w:tcBorders>
            <w:shd w:val="clear" w:color="000000" w:fill="B6DDE8"/>
            <w:noWrap/>
            <w:vAlign w:val="bottom"/>
            <w:hideMark/>
          </w:tcPr>
          <w:p w14:paraId="4136E6D2" w14:textId="77777777" w:rsidR="009529F5" w:rsidRPr="00921F1D" w:rsidRDefault="009529F5" w:rsidP="00BA71E8">
            <w:pPr>
              <w:spacing w:after="0" w:line="240" w:lineRule="auto"/>
              <w:jc w:val="center"/>
              <w:rPr>
                <w:rFonts w:ascii="Times New Roman" w:eastAsia="Times New Roman" w:hAnsi="Times New Roman"/>
                <w:color w:val="000000"/>
              </w:rPr>
            </w:pPr>
            <w:r w:rsidRPr="00921F1D">
              <w:rPr>
                <w:rFonts w:ascii="Times New Roman" w:eastAsia="Times New Roman" w:hAnsi="Times New Roman"/>
                <w:color w:val="000000"/>
              </w:rPr>
              <w:t> </w:t>
            </w:r>
          </w:p>
        </w:tc>
        <w:tc>
          <w:tcPr>
            <w:tcW w:w="6406" w:type="dxa"/>
            <w:tcBorders>
              <w:top w:val="nil"/>
              <w:left w:val="nil"/>
              <w:bottom w:val="nil"/>
              <w:right w:val="nil"/>
            </w:tcBorders>
            <w:shd w:val="clear" w:color="000000" w:fill="B6DDE8"/>
            <w:noWrap/>
            <w:vAlign w:val="bottom"/>
            <w:hideMark/>
          </w:tcPr>
          <w:p w14:paraId="7241E944" w14:textId="77777777" w:rsidR="009529F5" w:rsidRPr="00921F1D" w:rsidRDefault="009529F5" w:rsidP="00BA71E8">
            <w:pPr>
              <w:spacing w:after="0" w:line="240" w:lineRule="auto"/>
              <w:rPr>
                <w:rFonts w:ascii="Times New Roman" w:eastAsia="Times New Roman" w:hAnsi="Times New Roman"/>
                <w:b/>
                <w:bCs/>
                <w:color w:val="000000"/>
                <w:sz w:val="24"/>
                <w:szCs w:val="24"/>
              </w:rPr>
            </w:pPr>
            <w:r w:rsidRPr="00921F1D">
              <w:rPr>
                <w:rFonts w:ascii="Times New Roman" w:eastAsia="Times New Roman" w:hAnsi="Times New Roman"/>
                <w:b/>
                <w:bCs/>
                <w:color w:val="000000"/>
                <w:sz w:val="24"/>
                <w:szCs w:val="24"/>
              </w:rPr>
              <w:t>Highlights of Achievements and Areas for Improvement</w:t>
            </w:r>
          </w:p>
        </w:tc>
      </w:tr>
    </w:tbl>
    <w:p w14:paraId="19335A73" w14:textId="77777777" w:rsidR="004675E5" w:rsidRPr="00921F1D" w:rsidRDefault="004675E5" w:rsidP="00D15B82">
      <w:pPr>
        <w:spacing w:after="0" w:line="240" w:lineRule="auto"/>
        <w:jc w:val="both"/>
        <w:rPr>
          <w:rFonts w:ascii="Times New Roman" w:hAnsi="Times New Roman"/>
          <w:sz w:val="24"/>
          <w:szCs w:val="24"/>
        </w:rPr>
      </w:pPr>
    </w:p>
    <w:p w14:paraId="62219CFB" w14:textId="7C3B6996" w:rsidR="003E30BA" w:rsidRPr="00921F1D" w:rsidRDefault="00E97118" w:rsidP="00E358AC">
      <w:pPr>
        <w:pStyle w:val="ListParagraph"/>
        <w:numPr>
          <w:ilvl w:val="0"/>
          <w:numId w:val="3"/>
        </w:numPr>
        <w:spacing w:after="0" w:line="240" w:lineRule="auto"/>
        <w:jc w:val="both"/>
        <w:rPr>
          <w:rFonts w:ascii="Times New Roman" w:hAnsi="Times New Roman"/>
          <w:sz w:val="24"/>
          <w:szCs w:val="24"/>
        </w:rPr>
      </w:pPr>
      <w:r w:rsidRPr="00921F1D">
        <w:rPr>
          <w:rFonts w:ascii="Times New Roman" w:hAnsi="Times New Roman"/>
          <w:sz w:val="24"/>
          <w:szCs w:val="24"/>
        </w:rPr>
        <w:t xml:space="preserve">As of 2014, the average MFN applied tariff rate </w:t>
      </w:r>
      <w:r w:rsidR="00EA78E8" w:rsidRPr="00921F1D">
        <w:rPr>
          <w:rFonts w:ascii="Times New Roman" w:hAnsi="Times New Roman"/>
          <w:sz w:val="24"/>
          <w:szCs w:val="24"/>
        </w:rPr>
        <w:t xml:space="preserve">was equal to </w:t>
      </w:r>
      <w:r w:rsidRPr="00921F1D">
        <w:rPr>
          <w:rFonts w:ascii="Times New Roman" w:hAnsi="Times New Roman"/>
          <w:sz w:val="24"/>
          <w:szCs w:val="24"/>
        </w:rPr>
        <w:t xml:space="preserve">6.3 percent. However, agricultural products are subject to higher tariffs, with </w:t>
      </w:r>
      <w:r w:rsidR="00EA78E8" w:rsidRPr="00921F1D">
        <w:rPr>
          <w:rFonts w:ascii="Times New Roman" w:hAnsi="Times New Roman"/>
          <w:sz w:val="24"/>
          <w:szCs w:val="24"/>
        </w:rPr>
        <w:t>a tariff</w:t>
      </w:r>
      <w:r w:rsidRPr="00921F1D">
        <w:rPr>
          <w:rFonts w:ascii="Times New Roman" w:hAnsi="Times New Roman"/>
          <w:sz w:val="24"/>
          <w:szCs w:val="24"/>
        </w:rPr>
        <w:t xml:space="preserve"> average of 9.9 percent.</w:t>
      </w:r>
    </w:p>
    <w:p w14:paraId="55E3C035" w14:textId="782BCF9C" w:rsidR="002E4B30" w:rsidRPr="00921F1D" w:rsidRDefault="002E4B30" w:rsidP="00E358AC">
      <w:pPr>
        <w:pStyle w:val="ListParagraph"/>
        <w:numPr>
          <w:ilvl w:val="0"/>
          <w:numId w:val="3"/>
        </w:numPr>
        <w:spacing w:after="0" w:line="240" w:lineRule="auto"/>
        <w:jc w:val="both"/>
        <w:rPr>
          <w:rFonts w:ascii="Times New Roman" w:hAnsi="Times New Roman"/>
          <w:sz w:val="24"/>
          <w:szCs w:val="24"/>
        </w:rPr>
      </w:pPr>
      <w:r w:rsidRPr="00921F1D">
        <w:rPr>
          <w:rFonts w:ascii="Times New Roman" w:hAnsi="Times New Roman"/>
          <w:sz w:val="24"/>
          <w:szCs w:val="24"/>
        </w:rPr>
        <w:t>Tariffs reduced for several types of machinery under the APEC Environmental Goods List.</w:t>
      </w:r>
    </w:p>
    <w:p w14:paraId="3E9033A8" w14:textId="41FEDE2F" w:rsidR="003E30BA" w:rsidRPr="00921F1D" w:rsidRDefault="003E30BA" w:rsidP="00E358AC">
      <w:pPr>
        <w:pStyle w:val="ListParagraph"/>
        <w:numPr>
          <w:ilvl w:val="0"/>
          <w:numId w:val="3"/>
        </w:numPr>
        <w:spacing w:after="0" w:line="240" w:lineRule="auto"/>
        <w:jc w:val="both"/>
        <w:rPr>
          <w:rFonts w:ascii="Times New Roman" w:hAnsi="Times New Roman"/>
          <w:sz w:val="24"/>
          <w:szCs w:val="24"/>
        </w:rPr>
      </w:pPr>
      <w:r w:rsidRPr="00921F1D">
        <w:rPr>
          <w:rFonts w:ascii="Times New Roman" w:hAnsi="Times New Roman"/>
          <w:sz w:val="24"/>
          <w:szCs w:val="24"/>
        </w:rPr>
        <w:t>Quotas applied for the import of certain agricultural products under the Minimum Access Volume system.</w:t>
      </w:r>
      <w:bookmarkStart w:id="0" w:name="_GoBack"/>
      <w:bookmarkEnd w:id="0"/>
    </w:p>
    <w:p w14:paraId="2573E05D" w14:textId="43C87BF9" w:rsidR="002E4B30" w:rsidRPr="00921F1D" w:rsidRDefault="002E4B30" w:rsidP="002E4B30">
      <w:pPr>
        <w:pStyle w:val="ListParagraph"/>
        <w:numPr>
          <w:ilvl w:val="0"/>
          <w:numId w:val="3"/>
        </w:numPr>
        <w:spacing w:after="0" w:line="240" w:lineRule="auto"/>
        <w:jc w:val="both"/>
        <w:rPr>
          <w:rFonts w:ascii="Times New Roman" w:hAnsi="Times New Roman"/>
          <w:sz w:val="24"/>
          <w:szCs w:val="24"/>
        </w:rPr>
      </w:pPr>
      <w:r w:rsidRPr="00921F1D">
        <w:rPr>
          <w:rFonts w:ascii="Times New Roman" w:hAnsi="Times New Roman"/>
          <w:sz w:val="24"/>
          <w:szCs w:val="24"/>
        </w:rPr>
        <w:t xml:space="preserve">The Foreign Investment Negative List includes activities in 11 sectors where no foreign equity is allowed. </w:t>
      </w:r>
    </w:p>
    <w:p w14:paraId="7647D387" w14:textId="7207AFE0" w:rsidR="0031111B" w:rsidRPr="00921F1D" w:rsidRDefault="0031111B" w:rsidP="00DE33B6">
      <w:pPr>
        <w:pStyle w:val="ListParagraph"/>
        <w:numPr>
          <w:ilvl w:val="0"/>
          <w:numId w:val="3"/>
        </w:numPr>
        <w:spacing w:after="0" w:line="240" w:lineRule="auto"/>
        <w:jc w:val="both"/>
        <w:rPr>
          <w:rFonts w:ascii="Times New Roman" w:hAnsi="Times New Roman"/>
          <w:sz w:val="24"/>
          <w:szCs w:val="24"/>
        </w:rPr>
      </w:pPr>
      <w:r w:rsidRPr="00921F1D">
        <w:rPr>
          <w:rFonts w:ascii="Times New Roman" w:hAnsi="Times New Roman"/>
          <w:sz w:val="24"/>
          <w:szCs w:val="24"/>
        </w:rPr>
        <w:t xml:space="preserve">The financial sector has been liberalized further allowing </w:t>
      </w:r>
      <w:r w:rsidR="00C70BAE" w:rsidRPr="00921F1D">
        <w:rPr>
          <w:rFonts w:ascii="Times New Roman" w:hAnsi="Times New Roman"/>
          <w:sz w:val="24"/>
          <w:szCs w:val="24"/>
        </w:rPr>
        <w:t>full entry of foreign banks</w:t>
      </w:r>
      <w:r w:rsidRPr="00921F1D">
        <w:rPr>
          <w:rFonts w:ascii="Times New Roman" w:hAnsi="Times New Roman"/>
          <w:sz w:val="24"/>
          <w:szCs w:val="24"/>
        </w:rPr>
        <w:t>.</w:t>
      </w:r>
    </w:p>
    <w:p w14:paraId="3F46CECA" w14:textId="44A92C2E" w:rsidR="003E30BA" w:rsidRPr="00921F1D" w:rsidRDefault="00C70BAE" w:rsidP="0031111B">
      <w:pPr>
        <w:pStyle w:val="ListParagraph"/>
        <w:numPr>
          <w:ilvl w:val="0"/>
          <w:numId w:val="3"/>
        </w:numPr>
        <w:spacing w:after="0" w:line="240" w:lineRule="auto"/>
        <w:jc w:val="both"/>
        <w:rPr>
          <w:rFonts w:ascii="Times New Roman" w:hAnsi="Times New Roman"/>
          <w:sz w:val="24"/>
          <w:szCs w:val="24"/>
        </w:rPr>
      </w:pPr>
      <w:r w:rsidRPr="00921F1D">
        <w:rPr>
          <w:rFonts w:ascii="Times New Roman" w:hAnsi="Times New Roman"/>
          <w:sz w:val="24"/>
          <w:szCs w:val="24"/>
        </w:rPr>
        <w:t>Majority</w:t>
      </w:r>
      <w:r w:rsidR="003E30BA" w:rsidRPr="00921F1D">
        <w:rPr>
          <w:rFonts w:ascii="Times New Roman" w:hAnsi="Times New Roman"/>
          <w:sz w:val="24"/>
          <w:szCs w:val="24"/>
        </w:rPr>
        <w:t xml:space="preserve"> of domestic standards aligned with international standards </w:t>
      </w:r>
      <w:r w:rsidR="0031111B" w:rsidRPr="00921F1D">
        <w:rPr>
          <w:rFonts w:ascii="Times New Roman" w:hAnsi="Times New Roman"/>
          <w:sz w:val="24"/>
          <w:szCs w:val="24"/>
        </w:rPr>
        <w:t>(79.</w:t>
      </w:r>
      <w:r w:rsidR="00662165" w:rsidRPr="00921F1D">
        <w:rPr>
          <w:rFonts w:ascii="Times New Roman" w:hAnsi="Times New Roman"/>
          <w:sz w:val="24"/>
          <w:szCs w:val="24"/>
        </w:rPr>
        <w:t xml:space="preserve">6 </w:t>
      </w:r>
      <w:r w:rsidR="0031111B" w:rsidRPr="00921F1D">
        <w:rPr>
          <w:rFonts w:ascii="Times New Roman" w:hAnsi="Times New Roman"/>
          <w:sz w:val="24"/>
          <w:szCs w:val="24"/>
        </w:rPr>
        <w:t>percent).</w:t>
      </w:r>
    </w:p>
    <w:p w14:paraId="5FF2A6F4" w14:textId="00E8AF60" w:rsidR="002E4B30" w:rsidRPr="00921F1D" w:rsidRDefault="00452FFC" w:rsidP="002E4B30">
      <w:pPr>
        <w:pStyle w:val="ListParagraph"/>
        <w:numPr>
          <w:ilvl w:val="0"/>
          <w:numId w:val="3"/>
        </w:numPr>
        <w:spacing w:after="0" w:line="240" w:lineRule="auto"/>
        <w:jc w:val="both"/>
        <w:rPr>
          <w:rFonts w:ascii="Times New Roman" w:hAnsi="Times New Roman"/>
          <w:sz w:val="24"/>
          <w:szCs w:val="24"/>
        </w:rPr>
      </w:pPr>
      <w:r w:rsidRPr="00921F1D">
        <w:rPr>
          <w:rFonts w:ascii="Times New Roman" w:hAnsi="Times New Roman"/>
          <w:sz w:val="24"/>
          <w:szCs w:val="24"/>
        </w:rPr>
        <w:t>F</w:t>
      </w:r>
      <w:r w:rsidR="002E4B30" w:rsidRPr="00921F1D">
        <w:rPr>
          <w:rFonts w:ascii="Times New Roman" w:hAnsi="Times New Roman"/>
          <w:sz w:val="24"/>
          <w:szCs w:val="24"/>
        </w:rPr>
        <w:t>oreign ships now allowed to transport cargo directly to and from any local port.</w:t>
      </w:r>
      <w:r w:rsidR="00270C29" w:rsidRPr="00921F1D">
        <w:rPr>
          <w:rFonts w:ascii="Times New Roman" w:hAnsi="Times New Roman"/>
          <w:sz w:val="24"/>
          <w:szCs w:val="24"/>
        </w:rPr>
        <w:t xml:space="preserve"> Rates charged by domestic ship operators are deregulated.</w:t>
      </w:r>
    </w:p>
    <w:p w14:paraId="7CD3AA0B" w14:textId="49FCBF4E" w:rsidR="002E4B30" w:rsidRPr="00921F1D" w:rsidRDefault="002E4B30" w:rsidP="002E4B30">
      <w:pPr>
        <w:pStyle w:val="ListParagraph"/>
        <w:numPr>
          <w:ilvl w:val="0"/>
          <w:numId w:val="3"/>
        </w:numPr>
        <w:spacing w:after="0" w:line="240" w:lineRule="auto"/>
        <w:jc w:val="both"/>
        <w:rPr>
          <w:rFonts w:ascii="Times New Roman" w:hAnsi="Times New Roman"/>
          <w:sz w:val="24"/>
          <w:szCs w:val="24"/>
        </w:rPr>
      </w:pPr>
      <w:r w:rsidRPr="00921F1D">
        <w:rPr>
          <w:rFonts w:ascii="Times New Roman" w:hAnsi="Times New Roman"/>
          <w:sz w:val="24"/>
          <w:szCs w:val="24"/>
        </w:rPr>
        <w:t>Sustained efforts in intellectual property rights protection resulted in the Philippines being removed from the USTR Special 301 Review Watch List in 2014 and 2015.</w:t>
      </w:r>
    </w:p>
    <w:p w14:paraId="0729DBD5" w14:textId="77BEC265" w:rsidR="003E30BA" w:rsidRPr="00921F1D" w:rsidRDefault="002E4B30" w:rsidP="002E4B30">
      <w:pPr>
        <w:pStyle w:val="ListParagraph"/>
        <w:numPr>
          <w:ilvl w:val="0"/>
          <w:numId w:val="3"/>
        </w:numPr>
        <w:spacing w:after="0" w:line="240" w:lineRule="auto"/>
        <w:jc w:val="both"/>
        <w:rPr>
          <w:rFonts w:ascii="Times New Roman" w:hAnsi="Times New Roman"/>
          <w:sz w:val="24"/>
          <w:szCs w:val="24"/>
        </w:rPr>
      </w:pPr>
      <w:r w:rsidRPr="00921F1D">
        <w:rPr>
          <w:rFonts w:ascii="Times New Roman" w:hAnsi="Times New Roman"/>
          <w:sz w:val="24"/>
          <w:szCs w:val="24"/>
        </w:rPr>
        <w:t xml:space="preserve">The Philippine Competition Act </w:t>
      </w:r>
      <w:r w:rsidR="001E56D7" w:rsidRPr="00921F1D">
        <w:rPr>
          <w:rFonts w:ascii="Times New Roman" w:hAnsi="Times New Roman"/>
          <w:sz w:val="24"/>
          <w:szCs w:val="24"/>
        </w:rPr>
        <w:t>came into force in 2015</w:t>
      </w:r>
      <w:r w:rsidRPr="00921F1D">
        <w:rPr>
          <w:rFonts w:ascii="Times New Roman" w:hAnsi="Times New Roman"/>
          <w:sz w:val="24"/>
          <w:szCs w:val="24"/>
        </w:rPr>
        <w:t>, prohibiting anticompetitive activities and establishing the Philippine Competition Commission.</w:t>
      </w:r>
    </w:p>
    <w:p w14:paraId="1B1021AC" w14:textId="161050F9" w:rsidR="002E4B30" w:rsidRPr="00921F1D" w:rsidRDefault="002E4B30" w:rsidP="002E4B30">
      <w:pPr>
        <w:pStyle w:val="ListParagraph"/>
        <w:numPr>
          <w:ilvl w:val="0"/>
          <w:numId w:val="3"/>
        </w:numPr>
        <w:spacing w:after="0" w:line="240" w:lineRule="auto"/>
        <w:jc w:val="both"/>
        <w:rPr>
          <w:rFonts w:ascii="Times New Roman" w:hAnsi="Times New Roman"/>
          <w:sz w:val="24"/>
          <w:szCs w:val="24"/>
        </w:rPr>
      </w:pPr>
      <w:r w:rsidRPr="00921F1D">
        <w:rPr>
          <w:rFonts w:ascii="Times New Roman" w:hAnsi="Times New Roman"/>
          <w:sz w:val="24"/>
          <w:szCs w:val="24"/>
        </w:rPr>
        <w:t>Visa-free entry to the Philippines was extended from 21 days to 30 days for passport holders of 157 economies.</w:t>
      </w:r>
      <w:r w:rsidR="00C90467" w:rsidRPr="00921F1D">
        <w:rPr>
          <w:rFonts w:ascii="Times New Roman" w:hAnsi="Times New Roman"/>
          <w:sz w:val="24"/>
          <w:szCs w:val="24"/>
        </w:rPr>
        <w:t xml:space="preserve"> ABTC validity extended from three years to five years.</w:t>
      </w:r>
    </w:p>
    <w:p w14:paraId="6BE32250" w14:textId="1AF9BFAC" w:rsidR="00E358AC" w:rsidRPr="00921F1D" w:rsidRDefault="00E358AC" w:rsidP="003E30BA">
      <w:pPr>
        <w:spacing w:after="0" w:line="240" w:lineRule="auto"/>
        <w:jc w:val="both"/>
        <w:rPr>
          <w:rFonts w:ascii="Times New Roman" w:hAnsi="Times New Roman"/>
          <w:sz w:val="24"/>
          <w:szCs w:val="24"/>
        </w:rPr>
      </w:pPr>
    </w:p>
    <w:tbl>
      <w:tblPr>
        <w:tblW w:w="9462" w:type="dxa"/>
        <w:tblInd w:w="91" w:type="dxa"/>
        <w:tblLook w:val="04A0" w:firstRow="1" w:lastRow="0" w:firstColumn="1" w:lastColumn="0" w:noHBand="0" w:noVBand="1"/>
      </w:tblPr>
      <w:tblGrid>
        <w:gridCol w:w="674"/>
        <w:gridCol w:w="8788"/>
      </w:tblGrid>
      <w:tr w:rsidR="009529F5" w:rsidRPr="00921F1D" w14:paraId="0108F9A8" w14:textId="77777777" w:rsidTr="00665582">
        <w:trPr>
          <w:trHeight w:val="315"/>
        </w:trPr>
        <w:tc>
          <w:tcPr>
            <w:tcW w:w="674" w:type="dxa"/>
            <w:tcBorders>
              <w:top w:val="nil"/>
              <w:left w:val="nil"/>
              <w:bottom w:val="nil"/>
              <w:right w:val="nil"/>
            </w:tcBorders>
            <w:shd w:val="clear" w:color="000000" w:fill="B6DDE8"/>
            <w:noWrap/>
            <w:vAlign w:val="bottom"/>
            <w:hideMark/>
          </w:tcPr>
          <w:p w14:paraId="03A85027" w14:textId="77777777" w:rsidR="009529F5" w:rsidRPr="00921F1D" w:rsidRDefault="009529F5" w:rsidP="00BA71E8">
            <w:pPr>
              <w:spacing w:after="0" w:line="240" w:lineRule="auto"/>
              <w:jc w:val="center"/>
              <w:rPr>
                <w:rFonts w:ascii="Times New Roman" w:eastAsia="Times New Roman" w:hAnsi="Times New Roman"/>
                <w:color w:val="000000"/>
              </w:rPr>
            </w:pPr>
            <w:r w:rsidRPr="00921F1D">
              <w:rPr>
                <w:rFonts w:ascii="Times New Roman" w:eastAsia="Times New Roman" w:hAnsi="Times New Roman"/>
                <w:color w:val="000000"/>
              </w:rPr>
              <w:t> </w:t>
            </w:r>
          </w:p>
        </w:tc>
        <w:tc>
          <w:tcPr>
            <w:tcW w:w="8788" w:type="dxa"/>
            <w:tcBorders>
              <w:top w:val="nil"/>
              <w:left w:val="nil"/>
              <w:bottom w:val="nil"/>
              <w:right w:val="nil"/>
            </w:tcBorders>
            <w:shd w:val="clear" w:color="000000" w:fill="B6DDE8"/>
            <w:noWrap/>
            <w:vAlign w:val="bottom"/>
            <w:hideMark/>
          </w:tcPr>
          <w:p w14:paraId="6B1789A9" w14:textId="3DE097AA" w:rsidR="009529F5" w:rsidRPr="00921F1D" w:rsidRDefault="009529F5" w:rsidP="005A4EBB">
            <w:pPr>
              <w:spacing w:after="0" w:line="240" w:lineRule="auto"/>
              <w:rPr>
                <w:rFonts w:ascii="Times New Roman" w:eastAsia="Times New Roman" w:hAnsi="Times New Roman"/>
                <w:b/>
                <w:bCs/>
                <w:color w:val="000000"/>
                <w:sz w:val="24"/>
                <w:szCs w:val="24"/>
              </w:rPr>
            </w:pPr>
            <w:r w:rsidRPr="00921F1D">
              <w:rPr>
                <w:rFonts w:ascii="Times New Roman" w:eastAsia="Times New Roman" w:hAnsi="Times New Roman"/>
                <w:b/>
                <w:bCs/>
                <w:color w:val="000000"/>
                <w:sz w:val="24"/>
                <w:szCs w:val="24"/>
              </w:rPr>
              <w:t xml:space="preserve">Summary of </w:t>
            </w:r>
            <w:r w:rsidR="005A4EBB" w:rsidRPr="00921F1D">
              <w:rPr>
                <w:rFonts w:ascii="Times New Roman" w:eastAsia="Times New Roman" w:hAnsi="Times New Roman"/>
                <w:b/>
                <w:bCs/>
                <w:color w:val="000000"/>
                <w:sz w:val="24"/>
                <w:szCs w:val="24"/>
              </w:rPr>
              <w:t>Topics</w:t>
            </w:r>
          </w:p>
        </w:tc>
      </w:tr>
    </w:tbl>
    <w:p w14:paraId="505E4CD1" w14:textId="77777777" w:rsidR="00D15B82" w:rsidRPr="00921F1D" w:rsidRDefault="00D15B82" w:rsidP="00D15B82">
      <w:pPr>
        <w:spacing w:after="0" w:line="240" w:lineRule="auto"/>
        <w:jc w:val="both"/>
        <w:rPr>
          <w:rFonts w:ascii="Times New Roman" w:hAnsi="Times New Roman"/>
          <w:sz w:val="24"/>
          <w:szCs w:val="24"/>
          <w:u w:val="single"/>
        </w:rPr>
      </w:pPr>
    </w:p>
    <w:p w14:paraId="4CB5BCE7" w14:textId="77777777" w:rsidR="009529F5" w:rsidRPr="00921F1D" w:rsidRDefault="004675E5" w:rsidP="00D15B82">
      <w:pPr>
        <w:spacing w:after="0" w:line="240" w:lineRule="auto"/>
        <w:jc w:val="both"/>
        <w:rPr>
          <w:rFonts w:ascii="Times New Roman" w:hAnsi="Times New Roman"/>
          <w:b/>
          <w:color w:val="0070C0"/>
          <w:sz w:val="24"/>
          <w:szCs w:val="24"/>
        </w:rPr>
      </w:pPr>
      <w:r w:rsidRPr="00921F1D">
        <w:rPr>
          <w:rFonts w:ascii="Times New Roman" w:hAnsi="Times New Roman"/>
          <w:b/>
          <w:color w:val="0070C0"/>
          <w:sz w:val="24"/>
          <w:szCs w:val="24"/>
        </w:rPr>
        <w:t>Tariffs</w:t>
      </w:r>
    </w:p>
    <w:p w14:paraId="3EE6CE11" w14:textId="013B99C0" w:rsidR="00926BF6" w:rsidRPr="00921F1D" w:rsidRDefault="00665582" w:rsidP="0031111B">
      <w:pPr>
        <w:spacing w:after="0" w:line="240" w:lineRule="auto"/>
        <w:jc w:val="both"/>
        <w:rPr>
          <w:rFonts w:ascii="Times New Roman" w:hAnsi="Times New Roman"/>
          <w:sz w:val="24"/>
          <w:szCs w:val="24"/>
        </w:rPr>
      </w:pPr>
      <w:r w:rsidRPr="00921F1D">
        <w:rPr>
          <w:rFonts w:ascii="Times New Roman" w:hAnsi="Times New Roman"/>
          <w:sz w:val="24"/>
          <w:szCs w:val="24"/>
        </w:rPr>
        <w:t xml:space="preserve">The </w:t>
      </w:r>
      <w:r w:rsidR="00BA629C" w:rsidRPr="00921F1D">
        <w:rPr>
          <w:rFonts w:ascii="Times New Roman" w:hAnsi="Times New Roman"/>
          <w:sz w:val="24"/>
          <w:szCs w:val="24"/>
        </w:rPr>
        <w:t>Philippines continues reducing tariffs applied to FTA partners as stated in the FTAs</w:t>
      </w:r>
      <w:r w:rsidR="005F565B" w:rsidRPr="00921F1D">
        <w:rPr>
          <w:rFonts w:ascii="Times New Roman" w:hAnsi="Times New Roman"/>
          <w:sz w:val="24"/>
          <w:szCs w:val="24"/>
        </w:rPr>
        <w:t>’</w:t>
      </w:r>
      <w:r w:rsidR="00BA629C" w:rsidRPr="00921F1D">
        <w:rPr>
          <w:rFonts w:ascii="Times New Roman" w:hAnsi="Times New Roman"/>
          <w:sz w:val="24"/>
          <w:szCs w:val="24"/>
        </w:rPr>
        <w:t xml:space="preserve"> tariff liberalization schedules</w:t>
      </w:r>
      <w:r w:rsidR="00237E0D" w:rsidRPr="00921F1D">
        <w:rPr>
          <w:rStyle w:val="FootnoteReference"/>
          <w:rFonts w:ascii="Times New Roman" w:hAnsi="Times New Roman"/>
          <w:sz w:val="24"/>
          <w:szCs w:val="24"/>
        </w:rPr>
        <w:footnoteReference w:id="2"/>
      </w:r>
      <w:r w:rsidR="00BA629C" w:rsidRPr="00921F1D">
        <w:rPr>
          <w:rFonts w:ascii="Times New Roman" w:hAnsi="Times New Roman"/>
          <w:sz w:val="24"/>
          <w:szCs w:val="24"/>
        </w:rPr>
        <w:t xml:space="preserve">. </w:t>
      </w:r>
      <w:r w:rsidR="00EA78E8" w:rsidRPr="00921F1D">
        <w:rPr>
          <w:rFonts w:ascii="Times New Roman" w:hAnsi="Times New Roman"/>
          <w:sz w:val="24"/>
          <w:szCs w:val="24"/>
        </w:rPr>
        <w:t>D</w:t>
      </w:r>
      <w:r w:rsidR="00CA7B00" w:rsidRPr="00921F1D">
        <w:rPr>
          <w:rFonts w:ascii="Times New Roman" w:hAnsi="Times New Roman"/>
          <w:sz w:val="24"/>
          <w:szCs w:val="24"/>
        </w:rPr>
        <w:t xml:space="preserve">uty free access </w:t>
      </w:r>
      <w:r w:rsidR="00EA78E8" w:rsidRPr="00921F1D">
        <w:rPr>
          <w:rFonts w:ascii="Times New Roman" w:hAnsi="Times New Roman"/>
          <w:sz w:val="24"/>
          <w:szCs w:val="24"/>
        </w:rPr>
        <w:t xml:space="preserve">is offered </w:t>
      </w:r>
      <w:r w:rsidR="00CA7B00" w:rsidRPr="00921F1D">
        <w:rPr>
          <w:rFonts w:ascii="Times New Roman" w:hAnsi="Times New Roman"/>
          <w:sz w:val="24"/>
          <w:szCs w:val="24"/>
        </w:rPr>
        <w:t xml:space="preserve">to </w:t>
      </w:r>
      <w:r w:rsidR="00BA629C" w:rsidRPr="00921F1D">
        <w:rPr>
          <w:rFonts w:ascii="Times New Roman" w:hAnsi="Times New Roman"/>
          <w:sz w:val="24"/>
          <w:szCs w:val="24"/>
        </w:rPr>
        <w:t xml:space="preserve">more than 90 per cent </w:t>
      </w:r>
      <w:r w:rsidR="00CA7B00" w:rsidRPr="00921F1D">
        <w:rPr>
          <w:rFonts w:ascii="Times New Roman" w:hAnsi="Times New Roman"/>
          <w:sz w:val="24"/>
          <w:szCs w:val="24"/>
        </w:rPr>
        <w:t>of the tariff lines being imported from parties in four out of the seven in-force FTAs.</w:t>
      </w:r>
      <w:r w:rsidR="00D401FB">
        <w:rPr>
          <w:rFonts w:ascii="Times New Roman" w:hAnsi="Times New Roman"/>
          <w:sz w:val="24"/>
          <w:szCs w:val="24"/>
        </w:rPr>
        <w:t xml:space="preserve"> </w:t>
      </w:r>
      <w:r w:rsidR="00720B1B" w:rsidRPr="00921F1D">
        <w:rPr>
          <w:rFonts w:ascii="Times New Roman" w:hAnsi="Times New Roman"/>
          <w:sz w:val="24"/>
          <w:szCs w:val="24"/>
        </w:rPr>
        <w:t>The Philippines implemented its commitments under the APEC Environmental Goods List by issuing Executive Order (EO) 185 in June 2015</w:t>
      </w:r>
      <w:r w:rsidR="00F50475">
        <w:rPr>
          <w:rFonts w:ascii="Times New Roman" w:hAnsi="Times New Roman"/>
          <w:sz w:val="24"/>
          <w:szCs w:val="24"/>
        </w:rPr>
        <w:t>,</w:t>
      </w:r>
      <w:r w:rsidR="00720B1B" w:rsidRPr="00921F1D">
        <w:rPr>
          <w:rFonts w:ascii="Times New Roman" w:hAnsi="Times New Roman"/>
          <w:sz w:val="24"/>
          <w:szCs w:val="24"/>
        </w:rPr>
        <w:t xml:space="preserve"> </w:t>
      </w:r>
      <w:r w:rsidR="00F50475" w:rsidRPr="00921F1D">
        <w:rPr>
          <w:rFonts w:ascii="Times New Roman" w:hAnsi="Times New Roman"/>
          <w:sz w:val="24"/>
          <w:szCs w:val="24"/>
        </w:rPr>
        <w:t>reduc</w:t>
      </w:r>
      <w:r w:rsidR="00F50475">
        <w:rPr>
          <w:rFonts w:ascii="Times New Roman" w:hAnsi="Times New Roman"/>
          <w:sz w:val="24"/>
          <w:szCs w:val="24"/>
        </w:rPr>
        <w:t>ing</w:t>
      </w:r>
      <w:r w:rsidR="00F50475" w:rsidRPr="00921F1D">
        <w:rPr>
          <w:rFonts w:ascii="Times New Roman" w:hAnsi="Times New Roman"/>
          <w:sz w:val="24"/>
          <w:szCs w:val="24"/>
        </w:rPr>
        <w:t xml:space="preserve"> </w:t>
      </w:r>
      <w:r w:rsidR="00720B1B" w:rsidRPr="00921F1D">
        <w:rPr>
          <w:rFonts w:ascii="Times New Roman" w:hAnsi="Times New Roman"/>
          <w:sz w:val="24"/>
          <w:szCs w:val="24"/>
        </w:rPr>
        <w:t>tariffs on several types of industrial machinery, such as furnaces and centrifuges.</w:t>
      </w:r>
      <w:r w:rsidR="004E515B" w:rsidRPr="00921F1D">
        <w:rPr>
          <w:rFonts w:ascii="Times New Roman" w:hAnsi="Times New Roman"/>
          <w:sz w:val="24"/>
          <w:szCs w:val="24"/>
        </w:rPr>
        <w:t xml:space="preserve"> </w:t>
      </w:r>
      <w:r w:rsidR="0031111B" w:rsidRPr="00921F1D">
        <w:rPr>
          <w:rFonts w:ascii="Times New Roman" w:hAnsi="Times New Roman"/>
          <w:sz w:val="24"/>
          <w:szCs w:val="24"/>
        </w:rPr>
        <w:t>The Philippines also participated in the Expansion of the Product Coverage of the Information Technology Agreement (ITA-II) which was concluded in Nairobi in December 2015</w:t>
      </w:r>
      <w:r w:rsidR="00973B46" w:rsidRPr="00921F1D">
        <w:rPr>
          <w:rStyle w:val="FootnoteReference"/>
          <w:rFonts w:ascii="Times New Roman" w:hAnsi="Times New Roman"/>
          <w:sz w:val="24"/>
          <w:szCs w:val="24"/>
        </w:rPr>
        <w:footnoteReference w:id="3"/>
      </w:r>
      <w:r w:rsidR="0031111B" w:rsidRPr="00921F1D">
        <w:rPr>
          <w:rFonts w:ascii="Times New Roman" w:hAnsi="Times New Roman"/>
          <w:sz w:val="24"/>
          <w:szCs w:val="24"/>
        </w:rPr>
        <w:t xml:space="preserve">. </w:t>
      </w:r>
    </w:p>
    <w:p w14:paraId="377C3DD0" w14:textId="77777777" w:rsidR="00926BF6" w:rsidRPr="00921F1D" w:rsidRDefault="00926BF6" w:rsidP="00D15B82">
      <w:pPr>
        <w:spacing w:after="0" w:line="240" w:lineRule="auto"/>
        <w:jc w:val="both"/>
        <w:rPr>
          <w:rFonts w:ascii="Times New Roman" w:hAnsi="Times New Roman"/>
          <w:sz w:val="24"/>
          <w:szCs w:val="24"/>
        </w:rPr>
      </w:pPr>
    </w:p>
    <w:p w14:paraId="15A5C9A3" w14:textId="77777777" w:rsidR="00BE3C81" w:rsidRPr="00921F1D" w:rsidRDefault="00457F06" w:rsidP="00D15B82">
      <w:pPr>
        <w:spacing w:after="0" w:line="240" w:lineRule="auto"/>
        <w:jc w:val="both"/>
        <w:rPr>
          <w:rFonts w:ascii="Times New Roman" w:hAnsi="Times New Roman"/>
          <w:b/>
          <w:color w:val="0070C0"/>
          <w:sz w:val="24"/>
          <w:szCs w:val="24"/>
        </w:rPr>
      </w:pPr>
      <w:r w:rsidRPr="00921F1D">
        <w:rPr>
          <w:rFonts w:ascii="Times New Roman" w:hAnsi="Times New Roman"/>
          <w:b/>
          <w:color w:val="0070C0"/>
          <w:sz w:val="24"/>
          <w:szCs w:val="24"/>
        </w:rPr>
        <w:t>Non-Tariff Measures</w:t>
      </w:r>
    </w:p>
    <w:p w14:paraId="73BBFC4D" w14:textId="17E097D0" w:rsidR="00EF53EB" w:rsidRPr="00921F1D" w:rsidRDefault="00CC1F9D" w:rsidP="00D15B82">
      <w:pPr>
        <w:spacing w:after="0" w:line="240" w:lineRule="auto"/>
        <w:jc w:val="both"/>
        <w:rPr>
          <w:rFonts w:ascii="Times New Roman" w:hAnsi="Times New Roman"/>
          <w:sz w:val="24"/>
          <w:szCs w:val="24"/>
        </w:rPr>
      </w:pPr>
      <w:r w:rsidRPr="00921F1D">
        <w:rPr>
          <w:rFonts w:ascii="Times New Roman" w:hAnsi="Times New Roman"/>
          <w:sz w:val="24"/>
          <w:szCs w:val="24"/>
        </w:rPr>
        <w:t xml:space="preserve">A type of tariff-rate quota is </w:t>
      </w:r>
      <w:r w:rsidR="0035578E" w:rsidRPr="00921F1D">
        <w:rPr>
          <w:rFonts w:ascii="Times New Roman" w:hAnsi="Times New Roman"/>
          <w:sz w:val="24"/>
          <w:szCs w:val="24"/>
        </w:rPr>
        <w:t xml:space="preserve">currently </w:t>
      </w:r>
      <w:r w:rsidRPr="00921F1D">
        <w:rPr>
          <w:rFonts w:ascii="Times New Roman" w:hAnsi="Times New Roman"/>
          <w:sz w:val="24"/>
          <w:szCs w:val="24"/>
        </w:rPr>
        <w:t>applied to certain agricultural products, through the Minimum Access Volume (MAV) system. This system allows to import products within a quota, such as rice, corn and pork, among others, at a lower tariff than those products out of the quota.</w:t>
      </w:r>
      <w:r w:rsidR="00A07A67" w:rsidRPr="00921F1D">
        <w:rPr>
          <w:rFonts w:ascii="Times New Roman" w:hAnsi="Times New Roman"/>
          <w:sz w:val="24"/>
          <w:szCs w:val="24"/>
        </w:rPr>
        <w:t xml:space="preserve"> </w:t>
      </w:r>
      <w:r w:rsidR="00EF53EB" w:rsidRPr="00921F1D">
        <w:rPr>
          <w:rFonts w:ascii="Times New Roman" w:hAnsi="Times New Roman"/>
          <w:sz w:val="24"/>
          <w:szCs w:val="24"/>
        </w:rPr>
        <w:t xml:space="preserve">In July 2014, the Philippines secured a waiver from the WTO to continue quantitative restrictions on rice until June 2017. In April 2013, Fisheries Order 146 was issued suspending all processing and </w:t>
      </w:r>
      <w:r w:rsidR="00EF53EB" w:rsidRPr="00921F1D">
        <w:rPr>
          <w:rFonts w:ascii="Times New Roman" w:hAnsi="Times New Roman"/>
          <w:sz w:val="24"/>
          <w:szCs w:val="24"/>
        </w:rPr>
        <w:lastRenderedPageBreak/>
        <w:t xml:space="preserve">approval of all permits to import live shrimps and other crustaceans from economies </w:t>
      </w:r>
      <w:r w:rsidR="006966BC" w:rsidRPr="00921F1D">
        <w:rPr>
          <w:rFonts w:ascii="Times New Roman" w:hAnsi="Times New Roman"/>
          <w:sz w:val="24"/>
          <w:szCs w:val="24"/>
        </w:rPr>
        <w:t xml:space="preserve">affected with Early Mortality Syndrome/Acute </w:t>
      </w:r>
      <w:proofErr w:type="spellStart"/>
      <w:r w:rsidR="006966BC" w:rsidRPr="00921F1D">
        <w:rPr>
          <w:rFonts w:ascii="Times New Roman" w:hAnsi="Times New Roman"/>
          <w:sz w:val="24"/>
          <w:szCs w:val="24"/>
        </w:rPr>
        <w:t>Hepatopancreatic</w:t>
      </w:r>
      <w:proofErr w:type="spellEnd"/>
      <w:r w:rsidR="006966BC" w:rsidRPr="00921F1D">
        <w:rPr>
          <w:rFonts w:ascii="Times New Roman" w:hAnsi="Times New Roman"/>
          <w:sz w:val="24"/>
          <w:szCs w:val="24"/>
        </w:rPr>
        <w:t xml:space="preserve"> Necrosis Syndrome and Infectious </w:t>
      </w:r>
      <w:proofErr w:type="spellStart"/>
      <w:r w:rsidR="006966BC" w:rsidRPr="00921F1D">
        <w:rPr>
          <w:rFonts w:ascii="Times New Roman" w:hAnsi="Times New Roman"/>
          <w:sz w:val="24"/>
          <w:szCs w:val="24"/>
        </w:rPr>
        <w:t>Myonecrosis</w:t>
      </w:r>
      <w:proofErr w:type="spellEnd"/>
      <w:r w:rsidR="006966BC" w:rsidRPr="00921F1D">
        <w:rPr>
          <w:rFonts w:ascii="Times New Roman" w:hAnsi="Times New Roman"/>
          <w:sz w:val="24"/>
          <w:szCs w:val="24"/>
        </w:rPr>
        <w:t xml:space="preserve"> Virus. </w:t>
      </w:r>
    </w:p>
    <w:p w14:paraId="590485AA" w14:textId="77777777" w:rsidR="00F30728" w:rsidRPr="00921F1D" w:rsidRDefault="00CC1F9D" w:rsidP="00D15B82">
      <w:pPr>
        <w:spacing w:after="0" w:line="240" w:lineRule="auto"/>
        <w:jc w:val="both"/>
        <w:rPr>
          <w:rFonts w:ascii="Times New Roman" w:hAnsi="Times New Roman"/>
          <w:sz w:val="24"/>
          <w:szCs w:val="24"/>
        </w:rPr>
      </w:pPr>
      <w:r w:rsidRPr="00921F1D">
        <w:rPr>
          <w:rFonts w:ascii="Times New Roman" w:hAnsi="Times New Roman"/>
          <w:sz w:val="24"/>
          <w:szCs w:val="24"/>
        </w:rPr>
        <w:t xml:space="preserve"> </w:t>
      </w:r>
    </w:p>
    <w:p w14:paraId="1D88BE00" w14:textId="77777777" w:rsidR="00BE3C81" w:rsidRPr="00921F1D" w:rsidRDefault="00F30728" w:rsidP="00D15B82">
      <w:pPr>
        <w:spacing w:after="0" w:line="240" w:lineRule="auto"/>
        <w:jc w:val="both"/>
        <w:rPr>
          <w:rFonts w:ascii="Times New Roman" w:hAnsi="Times New Roman"/>
          <w:b/>
          <w:color w:val="0070C0"/>
          <w:sz w:val="24"/>
          <w:szCs w:val="24"/>
        </w:rPr>
      </w:pPr>
      <w:r w:rsidRPr="00921F1D">
        <w:rPr>
          <w:rFonts w:ascii="Times New Roman" w:hAnsi="Times New Roman"/>
          <w:b/>
          <w:color w:val="0070C0"/>
          <w:sz w:val="24"/>
          <w:szCs w:val="24"/>
        </w:rPr>
        <w:t>Services</w:t>
      </w:r>
    </w:p>
    <w:p w14:paraId="21EDC76A" w14:textId="6D0158E5" w:rsidR="00FD2626" w:rsidRPr="00921F1D" w:rsidRDefault="0031111B" w:rsidP="0031111B">
      <w:pPr>
        <w:spacing w:after="0" w:line="240" w:lineRule="auto"/>
        <w:jc w:val="both"/>
        <w:rPr>
          <w:rFonts w:ascii="Times New Roman" w:hAnsi="Times New Roman"/>
          <w:sz w:val="24"/>
          <w:szCs w:val="24"/>
        </w:rPr>
      </w:pPr>
      <w:r w:rsidRPr="00921F1D">
        <w:rPr>
          <w:rFonts w:ascii="Times New Roman" w:hAnsi="Times New Roman"/>
          <w:sz w:val="24"/>
          <w:szCs w:val="24"/>
        </w:rPr>
        <w:t xml:space="preserve">The Philippines passed Republic Act (RA) 10641 liberalizing the financial sector to foreign banks, allowing full entry of foreign banks </w:t>
      </w:r>
      <w:r w:rsidR="00DE33B6" w:rsidRPr="00921F1D">
        <w:rPr>
          <w:rFonts w:ascii="Times New Roman" w:hAnsi="Times New Roman"/>
          <w:sz w:val="24"/>
          <w:szCs w:val="24"/>
        </w:rPr>
        <w:t>through ownership of</w:t>
      </w:r>
      <w:r w:rsidRPr="00921F1D">
        <w:rPr>
          <w:rFonts w:ascii="Times New Roman" w:hAnsi="Times New Roman"/>
          <w:sz w:val="24"/>
          <w:szCs w:val="24"/>
        </w:rPr>
        <w:t xml:space="preserve"> 100 percent of the voting stock of a</w:t>
      </w:r>
      <w:r w:rsidR="00DE33B6" w:rsidRPr="00921F1D">
        <w:rPr>
          <w:rFonts w:ascii="Times New Roman" w:hAnsi="Times New Roman"/>
          <w:sz w:val="24"/>
          <w:szCs w:val="24"/>
        </w:rPr>
        <w:t xml:space="preserve"> </w:t>
      </w:r>
      <w:r w:rsidRPr="00921F1D">
        <w:rPr>
          <w:rFonts w:ascii="Times New Roman" w:hAnsi="Times New Roman"/>
          <w:sz w:val="24"/>
          <w:szCs w:val="24"/>
        </w:rPr>
        <w:t>domestic bank</w:t>
      </w:r>
      <w:r w:rsidR="00DE33B6" w:rsidRPr="00921F1D">
        <w:rPr>
          <w:rFonts w:ascii="Times New Roman" w:hAnsi="Times New Roman"/>
          <w:sz w:val="24"/>
          <w:szCs w:val="24"/>
        </w:rPr>
        <w:t xml:space="preserve"> (</w:t>
      </w:r>
      <w:r w:rsidR="00106CB9" w:rsidRPr="00921F1D">
        <w:rPr>
          <w:rFonts w:ascii="Times New Roman" w:hAnsi="Times New Roman"/>
          <w:sz w:val="24"/>
          <w:szCs w:val="24"/>
        </w:rPr>
        <w:t xml:space="preserve">whether </w:t>
      </w:r>
      <w:r w:rsidR="00DE33B6" w:rsidRPr="00921F1D">
        <w:rPr>
          <w:rFonts w:ascii="Times New Roman" w:hAnsi="Times New Roman"/>
          <w:sz w:val="24"/>
          <w:szCs w:val="24"/>
        </w:rPr>
        <w:t>new</w:t>
      </w:r>
      <w:r w:rsidR="00106CB9" w:rsidRPr="00921F1D">
        <w:rPr>
          <w:rFonts w:ascii="Times New Roman" w:hAnsi="Times New Roman"/>
          <w:sz w:val="24"/>
          <w:szCs w:val="24"/>
        </w:rPr>
        <w:t>ly incorporated</w:t>
      </w:r>
      <w:r w:rsidR="00DE33B6" w:rsidRPr="00921F1D">
        <w:rPr>
          <w:rFonts w:ascii="Times New Roman" w:hAnsi="Times New Roman"/>
          <w:sz w:val="24"/>
          <w:szCs w:val="24"/>
        </w:rPr>
        <w:t xml:space="preserve"> or existing) or through the establishment of a branch with full banking authority</w:t>
      </w:r>
      <w:r w:rsidRPr="00921F1D">
        <w:rPr>
          <w:rFonts w:ascii="Times New Roman" w:hAnsi="Times New Roman"/>
          <w:sz w:val="24"/>
          <w:szCs w:val="24"/>
        </w:rPr>
        <w:t xml:space="preserve">. </w:t>
      </w:r>
      <w:r w:rsidR="00E40444" w:rsidRPr="00921F1D">
        <w:rPr>
          <w:rFonts w:ascii="Times New Roman" w:hAnsi="Times New Roman"/>
          <w:sz w:val="24"/>
          <w:szCs w:val="24"/>
        </w:rPr>
        <w:t xml:space="preserve">The </w:t>
      </w:r>
      <w:r w:rsidRPr="00921F1D">
        <w:rPr>
          <w:rFonts w:ascii="Times New Roman" w:hAnsi="Times New Roman"/>
          <w:sz w:val="24"/>
          <w:szCs w:val="24"/>
        </w:rPr>
        <w:t xml:space="preserve">law </w:t>
      </w:r>
      <w:r w:rsidR="00E40444" w:rsidRPr="00921F1D">
        <w:rPr>
          <w:rFonts w:ascii="Times New Roman" w:hAnsi="Times New Roman"/>
          <w:sz w:val="24"/>
          <w:szCs w:val="24"/>
        </w:rPr>
        <w:t xml:space="preserve">also </w:t>
      </w:r>
      <w:r w:rsidRPr="00921F1D">
        <w:rPr>
          <w:rFonts w:ascii="Times New Roman" w:hAnsi="Times New Roman"/>
          <w:sz w:val="24"/>
          <w:szCs w:val="24"/>
        </w:rPr>
        <w:t xml:space="preserve">increases the </w:t>
      </w:r>
      <w:r w:rsidR="00E40444" w:rsidRPr="00921F1D">
        <w:rPr>
          <w:rFonts w:ascii="Times New Roman" w:hAnsi="Times New Roman"/>
          <w:sz w:val="24"/>
          <w:szCs w:val="24"/>
        </w:rPr>
        <w:t xml:space="preserve">total </w:t>
      </w:r>
      <w:r w:rsidRPr="00921F1D">
        <w:rPr>
          <w:rFonts w:ascii="Times New Roman" w:hAnsi="Times New Roman"/>
          <w:sz w:val="24"/>
          <w:szCs w:val="24"/>
        </w:rPr>
        <w:t xml:space="preserve">share </w:t>
      </w:r>
      <w:r w:rsidR="00E40444" w:rsidRPr="00921F1D">
        <w:rPr>
          <w:rFonts w:ascii="Times New Roman" w:hAnsi="Times New Roman"/>
          <w:sz w:val="24"/>
          <w:szCs w:val="24"/>
        </w:rPr>
        <w:t xml:space="preserve">of banking industry assets </w:t>
      </w:r>
      <w:r w:rsidR="00023714" w:rsidRPr="00921F1D">
        <w:rPr>
          <w:rFonts w:ascii="Times New Roman" w:hAnsi="Times New Roman"/>
          <w:sz w:val="24"/>
          <w:szCs w:val="24"/>
        </w:rPr>
        <w:t xml:space="preserve">that may be </w:t>
      </w:r>
      <w:r w:rsidR="00E40444" w:rsidRPr="00921F1D">
        <w:rPr>
          <w:rFonts w:ascii="Times New Roman" w:hAnsi="Times New Roman"/>
          <w:sz w:val="24"/>
          <w:szCs w:val="24"/>
        </w:rPr>
        <w:t xml:space="preserve">held by </w:t>
      </w:r>
      <w:r w:rsidRPr="00921F1D">
        <w:rPr>
          <w:rFonts w:ascii="Times New Roman" w:hAnsi="Times New Roman"/>
          <w:sz w:val="24"/>
          <w:szCs w:val="24"/>
        </w:rPr>
        <w:t>foreign bank branches and subsidiaries</w:t>
      </w:r>
      <w:r w:rsidR="00023714" w:rsidRPr="00921F1D">
        <w:rPr>
          <w:rFonts w:ascii="Times New Roman" w:hAnsi="Times New Roman"/>
          <w:sz w:val="24"/>
          <w:szCs w:val="24"/>
        </w:rPr>
        <w:t xml:space="preserve"> to 40 percent</w:t>
      </w:r>
      <w:r w:rsidRPr="00921F1D">
        <w:rPr>
          <w:rFonts w:ascii="Times New Roman" w:hAnsi="Times New Roman"/>
          <w:sz w:val="24"/>
          <w:szCs w:val="24"/>
        </w:rPr>
        <w:t xml:space="preserve">. The </w:t>
      </w:r>
      <w:proofErr w:type="spellStart"/>
      <w:r w:rsidR="0043633A">
        <w:rPr>
          <w:rFonts w:ascii="Times New Roman" w:hAnsi="Times New Roman"/>
          <w:sz w:val="24"/>
          <w:szCs w:val="24"/>
        </w:rPr>
        <w:t>Bangko</w:t>
      </w:r>
      <w:proofErr w:type="spellEnd"/>
      <w:r w:rsidR="0043633A">
        <w:rPr>
          <w:rFonts w:ascii="Times New Roman" w:hAnsi="Times New Roman"/>
          <w:sz w:val="24"/>
          <w:szCs w:val="24"/>
        </w:rPr>
        <w:t xml:space="preserve"> </w:t>
      </w:r>
      <w:proofErr w:type="spellStart"/>
      <w:r w:rsidR="0043633A">
        <w:rPr>
          <w:rFonts w:ascii="Times New Roman" w:hAnsi="Times New Roman"/>
          <w:sz w:val="24"/>
          <w:szCs w:val="24"/>
        </w:rPr>
        <w:t>Sentral</w:t>
      </w:r>
      <w:proofErr w:type="spellEnd"/>
      <w:r w:rsidR="0043633A">
        <w:rPr>
          <w:rFonts w:ascii="Times New Roman" w:hAnsi="Times New Roman"/>
          <w:sz w:val="24"/>
          <w:szCs w:val="24"/>
        </w:rPr>
        <w:t xml:space="preserve"> ng </w:t>
      </w:r>
      <w:proofErr w:type="spellStart"/>
      <w:r w:rsidR="0043633A">
        <w:rPr>
          <w:rFonts w:ascii="Times New Roman" w:hAnsi="Times New Roman"/>
          <w:sz w:val="24"/>
          <w:szCs w:val="24"/>
        </w:rPr>
        <w:t>Pilipinas</w:t>
      </w:r>
      <w:proofErr w:type="spellEnd"/>
      <w:r w:rsidRPr="00921F1D">
        <w:rPr>
          <w:rFonts w:ascii="Times New Roman" w:hAnsi="Times New Roman"/>
          <w:sz w:val="24"/>
          <w:szCs w:val="24"/>
        </w:rPr>
        <w:t xml:space="preserve"> promulgated several circulars facilitating access to</w:t>
      </w:r>
      <w:r w:rsidR="00042F99" w:rsidRPr="00921F1D">
        <w:rPr>
          <w:rFonts w:ascii="Times New Roman" w:hAnsi="Times New Roman"/>
          <w:sz w:val="24"/>
          <w:szCs w:val="24"/>
        </w:rPr>
        <w:t xml:space="preserve"> </w:t>
      </w:r>
      <w:r w:rsidRPr="00921F1D">
        <w:rPr>
          <w:rFonts w:ascii="Times New Roman" w:hAnsi="Times New Roman"/>
          <w:sz w:val="24"/>
          <w:szCs w:val="24"/>
        </w:rPr>
        <w:t>foreign</w:t>
      </w:r>
      <w:r w:rsidR="00042F99" w:rsidRPr="00921F1D">
        <w:rPr>
          <w:rFonts w:ascii="Times New Roman" w:hAnsi="Times New Roman"/>
          <w:sz w:val="24"/>
          <w:szCs w:val="24"/>
        </w:rPr>
        <w:t xml:space="preserve"> </w:t>
      </w:r>
      <w:r w:rsidRPr="00921F1D">
        <w:rPr>
          <w:rFonts w:ascii="Times New Roman" w:hAnsi="Times New Roman"/>
          <w:sz w:val="24"/>
          <w:szCs w:val="24"/>
        </w:rPr>
        <w:t>exchange market resources</w:t>
      </w:r>
      <w:r w:rsidR="00042F99" w:rsidRPr="00921F1D">
        <w:rPr>
          <w:rFonts w:ascii="Times New Roman" w:hAnsi="Times New Roman"/>
          <w:sz w:val="24"/>
          <w:szCs w:val="24"/>
        </w:rPr>
        <w:t xml:space="preserve"> </w:t>
      </w:r>
      <w:r w:rsidRPr="00921F1D">
        <w:rPr>
          <w:rFonts w:ascii="Times New Roman" w:hAnsi="Times New Roman"/>
          <w:sz w:val="24"/>
          <w:szCs w:val="24"/>
        </w:rPr>
        <w:t>and</w:t>
      </w:r>
      <w:r w:rsidR="00042F99" w:rsidRPr="00921F1D">
        <w:rPr>
          <w:rFonts w:ascii="Times New Roman" w:hAnsi="Times New Roman"/>
          <w:sz w:val="24"/>
          <w:szCs w:val="24"/>
        </w:rPr>
        <w:t xml:space="preserve"> </w:t>
      </w:r>
      <w:r w:rsidRPr="00921F1D">
        <w:rPr>
          <w:rFonts w:ascii="Times New Roman" w:hAnsi="Times New Roman"/>
          <w:sz w:val="24"/>
          <w:szCs w:val="24"/>
        </w:rPr>
        <w:t>aligning</w:t>
      </w:r>
      <w:r w:rsidR="00042F99" w:rsidRPr="00921F1D">
        <w:rPr>
          <w:rFonts w:ascii="Times New Roman" w:hAnsi="Times New Roman"/>
          <w:sz w:val="24"/>
          <w:szCs w:val="24"/>
        </w:rPr>
        <w:t xml:space="preserve"> </w:t>
      </w:r>
      <w:r w:rsidRPr="00921F1D">
        <w:rPr>
          <w:rFonts w:ascii="Times New Roman" w:hAnsi="Times New Roman"/>
          <w:sz w:val="24"/>
          <w:szCs w:val="24"/>
        </w:rPr>
        <w:t>regulations</w:t>
      </w:r>
      <w:r w:rsidR="00042F99" w:rsidRPr="00921F1D">
        <w:rPr>
          <w:rFonts w:ascii="Times New Roman" w:hAnsi="Times New Roman"/>
          <w:sz w:val="24"/>
          <w:szCs w:val="24"/>
        </w:rPr>
        <w:t xml:space="preserve"> </w:t>
      </w:r>
      <w:r w:rsidRPr="00921F1D">
        <w:rPr>
          <w:rFonts w:ascii="Times New Roman" w:hAnsi="Times New Roman"/>
          <w:sz w:val="24"/>
          <w:szCs w:val="24"/>
        </w:rPr>
        <w:t>with</w:t>
      </w:r>
      <w:r w:rsidR="00042F99" w:rsidRPr="00921F1D">
        <w:rPr>
          <w:rFonts w:ascii="Times New Roman" w:hAnsi="Times New Roman"/>
          <w:sz w:val="24"/>
          <w:szCs w:val="24"/>
        </w:rPr>
        <w:t xml:space="preserve"> </w:t>
      </w:r>
      <w:r w:rsidRPr="00921F1D">
        <w:rPr>
          <w:rFonts w:ascii="Times New Roman" w:hAnsi="Times New Roman"/>
          <w:sz w:val="24"/>
          <w:szCs w:val="24"/>
        </w:rPr>
        <w:t>Basel</w:t>
      </w:r>
      <w:r w:rsidR="00042F99" w:rsidRPr="00921F1D">
        <w:rPr>
          <w:rFonts w:ascii="Times New Roman" w:hAnsi="Times New Roman"/>
          <w:sz w:val="24"/>
          <w:szCs w:val="24"/>
        </w:rPr>
        <w:t xml:space="preserve"> </w:t>
      </w:r>
      <w:r w:rsidRPr="00921F1D">
        <w:rPr>
          <w:rFonts w:ascii="Times New Roman" w:hAnsi="Times New Roman"/>
          <w:sz w:val="24"/>
          <w:szCs w:val="24"/>
        </w:rPr>
        <w:t>III</w:t>
      </w:r>
      <w:r w:rsidR="00042F99" w:rsidRPr="00921F1D">
        <w:rPr>
          <w:rFonts w:ascii="Times New Roman" w:hAnsi="Times New Roman"/>
          <w:sz w:val="24"/>
          <w:szCs w:val="24"/>
        </w:rPr>
        <w:t xml:space="preserve"> </w:t>
      </w:r>
      <w:r w:rsidRPr="00921F1D">
        <w:rPr>
          <w:rFonts w:ascii="Times New Roman" w:hAnsi="Times New Roman"/>
          <w:sz w:val="24"/>
          <w:szCs w:val="24"/>
        </w:rPr>
        <w:t>requirements</w:t>
      </w:r>
      <w:r w:rsidR="000D3F45" w:rsidRPr="00921F1D">
        <w:rPr>
          <w:rFonts w:ascii="Times New Roman" w:hAnsi="Times New Roman"/>
          <w:sz w:val="24"/>
          <w:szCs w:val="24"/>
        </w:rPr>
        <w:t xml:space="preserve"> </w:t>
      </w:r>
      <w:r w:rsidRPr="00921F1D">
        <w:rPr>
          <w:rFonts w:ascii="Times New Roman" w:hAnsi="Times New Roman"/>
          <w:sz w:val="24"/>
          <w:szCs w:val="24"/>
        </w:rPr>
        <w:t>with the intention of further strengthening the banking industry towards foreign participation and competition.</w:t>
      </w:r>
    </w:p>
    <w:p w14:paraId="3A07F6F0" w14:textId="77777777" w:rsidR="00FD2626" w:rsidRPr="00921F1D" w:rsidRDefault="00FD2626" w:rsidP="00D15B82">
      <w:pPr>
        <w:spacing w:after="0" w:line="240" w:lineRule="auto"/>
        <w:jc w:val="both"/>
        <w:rPr>
          <w:rFonts w:ascii="Times New Roman" w:hAnsi="Times New Roman"/>
          <w:sz w:val="24"/>
          <w:szCs w:val="24"/>
        </w:rPr>
      </w:pPr>
    </w:p>
    <w:p w14:paraId="78856DE0" w14:textId="5036B036" w:rsidR="00F319BA" w:rsidRPr="00921F1D" w:rsidRDefault="00667A7D" w:rsidP="00D15B82">
      <w:pPr>
        <w:spacing w:after="0" w:line="240" w:lineRule="auto"/>
        <w:jc w:val="both"/>
        <w:rPr>
          <w:rFonts w:ascii="Times New Roman" w:hAnsi="Times New Roman"/>
          <w:sz w:val="24"/>
          <w:szCs w:val="24"/>
        </w:rPr>
      </w:pPr>
      <w:r w:rsidRPr="00921F1D">
        <w:rPr>
          <w:rFonts w:ascii="Times New Roman" w:hAnsi="Times New Roman"/>
          <w:sz w:val="24"/>
          <w:szCs w:val="24"/>
        </w:rPr>
        <w:t xml:space="preserve">In the </w:t>
      </w:r>
      <w:r w:rsidR="00962504" w:rsidRPr="00921F1D">
        <w:rPr>
          <w:rFonts w:ascii="Times New Roman" w:hAnsi="Times New Roman"/>
          <w:sz w:val="24"/>
          <w:szCs w:val="24"/>
        </w:rPr>
        <w:t>energy</w:t>
      </w:r>
      <w:r w:rsidRPr="00921F1D">
        <w:rPr>
          <w:rFonts w:ascii="Times New Roman" w:hAnsi="Times New Roman"/>
          <w:sz w:val="24"/>
          <w:szCs w:val="24"/>
        </w:rPr>
        <w:t xml:space="preserve"> sector, </w:t>
      </w:r>
      <w:r w:rsidR="00AE14BE" w:rsidRPr="00921F1D">
        <w:rPr>
          <w:rFonts w:ascii="Times New Roman" w:hAnsi="Times New Roman"/>
          <w:sz w:val="24"/>
          <w:szCs w:val="24"/>
        </w:rPr>
        <w:t xml:space="preserve">the Philippines provided more incentives for the renewable energy sector by increasing the target for solar energy generation from 50 megawatts (MW) to 500 MW under the Feed-In Tariff </w:t>
      </w:r>
      <w:r w:rsidR="00B12DD4" w:rsidRPr="00921F1D">
        <w:rPr>
          <w:rFonts w:ascii="Times New Roman" w:hAnsi="Times New Roman"/>
          <w:sz w:val="24"/>
          <w:szCs w:val="24"/>
        </w:rPr>
        <w:t xml:space="preserve">(FIT) </w:t>
      </w:r>
      <w:r w:rsidR="00AE14BE" w:rsidRPr="00921F1D">
        <w:rPr>
          <w:rFonts w:ascii="Times New Roman" w:hAnsi="Times New Roman"/>
          <w:sz w:val="24"/>
          <w:szCs w:val="24"/>
        </w:rPr>
        <w:t>System</w:t>
      </w:r>
      <w:r w:rsidR="004C075D" w:rsidRPr="00921F1D">
        <w:rPr>
          <w:rStyle w:val="FootnoteReference"/>
          <w:rFonts w:ascii="Times New Roman" w:hAnsi="Times New Roman"/>
          <w:sz w:val="24"/>
          <w:szCs w:val="24"/>
        </w:rPr>
        <w:footnoteReference w:id="4"/>
      </w:r>
      <w:r w:rsidRPr="00921F1D">
        <w:rPr>
          <w:rFonts w:ascii="Times New Roman" w:hAnsi="Times New Roman"/>
          <w:sz w:val="24"/>
          <w:szCs w:val="24"/>
        </w:rPr>
        <w:t xml:space="preserve">. </w:t>
      </w:r>
      <w:r w:rsidR="005A7174" w:rsidRPr="00921F1D">
        <w:rPr>
          <w:rFonts w:ascii="Times New Roman" w:hAnsi="Times New Roman"/>
          <w:sz w:val="24"/>
          <w:szCs w:val="24"/>
        </w:rPr>
        <w:t xml:space="preserve">In the maritime transportation sector, </w:t>
      </w:r>
      <w:r w:rsidR="00F319BA" w:rsidRPr="00921F1D">
        <w:rPr>
          <w:rFonts w:ascii="Times New Roman" w:hAnsi="Times New Roman"/>
          <w:sz w:val="24"/>
          <w:szCs w:val="24"/>
        </w:rPr>
        <w:t xml:space="preserve">the Philippines passed RA 10668, allowing foreign ships to transport import or export cargo directly to and from any local port. In the air transportation sector, </w:t>
      </w:r>
      <w:r w:rsidR="00212209" w:rsidRPr="00921F1D">
        <w:rPr>
          <w:rFonts w:ascii="Times New Roman" w:hAnsi="Times New Roman"/>
          <w:sz w:val="24"/>
          <w:szCs w:val="24"/>
        </w:rPr>
        <w:t>the Philippines was able to negotiate more liberal air service agreements with Australia; Korea; Mexico; Oman; Russia; Singapore; Chinese Taipei; Turkey; and the United Arab Emirates.</w:t>
      </w:r>
    </w:p>
    <w:p w14:paraId="35B970B3" w14:textId="77777777" w:rsidR="006C0EF6" w:rsidRPr="00921F1D" w:rsidRDefault="006C0EF6" w:rsidP="00D15B82">
      <w:pPr>
        <w:spacing w:after="0" w:line="240" w:lineRule="auto"/>
        <w:jc w:val="both"/>
        <w:rPr>
          <w:rFonts w:ascii="Times New Roman" w:hAnsi="Times New Roman"/>
          <w:sz w:val="20"/>
          <w:szCs w:val="20"/>
        </w:rPr>
      </w:pPr>
    </w:p>
    <w:p w14:paraId="26254BEF" w14:textId="77777777" w:rsidR="00BE3C81" w:rsidRPr="00921F1D" w:rsidRDefault="006C0EF6" w:rsidP="00D15B82">
      <w:pPr>
        <w:spacing w:after="0" w:line="240" w:lineRule="auto"/>
        <w:jc w:val="both"/>
        <w:rPr>
          <w:rFonts w:ascii="Times New Roman" w:hAnsi="Times New Roman"/>
          <w:sz w:val="24"/>
          <w:szCs w:val="24"/>
          <w:u w:val="single"/>
        </w:rPr>
      </w:pPr>
      <w:r w:rsidRPr="00921F1D">
        <w:rPr>
          <w:rFonts w:ascii="Times New Roman" w:hAnsi="Times New Roman"/>
          <w:b/>
          <w:color w:val="0070C0"/>
          <w:sz w:val="24"/>
          <w:szCs w:val="24"/>
        </w:rPr>
        <w:t>Investment</w:t>
      </w:r>
    </w:p>
    <w:p w14:paraId="7FDEDF8B" w14:textId="7293FCCF" w:rsidR="0061232D" w:rsidRPr="00921F1D" w:rsidRDefault="00212209" w:rsidP="00D15B82">
      <w:pPr>
        <w:spacing w:after="0" w:line="240" w:lineRule="auto"/>
        <w:jc w:val="both"/>
        <w:rPr>
          <w:rFonts w:ascii="Times New Roman" w:hAnsi="Times New Roman"/>
          <w:sz w:val="24"/>
          <w:szCs w:val="24"/>
        </w:rPr>
      </w:pPr>
      <w:r w:rsidRPr="00921F1D">
        <w:rPr>
          <w:rFonts w:ascii="Times New Roman" w:hAnsi="Times New Roman"/>
          <w:sz w:val="24"/>
          <w:szCs w:val="24"/>
        </w:rPr>
        <w:t>The Philippines introduced e-government initiatives to facilitate procedures for investing and starting a business. According to World Bank’s Doing Business</w:t>
      </w:r>
      <w:r w:rsidR="003F2E1D" w:rsidRPr="00921F1D">
        <w:rPr>
          <w:rFonts w:ascii="Times New Roman" w:hAnsi="Times New Roman"/>
          <w:sz w:val="24"/>
          <w:szCs w:val="24"/>
        </w:rPr>
        <w:t xml:space="preserve">, </w:t>
      </w:r>
      <w:r w:rsidRPr="00921F1D">
        <w:rPr>
          <w:rFonts w:ascii="Times New Roman" w:hAnsi="Times New Roman"/>
          <w:sz w:val="24"/>
          <w:szCs w:val="24"/>
        </w:rPr>
        <w:t xml:space="preserve">it </w:t>
      </w:r>
      <w:r w:rsidR="003F2E1D" w:rsidRPr="00921F1D">
        <w:rPr>
          <w:rFonts w:ascii="Times New Roman" w:hAnsi="Times New Roman"/>
          <w:sz w:val="24"/>
          <w:szCs w:val="24"/>
        </w:rPr>
        <w:t xml:space="preserve">took </w:t>
      </w:r>
      <w:r w:rsidRPr="00921F1D">
        <w:rPr>
          <w:rFonts w:ascii="Times New Roman" w:hAnsi="Times New Roman"/>
          <w:sz w:val="24"/>
          <w:szCs w:val="24"/>
        </w:rPr>
        <w:t>16 procedures and 29 days to start a business in the Philippines</w:t>
      </w:r>
      <w:r w:rsidR="003F2E1D" w:rsidRPr="00921F1D">
        <w:rPr>
          <w:rFonts w:ascii="Times New Roman" w:hAnsi="Times New Roman"/>
          <w:sz w:val="24"/>
          <w:szCs w:val="24"/>
        </w:rPr>
        <w:t xml:space="preserve"> in 2015</w:t>
      </w:r>
      <w:r w:rsidRPr="00921F1D">
        <w:rPr>
          <w:rFonts w:ascii="Times New Roman" w:hAnsi="Times New Roman"/>
          <w:sz w:val="24"/>
          <w:szCs w:val="24"/>
        </w:rPr>
        <w:t xml:space="preserve">. </w:t>
      </w:r>
      <w:r w:rsidR="003F2E1D" w:rsidRPr="00921F1D">
        <w:rPr>
          <w:rFonts w:ascii="Times New Roman" w:hAnsi="Times New Roman"/>
          <w:sz w:val="24"/>
          <w:szCs w:val="24"/>
        </w:rPr>
        <w:t>T</w:t>
      </w:r>
      <w:r w:rsidRPr="00921F1D">
        <w:rPr>
          <w:rFonts w:ascii="Times New Roman" w:hAnsi="Times New Roman"/>
          <w:sz w:val="24"/>
          <w:szCs w:val="24"/>
        </w:rPr>
        <w:t>he Philippines’</w:t>
      </w:r>
      <w:r w:rsidR="004B4CC3" w:rsidRPr="00921F1D">
        <w:rPr>
          <w:rFonts w:ascii="Times New Roman" w:hAnsi="Times New Roman"/>
          <w:sz w:val="24"/>
          <w:szCs w:val="24"/>
        </w:rPr>
        <w:t xml:space="preserve"> 2016</w:t>
      </w:r>
      <w:r w:rsidRPr="00921F1D">
        <w:rPr>
          <w:rFonts w:ascii="Times New Roman" w:hAnsi="Times New Roman"/>
          <w:sz w:val="24"/>
          <w:szCs w:val="24"/>
        </w:rPr>
        <w:t xml:space="preserve"> </w:t>
      </w:r>
      <w:r w:rsidR="003F2E1D" w:rsidRPr="00921F1D">
        <w:rPr>
          <w:rFonts w:ascii="Times New Roman" w:hAnsi="Times New Roman"/>
          <w:sz w:val="24"/>
          <w:szCs w:val="24"/>
        </w:rPr>
        <w:t xml:space="preserve">APEC Individual Action Plan indicates that </w:t>
      </w:r>
      <w:r w:rsidRPr="00921F1D">
        <w:rPr>
          <w:rFonts w:ascii="Times New Roman" w:hAnsi="Times New Roman"/>
          <w:sz w:val="24"/>
          <w:szCs w:val="24"/>
        </w:rPr>
        <w:t>it now takes 6 steps and 8 days to start a business.</w:t>
      </w:r>
    </w:p>
    <w:p w14:paraId="2432E1E4" w14:textId="77777777" w:rsidR="0061232D" w:rsidRPr="00921F1D" w:rsidRDefault="0061232D" w:rsidP="00D15B82">
      <w:pPr>
        <w:spacing w:after="0" w:line="240" w:lineRule="auto"/>
        <w:jc w:val="both"/>
        <w:rPr>
          <w:rFonts w:ascii="Times New Roman" w:hAnsi="Times New Roman"/>
          <w:sz w:val="24"/>
          <w:szCs w:val="24"/>
        </w:rPr>
      </w:pPr>
    </w:p>
    <w:p w14:paraId="1F094F91" w14:textId="2A252611" w:rsidR="007A0E06" w:rsidRPr="00921F1D" w:rsidRDefault="0061232D" w:rsidP="00DC6C46">
      <w:pPr>
        <w:spacing w:after="0" w:line="240" w:lineRule="auto"/>
        <w:jc w:val="both"/>
        <w:rPr>
          <w:rFonts w:ascii="Times New Roman" w:hAnsi="Times New Roman"/>
          <w:sz w:val="24"/>
          <w:szCs w:val="24"/>
        </w:rPr>
      </w:pPr>
      <w:r w:rsidRPr="00921F1D">
        <w:rPr>
          <w:rFonts w:ascii="Times New Roman" w:hAnsi="Times New Roman"/>
          <w:sz w:val="24"/>
          <w:szCs w:val="24"/>
        </w:rPr>
        <w:t xml:space="preserve">The Foreign Investment Negative List </w:t>
      </w:r>
      <w:r w:rsidR="00DC6C46" w:rsidRPr="00921F1D">
        <w:rPr>
          <w:rFonts w:ascii="Times New Roman" w:hAnsi="Times New Roman"/>
          <w:sz w:val="24"/>
          <w:szCs w:val="24"/>
        </w:rPr>
        <w:t xml:space="preserve">(FINL) </w:t>
      </w:r>
      <w:r w:rsidR="001B38E0" w:rsidRPr="00921F1D">
        <w:rPr>
          <w:rFonts w:ascii="Times New Roman" w:hAnsi="Times New Roman"/>
          <w:sz w:val="24"/>
          <w:szCs w:val="24"/>
        </w:rPr>
        <w:t xml:space="preserve">includes the sectors where foreign investors are not allowed or limited as dictated by the Constitution or specific laws (List A), as well as sectors in which foreign investments are limited for security, defense, risk to health and morals, and protection to SMEs (List B). </w:t>
      </w:r>
      <w:r w:rsidR="004B4CC3" w:rsidRPr="00921F1D">
        <w:rPr>
          <w:rFonts w:ascii="Times New Roman" w:hAnsi="Times New Roman"/>
          <w:sz w:val="24"/>
          <w:szCs w:val="24"/>
        </w:rPr>
        <w:t xml:space="preserve">Based on EO 184 promulgated on 29 May 2015, </w:t>
      </w:r>
      <w:r w:rsidR="001B38E0" w:rsidRPr="00921F1D">
        <w:rPr>
          <w:rFonts w:ascii="Times New Roman" w:hAnsi="Times New Roman"/>
          <w:sz w:val="24"/>
          <w:szCs w:val="24"/>
        </w:rPr>
        <w:t xml:space="preserve">List A includes 11 sectors where no foreign investments are allowed and </w:t>
      </w:r>
      <w:r w:rsidR="004B4CC3" w:rsidRPr="00921F1D">
        <w:rPr>
          <w:rFonts w:ascii="Times New Roman" w:hAnsi="Times New Roman"/>
          <w:sz w:val="24"/>
          <w:szCs w:val="24"/>
        </w:rPr>
        <w:t xml:space="preserve">15 </w:t>
      </w:r>
      <w:r w:rsidR="001B38E0" w:rsidRPr="00921F1D">
        <w:rPr>
          <w:rFonts w:ascii="Times New Roman" w:hAnsi="Times New Roman"/>
          <w:sz w:val="24"/>
          <w:szCs w:val="24"/>
        </w:rPr>
        <w:t xml:space="preserve">sectors with a restricted percentage of foreign equity. List B includes seven sectors with restrictions on the percentage of foreign equity. </w:t>
      </w:r>
    </w:p>
    <w:p w14:paraId="433E2739" w14:textId="77777777" w:rsidR="007A0E06" w:rsidRPr="00921F1D" w:rsidRDefault="007A0E06" w:rsidP="00D15B82">
      <w:pPr>
        <w:spacing w:after="0" w:line="240" w:lineRule="auto"/>
        <w:jc w:val="both"/>
        <w:rPr>
          <w:rFonts w:ascii="Times New Roman" w:hAnsi="Times New Roman"/>
          <w:sz w:val="24"/>
          <w:szCs w:val="24"/>
        </w:rPr>
      </w:pPr>
    </w:p>
    <w:p w14:paraId="6376E0A3" w14:textId="77777777" w:rsidR="00BE3C81" w:rsidRPr="00921F1D" w:rsidRDefault="00D001BF" w:rsidP="00D15B82">
      <w:pPr>
        <w:spacing w:after="0" w:line="240" w:lineRule="auto"/>
        <w:jc w:val="both"/>
        <w:rPr>
          <w:rFonts w:ascii="Times New Roman" w:hAnsi="Times New Roman"/>
          <w:b/>
          <w:color w:val="0070C0"/>
          <w:sz w:val="24"/>
          <w:szCs w:val="24"/>
        </w:rPr>
      </w:pPr>
      <w:r w:rsidRPr="00921F1D">
        <w:rPr>
          <w:rFonts w:ascii="Times New Roman" w:hAnsi="Times New Roman"/>
          <w:b/>
          <w:color w:val="0070C0"/>
          <w:sz w:val="24"/>
          <w:szCs w:val="24"/>
        </w:rPr>
        <w:t>Standards and Conformance</w:t>
      </w:r>
    </w:p>
    <w:p w14:paraId="6294B9C9" w14:textId="0A5D5087" w:rsidR="002C1CC2" w:rsidRPr="00921F1D" w:rsidRDefault="00B3048A" w:rsidP="00D15B82">
      <w:pPr>
        <w:spacing w:after="0" w:line="240" w:lineRule="auto"/>
        <w:jc w:val="both"/>
        <w:rPr>
          <w:rFonts w:ascii="Times New Roman" w:hAnsi="Times New Roman"/>
          <w:sz w:val="24"/>
          <w:szCs w:val="24"/>
        </w:rPr>
      </w:pPr>
      <w:r w:rsidRPr="00921F1D">
        <w:rPr>
          <w:rFonts w:ascii="Times New Roman" w:hAnsi="Times New Roman"/>
          <w:sz w:val="24"/>
          <w:szCs w:val="24"/>
        </w:rPr>
        <w:t xml:space="preserve">A total of </w:t>
      </w:r>
      <w:r w:rsidR="00895A1A" w:rsidRPr="00921F1D">
        <w:rPr>
          <w:rFonts w:ascii="Times New Roman" w:hAnsi="Times New Roman"/>
          <w:sz w:val="24"/>
          <w:szCs w:val="24"/>
        </w:rPr>
        <w:t>9,602</w:t>
      </w:r>
      <w:r w:rsidRPr="00921F1D">
        <w:rPr>
          <w:rFonts w:ascii="Times New Roman" w:hAnsi="Times New Roman"/>
          <w:sz w:val="24"/>
          <w:szCs w:val="24"/>
        </w:rPr>
        <w:t xml:space="preserve"> Philippine National Standards have been developed</w:t>
      </w:r>
      <w:r w:rsidR="00895A1A" w:rsidRPr="00921F1D">
        <w:rPr>
          <w:rFonts w:ascii="Times New Roman" w:hAnsi="Times New Roman"/>
          <w:sz w:val="24"/>
          <w:szCs w:val="24"/>
        </w:rPr>
        <w:t xml:space="preserve">, with </w:t>
      </w:r>
      <w:r w:rsidR="0031111B" w:rsidRPr="00921F1D">
        <w:rPr>
          <w:rFonts w:ascii="Times New Roman" w:hAnsi="Times New Roman"/>
          <w:sz w:val="24"/>
          <w:szCs w:val="24"/>
        </w:rPr>
        <w:t>79.</w:t>
      </w:r>
      <w:r w:rsidR="00DB31E0" w:rsidRPr="00921F1D">
        <w:rPr>
          <w:rFonts w:ascii="Times New Roman" w:hAnsi="Times New Roman"/>
          <w:sz w:val="24"/>
          <w:szCs w:val="24"/>
        </w:rPr>
        <w:t xml:space="preserve">6 </w:t>
      </w:r>
      <w:r w:rsidRPr="00921F1D">
        <w:rPr>
          <w:rFonts w:ascii="Times New Roman" w:hAnsi="Times New Roman"/>
          <w:sz w:val="24"/>
          <w:szCs w:val="24"/>
        </w:rPr>
        <w:t xml:space="preserve">percent of them aligned with international standards. Between </w:t>
      </w:r>
      <w:r w:rsidR="00895A1A" w:rsidRPr="00921F1D">
        <w:rPr>
          <w:rFonts w:ascii="Times New Roman" w:hAnsi="Times New Roman"/>
          <w:sz w:val="24"/>
          <w:szCs w:val="24"/>
        </w:rPr>
        <w:t>December 2013</w:t>
      </w:r>
      <w:r w:rsidRPr="00921F1D">
        <w:rPr>
          <w:rFonts w:ascii="Times New Roman" w:hAnsi="Times New Roman"/>
          <w:sz w:val="24"/>
          <w:szCs w:val="24"/>
        </w:rPr>
        <w:t xml:space="preserve"> and </w:t>
      </w:r>
      <w:r w:rsidR="00895A1A" w:rsidRPr="00921F1D">
        <w:rPr>
          <w:rFonts w:ascii="Times New Roman" w:hAnsi="Times New Roman"/>
          <w:sz w:val="24"/>
          <w:szCs w:val="24"/>
        </w:rPr>
        <w:t>December 2015</w:t>
      </w:r>
      <w:r w:rsidRPr="00921F1D">
        <w:rPr>
          <w:rFonts w:ascii="Times New Roman" w:hAnsi="Times New Roman"/>
          <w:sz w:val="24"/>
          <w:szCs w:val="24"/>
        </w:rPr>
        <w:t xml:space="preserve">, the Philippines </w:t>
      </w:r>
      <w:r w:rsidR="00895A1A" w:rsidRPr="00921F1D">
        <w:rPr>
          <w:rFonts w:ascii="Times New Roman" w:hAnsi="Times New Roman"/>
          <w:sz w:val="24"/>
          <w:szCs w:val="24"/>
        </w:rPr>
        <w:t xml:space="preserve">developed 1,133 new standards, of which </w:t>
      </w:r>
      <w:r w:rsidR="0031111B" w:rsidRPr="00921F1D">
        <w:rPr>
          <w:rFonts w:ascii="Times New Roman" w:hAnsi="Times New Roman"/>
          <w:sz w:val="24"/>
          <w:szCs w:val="24"/>
        </w:rPr>
        <w:t>934</w:t>
      </w:r>
      <w:r w:rsidR="00895A1A" w:rsidRPr="00921F1D">
        <w:rPr>
          <w:rFonts w:ascii="Times New Roman" w:hAnsi="Times New Roman"/>
          <w:sz w:val="24"/>
          <w:szCs w:val="24"/>
        </w:rPr>
        <w:t xml:space="preserve"> were aligned</w:t>
      </w:r>
      <w:r w:rsidRPr="00921F1D">
        <w:rPr>
          <w:rFonts w:ascii="Times New Roman" w:hAnsi="Times New Roman"/>
          <w:sz w:val="24"/>
          <w:szCs w:val="24"/>
        </w:rPr>
        <w:t xml:space="preserve"> with international standards.</w:t>
      </w:r>
    </w:p>
    <w:p w14:paraId="7EA8356C" w14:textId="77777777" w:rsidR="00B3048A" w:rsidRPr="00921F1D" w:rsidRDefault="00B3048A" w:rsidP="00D15B82">
      <w:pPr>
        <w:spacing w:after="0" w:line="240" w:lineRule="auto"/>
        <w:jc w:val="both"/>
        <w:rPr>
          <w:rFonts w:ascii="Times New Roman" w:hAnsi="Times New Roman"/>
          <w:sz w:val="24"/>
          <w:szCs w:val="24"/>
        </w:rPr>
      </w:pPr>
    </w:p>
    <w:p w14:paraId="1CBC8540" w14:textId="6B2A3016" w:rsidR="00B3048A" w:rsidRPr="00921F1D" w:rsidRDefault="00BE1F82" w:rsidP="00D15B82">
      <w:pPr>
        <w:spacing w:after="0" w:line="240" w:lineRule="auto"/>
        <w:jc w:val="both"/>
        <w:rPr>
          <w:rFonts w:ascii="Times New Roman" w:hAnsi="Times New Roman"/>
          <w:sz w:val="24"/>
          <w:szCs w:val="24"/>
        </w:rPr>
      </w:pPr>
      <w:r w:rsidRPr="00921F1D">
        <w:rPr>
          <w:rFonts w:ascii="Times New Roman" w:hAnsi="Times New Roman"/>
          <w:sz w:val="24"/>
          <w:szCs w:val="24"/>
        </w:rPr>
        <w:t xml:space="preserve">The Philippines is a member of International Accreditation Forum, International Laboratory Accreditation Cooperation, Pacific Accreditation Cooperation </w:t>
      </w:r>
      <w:r w:rsidR="0080225B" w:rsidRPr="00921F1D">
        <w:rPr>
          <w:rFonts w:ascii="Times New Roman" w:hAnsi="Times New Roman"/>
          <w:sz w:val="24"/>
          <w:szCs w:val="24"/>
        </w:rPr>
        <w:t xml:space="preserve">(PAC) </w:t>
      </w:r>
      <w:r w:rsidRPr="00921F1D">
        <w:rPr>
          <w:rFonts w:ascii="Times New Roman" w:hAnsi="Times New Roman"/>
          <w:sz w:val="24"/>
          <w:szCs w:val="24"/>
        </w:rPr>
        <w:t>and Asia Pacific Laboratory Accreditation Cooperation</w:t>
      </w:r>
      <w:r w:rsidR="0080225B" w:rsidRPr="00921F1D">
        <w:rPr>
          <w:rFonts w:ascii="Times New Roman" w:hAnsi="Times New Roman"/>
          <w:sz w:val="24"/>
          <w:szCs w:val="24"/>
        </w:rPr>
        <w:t xml:space="preserve"> (APLAC)</w:t>
      </w:r>
      <w:r w:rsidR="000E61ED" w:rsidRPr="00921F1D">
        <w:rPr>
          <w:rFonts w:ascii="Times New Roman" w:hAnsi="Times New Roman"/>
          <w:sz w:val="24"/>
          <w:szCs w:val="24"/>
        </w:rPr>
        <w:t xml:space="preserve">. </w:t>
      </w:r>
      <w:r w:rsidRPr="00921F1D">
        <w:rPr>
          <w:rFonts w:ascii="Times New Roman" w:hAnsi="Times New Roman"/>
          <w:sz w:val="24"/>
          <w:szCs w:val="24"/>
        </w:rPr>
        <w:t xml:space="preserve">It is also a signatory member of the </w:t>
      </w:r>
      <w:r w:rsidR="00DC6C46" w:rsidRPr="00921F1D">
        <w:rPr>
          <w:rFonts w:ascii="Times New Roman" w:hAnsi="Times New Roman"/>
          <w:sz w:val="24"/>
          <w:szCs w:val="24"/>
        </w:rPr>
        <w:t xml:space="preserve">Multilateral Recognition Arrangement </w:t>
      </w:r>
      <w:r w:rsidRPr="00921F1D">
        <w:rPr>
          <w:rFonts w:ascii="Times New Roman" w:hAnsi="Times New Roman"/>
          <w:sz w:val="24"/>
          <w:szCs w:val="24"/>
        </w:rPr>
        <w:t xml:space="preserve">for </w:t>
      </w:r>
      <w:r w:rsidR="00DC6C46" w:rsidRPr="00921F1D">
        <w:rPr>
          <w:rFonts w:ascii="Times New Roman" w:hAnsi="Times New Roman"/>
          <w:sz w:val="24"/>
          <w:szCs w:val="24"/>
        </w:rPr>
        <w:t xml:space="preserve">Quality Management System </w:t>
      </w:r>
      <w:r w:rsidRPr="00921F1D">
        <w:rPr>
          <w:rFonts w:ascii="Times New Roman" w:hAnsi="Times New Roman"/>
          <w:sz w:val="24"/>
          <w:szCs w:val="24"/>
        </w:rPr>
        <w:t xml:space="preserve">and </w:t>
      </w:r>
      <w:r w:rsidR="00DC6C46" w:rsidRPr="00921F1D">
        <w:rPr>
          <w:rFonts w:ascii="Times New Roman" w:hAnsi="Times New Roman"/>
          <w:sz w:val="24"/>
          <w:szCs w:val="24"/>
        </w:rPr>
        <w:t xml:space="preserve">Environment Management System </w:t>
      </w:r>
      <w:r w:rsidRPr="00921F1D">
        <w:rPr>
          <w:rFonts w:ascii="Times New Roman" w:hAnsi="Times New Roman"/>
          <w:sz w:val="24"/>
          <w:szCs w:val="24"/>
        </w:rPr>
        <w:t xml:space="preserve">of PAC and </w:t>
      </w:r>
      <w:r w:rsidR="00DC6C46" w:rsidRPr="00921F1D">
        <w:rPr>
          <w:rFonts w:ascii="Times New Roman" w:hAnsi="Times New Roman"/>
          <w:sz w:val="24"/>
          <w:szCs w:val="24"/>
        </w:rPr>
        <w:lastRenderedPageBreak/>
        <w:t xml:space="preserve">Mutual Recognition Arrangement </w:t>
      </w:r>
      <w:r w:rsidRPr="00921F1D">
        <w:rPr>
          <w:rFonts w:ascii="Times New Roman" w:hAnsi="Times New Roman"/>
          <w:sz w:val="24"/>
          <w:szCs w:val="24"/>
        </w:rPr>
        <w:t>for testing and calibration of APLAC.</w:t>
      </w:r>
      <w:r w:rsidR="000E61ED" w:rsidRPr="00921F1D">
        <w:rPr>
          <w:rFonts w:ascii="Times New Roman" w:hAnsi="Times New Roman"/>
          <w:sz w:val="24"/>
          <w:szCs w:val="24"/>
        </w:rPr>
        <w:t xml:space="preserve"> </w:t>
      </w:r>
      <w:r w:rsidR="00B3048A" w:rsidRPr="00921F1D">
        <w:rPr>
          <w:rFonts w:ascii="Times New Roman" w:hAnsi="Times New Roman"/>
          <w:sz w:val="24"/>
          <w:szCs w:val="24"/>
        </w:rPr>
        <w:t>The Philippines also participates actively in the</w:t>
      </w:r>
      <w:r w:rsidR="00130502" w:rsidRPr="00921F1D">
        <w:rPr>
          <w:rFonts w:ascii="Times New Roman" w:hAnsi="Times New Roman"/>
          <w:sz w:val="24"/>
          <w:szCs w:val="24"/>
        </w:rPr>
        <w:t xml:space="preserve"> International </w:t>
      </w:r>
      <w:proofErr w:type="spellStart"/>
      <w:r w:rsidR="00130502" w:rsidRPr="00921F1D">
        <w:rPr>
          <w:rFonts w:ascii="Times New Roman" w:hAnsi="Times New Roman"/>
          <w:sz w:val="24"/>
          <w:szCs w:val="24"/>
        </w:rPr>
        <w:t>Electrotechnical</w:t>
      </w:r>
      <w:proofErr w:type="spellEnd"/>
      <w:r w:rsidR="00130502" w:rsidRPr="00921F1D">
        <w:rPr>
          <w:rFonts w:ascii="Times New Roman" w:hAnsi="Times New Roman"/>
          <w:sz w:val="24"/>
          <w:szCs w:val="24"/>
        </w:rPr>
        <w:t xml:space="preserve"> Commission</w:t>
      </w:r>
      <w:r w:rsidRPr="00921F1D">
        <w:rPr>
          <w:rFonts w:ascii="Times New Roman" w:hAnsi="Times New Roman"/>
          <w:color w:val="1F497D"/>
          <w:sz w:val="24"/>
          <w:szCs w:val="24"/>
        </w:rPr>
        <w:t>,</w:t>
      </w:r>
      <w:r w:rsidR="00711F2B" w:rsidRPr="00921F1D">
        <w:rPr>
          <w:rFonts w:ascii="Times New Roman" w:hAnsi="Times New Roman"/>
          <w:sz w:val="24"/>
          <w:szCs w:val="24"/>
        </w:rPr>
        <w:t xml:space="preserve"> </w:t>
      </w:r>
      <w:r w:rsidR="00B3048A" w:rsidRPr="00921F1D">
        <w:rPr>
          <w:rFonts w:ascii="Times New Roman" w:hAnsi="Times New Roman"/>
          <w:sz w:val="24"/>
          <w:szCs w:val="24"/>
        </w:rPr>
        <w:t xml:space="preserve">the International Organization for Standardization and </w:t>
      </w:r>
      <w:r w:rsidR="000E61ED" w:rsidRPr="00921F1D">
        <w:rPr>
          <w:rFonts w:ascii="Times New Roman" w:hAnsi="Times New Roman"/>
          <w:sz w:val="24"/>
          <w:szCs w:val="24"/>
        </w:rPr>
        <w:t>Codex</w:t>
      </w:r>
      <w:r w:rsidR="008466AE" w:rsidRPr="00921F1D">
        <w:rPr>
          <w:rFonts w:ascii="Times New Roman" w:hAnsi="Times New Roman"/>
          <w:sz w:val="24"/>
          <w:szCs w:val="24"/>
        </w:rPr>
        <w:t xml:space="preserve"> </w:t>
      </w:r>
      <w:proofErr w:type="spellStart"/>
      <w:r w:rsidRPr="00921F1D">
        <w:rPr>
          <w:rFonts w:ascii="Times New Roman" w:hAnsi="Times New Roman"/>
          <w:sz w:val="24"/>
          <w:szCs w:val="24"/>
        </w:rPr>
        <w:t>Alimentarius</w:t>
      </w:r>
      <w:proofErr w:type="spellEnd"/>
      <w:r w:rsidR="000269BB" w:rsidRPr="00921F1D">
        <w:rPr>
          <w:rFonts w:ascii="Times New Roman" w:hAnsi="Times New Roman"/>
          <w:sz w:val="24"/>
          <w:szCs w:val="24"/>
        </w:rPr>
        <w:t xml:space="preserve"> </w:t>
      </w:r>
      <w:r w:rsidR="0001701D" w:rsidRPr="00921F1D">
        <w:rPr>
          <w:rFonts w:ascii="Times New Roman" w:hAnsi="Times New Roman"/>
          <w:sz w:val="24"/>
          <w:szCs w:val="24"/>
        </w:rPr>
        <w:t>Commission committees</w:t>
      </w:r>
      <w:r w:rsidR="00B3048A" w:rsidRPr="00921F1D">
        <w:rPr>
          <w:rFonts w:ascii="Times New Roman" w:hAnsi="Times New Roman"/>
          <w:sz w:val="24"/>
          <w:szCs w:val="24"/>
        </w:rPr>
        <w:t>.</w:t>
      </w:r>
    </w:p>
    <w:p w14:paraId="199E082A" w14:textId="77777777" w:rsidR="009305CC" w:rsidRPr="00921F1D" w:rsidRDefault="009305CC" w:rsidP="00D15B82">
      <w:pPr>
        <w:spacing w:after="0" w:line="240" w:lineRule="auto"/>
        <w:jc w:val="both"/>
        <w:rPr>
          <w:rFonts w:ascii="Times New Roman" w:hAnsi="Times New Roman"/>
          <w:sz w:val="24"/>
          <w:szCs w:val="24"/>
        </w:rPr>
      </w:pPr>
    </w:p>
    <w:p w14:paraId="25D05698" w14:textId="5019699B" w:rsidR="00904AA3" w:rsidRPr="00921F1D" w:rsidRDefault="00904AA3" w:rsidP="00D15B82">
      <w:pPr>
        <w:spacing w:after="0" w:line="240" w:lineRule="auto"/>
        <w:jc w:val="both"/>
        <w:rPr>
          <w:rFonts w:ascii="Times New Roman" w:hAnsi="Times New Roman"/>
          <w:sz w:val="24"/>
          <w:szCs w:val="24"/>
        </w:rPr>
      </w:pPr>
      <w:r w:rsidRPr="00921F1D">
        <w:rPr>
          <w:rFonts w:ascii="Times New Roman" w:hAnsi="Times New Roman"/>
          <w:sz w:val="24"/>
          <w:szCs w:val="24"/>
        </w:rPr>
        <w:t xml:space="preserve">By end of 2015, two specific trade concerns raised against the Philippines </w:t>
      </w:r>
      <w:r w:rsidR="00841B27" w:rsidRPr="00921F1D">
        <w:rPr>
          <w:rFonts w:ascii="Times New Roman" w:hAnsi="Times New Roman"/>
          <w:sz w:val="24"/>
          <w:szCs w:val="24"/>
        </w:rPr>
        <w:t xml:space="preserve">at the WTO SPS Committee, </w:t>
      </w:r>
      <w:r w:rsidRPr="00921F1D">
        <w:rPr>
          <w:rFonts w:ascii="Times New Roman" w:hAnsi="Times New Roman"/>
          <w:sz w:val="24"/>
          <w:szCs w:val="24"/>
        </w:rPr>
        <w:t>pertaining to imports of fruits and fresh meat</w:t>
      </w:r>
      <w:r w:rsidR="00841B27" w:rsidRPr="00921F1D">
        <w:rPr>
          <w:rFonts w:ascii="Times New Roman" w:hAnsi="Times New Roman"/>
          <w:sz w:val="24"/>
          <w:szCs w:val="24"/>
        </w:rPr>
        <w:t>,</w:t>
      </w:r>
      <w:r w:rsidRPr="00921F1D">
        <w:rPr>
          <w:rFonts w:ascii="Times New Roman" w:hAnsi="Times New Roman"/>
          <w:sz w:val="24"/>
          <w:szCs w:val="24"/>
        </w:rPr>
        <w:t xml:space="preserve"> had not reported a resolution. </w:t>
      </w:r>
    </w:p>
    <w:p w14:paraId="0750A59F" w14:textId="77777777" w:rsidR="000E61ED" w:rsidRPr="00921F1D" w:rsidRDefault="000E61ED" w:rsidP="00D15B82">
      <w:pPr>
        <w:spacing w:after="0" w:line="240" w:lineRule="auto"/>
        <w:jc w:val="both"/>
        <w:rPr>
          <w:rFonts w:ascii="Times New Roman" w:hAnsi="Times New Roman"/>
          <w:sz w:val="24"/>
          <w:szCs w:val="24"/>
        </w:rPr>
      </w:pPr>
    </w:p>
    <w:p w14:paraId="3A10F100" w14:textId="77777777" w:rsidR="00BE3C81" w:rsidRPr="00921F1D" w:rsidRDefault="00F23958" w:rsidP="00D15B82">
      <w:pPr>
        <w:spacing w:after="0" w:line="240" w:lineRule="auto"/>
        <w:jc w:val="both"/>
        <w:rPr>
          <w:rFonts w:ascii="Times New Roman" w:hAnsi="Times New Roman"/>
          <w:b/>
          <w:color w:val="0070C0"/>
          <w:sz w:val="24"/>
          <w:szCs w:val="24"/>
        </w:rPr>
      </w:pPr>
      <w:r w:rsidRPr="00921F1D">
        <w:rPr>
          <w:rFonts w:ascii="Times New Roman" w:hAnsi="Times New Roman"/>
          <w:b/>
          <w:color w:val="0070C0"/>
          <w:sz w:val="24"/>
          <w:szCs w:val="24"/>
        </w:rPr>
        <w:t>Customs Procedures</w:t>
      </w:r>
    </w:p>
    <w:p w14:paraId="36FA5442" w14:textId="7848790A" w:rsidR="00D361BE" w:rsidRPr="00921F1D" w:rsidRDefault="00D361BE" w:rsidP="00D15B82">
      <w:pPr>
        <w:spacing w:after="0" w:line="240" w:lineRule="auto"/>
        <w:jc w:val="both"/>
        <w:rPr>
          <w:rFonts w:ascii="Times New Roman" w:hAnsi="Times New Roman"/>
          <w:sz w:val="24"/>
          <w:szCs w:val="24"/>
        </w:rPr>
      </w:pPr>
      <w:r w:rsidRPr="00921F1D">
        <w:rPr>
          <w:rFonts w:ascii="Times New Roman" w:hAnsi="Times New Roman"/>
          <w:sz w:val="24"/>
          <w:szCs w:val="24"/>
        </w:rPr>
        <w:t xml:space="preserve">The Philippines has </w:t>
      </w:r>
      <w:r w:rsidR="00E43D56" w:rsidRPr="00921F1D">
        <w:rPr>
          <w:rFonts w:ascii="Times New Roman" w:hAnsi="Times New Roman"/>
          <w:sz w:val="24"/>
          <w:szCs w:val="24"/>
        </w:rPr>
        <w:t xml:space="preserve">automated and simplified procedures for transacting with the Bureau of Customs and the Philippine Export Processing Zone Authority. It has also </w:t>
      </w:r>
      <w:r w:rsidR="002E4B30" w:rsidRPr="00921F1D">
        <w:rPr>
          <w:rFonts w:ascii="Times New Roman" w:hAnsi="Times New Roman"/>
          <w:sz w:val="24"/>
          <w:szCs w:val="24"/>
        </w:rPr>
        <w:t>harmonized</w:t>
      </w:r>
      <w:r w:rsidR="00E43D56" w:rsidRPr="00921F1D">
        <w:rPr>
          <w:rFonts w:ascii="Times New Roman" w:hAnsi="Times New Roman"/>
          <w:sz w:val="24"/>
          <w:szCs w:val="24"/>
        </w:rPr>
        <w:t xml:space="preserve"> standards and processes for </w:t>
      </w:r>
      <w:proofErr w:type="spellStart"/>
      <w:r w:rsidR="00E43D56" w:rsidRPr="00921F1D">
        <w:rPr>
          <w:rFonts w:ascii="Times New Roman" w:hAnsi="Times New Roman"/>
          <w:i/>
          <w:sz w:val="24"/>
          <w:szCs w:val="24"/>
        </w:rPr>
        <w:t>arrastre</w:t>
      </w:r>
      <w:proofErr w:type="spellEnd"/>
      <w:r w:rsidR="00E43D56" w:rsidRPr="00921F1D">
        <w:rPr>
          <w:rFonts w:ascii="Times New Roman" w:hAnsi="Times New Roman"/>
          <w:sz w:val="24"/>
          <w:szCs w:val="24"/>
        </w:rPr>
        <w:t xml:space="preserve"> </w:t>
      </w:r>
      <w:r w:rsidR="00CD4FD3" w:rsidRPr="00921F1D">
        <w:rPr>
          <w:rFonts w:ascii="Times New Roman" w:hAnsi="Times New Roman"/>
          <w:sz w:val="24"/>
          <w:szCs w:val="24"/>
        </w:rPr>
        <w:t xml:space="preserve">(merchandise loading or unloading) </w:t>
      </w:r>
      <w:r w:rsidR="00E43D56" w:rsidRPr="00921F1D">
        <w:rPr>
          <w:rFonts w:ascii="Times New Roman" w:hAnsi="Times New Roman"/>
          <w:sz w:val="24"/>
          <w:szCs w:val="24"/>
        </w:rPr>
        <w:t xml:space="preserve">operators, off-dock </w:t>
      </w:r>
      <w:r w:rsidR="00F16DA0" w:rsidRPr="00921F1D">
        <w:rPr>
          <w:rFonts w:ascii="Times New Roman" w:hAnsi="Times New Roman"/>
          <w:sz w:val="24"/>
          <w:szCs w:val="24"/>
        </w:rPr>
        <w:t>container</w:t>
      </w:r>
      <w:r w:rsidR="00E43D56" w:rsidRPr="00921F1D">
        <w:rPr>
          <w:rFonts w:ascii="Times New Roman" w:hAnsi="Times New Roman"/>
          <w:sz w:val="24"/>
          <w:szCs w:val="24"/>
        </w:rPr>
        <w:t xml:space="preserve"> yard/freight stations, customs bonded warehouses, and warehouses at the </w:t>
      </w:r>
      <w:proofErr w:type="spellStart"/>
      <w:r w:rsidR="00E43D56" w:rsidRPr="00921F1D">
        <w:rPr>
          <w:rFonts w:ascii="Times New Roman" w:hAnsi="Times New Roman"/>
          <w:sz w:val="24"/>
          <w:szCs w:val="24"/>
        </w:rPr>
        <w:t>Ninoy</w:t>
      </w:r>
      <w:proofErr w:type="spellEnd"/>
      <w:r w:rsidR="00E43D56" w:rsidRPr="00921F1D">
        <w:rPr>
          <w:rFonts w:ascii="Times New Roman" w:hAnsi="Times New Roman"/>
          <w:sz w:val="24"/>
          <w:szCs w:val="24"/>
        </w:rPr>
        <w:t xml:space="preserve"> Aquino International Airport in Manila. </w:t>
      </w:r>
    </w:p>
    <w:p w14:paraId="3C7F37DA" w14:textId="77777777" w:rsidR="00D361BE" w:rsidRPr="00921F1D" w:rsidRDefault="00D361BE" w:rsidP="00D15B82">
      <w:pPr>
        <w:spacing w:after="0" w:line="240" w:lineRule="auto"/>
        <w:jc w:val="both"/>
        <w:rPr>
          <w:rFonts w:ascii="Times New Roman" w:hAnsi="Times New Roman"/>
          <w:sz w:val="24"/>
          <w:szCs w:val="24"/>
        </w:rPr>
      </w:pPr>
    </w:p>
    <w:p w14:paraId="44B221B7" w14:textId="77777777" w:rsidR="00F96C00" w:rsidRPr="00921F1D" w:rsidRDefault="004667BF" w:rsidP="00F96C00">
      <w:pPr>
        <w:spacing w:after="0" w:line="240" w:lineRule="auto"/>
        <w:jc w:val="both"/>
        <w:rPr>
          <w:rFonts w:ascii="Times New Roman" w:hAnsi="Times New Roman"/>
          <w:b/>
          <w:color w:val="0070C0"/>
          <w:sz w:val="24"/>
          <w:szCs w:val="24"/>
        </w:rPr>
      </w:pPr>
      <w:r w:rsidRPr="00921F1D">
        <w:rPr>
          <w:rFonts w:ascii="Times New Roman" w:hAnsi="Times New Roman"/>
          <w:b/>
          <w:color w:val="0070C0"/>
          <w:sz w:val="24"/>
          <w:szCs w:val="24"/>
        </w:rPr>
        <w:t>Intellectual Property Rights</w:t>
      </w:r>
      <w:r w:rsidR="00F96C00" w:rsidRPr="00921F1D">
        <w:rPr>
          <w:rFonts w:ascii="Times New Roman" w:hAnsi="Times New Roman"/>
          <w:b/>
          <w:color w:val="0070C0"/>
          <w:sz w:val="24"/>
          <w:szCs w:val="24"/>
        </w:rPr>
        <w:t xml:space="preserve"> </w:t>
      </w:r>
    </w:p>
    <w:p w14:paraId="0A3CC1F3" w14:textId="5912A669" w:rsidR="00F96C00" w:rsidRPr="00921F1D" w:rsidRDefault="008937D4" w:rsidP="00190963">
      <w:pPr>
        <w:spacing w:after="0" w:line="240" w:lineRule="auto"/>
        <w:jc w:val="both"/>
        <w:rPr>
          <w:rFonts w:ascii="Times New Roman" w:hAnsi="Times New Roman"/>
          <w:sz w:val="24"/>
          <w:szCs w:val="24"/>
        </w:rPr>
      </w:pPr>
      <w:r w:rsidRPr="00921F1D">
        <w:rPr>
          <w:rFonts w:ascii="Times New Roman" w:hAnsi="Times New Roman"/>
          <w:sz w:val="24"/>
          <w:szCs w:val="24"/>
        </w:rPr>
        <w:t>In recent years, the Philippines has implemented measures to strengthen the IPR system</w:t>
      </w:r>
      <w:r w:rsidR="00E43D56" w:rsidRPr="00921F1D">
        <w:rPr>
          <w:rFonts w:ascii="Times New Roman" w:hAnsi="Times New Roman"/>
          <w:sz w:val="24"/>
          <w:szCs w:val="24"/>
        </w:rPr>
        <w:t xml:space="preserve"> through a whole-of-government approach as well as expanding its network of partners locally and int</w:t>
      </w:r>
      <w:r w:rsidR="00190963" w:rsidRPr="00921F1D">
        <w:rPr>
          <w:rFonts w:ascii="Times New Roman" w:hAnsi="Times New Roman"/>
          <w:sz w:val="24"/>
          <w:szCs w:val="24"/>
        </w:rPr>
        <w:t xml:space="preserve">ernationally. </w:t>
      </w:r>
      <w:r w:rsidR="00E43D56" w:rsidRPr="00921F1D">
        <w:rPr>
          <w:rFonts w:ascii="Times New Roman" w:hAnsi="Times New Roman"/>
          <w:sz w:val="24"/>
          <w:szCs w:val="24"/>
        </w:rPr>
        <w:t xml:space="preserve">The Philippines’ sustained efforts in IPR protection </w:t>
      </w:r>
      <w:r w:rsidR="0031111B" w:rsidRPr="00921F1D">
        <w:rPr>
          <w:rFonts w:ascii="Times New Roman" w:hAnsi="Times New Roman"/>
          <w:sz w:val="24"/>
          <w:szCs w:val="24"/>
        </w:rPr>
        <w:t xml:space="preserve">and enforcement </w:t>
      </w:r>
      <w:r w:rsidR="00E43D56" w:rsidRPr="00921F1D">
        <w:rPr>
          <w:rFonts w:ascii="Times New Roman" w:hAnsi="Times New Roman"/>
          <w:sz w:val="24"/>
          <w:szCs w:val="24"/>
        </w:rPr>
        <w:t>resulted in it being removed from the USTR Special 301 Review Watch List in 2014 and 2015.</w:t>
      </w:r>
      <w:r w:rsidRPr="00921F1D">
        <w:rPr>
          <w:rFonts w:ascii="Times New Roman" w:hAnsi="Times New Roman"/>
          <w:sz w:val="24"/>
          <w:szCs w:val="24"/>
        </w:rPr>
        <w:t xml:space="preserve"> </w:t>
      </w:r>
    </w:p>
    <w:p w14:paraId="75CB5E05" w14:textId="77777777" w:rsidR="0031111B" w:rsidRPr="00921F1D" w:rsidRDefault="0031111B" w:rsidP="00190963">
      <w:pPr>
        <w:spacing w:after="0" w:line="240" w:lineRule="auto"/>
        <w:jc w:val="both"/>
        <w:rPr>
          <w:rFonts w:ascii="Times New Roman" w:hAnsi="Times New Roman"/>
          <w:sz w:val="24"/>
          <w:szCs w:val="24"/>
        </w:rPr>
      </w:pPr>
    </w:p>
    <w:p w14:paraId="29465260" w14:textId="77777777" w:rsidR="003B4F5F" w:rsidRPr="00921F1D" w:rsidRDefault="00115380" w:rsidP="00D15B82">
      <w:pPr>
        <w:spacing w:after="0" w:line="240" w:lineRule="auto"/>
        <w:jc w:val="both"/>
        <w:rPr>
          <w:rFonts w:ascii="Times New Roman" w:hAnsi="Times New Roman"/>
          <w:b/>
          <w:color w:val="0070C0"/>
          <w:sz w:val="24"/>
          <w:szCs w:val="24"/>
        </w:rPr>
      </w:pPr>
      <w:r w:rsidRPr="00921F1D">
        <w:rPr>
          <w:rFonts w:ascii="Times New Roman" w:hAnsi="Times New Roman"/>
          <w:b/>
          <w:color w:val="0070C0"/>
          <w:sz w:val="24"/>
          <w:szCs w:val="24"/>
        </w:rPr>
        <w:t>Competition Policy</w:t>
      </w:r>
    </w:p>
    <w:p w14:paraId="09D2E599" w14:textId="2C8F2531" w:rsidR="00830020" w:rsidRPr="00921F1D" w:rsidRDefault="00190963" w:rsidP="00D15B82">
      <w:pPr>
        <w:spacing w:after="0" w:line="240" w:lineRule="auto"/>
        <w:jc w:val="both"/>
        <w:rPr>
          <w:rFonts w:ascii="Times New Roman" w:hAnsi="Times New Roman"/>
          <w:sz w:val="24"/>
          <w:szCs w:val="24"/>
        </w:rPr>
      </w:pPr>
      <w:r w:rsidRPr="00921F1D">
        <w:rPr>
          <w:rFonts w:ascii="Times New Roman" w:hAnsi="Times New Roman"/>
          <w:sz w:val="24"/>
          <w:szCs w:val="24"/>
        </w:rPr>
        <w:t xml:space="preserve">In </w:t>
      </w:r>
      <w:r w:rsidR="0031111B" w:rsidRPr="00921F1D">
        <w:rPr>
          <w:rFonts w:ascii="Times New Roman" w:hAnsi="Times New Roman"/>
          <w:sz w:val="24"/>
          <w:szCs w:val="24"/>
        </w:rPr>
        <w:t xml:space="preserve">August </w:t>
      </w:r>
      <w:r w:rsidRPr="00921F1D">
        <w:rPr>
          <w:rFonts w:ascii="Times New Roman" w:hAnsi="Times New Roman"/>
          <w:sz w:val="24"/>
          <w:szCs w:val="24"/>
        </w:rPr>
        <w:t>2015, the Philippine Competition Act (RA 10667) took effect, prohibiting anticompetitive agreements, abuses of dominant positions, and mergers and acquisitions that limit, prevent, or restrict competition and establishing the Philippine Competition Commission (PCC)</w:t>
      </w:r>
      <w:r w:rsidR="00CC0A16" w:rsidRPr="00921F1D">
        <w:rPr>
          <w:rStyle w:val="FootnoteReference"/>
          <w:rFonts w:ascii="Times New Roman" w:hAnsi="Times New Roman"/>
          <w:sz w:val="24"/>
          <w:szCs w:val="24"/>
        </w:rPr>
        <w:footnoteReference w:id="5"/>
      </w:r>
      <w:r w:rsidRPr="00921F1D">
        <w:rPr>
          <w:rFonts w:ascii="Times New Roman" w:hAnsi="Times New Roman"/>
          <w:sz w:val="24"/>
          <w:szCs w:val="24"/>
        </w:rPr>
        <w:t xml:space="preserve">. </w:t>
      </w:r>
    </w:p>
    <w:p w14:paraId="7ABEE550" w14:textId="77777777" w:rsidR="00F11E3A" w:rsidRPr="00921F1D" w:rsidRDefault="00F11E3A" w:rsidP="00D15B82">
      <w:pPr>
        <w:spacing w:after="0" w:line="240" w:lineRule="auto"/>
        <w:jc w:val="both"/>
        <w:rPr>
          <w:rFonts w:ascii="Times New Roman" w:hAnsi="Times New Roman"/>
          <w:sz w:val="20"/>
          <w:szCs w:val="20"/>
        </w:rPr>
      </w:pPr>
    </w:p>
    <w:p w14:paraId="087019E3" w14:textId="77777777" w:rsidR="003B4F5F" w:rsidRPr="00921F1D" w:rsidRDefault="00B46149" w:rsidP="00D15B82">
      <w:pPr>
        <w:spacing w:after="0" w:line="240" w:lineRule="auto"/>
        <w:jc w:val="both"/>
        <w:rPr>
          <w:rFonts w:ascii="Times New Roman" w:hAnsi="Times New Roman"/>
          <w:sz w:val="24"/>
          <w:szCs w:val="24"/>
          <w:u w:val="single"/>
        </w:rPr>
      </w:pPr>
      <w:r w:rsidRPr="00921F1D">
        <w:rPr>
          <w:rFonts w:ascii="Times New Roman" w:hAnsi="Times New Roman"/>
          <w:b/>
          <w:color w:val="0070C0"/>
          <w:sz w:val="24"/>
          <w:szCs w:val="24"/>
        </w:rPr>
        <w:t>Government Procurement</w:t>
      </w:r>
    </w:p>
    <w:p w14:paraId="6E72F454" w14:textId="21F50A8D" w:rsidR="00DE6EF4" w:rsidRPr="00921F1D" w:rsidRDefault="0031111B" w:rsidP="00662165">
      <w:pPr>
        <w:spacing w:after="0" w:line="240" w:lineRule="auto"/>
        <w:jc w:val="both"/>
        <w:rPr>
          <w:rFonts w:ascii="Times New Roman" w:hAnsi="Times New Roman"/>
          <w:sz w:val="24"/>
          <w:szCs w:val="24"/>
        </w:rPr>
      </w:pPr>
      <w:r w:rsidRPr="00921F1D">
        <w:rPr>
          <w:rFonts w:ascii="Times New Roman" w:hAnsi="Times New Roman"/>
          <w:sz w:val="24"/>
          <w:szCs w:val="24"/>
        </w:rPr>
        <w:t xml:space="preserve">The Construction Industry Authority of the Philippines has updated the list of blacklisted contractors as of July 2015. The </w:t>
      </w:r>
      <w:r w:rsidR="00873DBC" w:rsidRPr="00921F1D">
        <w:rPr>
          <w:rFonts w:ascii="Times New Roman" w:hAnsi="Times New Roman"/>
          <w:sz w:val="24"/>
          <w:szCs w:val="24"/>
        </w:rPr>
        <w:t>Government Procurement Policy Board (</w:t>
      </w:r>
      <w:r w:rsidRPr="00921F1D">
        <w:rPr>
          <w:rFonts w:ascii="Times New Roman" w:hAnsi="Times New Roman"/>
          <w:sz w:val="24"/>
          <w:szCs w:val="24"/>
        </w:rPr>
        <w:t>GPPB</w:t>
      </w:r>
      <w:r w:rsidR="00873DBC" w:rsidRPr="00921F1D">
        <w:rPr>
          <w:rFonts w:ascii="Times New Roman" w:hAnsi="Times New Roman"/>
          <w:sz w:val="24"/>
          <w:szCs w:val="24"/>
        </w:rPr>
        <w:t>)</w:t>
      </w:r>
      <w:r w:rsidRPr="00921F1D">
        <w:rPr>
          <w:rFonts w:ascii="Times New Roman" w:hAnsi="Times New Roman"/>
          <w:sz w:val="24"/>
          <w:szCs w:val="24"/>
        </w:rPr>
        <w:t xml:space="preserve"> maintains an online list of blacklisted suppliers and contractors through its website. </w:t>
      </w:r>
      <w:r w:rsidR="00662165" w:rsidRPr="00921F1D">
        <w:rPr>
          <w:rFonts w:ascii="Times New Roman" w:hAnsi="Times New Roman"/>
          <w:sz w:val="24"/>
          <w:szCs w:val="24"/>
        </w:rPr>
        <w:t>In</w:t>
      </w:r>
      <w:r w:rsidRPr="00921F1D">
        <w:rPr>
          <w:rFonts w:ascii="Times New Roman" w:hAnsi="Times New Roman"/>
          <w:sz w:val="24"/>
          <w:szCs w:val="24"/>
        </w:rPr>
        <w:t xml:space="preserve"> May 2016, the GPPB </w:t>
      </w:r>
      <w:r w:rsidR="00662165" w:rsidRPr="00921F1D">
        <w:rPr>
          <w:rFonts w:ascii="Times New Roman" w:hAnsi="Times New Roman"/>
          <w:sz w:val="24"/>
          <w:szCs w:val="24"/>
        </w:rPr>
        <w:t>revised</w:t>
      </w:r>
      <w:r w:rsidRPr="00921F1D">
        <w:rPr>
          <w:rFonts w:ascii="Times New Roman" w:hAnsi="Times New Roman"/>
          <w:sz w:val="24"/>
          <w:szCs w:val="24"/>
        </w:rPr>
        <w:t xml:space="preserve"> </w:t>
      </w:r>
      <w:r w:rsidR="00662165" w:rsidRPr="00921F1D">
        <w:rPr>
          <w:rFonts w:ascii="Times New Roman" w:hAnsi="Times New Roman"/>
          <w:sz w:val="24"/>
          <w:szCs w:val="24"/>
        </w:rPr>
        <w:t xml:space="preserve">procurement rules </w:t>
      </w:r>
      <w:r w:rsidRPr="00921F1D">
        <w:rPr>
          <w:rFonts w:ascii="Times New Roman" w:hAnsi="Times New Roman"/>
          <w:sz w:val="24"/>
          <w:szCs w:val="24"/>
        </w:rPr>
        <w:t xml:space="preserve">and </w:t>
      </w:r>
      <w:r w:rsidR="00662165" w:rsidRPr="00921F1D">
        <w:rPr>
          <w:rFonts w:ascii="Times New Roman" w:hAnsi="Times New Roman"/>
          <w:sz w:val="24"/>
          <w:szCs w:val="24"/>
        </w:rPr>
        <w:t>regulations,</w:t>
      </w:r>
      <w:r w:rsidRPr="00921F1D">
        <w:rPr>
          <w:rFonts w:ascii="Times New Roman" w:hAnsi="Times New Roman"/>
          <w:sz w:val="24"/>
          <w:szCs w:val="24"/>
        </w:rPr>
        <w:t xml:space="preserve"> further </w:t>
      </w:r>
      <w:r w:rsidR="00662165" w:rsidRPr="00921F1D">
        <w:rPr>
          <w:rFonts w:ascii="Times New Roman" w:hAnsi="Times New Roman"/>
          <w:sz w:val="24"/>
          <w:szCs w:val="24"/>
        </w:rPr>
        <w:t>streamlining</w:t>
      </w:r>
      <w:r w:rsidRPr="00921F1D">
        <w:rPr>
          <w:rFonts w:ascii="Times New Roman" w:hAnsi="Times New Roman"/>
          <w:sz w:val="24"/>
          <w:szCs w:val="24"/>
        </w:rPr>
        <w:t xml:space="preserve">, </w:t>
      </w:r>
      <w:r w:rsidR="00662165" w:rsidRPr="00921F1D">
        <w:rPr>
          <w:rFonts w:ascii="Times New Roman" w:hAnsi="Times New Roman"/>
          <w:sz w:val="24"/>
          <w:szCs w:val="24"/>
        </w:rPr>
        <w:t xml:space="preserve">standardizing, </w:t>
      </w:r>
      <w:r w:rsidRPr="00921F1D">
        <w:rPr>
          <w:rFonts w:ascii="Times New Roman" w:hAnsi="Times New Roman"/>
          <w:sz w:val="24"/>
          <w:szCs w:val="24"/>
        </w:rPr>
        <w:t>and clarify</w:t>
      </w:r>
      <w:r w:rsidR="00662165" w:rsidRPr="00921F1D">
        <w:rPr>
          <w:rFonts w:ascii="Times New Roman" w:hAnsi="Times New Roman"/>
          <w:sz w:val="24"/>
          <w:szCs w:val="24"/>
        </w:rPr>
        <w:t>ing</w:t>
      </w:r>
      <w:r w:rsidRPr="00921F1D">
        <w:rPr>
          <w:rFonts w:ascii="Times New Roman" w:hAnsi="Times New Roman"/>
          <w:sz w:val="24"/>
          <w:szCs w:val="24"/>
        </w:rPr>
        <w:t xml:space="preserve"> the procurement </w:t>
      </w:r>
      <w:r w:rsidR="00662165" w:rsidRPr="00921F1D">
        <w:rPr>
          <w:rFonts w:ascii="Times New Roman" w:hAnsi="Times New Roman"/>
          <w:sz w:val="24"/>
          <w:szCs w:val="24"/>
        </w:rPr>
        <w:t xml:space="preserve">rules and procedures </w:t>
      </w:r>
      <w:r w:rsidRPr="00921F1D">
        <w:rPr>
          <w:rFonts w:ascii="Times New Roman" w:hAnsi="Times New Roman"/>
          <w:sz w:val="24"/>
          <w:szCs w:val="24"/>
        </w:rPr>
        <w:t>in government.</w:t>
      </w:r>
      <w:r w:rsidR="00662165" w:rsidRPr="00921F1D">
        <w:rPr>
          <w:rFonts w:ascii="Times New Roman" w:hAnsi="Times New Roman"/>
          <w:sz w:val="24"/>
          <w:szCs w:val="24"/>
        </w:rPr>
        <w:t xml:space="preserve"> The </w:t>
      </w:r>
      <w:r w:rsidRPr="00921F1D">
        <w:rPr>
          <w:rFonts w:ascii="Times New Roman" w:hAnsi="Times New Roman"/>
          <w:sz w:val="24"/>
          <w:szCs w:val="24"/>
        </w:rPr>
        <w:t xml:space="preserve">GPPB </w:t>
      </w:r>
      <w:r w:rsidR="00662165" w:rsidRPr="00921F1D">
        <w:rPr>
          <w:rFonts w:ascii="Times New Roman" w:hAnsi="Times New Roman"/>
          <w:sz w:val="24"/>
          <w:szCs w:val="24"/>
        </w:rPr>
        <w:t xml:space="preserve">also </w:t>
      </w:r>
      <w:r w:rsidRPr="00921F1D">
        <w:rPr>
          <w:rFonts w:ascii="Times New Roman" w:hAnsi="Times New Roman"/>
          <w:sz w:val="24"/>
          <w:szCs w:val="24"/>
        </w:rPr>
        <w:t xml:space="preserve">established a sustainable procurement training program </w:t>
      </w:r>
      <w:r w:rsidR="00662165" w:rsidRPr="00921F1D">
        <w:rPr>
          <w:rFonts w:ascii="Times New Roman" w:hAnsi="Times New Roman"/>
          <w:sz w:val="24"/>
          <w:szCs w:val="24"/>
        </w:rPr>
        <w:t>to professionalize and strengthen the cadre of public procurement practitioners in the Philippines</w:t>
      </w:r>
      <w:r w:rsidRPr="00921F1D">
        <w:rPr>
          <w:rFonts w:ascii="Times New Roman" w:hAnsi="Times New Roman"/>
          <w:sz w:val="24"/>
          <w:szCs w:val="24"/>
        </w:rPr>
        <w:t>.</w:t>
      </w:r>
    </w:p>
    <w:p w14:paraId="75FF71DF" w14:textId="4B266976" w:rsidR="00830020" w:rsidRPr="00921F1D" w:rsidRDefault="00DE6EF4" w:rsidP="00D15B82">
      <w:pPr>
        <w:spacing w:after="0" w:line="240" w:lineRule="auto"/>
        <w:jc w:val="both"/>
        <w:rPr>
          <w:rFonts w:ascii="Times New Roman" w:hAnsi="Times New Roman"/>
          <w:sz w:val="24"/>
          <w:szCs w:val="24"/>
        </w:rPr>
      </w:pPr>
      <w:r w:rsidRPr="00921F1D">
        <w:rPr>
          <w:rFonts w:ascii="Times New Roman" w:hAnsi="Times New Roman"/>
          <w:sz w:val="24"/>
          <w:szCs w:val="24"/>
        </w:rPr>
        <w:t xml:space="preserve"> </w:t>
      </w:r>
    </w:p>
    <w:p w14:paraId="63C075AA" w14:textId="77777777" w:rsidR="00117F3D" w:rsidRPr="00921F1D" w:rsidRDefault="003D40DD" w:rsidP="00D15B82">
      <w:pPr>
        <w:spacing w:after="0" w:line="240" w:lineRule="auto"/>
        <w:jc w:val="both"/>
        <w:rPr>
          <w:rFonts w:ascii="Times New Roman" w:hAnsi="Times New Roman"/>
          <w:b/>
          <w:color w:val="0070C0"/>
          <w:sz w:val="24"/>
          <w:szCs w:val="24"/>
        </w:rPr>
      </w:pPr>
      <w:r w:rsidRPr="00921F1D">
        <w:rPr>
          <w:rFonts w:ascii="Times New Roman" w:hAnsi="Times New Roman"/>
          <w:b/>
          <w:color w:val="0070C0"/>
          <w:sz w:val="24"/>
          <w:szCs w:val="24"/>
        </w:rPr>
        <w:t>Deregulation/Regulatory Review</w:t>
      </w:r>
    </w:p>
    <w:p w14:paraId="1D5CEB94" w14:textId="50A28BAD" w:rsidR="00651023" w:rsidRPr="00921F1D" w:rsidRDefault="00651023" w:rsidP="00D15B82">
      <w:pPr>
        <w:spacing w:after="0" w:line="240" w:lineRule="auto"/>
        <w:jc w:val="both"/>
        <w:rPr>
          <w:rFonts w:ascii="Times New Roman" w:hAnsi="Times New Roman"/>
          <w:sz w:val="24"/>
          <w:szCs w:val="24"/>
        </w:rPr>
      </w:pPr>
      <w:r w:rsidRPr="00921F1D">
        <w:rPr>
          <w:rFonts w:ascii="Times New Roman" w:hAnsi="Times New Roman"/>
          <w:sz w:val="24"/>
          <w:szCs w:val="24"/>
        </w:rPr>
        <w:t xml:space="preserve">In the maritime sector, the Philippines </w:t>
      </w:r>
      <w:r w:rsidR="002309E6">
        <w:rPr>
          <w:rFonts w:ascii="Times New Roman" w:hAnsi="Times New Roman"/>
          <w:sz w:val="24"/>
          <w:szCs w:val="24"/>
        </w:rPr>
        <w:t>allowed</w:t>
      </w:r>
      <w:r w:rsidRPr="00921F1D">
        <w:rPr>
          <w:rFonts w:ascii="Times New Roman" w:hAnsi="Times New Roman"/>
          <w:sz w:val="24"/>
          <w:szCs w:val="24"/>
        </w:rPr>
        <w:t xml:space="preserve"> domestic ship operators to establish their own shipping rates provided that effective competition is fostered and public interest is served. In the energy sector, the wholesale aggregator scheme was discontinued in the Wholesale Electricity Spot Market (WESM), eliminating middlemen and allowing distributors to directly compete and participate in the WESM. Moreover, distributors were enjoined to adopt a competitive selection process in the procurement of electricity supply for their captive markets.</w:t>
      </w:r>
    </w:p>
    <w:p w14:paraId="35DCA0A0" w14:textId="77777777" w:rsidR="00651023" w:rsidRDefault="00651023" w:rsidP="00D15B82">
      <w:pPr>
        <w:spacing w:after="0" w:line="240" w:lineRule="auto"/>
        <w:jc w:val="both"/>
        <w:rPr>
          <w:rFonts w:ascii="Times New Roman" w:hAnsi="Times New Roman"/>
          <w:sz w:val="24"/>
          <w:szCs w:val="24"/>
        </w:rPr>
      </w:pPr>
    </w:p>
    <w:p w14:paraId="1E65CF0E" w14:textId="77777777" w:rsidR="00640A2A" w:rsidRDefault="00640A2A" w:rsidP="00D15B82">
      <w:pPr>
        <w:spacing w:after="0" w:line="240" w:lineRule="auto"/>
        <w:jc w:val="both"/>
        <w:rPr>
          <w:rFonts w:ascii="Times New Roman" w:hAnsi="Times New Roman"/>
          <w:sz w:val="24"/>
          <w:szCs w:val="24"/>
        </w:rPr>
      </w:pPr>
    </w:p>
    <w:p w14:paraId="42C5107F" w14:textId="77777777" w:rsidR="00640A2A" w:rsidRPr="00921F1D" w:rsidRDefault="00640A2A" w:rsidP="00D15B82">
      <w:pPr>
        <w:spacing w:after="0" w:line="240" w:lineRule="auto"/>
        <w:jc w:val="both"/>
        <w:rPr>
          <w:rFonts w:ascii="Times New Roman" w:hAnsi="Times New Roman"/>
          <w:sz w:val="24"/>
          <w:szCs w:val="24"/>
        </w:rPr>
      </w:pPr>
    </w:p>
    <w:p w14:paraId="3CEAEDB8" w14:textId="138CF527" w:rsidR="00112B84" w:rsidRPr="00921F1D" w:rsidRDefault="00112B84" w:rsidP="00D15B82">
      <w:pPr>
        <w:spacing w:after="0" w:line="240" w:lineRule="auto"/>
        <w:jc w:val="both"/>
        <w:rPr>
          <w:rFonts w:ascii="Times New Roman" w:hAnsi="Times New Roman"/>
          <w:b/>
          <w:color w:val="0070C0"/>
          <w:sz w:val="24"/>
          <w:szCs w:val="24"/>
        </w:rPr>
      </w:pPr>
      <w:r w:rsidRPr="00921F1D">
        <w:rPr>
          <w:rFonts w:ascii="Times New Roman" w:hAnsi="Times New Roman"/>
          <w:b/>
          <w:color w:val="0070C0"/>
          <w:sz w:val="24"/>
          <w:szCs w:val="24"/>
        </w:rPr>
        <w:lastRenderedPageBreak/>
        <w:t>Dispute Resolution</w:t>
      </w:r>
    </w:p>
    <w:p w14:paraId="26BF3074" w14:textId="79D33AF9" w:rsidR="00112B84" w:rsidRPr="00921F1D" w:rsidRDefault="00A46825" w:rsidP="00D15B82">
      <w:pPr>
        <w:spacing w:after="0" w:line="240" w:lineRule="auto"/>
        <w:jc w:val="both"/>
        <w:rPr>
          <w:rFonts w:ascii="Times New Roman" w:hAnsi="Times New Roman"/>
          <w:sz w:val="24"/>
          <w:szCs w:val="24"/>
        </w:rPr>
      </w:pPr>
      <w:r w:rsidRPr="00A46825">
        <w:rPr>
          <w:rFonts w:ascii="Times New Roman" w:hAnsi="Times New Roman"/>
          <w:sz w:val="24"/>
          <w:szCs w:val="24"/>
        </w:rPr>
        <w:t xml:space="preserve">Since July 2012, EO 78 has mandated the inclusion of </w:t>
      </w:r>
      <w:r>
        <w:rPr>
          <w:rFonts w:ascii="Times New Roman" w:hAnsi="Times New Roman"/>
          <w:sz w:val="24"/>
          <w:szCs w:val="24"/>
        </w:rPr>
        <w:t>A</w:t>
      </w:r>
      <w:r w:rsidRPr="00A46825">
        <w:rPr>
          <w:rFonts w:ascii="Times New Roman" w:hAnsi="Times New Roman"/>
          <w:sz w:val="24"/>
          <w:szCs w:val="24"/>
        </w:rPr>
        <w:t xml:space="preserve">lternative </w:t>
      </w:r>
      <w:r>
        <w:rPr>
          <w:rFonts w:ascii="Times New Roman" w:hAnsi="Times New Roman"/>
          <w:sz w:val="24"/>
          <w:szCs w:val="24"/>
        </w:rPr>
        <w:t>D</w:t>
      </w:r>
      <w:r w:rsidRPr="00A46825">
        <w:rPr>
          <w:rFonts w:ascii="Times New Roman" w:hAnsi="Times New Roman"/>
          <w:sz w:val="24"/>
          <w:szCs w:val="24"/>
        </w:rPr>
        <w:t xml:space="preserve">ispute </w:t>
      </w:r>
      <w:r>
        <w:rPr>
          <w:rFonts w:ascii="Times New Roman" w:hAnsi="Times New Roman"/>
          <w:sz w:val="24"/>
          <w:szCs w:val="24"/>
        </w:rPr>
        <w:t>R</w:t>
      </w:r>
      <w:r w:rsidRPr="00A46825">
        <w:rPr>
          <w:rFonts w:ascii="Times New Roman" w:hAnsi="Times New Roman"/>
          <w:sz w:val="24"/>
          <w:szCs w:val="24"/>
        </w:rPr>
        <w:t>esolution</w:t>
      </w:r>
      <w:r>
        <w:rPr>
          <w:rFonts w:ascii="Times New Roman" w:hAnsi="Times New Roman"/>
          <w:sz w:val="24"/>
          <w:szCs w:val="24"/>
        </w:rPr>
        <w:t xml:space="preserve"> (ADR)</w:t>
      </w:r>
      <w:r w:rsidRPr="00A46825">
        <w:rPr>
          <w:rFonts w:ascii="Times New Roman" w:hAnsi="Times New Roman"/>
          <w:sz w:val="24"/>
          <w:szCs w:val="24"/>
        </w:rPr>
        <w:t xml:space="preserve"> provisions for </w:t>
      </w:r>
      <w:r>
        <w:rPr>
          <w:rFonts w:ascii="Times New Roman" w:hAnsi="Times New Roman"/>
          <w:sz w:val="24"/>
          <w:szCs w:val="24"/>
        </w:rPr>
        <w:t>Public-Private Partnership</w:t>
      </w:r>
      <w:r w:rsidRPr="00A46825">
        <w:rPr>
          <w:rFonts w:ascii="Times New Roman" w:hAnsi="Times New Roman"/>
          <w:sz w:val="24"/>
          <w:szCs w:val="24"/>
        </w:rPr>
        <w:t xml:space="preserve"> projects, </w:t>
      </w:r>
      <w:r>
        <w:rPr>
          <w:rFonts w:ascii="Times New Roman" w:hAnsi="Times New Roman"/>
          <w:sz w:val="24"/>
          <w:szCs w:val="24"/>
        </w:rPr>
        <w:t>Build-Operate-Transfer</w:t>
      </w:r>
      <w:r w:rsidRPr="00A46825">
        <w:rPr>
          <w:rFonts w:ascii="Times New Roman" w:hAnsi="Times New Roman"/>
          <w:sz w:val="24"/>
          <w:szCs w:val="24"/>
        </w:rPr>
        <w:t xml:space="preserve"> projects, and joint venture agreements between government and private entities</w:t>
      </w:r>
      <w:r>
        <w:rPr>
          <w:rStyle w:val="FootnoteReference"/>
          <w:rFonts w:ascii="Times New Roman" w:hAnsi="Times New Roman"/>
          <w:sz w:val="24"/>
          <w:szCs w:val="24"/>
        </w:rPr>
        <w:footnoteReference w:id="6"/>
      </w:r>
      <w:r w:rsidRPr="00A46825">
        <w:rPr>
          <w:rFonts w:ascii="Times New Roman" w:hAnsi="Times New Roman"/>
          <w:sz w:val="24"/>
          <w:szCs w:val="24"/>
        </w:rPr>
        <w:t>.</w:t>
      </w:r>
      <w:r>
        <w:rPr>
          <w:rFonts w:ascii="Times New Roman" w:hAnsi="Times New Roman"/>
          <w:sz w:val="24"/>
          <w:szCs w:val="24"/>
        </w:rPr>
        <w:t xml:space="preserve"> </w:t>
      </w:r>
    </w:p>
    <w:p w14:paraId="0FB2871E" w14:textId="77777777" w:rsidR="00112B84" w:rsidRPr="00921F1D" w:rsidRDefault="00112B84" w:rsidP="00D15B82">
      <w:pPr>
        <w:spacing w:after="0" w:line="240" w:lineRule="auto"/>
        <w:jc w:val="both"/>
        <w:rPr>
          <w:rFonts w:ascii="Times New Roman" w:hAnsi="Times New Roman"/>
          <w:sz w:val="24"/>
          <w:szCs w:val="24"/>
        </w:rPr>
      </w:pPr>
    </w:p>
    <w:p w14:paraId="4E534FAC" w14:textId="77777777" w:rsidR="00FB4362" w:rsidRPr="00921F1D" w:rsidRDefault="00FB4362" w:rsidP="00D15B82">
      <w:pPr>
        <w:spacing w:after="0" w:line="240" w:lineRule="auto"/>
        <w:jc w:val="both"/>
        <w:rPr>
          <w:rFonts w:ascii="Times New Roman" w:hAnsi="Times New Roman"/>
          <w:b/>
          <w:color w:val="0070C0"/>
          <w:sz w:val="24"/>
          <w:szCs w:val="24"/>
        </w:rPr>
      </w:pPr>
      <w:r w:rsidRPr="00921F1D">
        <w:rPr>
          <w:rFonts w:ascii="Times New Roman" w:hAnsi="Times New Roman"/>
          <w:b/>
          <w:color w:val="0070C0"/>
          <w:sz w:val="24"/>
          <w:szCs w:val="24"/>
        </w:rPr>
        <w:t>Mobility of Business People</w:t>
      </w:r>
    </w:p>
    <w:p w14:paraId="446BB9D8" w14:textId="48BC02E6" w:rsidR="001502A6" w:rsidRPr="00921F1D" w:rsidRDefault="001A209A" w:rsidP="00D15B82">
      <w:pPr>
        <w:spacing w:after="0" w:line="240" w:lineRule="auto"/>
        <w:jc w:val="both"/>
        <w:rPr>
          <w:rFonts w:ascii="Times New Roman" w:hAnsi="Times New Roman"/>
          <w:sz w:val="24"/>
          <w:szCs w:val="24"/>
        </w:rPr>
      </w:pPr>
      <w:r w:rsidRPr="00921F1D">
        <w:rPr>
          <w:rFonts w:ascii="Times New Roman" w:hAnsi="Times New Roman"/>
          <w:sz w:val="24"/>
          <w:szCs w:val="24"/>
        </w:rPr>
        <w:t xml:space="preserve">In 2014, the Foreign Service Circular 95-2014 was implemented, extending temporary visitors’ visa-free entry to the Philippines from 21 days to 30 days for passport holders of 157 economies. </w:t>
      </w:r>
      <w:r w:rsidR="001502A6" w:rsidRPr="00921F1D">
        <w:rPr>
          <w:rFonts w:ascii="Times New Roman" w:hAnsi="Times New Roman"/>
          <w:sz w:val="24"/>
          <w:szCs w:val="24"/>
        </w:rPr>
        <w:t xml:space="preserve">In August 2015, the Department of Labor and Employment </w:t>
      </w:r>
      <w:r w:rsidR="00042F99" w:rsidRPr="00921F1D">
        <w:rPr>
          <w:rFonts w:ascii="Times New Roman" w:hAnsi="Times New Roman"/>
          <w:sz w:val="24"/>
          <w:szCs w:val="24"/>
        </w:rPr>
        <w:t xml:space="preserve">(DOLE) </w:t>
      </w:r>
      <w:r w:rsidR="0080225B" w:rsidRPr="00921F1D">
        <w:rPr>
          <w:rFonts w:ascii="Times New Roman" w:hAnsi="Times New Roman"/>
          <w:sz w:val="24"/>
          <w:szCs w:val="24"/>
        </w:rPr>
        <w:t>revised</w:t>
      </w:r>
      <w:r w:rsidR="001502A6" w:rsidRPr="00921F1D">
        <w:rPr>
          <w:rFonts w:ascii="Times New Roman" w:hAnsi="Times New Roman"/>
          <w:sz w:val="24"/>
          <w:szCs w:val="24"/>
        </w:rPr>
        <w:t xml:space="preserve"> the rules for the issuance of </w:t>
      </w:r>
      <w:r w:rsidR="00017593" w:rsidRPr="00921F1D">
        <w:rPr>
          <w:rFonts w:ascii="Times New Roman" w:hAnsi="Times New Roman"/>
          <w:sz w:val="24"/>
          <w:szCs w:val="24"/>
        </w:rPr>
        <w:t>Alien E</w:t>
      </w:r>
      <w:r w:rsidR="001502A6" w:rsidRPr="00921F1D">
        <w:rPr>
          <w:rFonts w:ascii="Times New Roman" w:hAnsi="Times New Roman"/>
          <w:sz w:val="24"/>
          <w:szCs w:val="24"/>
        </w:rPr>
        <w:t xml:space="preserve">mployment </w:t>
      </w:r>
      <w:r w:rsidR="00017593" w:rsidRPr="00921F1D">
        <w:rPr>
          <w:rFonts w:ascii="Times New Roman" w:hAnsi="Times New Roman"/>
          <w:sz w:val="24"/>
          <w:szCs w:val="24"/>
        </w:rPr>
        <w:t>P</w:t>
      </w:r>
      <w:r w:rsidR="001502A6" w:rsidRPr="00921F1D">
        <w:rPr>
          <w:rFonts w:ascii="Times New Roman" w:hAnsi="Times New Roman"/>
          <w:sz w:val="24"/>
          <w:szCs w:val="24"/>
        </w:rPr>
        <w:t xml:space="preserve">ermits </w:t>
      </w:r>
      <w:r w:rsidR="00017593" w:rsidRPr="00921F1D">
        <w:rPr>
          <w:rFonts w:ascii="Times New Roman" w:hAnsi="Times New Roman"/>
          <w:sz w:val="24"/>
          <w:szCs w:val="24"/>
        </w:rPr>
        <w:t xml:space="preserve">(AEP) </w:t>
      </w:r>
      <w:r w:rsidR="001502A6" w:rsidRPr="00921F1D">
        <w:rPr>
          <w:rFonts w:ascii="Times New Roman" w:hAnsi="Times New Roman"/>
          <w:sz w:val="24"/>
          <w:szCs w:val="24"/>
        </w:rPr>
        <w:t>to foreign</w:t>
      </w:r>
      <w:r w:rsidR="00017593" w:rsidRPr="00921F1D">
        <w:rPr>
          <w:rFonts w:ascii="Times New Roman" w:hAnsi="Times New Roman"/>
          <w:sz w:val="24"/>
          <w:szCs w:val="24"/>
        </w:rPr>
        <w:t xml:space="preserve"> workers mandated to obtain it</w:t>
      </w:r>
      <w:r w:rsidR="001502A6" w:rsidRPr="00921F1D">
        <w:rPr>
          <w:rFonts w:ascii="Times New Roman" w:hAnsi="Times New Roman"/>
          <w:sz w:val="24"/>
          <w:szCs w:val="24"/>
        </w:rPr>
        <w:t xml:space="preserve">. The </w:t>
      </w:r>
      <w:r w:rsidR="000E264A" w:rsidRPr="00921F1D">
        <w:rPr>
          <w:rFonts w:ascii="Times New Roman" w:hAnsi="Times New Roman"/>
          <w:sz w:val="24"/>
          <w:szCs w:val="24"/>
        </w:rPr>
        <w:t>revised rules</w:t>
      </w:r>
      <w:r w:rsidR="001502A6" w:rsidRPr="00921F1D">
        <w:rPr>
          <w:rFonts w:ascii="Times New Roman" w:hAnsi="Times New Roman"/>
          <w:sz w:val="24"/>
          <w:szCs w:val="24"/>
        </w:rPr>
        <w:t xml:space="preserve"> impose a more rigorous Labor Market Test </w:t>
      </w:r>
      <w:r w:rsidR="00017593" w:rsidRPr="00921F1D">
        <w:rPr>
          <w:rFonts w:ascii="Times New Roman" w:hAnsi="Times New Roman"/>
          <w:sz w:val="24"/>
          <w:szCs w:val="24"/>
        </w:rPr>
        <w:t>prior to approving the AEP</w:t>
      </w:r>
      <w:r w:rsidR="00841B27" w:rsidRPr="00921F1D">
        <w:rPr>
          <w:rStyle w:val="FootnoteReference"/>
          <w:rFonts w:ascii="Times New Roman" w:hAnsi="Times New Roman"/>
          <w:sz w:val="24"/>
          <w:szCs w:val="24"/>
        </w:rPr>
        <w:footnoteReference w:id="7"/>
      </w:r>
      <w:r w:rsidR="00017593" w:rsidRPr="00921F1D">
        <w:rPr>
          <w:rFonts w:ascii="Times New Roman" w:hAnsi="Times New Roman"/>
          <w:sz w:val="24"/>
          <w:szCs w:val="24"/>
        </w:rPr>
        <w:t xml:space="preserve">. </w:t>
      </w:r>
      <w:r w:rsidR="001B121A" w:rsidRPr="00921F1D">
        <w:rPr>
          <w:rFonts w:ascii="Times New Roman" w:hAnsi="Times New Roman"/>
          <w:sz w:val="24"/>
          <w:szCs w:val="24"/>
        </w:rPr>
        <w:t>In September 2015, the Philippines extended ABTC validity from three years to five years.</w:t>
      </w:r>
    </w:p>
    <w:p w14:paraId="4243B590" w14:textId="77777777" w:rsidR="001A209A" w:rsidRPr="00921F1D" w:rsidRDefault="001A209A" w:rsidP="00D15B82">
      <w:pPr>
        <w:spacing w:after="0" w:line="240" w:lineRule="auto"/>
        <w:jc w:val="both"/>
        <w:rPr>
          <w:rFonts w:ascii="Times New Roman" w:hAnsi="Times New Roman"/>
          <w:sz w:val="24"/>
          <w:szCs w:val="24"/>
        </w:rPr>
      </w:pPr>
    </w:p>
    <w:p w14:paraId="00A358B5" w14:textId="77777777" w:rsidR="003B4F5F" w:rsidRPr="00921F1D" w:rsidRDefault="00FB4362" w:rsidP="00D15B82">
      <w:pPr>
        <w:spacing w:after="0" w:line="240" w:lineRule="auto"/>
        <w:jc w:val="both"/>
        <w:rPr>
          <w:rFonts w:ascii="Times New Roman" w:hAnsi="Times New Roman"/>
          <w:sz w:val="24"/>
          <w:szCs w:val="24"/>
          <w:u w:val="single"/>
        </w:rPr>
      </w:pPr>
      <w:r w:rsidRPr="00921F1D">
        <w:rPr>
          <w:rFonts w:ascii="Times New Roman" w:hAnsi="Times New Roman"/>
          <w:b/>
          <w:color w:val="0070C0"/>
          <w:sz w:val="24"/>
          <w:szCs w:val="24"/>
        </w:rPr>
        <w:t>Transparency</w:t>
      </w:r>
    </w:p>
    <w:p w14:paraId="33EFA9A0" w14:textId="7D417409" w:rsidR="0073316D" w:rsidRPr="00921F1D" w:rsidRDefault="00E358AC" w:rsidP="0080225B">
      <w:pPr>
        <w:spacing w:after="0" w:line="240" w:lineRule="auto"/>
        <w:jc w:val="both"/>
        <w:rPr>
          <w:rFonts w:ascii="Times New Roman" w:hAnsi="Times New Roman"/>
          <w:sz w:val="24"/>
          <w:szCs w:val="24"/>
        </w:rPr>
      </w:pPr>
      <w:r w:rsidRPr="00921F1D">
        <w:rPr>
          <w:rFonts w:ascii="Times New Roman" w:hAnsi="Times New Roman"/>
          <w:sz w:val="24"/>
          <w:szCs w:val="24"/>
        </w:rPr>
        <w:t>Public hearings are conducted in the formulation of policies.</w:t>
      </w:r>
      <w:r w:rsidR="00FF4DCF" w:rsidRPr="00921F1D">
        <w:rPr>
          <w:rFonts w:ascii="Times New Roman" w:hAnsi="Times New Roman"/>
          <w:sz w:val="24"/>
          <w:szCs w:val="24"/>
        </w:rPr>
        <w:t xml:space="preserve"> Announcements, statements, documents, policies, and laws are regularly published in the online Official Gazette. </w:t>
      </w:r>
      <w:r w:rsidR="0080225B" w:rsidRPr="00921F1D">
        <w:rPr>
          <w:rFonts w:ascii="Times New Roman" w:hAnsi="Times New Roman"/>
          <w:sz w:val="24"/>
          <w:szCs w:val="24"/>
        </w:rPr>
        <w:t>Also, r</w:t>
      </w:r>
      <w:r w:rsidR="0073316D" w:rsidRPr="00921F1D">
        <w:rPr>
          <w:rFonts w:ascii="Times New Roman" w:hAnsi="Times New Roman"/>
          <w:sz w:val="24"/>
          <w:szCs w:val="24"/>
        </w:rPr>
        <w:t xml:space="preserve">eceipts and disbursements of foreign aid are published through the </w:t>
      </w:r>
      <w:r w:rsidR="00663EFF" w:rsidRPr="00921F1D">
        <w:rPr>
          <w:rFonts w:ascii="Times New Roman" w:hAnsi="Times New Roman"/>
          <w:sz w:val="24"/>
          <w:szCs w:val="24"/>
        </w:rPr>
        <w:t xml:space="preserve">online </w:t>
      </w:r>
      <w:r w:rsidR="0073316D" w:rsidRPr="00921F1D">
        <w:rPr>
          <w:rFonts w:ascii="Times New Roman" w:hAnsi="Times New Roman"/>
          <w:sz w:val="24"/>
          <w:szCs w:val="24"/>
        </w:rPr>
        <w:t xml:space="preserve">Foreign Aid Transparency Hub. </w:t>
      </w:r>
    </w:p>
    <w:p w14:paraId="2003A009" w14:textId="77777777" w:rsidR="00E358AC" w:rsidRPr="00921F1D" w:rsidRDefault="00E358AC" w:rsidP="00D15B82">
      <w:pPr>
        <w:spacing w:after="0" w:line="240" w:lineRule="auto"/>
        <w:jc w:val="both"/>
        <w:rPr>
          <w:rFonts w:ascii="Times New Roman" w:hAnsi="Times New Roman"/>
          <w:sz w:val="24"/>
          <w:szCs w:val="24"/>
        </w:rPr>
      </w:pPr>
    </w:p>
    <w:p w14:paraId="461F32ED" w14:textId="77777777" w:rsidR="003B4F5F" w:rsidRPr="00921F1D" w:rsidRDefault="006F0AEF" w:rsidP="00D15B82">
      <w:pPr>
        <w:spacing w:after="0" w:line="240" w:lineRule="auto"/>
        <w:jc w:val="both"/>
        <w:rPr>
          <w:rFonts w:ascii="Times New Roman" w:hAnsi="Times New Roman"/>
          <w:sz w:val="24"/>
          <w:szCs w:val="24"/>
          <w:u w:val="single"/>
        </w:rPr>
      </w:pPr>
      <w:r w:rsidRPr="00921F1D">
        <w:rPr>
          <w:rFonts w:ascii="Times New Roman" w:hAnsi="Times New Roman"/>
          <w:b/>
          <w:color w:val="0070C0"/>
          <w:sz w:val="24"/>
          <w:szCs w:val="24"/>
        </w:rPr>
        <w:t>RTA/FTAs</w:t>
      </w:r>
    </w:p>
    <w:p w14:paraId="07795075" w14:textId="58D91F52" w:rsidR="00663EFF" w:rsidRPr="00921F1D" w:rsidRDefault="00E358AC" w:rsidP="00663EFF">
      <w:pPr>
        <w:spacing w:after="0" w:line="240" w:lineRule="auto"/>
        <w:jc w:val="both"/>
        <w:rPr>
          <w:rFonts w:ascii="Times New Roman" w:hAnsi="Times New Roman"/>
          <w:sz w:val="24"/>
          <w:szCs w:val="24"/>
        </w:rPr>
      </w:pPr>
      <w:r w:rsidRPr="00921F1D">
        <w:rPr>
          <w:rFonts w:ascii="Times New Roman" w:hAnsi="Times New Roman"/>
          <w:sz w:val="24"/>
          <w:szCs w:val="24"/>
        </w:rPr>
        <w:t xml:space="preserve">The Philippines has reported </w:t>
      </w:r>
      <w:r w:rsidR="00F1302B" w:rsidRPr="00921F1D">
        <w:rPr>
          <w:rFonts w:ascii="Times New Roman" w:hAnsi="Times New Roman"/>
          <w:sz w:val="24"/>
          <w:szCs w:val="24"/>
        </w:rPr>
        <w:t xml:space="preserve">seven </w:t>
      </w:r>
      <w:r w:rsidRPr="00921F1D">
        <w:rPr>
          <w:rFonts w:ascii="Times New Roman" w:hAnsi="Times New Roman"/>
          <w:sz w:val="24"/>
          <w:szCs w:val="24"/>
        </w:rPr>
        <w:t>RTA/FTAs in force</w:t>
      </w:r>
      <w:r w:rsidR="00F1302B" w:rsidRPr="00921F1D">
        <w:rPr>
          <w:rStyle w:val="FootnoteReference"/>
          <w:rFonts w:ascii="Times New Roman" w:hAnsi="Times New Roman"/>
          <w:sz w:val="24"/>
          <w:szCs w:val="24"/>
        </w:rPr>
        <w:footnoteReference w:id="8"/>
      </w:r>
      <w:r w:rsidR="00ED0BB4" w:rsidRPr="00921F1D">
        <w:rPr>
          <w:rFonts w:ascii="Times New Roman" w:hAnsi="Times New Roman"/>
          <w:sz w:val="24"/>
          <w:szCs w:val="24"/>
        </w:rPr>
        <w:t xml:space="preserve">, concluded Philippines-European Free Trade Association (EFTA) FTA negotiations, </w:t>
      </w:r>
      <w:r w:rsidRPr="00921F1D">
        <w:rPr>
          <w:rFonts w:ascii="Times New Roman" w:hAnsi="Times New Roman"/>
          <w:sz w:val="24"/>
          <w:szCs w:val="24"/>
        </w:rPr>
        <w:t>and is participating in the negotiations of the Regional Comprehensive Economic Partnership</w:t>
      </w:r>
      <w:r w:rsidR="00ED0BB4" w:rsidRPr="00921F1D">
        <w:rPr>
          <w:rFonts w:ascii="Times New Roman" w:hAnsi="Times New Roman"/>
          <w:sz w:val="24"/>
          <w:szCs w:val="24"/>
        </w:rPr>
        <w:t xml:space="preserve"> and </w:t>
      </w:r>
      <w:r w:rsidR="00776993" w:rsidRPr="00921F1D">
        <w:rPr>
          <w:rFonts w:ascii="Times New Roman" w:hAnsi="Times New Roman"/>
          <w:sz w:val="24"/>
          <w:szCs w:val="24"/>
        </w:rPr>
        <w:t xml:space="preserve">the </w:t>
      </w:r>
      <w:r w:rsidR="00663EFF" w:rsidRPr="00921F1D">
        <w:rPr>
          <w:rFonts w:ascii="Times New Roman" w:hAnsi="Times New Roman"/>
          <w:sz w:val="24"/>
          <w:szCs w:val="24"/>
        </w:rPr>
        <w:t>ASEAN-Hong Kong, China FTA</w:t>
      </w:r>
      <w:r w:rsidR="00ED0BB4" w:rsidRPr="00921F1D">
        <w:rPr>
          <w:rFonts w:ascii="Times New Roman" w:hAnsi="Times New Roman"/>
          <w:sz w:val="24"/>
          <w:szCs w:val="24"/>
        </w:rPr>
        <w:t>.</w:t>
      </w:r>
      <w:r w:rsidR="00663EFF" w:rsidRPr="00921F1D">
        <w:rPr>
          <w:rFonts w:ascii="Times New Roman" w:hAnsi="Times New Roman"/>
          <w:sz w:val="24"/>
          <w:szCs w:val="24"/>
        </w:rPr>
        <w:t xml:space="preserve"> </w:t>
      </w:r>
    </w:p>
    <w:p w14:paraId="798429EC" w14:textId="77777777" w:rsidR="00663EFF" w:rsidRPr="00921F1D" w:rsidRDefault="00663EFF" w:rsidP="00663EFF">
      <w:pPr>
        <w:spacing w:after="0" w:line="240" w:lineRule="auto"/>
        <w:jc w:val="both"/>
        <w:rPr>
          <w:rFonts w:ascii="Times New Roman" w:hAnsi="Times New Roman"/>
          <w:sz w:val="24"/>
          <w:szCs w:val="24"/>
        </w:rPr>
      </w:pPr>
    </w:p>
    <w:p w14:paraId="0F89D1DC" w14:textId="22918B81" w:rsidR="009076BF" w:rsidRPr="00921F1D" w:rsidRDefault="00663EFF" w:rsidP="00663EFF">
      <w:pPr>
        <w:spacing w:after="0" w:line="240" w:lineRule="auto"/>
        <w:jc w:val="both"/>
        <w:rPr>
          <w:rFonts w:ascii="Times New Roman" w:hAnsi="Times New Roman"/>
          <w:sz w:val="24"/>
          <w:szCs w:val="24"/>
        </w:rPr>
      </w:pPr>
      <w:r w:rsidRPr="00921F1D">
        <w:rPr>
          <w:rFonts w:ascii="Times New Roman" w:hAnsi="Times New Roman"/>
          <w:b/>
          <w:color w:val="0070C0"/>
          <w:sz w:val="24"/>
          <w:szCs w:val="24"/>
        </w:rPr>
        <w:t>Other voluntary reporting areas: Women and the Economy</w:t>
      </w:r>
    </w:p>
    <w:p w14:paraId="32D4E56D" w14:textId="35A9D9E8" w:rsidR="00663EFF" w:rsidRPr="00115380" w:rsidRDefault="00042F99" w:rsidP="000515A8">
      <w:pPr>
        <w:spacing w:after="0" w:line="240" w:lineRule="auto"/>
        <w:jc w:val="both"/>
        <w:rPr>
          <w:rFonts w:ascii="Times New Roman" w:hAnsi="Times New Roman"/>
          <w:sz w:val="24"/>
          <w:szCs w:val="24"/>
        </w:rPr>
      </w:pPr>
      <w:r w:rsidRPr="00921F1D">
        <w:rPr>
          <w:rFonts w:ascii="Times New Roman" w:hAnsi="Times New Roman"/>
          <w:sz w:val="24"/>
          <w:szCs w:val="24"/>
        </w:rPr>
        <w:t xml:space="preserve">The Philippines continues to implement initiatives aimed at improving women’s economic opportunities. These include the Women’s Economic Empowerment </w:t>
      </w:r>
      <w:r w:rsidR="00D0203C" w:rsidRPr="00921F1D">
        <w:rPr>
          <w:rFonts w:ascii="Times New Roman" w:hAnsi="Times New Roman"/>
          <w:sz w:val="24"/>
          <w:szCs w:val="24"/>
        </w:rPr>
        <w:t xml:space="preserve">Project </w:t>
      </w:r>
      <w:r w:rsidRPr="00921F1D">
        <w:rPr>
          <w:rFonts w:ascii="Times New Roman" w:hAnsi="Times New Roman"/>
          <w:sz w:val="24"/>
          <w:szCs w:val="24"/>
        </w:rPr>
        <w:t>2014-2020</w:t>
      </w:r>
      <w:r w:rsidR="00246830" w:rsidRPr="00921F1D">
        <w:rPr>
          <w:rFonts w:ascii="Times New Roman" w:hAnsi="Times New Roman"/>
          <w:sz w:val="24"/>
          <w:szCs w:val="24"/>
        </w:rPr>
        <w:t>;</w:t>
      </w:r>
      <w:r w:rsidRPr="00921F1D">
        <w:rPr>
          <w:rFonts w:ascii="Times New Roman" w:hAnsi="Times New Roman"/>
          <w:sz w:val="24"/>
          <w:szCs w:val="24"/>
        </w:rPr>
        <w:t xml:space="preserve"> the National MSME Development Plan 2011-2016 with activities aimed at women entrepreneurs</w:t>
      </w:r>
      <w:r w:rsidR="00246830" w:rsidRPr="00921F1D">
        <w:rPr>
          <w:rFonts w:ascii="Times New Roman" w:hAnsi="Times New Roman"/>
          <w:sz w:val="24"/>
          <w:szCs w:val="24"/>
        </w:rPr>
        <w:t xml:space="preserve">; </w:t>
      </w:r>
      <w:r w:rsidRPr="00921F1D">
        <w:rPr>
          <w:rFonts w:ascii="Times New Roman" w:hAnsi="Times New Roman"/>
          <w:sz w:val="24"/>
          <w:szCs w:val="24"/>
        </w:rPr>
        <w:t xml:space="preserve">a 2012 circular mandating all local government units to allocate at least 5 percent of total appropriations for Gender and Development activities, the </w:t>
      </w:r>
      <w:proofErr w:type="spellStart"/>
      <w:r w:rsidRPr="00921F1D">
        <w:rPr>
          <w:rFonts w:ascii="Times New Roman" w:hAnsi="Times New Roman"/>
          <w:i/>
          <w:sz w:val="24"/>
          <w:szCs w:val="24"/>
        </w:rPr>
        <w:t>Balik</w:t>
      </w:r>
      <w:proofErr w:type="spellEnd"/>
      <w:r w:rsidRPr="00921F1D">
        <w:rPr>
          <w:rFonts w:ascii="Times New Roman" w:hAnsi="Times New Roman"/>
          <w:i/>
          <w:sz w:val="24"/>
          <w:szCs w:val="24"/>
        </w:rPr>
        <w:t xml:space="preserve"> Pinay! </w:t>
      </w:r>
      <w:proofErr w:type="spellStart"/>
      <w:r w:rsidRPr="00921F1D">
        <w:rPr>
          <w:rFonts w:ascii="Times New Roman" w:hAnsi="Times New Roman"/>
          <w:i/>
          <w:sz w:val="24"/>
          <w:szCs w:val="24"/>
        </w:rPr>
        <w:t>Balik</w:t>
      </w:r>
      <w:proofErr w:type="spellEnd"/>
      <w:r w:rsidRPr="00921F1D">
        <w:rPr>
          <w:rFonts w:ascii="Times New Roman" w:hAnsi="Times New Roman"/>
          <w:i/>
          <w:sz w:val="24"/>
          <w:szCs w:val="24"/>
        </w:rPr>
        <w:t xml:space="preserve"> </w:t>
      </w:r>
      <w:proofErr w:type="spellStart"/>
      <w:r w:rsidRPr="00921F1D">
        <w:rPr>
          <w:rFonts w:ascii="Times New Roman" w:hAnsi="Times New Roman"/>
          <w:i/>
          <w:sz w:val="24"/>
          <w:szCs w:val="24"/>
        </w:rPr>
        <w:t>Hanapbuhay</w:t>
      </w:r>
      <w:proofErr w:type="spellEnd"/>
      <w:r w:rsidRPr="00921F1D">
        <w:rPr>
          <w:rFonts w:ascii="Times New Roman" w:hAnsi="Times New Roman"/>
          <w:sz w:val="24"/>
          <w:szCs w:val="24"/>
        </w:rPr>
        <w:t>! (Returning Filipinas! Returning Livelihood!) program for returning overseas Filipina workers, the Sari-Sari Store Training and Access to Resources Program, and the repeal of Article 130 and 131 of the Labor Code prohibiting night work for women, among others.</w:t>
      </w:r>
      <w:r w:rsidR="000515A8" w:rsidRPr="00921F1D">
        <w:rPr>
          <w:rFonts w:ascii="Times New Roman" w:hAnsi="Times New Roman"/>
          <w:sz w:val="24"/>
          <w:szCs w:val="24"/>
        </w:rPr>
        <w:t xml:space="preserve"> The Philippines is also one of the pilot economies for the implementation of the </w:t>
      </w:r>
      <w:r w:rsidRPr="00921F1D">
        <w:rPr>
          <w:rFonts w:ascii="Times New Roman" w:hAnsi="Times New Roman"/>
          <w:sz w:val="24"/>
          <w:szCs w:val="24"/>
        </w:rPr>
        <w:t>Healthy Women, Healthy Economy Policy Toolkit.</w:t>
      </w:r>
      <w:r w:rsidRPr="00042F99">
        <w:rPr>
          <w:rFonts w:ascii="Times New Roman" w:hAnsi="Times New Roman"/>
          <w:sz w:val="24"/>
          <w:szCs w:val="24"/>
        </w:rPr>
        <w:t xml:space="preserve"> </w:t>
      </w:r>
      <w:r w:rsidR="00F328E9">
        <w:rPr>
          <w:rFonts w:ascii="Times New Roman" w:hAnsi="Times New Roman"/>
          <w:sz w:val="24"/>
          <w:szCs w:val="24"/>
        </w:rPr>
        <w:t xml:space="preserve"> </w:t>
      </w:r>
    </w:p>
    <w:sectPr w:rsidR="00663EFF" w:rsidRPr="00115380" w:rsidSect="005042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B56CC" w14:textId="77777777" w:rsidR="002166D6" w:rsidRDefault="002166D6" w:rsidP="00D15B82">
      <w:pPr>
        <w:spacing w:after="0" w:line="240" w:lineRule="auto"/>
      </w:pPr>
      <w:r>
        <w:separator/>
      </w:r>
    </w:p>
  </w:endnote>
  <w:endnote w:type="continuationSeparator" w:id="0">
    <w:p w14:paraId="07B3BC0A" w14:textId="77777777" w:rsidR="002166D6" w:rsidRDefault="002166D6" w:rsidP="00D1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4F23" w14:textId="77777777" w:rsidR="008314A4" w:rsidRDefault="00831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7C1F" w14:textId="77777777" w:rsidR="008314A4" w:rsidRDefault="008314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436F7" w14:textId="77777777" w:rsidR="008314A4" w:rsidRDefault="00831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48493" w14:textId="77777777" w:rsidR="002166D6" w:rsidRDefault="002166D6" w:rsidP="00D15B82">
      <w:pPr>
        <w:spacing w:after="0" w:line="240" w:lineRule="auto"/>
      </w:pPr>
      <w:r>
        <w:separator/>
      </w:r>
    </w:p>
  </w:footnote>
  <w:footnote w:type="continuationSeparator" w:id="0">
    <w:p w14:paraId="12C1B13B" w14:textId="77777777" w:rsidR="002166D6" w:rsidRDefault="002166D6" w:rsidP="00D15B82">
      <w:pPr>
        <w:spacing w:after="0" w:line="240" w:lineRule="auto"/>
      </w:pPr>
      <w:r>
        <w:continuationSeparator/>
      </w:r>
    </w:p>
  </w:footnote>
  <w:footnote w:id="1">
    <w:p w14:paraId="454200B8" w14:textId="6532B321" w:rsidR="009529F5" w:rsidRPr="00D15B82" w:rsidRDefault="009529F5" w:rsidP="009529F5">
      <w:pPr>
        <w:pStyle w:val="FootnoteText"/>
        <w:rPr>
          <w:rFonts w:ascii="Times New Roman" w:hAnsi="Times New Roman"/>
        </w:rPr>
      </w:pPr>
      <w:r w:rsidRPr="00D15B82">
        <w:rPr>
          <w:rStyle w:val="FootnoteReference"/>
          <w:rFonts w:ascii="Times New Roman" w:hAnsi="Times New Roman"/>
        </w:rPr>
        <w:sym w:font="Symbol" w:char="F02A"/>
      </w:r>
      <w:r w:rsidRPr="00D15B82">
        <w:rPr>
          <w:rFonts w:ascii="Times New Roman" w:hAnsi="Times New Roman"/>
        </w:rPr>
        <w:t xml:space="preserve"> </w:t>
      </w:r>
      <w:r>
        <w:rPr>
          <w:rFonts w:ascii="Times New Roman" w:hAnsi="Times New Roman"/>
        </w:rPr>
        <w:t>This brief</w:t>
      </w:r>
      <w:r w:rsidRPr="003D28CC">
        <w:rPr>
          <w:rFonts w:ascii="Times New Roman" w:hAnsi="Times New Roman"/>
        </w:rPr>
        <w:t xml:space="preserve"> </w:t>
      </w:r>
      <w:r w:rsidRPr="009C2C79">
        <w:rPr>
          <w:rFonts w:ascii="Times New Roman" w:hAnsi="Times New Roman"/>
        </w:rPr>
        <w:t xml:space="preserve">report was prepared with information from </w:t>
      </w:r>
      <w:r>
        <w:rPr>
          <w:rFonts w:ascii="Times New Roman" w:hAnsi="Times New Roman"/>
        </w:rPr>
        <w:t xml:space="preserve">the Philippines’ </w:t>
      </w:r>
      <w:r w:rsidRPr="009C2C79">
        <w:rPr>
          <w:rFonts w:ascii="Times New Roman" w:hAnsi="Times New Roman"/>
        </w:rPr>
        <w:t xml:space="preserve">submission of </w:t>
      </w:r>
      <w:r w:rsidR="00E50FE9" w:rsidRPr="009C2C79">
        <w:rPr>
          <w:rFonts w:ascii="Times New Roman" w:hAnsi="Times New Roman"/>
        </w:rPr>
        <w:t>201</w:t>
      </w:r>
      <w:r w:rsidR="00E50FE9">
        <w:rPr>
          <w:rFonts w:ascii="Times New Roman" w:hAnsi="Times New Roman"/>
        </w:rPr>
        <w:t>6</w:t>
      </w:r>
      <w:r w:rsidR="00E50FE9" w:rsidRPr="009C2C79">
        <w:rPr>
          <w:rFonts w:ascii="Times New Roman" w:hAnsi="Times New Roman"/>
        </w:rPr>
        <w:t xml:space="preserve"> </w:t>
      </w:r>
      <w:r w:rsidRPr="009C2C79">
        <w:rPr>
          <w:rFonts w:ascii="Times New Roman" w:hAnsi="Times New Roman"/>
        </w:rPr>
        <w:t>APEC Individual Action Plan (IAP) template</w:t>
      </w:r>
      <w:r w:rsidR="00A07A67">
        <w:rPr>
          <w:rFonts w:ascii="Times New Roman" w:hAnsi="Times New Roman"/>
        </w:rPr>
        <w:t>;</w:t>
      </w:r>
      <w:r w:rsidRPr="009C2C79">
        <w:rPr>
          <w:rFonts w:ascii="Times New Roman" w:hAnsi="Times New Roman"/>
        </w:rPr>
        <w:t xml:space="preserve"> and the </w:t>
      </w:r>
      <w:r w:rsidR="00E35B7D">
        <w:rPr>
          <w:rFonts w:ascii="Times New Roman" w:hAnsi="Times New Roman"/>
        </w:rPr>
        <w:t xml:space="preserve">Official Gazette, </w:t>
      </w:r>
      <w:r w:rsidR="002E4B30">
        <w:rPr>
          <w:rFonts w:ascii="Times New Roman" w:hAnsi="Times New Roman"/>
        </w:rPr>
        <w:t xml:space="preserve">Department of Agriculture, </w:t>
      </w:r>
      <w:r w:rsidR="00E35B7D">
        <w:rPr>
          <w:rFonts w:ascii="Times New Roman" w:hAnsi="Times New Roman"/>
        </w:rPr>
        <w:t>Department of Labor and Employment</w:t>
      </w:r>
      <w:r w:rsidR="002E4B30">
        <w:rPr>
          <w:rFonts w:ascii="Times New Roman" w:hAnsi="Times New Roman"/>
        </w:rPr>
        <w:t>, United States Trade Representative</w:t>
      </w:r>
      <w:r w:rsidR="00E35B7D">
        <w:rPr>
          <w:rFonts w:ascii="Times New Roman" w:hAnsi="Times New Roman"/>
        </w:rPr>
        <w:t xml:space="preserve">, </w:t>
      </w:r>
      <w:r w:rsidR="004B4FCE">
        <w:rPr>
          <w:rFonts w:ascii="Times New Roman" w:hAnsi="Times New Roman"/>
        </w:rPr>
        <w:t xml:space="preserve">World Bank </w:t>
      </w:r>
      <w:r w:rsidR="004B4FCE" w:rsidRPr="004B4FCE">
        <w:rPr>
          <w:rFonts w:ascii="Times New Roman" w:hAnsi="Times New Roman"/>
          <w:i/>
        </w:rPr>
        <w:t>Doing Business 2015</w:t>
      </w:r>
      <w:r w:rsidR="004B4FCE">
        <w:rPr>
          <w:rFonts w:ascii="Times New Roman" w:hAnsi="Times New Roman"/>
        </w:rPr>
        <w:t xml:space="preserve">, </w:t>
      </w:r>
      <w:r w:rsidR="00E35B7D">
        <w:rPr>
          <w:rFonts w:ascii="Times New Roman" w:hAnsi="Times New Roman"/>
        </w:rPr>
        <w:t>and World Trade Organization websites</w:t>
      </w:r>
      <w:r>
        <w:rPr>
          <w:rFonts w:ascii="Times New Roman" w:hAnsi="Times New Roman"/>
        </w:rPr>
        <w:t>.</w:t>
      </w:r>
    </w:p>
  </w:footnote>
  <w:footnote w:id="2">
    <w:p w14:paraId="6E70ED41" w14:textId="420D1EFB" w:rsidR="00237E0D" w:rsidRPr="00237E0D" w:rsidRDefault="00237E0D">
      <w:pPr>
        <w:pStyle w:val="FootnoteText"/>
        <w:rPr>
          <w:rFonts w:ascii="Times New Roman" w:hAnsi="Times New Roman"/>
        </w:rPr>
      </w:pPr>
      <w:r w:rsidRPr="00237E0D">
        <w:rPr>
          <w:rStyle w:val="FootnoteReference"/>
          <w:rFonts w:ascii="Times New Roman" w:hAnsi="Times New Roman"/>
        </w:rPr>
        <w:footnoteRef/>
      </w:r>
      <w:r w:rsidRPr="00237E0D">
        <w:rPr>
          <w:rFonts w:ascii="Times New Roman" w:hAnsi="Times New Roman"/>
        </w:rPr>
        <w:t xml:space="preserve"> </w:t>
      </w:r>
      <w:r>
        <w:rPr>
          <w:rFonts w:ascii="Times New Roman" w:hAnsi="Times New Roman"/>
        </w:rPr>
        <w:t>E.g., Executive Order</w:t>
      </w:r>
      <w:r w:rsidRPr="00237E0D">
        <w:rPr>
          <w:rFonts w:ascii="Times New Roman" w:hAnsi="Times New Roman"/>
        </w:rPr>
        <w:t xml:space="preserve"> 191, </w:t>
      </w:r>
      <w:r>
        <w:rPr>
          <w:rFonts w:ascii="Times New Roman" w:hAnsi="Times New Roman"/>
        </w:rPr>
        <w:t xml:space="preserve">issued in November 2015, </w:t>
      </w:r>
      <w:r w:rsidRPr="00237E0D">
        <w:rPr>
          <w:rFonts w:ascii="Times New Roman" w:hAnsi="Times New Roman"/>
        </w:rPr>
        <w:t>accelerated tariff concessions on certain agricultural products under the ASEAN-Australia-New Zealand Free Trade Agreement.</w:t>
      </w:r>
    </w:p>
  </w:footnote>
  <w:footnote w:id="3">
    <w:p w14:paraId="6DC610E1" w14:textId="5E8E636B" w:rsidR="00973B46" w:rsidRPr="00973B46" w:rsidRDefault="00973B46">
      <w:pPr>
        <w:pStyle w:val="FootnoteText"/>
        <w:rPr>
          <w:rFonts w:ascii="Times New Roman" w:hAnsi="Times New Roman"/>
        </w:rPr>
      </w:pPr>
      <w:r w:rsidRPr="00973B46">
        <w:rPr>
          <w:rStyle w:val="FootnoteReference"/>
          <w:rFonts w:ascii="Times New Roman" w:hAnsi="Times New Roman"/>
        </w:rPr>
        <w:footnoteRef/>
      </w:r>
      <w:r w:rsidRPr="00973B46">
        <w:rPr>
          <w:rFonts w:ascii="Times New Roman" w:hAnsi="Times New Roman"/>
        </w:rPr>
        <w:t xml:space="preserve"> Under the agreement, the Philippines agreed to reduce tariffs on covered IT goods starting July 2017, eliminating 69 percent of tariff lines, 92 percent of tariff lines by 2019, 99 percent of tariff lines by 2021, and all tariff lines by 2023.</w:t>
      </w:r>
    </w:p>
  </w:footnote>
  <w:footnote w:id="4">
    <w:p w14:paraId="177903F6" w14:textId="112A481B" w:rsidR="004C075D" w:rsidRPr="004C075D" w:rsidRDefault="004C075D">
      <w:pPr>
        <w:pStyle w:val="FootnoteText"/>
        <w:rPr>
          <w:rFonts w:ascii="Times New Roman" w:hAnsi="Times New Roman"/>
        </w:rPr>
      </w:pPr>
      <w:r w:rsidRPr="004C075D">
        <w:rPr>
          <w:rStyle w:val="FootnoteReference"/>
          <w:rFonts w:ascii="Times New Roman" w:hAnsi="Times New Roman"/>
        </w:rPr>
        <w:footnoteRef/>
      </w:r>
      <w:r w:rsidRPr="004C075D">
        <w:rPr>
          <w:rFonts w:ascii="Times New Roman" w:hAnsi="Times New Roman"/>
        </w:rPr>
        <w:t xml:space="preserve"> The FIT System gives a preferential rate to electricity producers using certain renewable energy technologies in the sale of electricity into the grid.</w:t>
      </w:r>
    </w:p>
  </w:footnote>
  <w:footnote w:id="5">
    <w:p w14:paraId="6865F632" w14:textId="19A61CAF" w:rsidR="00CC0A16" w:rsidRPr="00CC0A16" w:rsidRDefault="00CC0A16">
      <w:pPr>
        <w:pStyle w:val="FootnoteText"/>
        <w:rPr>
          <w:rFonts w:ascii="Times New Roman" w:hAnsi="Times New Roman"/>
        </w:rPr>
      </w:pPr>
      <w:r w:rsidRPr="00CC0A16">
        <w:rPr>
          <w:rStyle w:val="FootnoteReference"/>
          <w:rFonts w:ascii="Times New Roman" w:hAnsi="Times New Roman"/>
        </w:rPr>
        <w:footnoteRef/>
      </w:r>
      <w:r w:rsidRPr="00CC0A16">
        <w:rPr>
          <w:rFonts w:ascii="Times New Roman" w:hAnsi="Times New Roman"/>
        </w:rPr>
        <w:t xml:space="preserve"> The PCC is a quasi-judicial body that is mandated to conduct inquiries, investigations and impose penalties on firms that engage in unfair business practices.</w:t>
      </w:r>
    </w:p>
  </w:footnote>
  <w:footnote w:id="6">
    <w:p w14:paraId="67D1FEF2" w14:textId="7D653C64" w:rsidR="00A46825" w:rsidRPr="00A46825" w:rsidRDefault="00A46825">
      <w:pPr>
        <w:pStyle w:val="FootnoteText"/>
        <w:rPr>
          <w:rFonts w:ascii="Times New Roman" w:hAnsi="Times New Roman"/>
        </w:rPr>
      </w:pPr>
      <w:r w:rsidRPr="00A46825">
        <w:rPr>
          <w:rStyle w:val="FootnoteReference"/>
          <w:rFonts w:ascii="Times New Roman" w:hAnsi="Times New Roman"/>
        </w:rPr>
        <w:footnoteRef/>
      </w:r>
      <w:r w:rsidRPr="00A46825">
        <w:rPr>
          <w:rFonts w:ascii="Times New Roman" w:hAnsi="Times New Roman"/>
        </w:rPr>
        <w:t xml:space="preserve"> The Securities and Exchange Commission (SEC) is </w:t>
      </w:r>
      <w:r w:rsidR="00C754C1">
        <w:rPr>
          <w:rFonts w:ascii="Times New Roman" w:hAnsi="Times New Roman"/>
        </w:rPr>
        <w:t xml:space="preserve">in the process of </w:t>
      </w:r>
      <w:r w:rsidRPr="00A46825">
        <w:rPr>
          <w:rFonts w:ascii="Times New Roman" w:hAnsi="Times New Roman"/>
        </w:rPr>
        <w:t>formulating ADR rules. Meanwhile, the Philippine Supreme Court continues to take a liberal stance towards ADR in its decisions.</w:t>
      </w:r>
    </w:p>
  </w:footnote>
  <w:footnote w:id="7">
    <w:p w14:paraId="55CB8215" w14:textId="19199073" w:rsidR="00841B27" w:rsidRPr="00841B27" w:rsidRDefault="00841B27">
      <w:pPr>
        <w:pStyle w:val="FootnoteText"/>
        <w:rPr>
          <w:rFonts w:ascii="Times New Roman" w:hAnsi="Times New Roman"/>
        </w:rPr>
      </w:pPr>
      <w:r w:rsidRPr="00841B27">
        <w:rPr>
          <w:rStyle w:val="FootnoteReference"/>
          <w:rFonts w:ascii="Times New Roman" w:hAnsi="Times New Roman"/>
        </w:rPr>
        <w:footnoteRef/>
      </w:r>
      <w:r w:rsidRPr="00841B27">
        <w:rPr>
          <w:rFonts w:ascii="Times New Roman" w:hAnsi="Times New Roman"/>
        </w:rPr>
        <w:t xml:space="preserve"> </w:t>
      </w:r>
      <w:r>
        <w:rPr>
          <w:rFonts w:ascii="Times New Roman" w:hAnsi="Times New Roman"/>
        </w:rPr>
        <w:t>The Labor Market Test requires</w:t>
      </w:r>
      <w:r w:rsidRPr="00841B27">
        <w:rPr>
          <w:rFonts w:ascii="Times New Roman" w:hAnsi="Times New Roman"/>
        </w:rPr>
        <w:t xml:space="preserve"> the publication of an applicant’s name, position, employer, employer’s address, functions, qualifications, monthly salary range, and other benefits. This information will be published for 30 days during which time the public may lodge objections or information against the hiring of the foreigner.</w:t>
      </w:r>
      <w:r w:rsidR="00F1796C" w:rsidRPr="00F1796C">
        <w:rPr>
          <w:rFonts w:ascii="Times New Roman" w:hAnsi="Times New Roman"/>
        </w:rPr>
        <w:t xml:space="preserve"> </w:t>
      </w:r>
      <w:r w:rsidR="00F1796C" w:rsidRPr="00DB31E0">
        <w:rPr>
          <w:rFonts w:ascii="Times New Roman" w:hAnsi="Times New Roman"/>
        </w:rPr>
        <w:t xml:space="preserve">Categories of </w:t>
      </w:r>
      <w:r w:rsidR="00F1796C">
        <w:rPr>
          <w:rFonts w:ascii="Times New Roman" w:hAnsi="Times New Roman"/>
        </w:rPr>
        <w:t>foreign workers</w:t>
      </w:r>
      <w:r w:rsidR="00F1796C" w:rsidRPr="00DB31E0">
        <w:rPr>
          <w:rFonts w:ascii="Times New Roman" w:hAnsi="Times New Roman"/>
        </w:rPr>
        <w:t xml:space="preserve"> such as intra-corporate transferees, contractual service suppliers, and foreign workers with no employee-employer relationship</w:t>
      </w:r>
      <w:r w:rsidR="00F1796C">
        <w:rPr>
          <w:rFonts w:ascii="Times New Roman" w:hAnsi="Times New Roman"/>
        </w:rPr>
        <w:t>,</w:t>
      </w:r>
      <w:r w:rsidR="00F1796C" w:rsidRPr="00DB31E0">
        <w:rPr>
          <w:rFonts w:ascii="Times New Roman" w:hAnsi="Times New Roman"/>
        </w:rPr>
        <w:t xml:space="preserve"> or those without commercial presence in the Philippines are excluded from the </w:t>
      </w:r>
      <w:r w:rsidR="00F1796C">
        <w:rPr>
          <w:rFonts w:ascii="Times New Roman" w:hAnsi="Times New Roman"/>
        </w:rPr>
        <w:t>AEP</w:t>
      </w:r>
      <w:r w:rsidR="00F1796C" w:rsidRPr="00DB31E0">
        <w:rPr>
          <w:rFonts w:ascii="Times New Roman" w:hAnsi="Times New Roman"/>
        </w:rPr>
        <w:t xml:space="preserve"> requirement and are therefore exempt from the </w:t>
      </w:r>
      <w:r w:rsidR="00F1796C">
        <w:rPr>
          <w:rFonts w:ascii="Times New Roman" w:hAnsi="Times New Roman"/>
        </w:rPr>
        <w:t>L</w:t>
      </w:r>
      <w:r w:rsidR="00F1796C" w:rsidRPr="00DB31E0">
        <w:rPr>
          <w:rFonts w:ascii="Times New Roman" w:hAnsi="Times New Roman"/>
        </w:rPr>
        <w:t xml:space="preserve">abor </w:t>
      </w:r>
      <w:r w:rsidR="00F1796C">
        <w:rPr>
          <w:rFonts w:ascii="Times New Roman" w:hAnsi="Times New Roman"/>
        </w:rPr>
        <w:t>M</w:t>
      </w:r>
      <w:r w:rsidR="00F1796C" w:rsidRPr="00DB31E0">
        <w:rPr>
          <w:rFonts w:ascii="Times New Roman" w:hAnsi="Times New Roman"/>
        </w:rPr>
        <w:t xml:space="preserve">arket </w:t>
      </w:r>
      <w:r w:rsidR="00F1796C">
        <w:rPr>
          <w:rFonts w:ascii="Times New Roman" w:hAnsi="Times New Roman"/>
        </w:rPr>
        <w:t>T</w:t>
      </w:r>
      <w:r w:rsidR="00F1796C" w:rsidRPr="00DB31E0">
        <w:rPr>
          <w:rFonts w:ascii="Times New Roman" w:hAnsi="Times New Roman"/>
        </w:rPr>
        <w:t>est.</w:t>
      </w:r>
    </w:p>
  </w:footnote>
  <w:footnote w:id="8">
    <w:p w14:paraId="10227215" w14:textId="77777777" w:rsidR="00F1302B" w:rsidRPr="0069256D" w:rsidRDefault="00F1302B" w:rsidP="0069256D">
      <w:pPr>
        <w:pStyle w:val="FootnoteText"/>
        <w:jc w:val="both"/>
        <w:rPr>
          <w:rFonts w:ascii="Times New Roman" w:hAnsi="Times New Roman"/>
        </w:rPr>
      </w:pPr>
      <w:r w:rsidRPr="0069256D">
        <w:rPr>
          <w:rStyle w:val="FootnoteReference"/>
          <w:rFonts w:ascii="Times New Roman" w:hAnsi="Times New Roman"/>
        </w:rPr>
        <w:footnoteRef/>
      </w:r>
      <w:r w:rsidRPr="0069256D">
        <w:rPr>
          <w:rFonts w:ascii="Times New Roman" w:hAnsi="Times New Roman"/>
        </w:rPr>
        <w:t xml:space="preserve"> </w:t>
      </w:r>
      <w:r w:rsidR="0069256D" w:rsidRPr="0069256D">
        <w:rPr>
          <w:rFonts w:ascii="Times New Roman" w:hAnsi="Times New Roman"/>
        </w:rPr>
        <w:t>The Philippines’s RTA/FTAs in force are the following ones</w:t>
      </w:r>
      <w:r w:rsidRPr="0069256D">
        <w:rPr>
          <w:rFonts w:ascii="Times New Roman" w:hAnsi="Times New Roman"/>
        </w:rPr>
        <w:t xml:space="preserve">: ASEAN (1992), ASEAN-China (2005), ASEAN-Korea (2007), Philippines-Japan (2008), ASEAN-Japan (2009), ASEAN-Australia-New Zealand (2010), and ASEAN-India (2010).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71DA4" w14:textId="77777777" w:rsidR="008314A4" w:rsidRDefault="00831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26A35" w14:textId="77777777" w:rsidR="008314A4" w:rsidRPr="006B34A0" w:rsidRDefault="008314A4" w:rsidP="008314A4">
    <w:pPr>
      <w:pStyle w:val="Header"/>
      <w:tabs>
        <w:tab w:val="clear" w:pos="4680"/>
        <w:tab w:val="clear" w:pos="9360"/>
        <w:tab w:val="right" w:pos="8280"/>
        <w:tab w:val="right" w:pos="9000"/>
      </w:tabs>
      <w:jc w:val="right"/>
      <w:rPr>
        <w:rFonts w:ascii="Times New Roman" w:hAnsi="Times New Roman"/>
        <w:b/>
        <w:i/>
      </w:rPr>
    </w:pPr>
    <w:r w:rsidRPr="006B34A0">
      <w:rPr>
        <w:b/>
      </w:rPr>
      <w:tab/>
    </w:r>
    <w:r w:rsidRPr="006B34A0">
      <w:rPr>
        <w:rFonts w:ascii="Times New Roman" w:eastAsia="Times New Roman" w:hAnsi="Times New Roman"/>
        <w:i/>
      </w:rPr>
      <w:t>Progress</w:t>
    </w:r>
    <w:r w:rsidRPr="006B34A0">
      <w:rPr>
        <w:rFonts w:ascii="Times New Roman" w:hAnsi="Times New Roman"/>
        <w:i/>
      </w:rPr>
      <w:t xml:space="preserve"> Report </w:t>
    </w:r>
    <w:r>
      <w:rPr>
        <w:rFonts w:ascii="Times New Roman" w:hAnsi="Times New Roman"/>
        <w:i/>
      </w:rPr>
      <w:t>–</w:t>
    </w:r>
    <w:r w:rsidRPr="006B34A0">
      <w:rPr>
        <w:rFonts w:ascii="Times New Roman" w:hAnsi="Times New Roman"/>
        <w:i/>
      </w:rPr>
      <w:t xml:space="preserve"> </w:t>
    </w:r>
    <w:r>
      <w:rPr>
        <w:rFonts w:ascii="Times New Roman" w:hAnsi="Times New Roman"/>
        <w:i/>
      </w:rPr>
      <w:t>The Philippines</w:t>
    </w:r>
    <w:r w:rsidRPr="006B34A0">
      <w:rPr>
        <w:rFonts w:ascii="Times New Roman" w:hAnsi="Times New Roman"/>
        <w:b/>
        <w:i/>
      </w:rPr>
      <w:tab/>
    </w:r>
    <w:r w:rsidR="00BE1F82" w:rsidRPr="006B34A0">
      <w:rPr>
        <w:rFonts w:ascii="Times New Roman" w:hAnsi="Times New Roman"/>
        <w:i/>
      </w:rPr>
      <w:fldChar w:fldCharType="begin"/>
    </w:r>
    <w:r w:rsidRPr="006B34A0">
      <w:rPr>
        <w:rFonts w:ascii="Times New Roman" w:hAnsi="Times New Roman"/>
        <w:i/>
      </w:rPr>
      <w:instrText xml:space="preserve"> PAGE   \* MERGEFORMAT </w:instrText>
    </w:r>
    <w:r w:rsidR="00BE1F82" w:rsidRPr="006B34A0">
      <w:rPr>
        <w:rFonts w:ascii="Times New Roman" w:hAnsi="Times New Roman"/>
        <w:i/>
      </w:rPr>
      <w:fldChar w:fldCharType="separate"/>
    </w:r>
    <w:r w:rsidR="00087512">
      <w:rPr>
        <w:rFonts w:ascii="Times New Roman" w:hAnsi="Times New Roman"/>
        <w:i/>
        <w:noProof/>
      </w:rPr>
      <w:t>4</w:t>
    </w:r>
    <w:r w:rsidR="00BE1F82" w:rsidRPr="006B34A0">
      <w:rPr>
        <w:rFonts w:ascii="Times New Roman" w:hAnsi="Times New Roman"/>
        <w:i/>
      </w:rPr>
      <w:fldChar w:fldCharType="end"/>
    </w:r>
  </w:p>
  <w:p w14:paraId="2A913006" w14:textId="77777777" w:rsidR="008314A4" w:rsidRDefault="008314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BD3AA" w14:textId="77777777" w:rsidR="008314A4" w:rsidRDefault="00831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4E2"/>
    <w:multiLevelType w:val="hybridMultilevel"/>
    <w:tmpl w:val="469C2AD8"/>
    <w:lvl w:ilvl="0" w:tplc="95D219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B4DBB"/>
    <w:multiLevelType w:val="hybridMultilevel"/>
    <w:tmpl w:val="FA3A4FCC"/>
    <w:lvl w:ilvl="0" w:tplc="68C6F6CE">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843566E"/>
    <w:multiLevelType w:val="hybridMultilevel"/>
    <w:tmpl w:val="A808B0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E5"/>
    <w:rsid w:val="0001701D"/>
    <w:rsid w:val="00017593"/>
    <w:rsid w:val="000224B7"/>
    <w:rsid w:val="00023714"/>
    <w:rsid w:val="000269BB"/>
    <w:rsid w:val="00042000"/>
    <w:rsid w:val="00042F99"/>
    <w:rsid w:val="000515A8"/>
    <w:rsid w:val="000635E2"/>
    <w:rsid w:val="00077E74"/>
    <w:rsid w:val="00080601"/>
    <w:rsid w:val="000824C6"/>
    <w:rsid w:val="00082D00"/>
    <w:rsid w:val="00087512"/>
    <w:rsid w:val="0009072B"/>
    <w:rsid w:val="000A15C8"/>
    <w:rsid w:val="000A1FF0"/>
    <w:rsid w:val="000B4B47"/>
    <w:rsid w:val="000B4C05"/>
    <w:rsid w:val="000D3F45"/>
    <w:rsid w:val="000D7938"/>
    <w:rsid w:val="000E264A"/>
    <w:rsid w:val="000E61ED"/>
    <w:rsid w:val="000E6CB7"/>
    <w:rsid w:val="00106CB9"/>
    <w:rsid w:val="00112B84"/>
    <w:rsid w:val="00115380"/>
    <w:rsid w:val="00117F3D"/>
    <w:rsid w:val="00127F32"/>
    <w:rsid w:val="00130502"/>
    <w:rsid w:val="00137209"/>
    <w:rsid w:val="0014766B"/>
    <w:rsid w:val="001502A6"/>
    <w:rsid w:val="0015649B"/>
    <w:rsid w:val="001577E1"/>
    <w:rsid w:val="00160ABE"/>
    <w:rsid w:val="001701CA"/>
    <w:rsid w:val="00181ED7"/>
    <w:rsid w:val="00190963"/>
    <w:rsid w:val="001968AF"/>
    <w:rsid w:val="001970BA"/>
    <w:rsid w:val="001A209A"/>
    <w:rsid w:val="001A6D28"/>
    <w:rsid w:val="001B121A"/>
    <w:rsid w:val="001B38E0"/>
    <w:rsid w:val="001D50E5"/>
    <w:rsid w:val="001D6D3F"/>
    <w:rsid w:val="001E56D7"/>
    <w:rsid w:val="001E6D0C"/>
    <w:rsid w:val="001F77CE"/>
    <w:rsid w:val="00206608"/>
    <w:rsid w:val="00206FE5"/>
    <w:rsid w:val="00212209"/>
    <w:rsid w:val="002166D6"/>
    <w:rsid w:val="002309E6"/>
    <w:rsid w:val="00231428"/>
    <w:rsid w:val="00237E0D"/>
    <w:rsid w:val="00240153"/>
    <w:rsid w:val="00246830"/>
    <w:rsid w:val="00270C29"/>
    <w:rsid w:val="00275FC9"/>
    <w:rsid w:val="002966D0"/>
    <w:rsid w:val="002B66EF"/>
    <w:rsid w:val="002B7C1B"/>
    <w:rsid w:val="002C1CC2"/>
    <w:rsid w:val="002D0D2F"/>
    <w:rsid w:val="002E4B30"/>
    <w:rsid w:val="002E5226"/>
    <w:rsid w:val="002E67B8"/>
    <w:rsid w:val="002F3A7D"/>
    <w:rsid w:val="0031111B"/>
    <w:rsid w:val="003139EB"/>
    <w:rsid w:val="00316F14"/>
    <w:rsid w:val="00347723"/>
    <w:rsid w:val="0035578E"/>
    <w:rsid w:val="003624BE"/>
    <w:rsid w:val="00363519"/>
    <w:rsid w:val="0036353E"/>
    <w:rsid w:val="003830D1"/>
    <w:rsid w:val="003A452C"/>
    <w:rsid w:val="003A6FBF"/>
    <w:rsid w:val="003B4F5F"/>
    <w:rsid w:val="003C3C7C"/>
    <w:rsid w:val="003C6C1B"/>
    <w:rsid w:val="003D14F7"/>
    <w:rsid w:val="003D40DD"/>
    <w:rsid w:val="003E30BA"/>
    <w:rsid w:val="003E3819"/>
    <w:rsid w:val="003F2E1D"/>
    <w:rsid w:val="00401573"/>
    <w:rsid w:val="0042242C"/>
    <w:rsid w:val="0042768B"/>
    <w:rsid w:val="004310BA"/>
    <w:rsid w:val="0043633A"/>
    <w:rsid w:val="0044013A"/>
    <w:rsid w:val="00452FFC"/>
    <w:rsid w:val="00457F06"/>
    <w:rsid w:val="004667BF"/>
    <w:rsid w:val="004675E5"/>
    <w:rsid w:val="00481ABC"/>
    <w:rsid w:val="004B4CC3"/>
    <w:rsid w:val="004B4FCE"/>
    <w:rsid w:val="004C075D"/>
    <w:rsid w:val="004C7239"/>
    <w:rsid w:val="004E3065"/>
    <w:rsid w:val="004E515B"/>
    <w:rsid w:val="004E7126"/>
    <w:rsid w:val="004F5E95"/>
    <w:rsid w:val="005042B8"/>
    <w:rsid w:val="005074D3"/>
    <w:rsid w:val="00507EF6"/>
    <w:rsid w:val="005212E4"/>
    <w:rsid w:val="00527ADA"/>
    <w:rsid w:val="005367FC"/>
    <w:rsid w:val="00540C3B"/>
    <w:rsid w:val="00551CBF"/>
    <w:rsid w:val="00560E63"/>
    <w:rsid w:val="0057447B"/>
    <w:rsid w:val="00581947"/>
    <w:rsid w:val="005A4EBB"/>
    <w:rsid w:val="005A6235"/>
    <w:rsid w:val="005A7174"/>
    <w:rsid w:val="005B170B"/>
    <w:rsid w:val="005B42E3"/>
    <w:rsid w:val="005C2EC3"/>
    <w:rsid w:val="005D07FA"/>
    <w:rsid w:val="005D154B"/>
    <w:rsid w:val="005E3001"/>
    <w:rsid w:val="005F04E2"/>
    <w:rsid w:val="005F519F"/>
    <w:rsid w:val="005F565B"/>
    <w:rsid w:val="006062CF"/>
    <w:rsid w:val="006120A9"/>
    <w:rsid w:val="0061232D"/>
    <w:rsid w:val="0063312B"/>
    <w:rsid w:val="00640A2A"/>
    <w:rsid w:val="00651023"/>
    <w:rsid w:val="00651CB6"/>
    <w:rsid w:val="00652D4D"/>
    <w:rsid w:val="00662165"/>
    <w:rsid w:val="00663B69"/>
    <w:rsid w:val="00663EFF"/>
    <w:rsid w:val="00665582"/>
    <w:rsid w:val="00667A7D"/>
    <w:rsid w:val="00681565"/>
    <w:rsid w:val="00683F00"/>
    <w:rsid w:val="006910A4"/>
    <w:rsid w:val="0069256D"/>
    <w:rsid w:val="006966BC"/>
    <w:rsid w:val="006C0EF6"/>
    <w:rsid w:val="006D51C6"/>
    <w:rsid w:val="006E4815"/>
    <w:rsid w:val="006F0AEF"/>
    <w:rsid w:val="006F7CB3"/>
    <w:rsid w:val="00711F2B"/>
    <w:rsid w:val="00720B1B"/>
    <w:rsid w:val="0073316D"/>
    <w:rsid w:val="00733E65"/>
    <w:rsid w:val="0076222F"/>
    <w:rsid w:val="00763C1A"/>
    <w:rsid w:val="00764A21"/>
    <w:rsid w:val="00767220"/>
    <w:rsid w:val="007755C2"/>
    <w:rsid w:val="00776993"/>
    <w:rsid w:val="00776C0E"/>
    <w:rsid w:val="007976EB"/>
    <w:rsid w:val="007A0E06"/>
    <w:rsid w:val="007A43C1"/>
    <w:rsid w:val="007B5A29"/>
    <w:rsid w:val="007C0AF9"/>
    <w:rsid w:val="007C33DF"/>
    <w:rsid w:val="007F7441"/>
    <w:rsid w:val="0080225B"/>
    <w:rsid w:val="0080627C"/>
    <w:rsid w:val="00812AA1"/>
    <w:rsid w:val="00813781"/>
    <w:rsid w:val="0081453E"/>
    <w:rsid w:val="00815B8F"/>
    <w:rsid w:val="00830020"/>
    <w:rsid w:val="008314A4"/>
    <w:rsid w:val="00835A16"/>
    <w:rsid w:val="00841B27"/>
    <w:rsid w:val="00843019"/>
    <w:rsid w:val="00845686"/>
    <w:rsid w:val="008466AE"/>
    <w:rsid w:val="00851DFA"/>
    <w:rsid w:val="00856416"/>
    <w:rsid w:val="00863714"/>
    <w:rsid w:val="00867211"/>
    <w:rsid w:val="00872D46"/>
    <w:rsid w:val="00873DBC"/>
    <w:rsid w:val="00881D37"/>
    <w:rsid w:val="008937D4"/>
    <w:rsid w:val="00895A1A"/>
    <w:rsid w:val="008A5BF0"/>
    <w:rsid w:val="008A6CE8"/>
    <w:rsid w:val="008B431F"/>
    <w:rsid w:val="008F2FD6"/>
    <w:rsid w:val="00904AA3"/>
    <w:rsid w:val="009076BF"/>
    <w:rsid w:val="00916ED5"/>
    <w:rsid w:val="00921D20"/>
    <w:rsid w:val="00921F1D"/>
    <w:rsid w:val="0092404F"/>
    <w:rsid w:val="00926BF6"/>
    <w:rsid w:val="00927004"/>
    <w:rsid w:val="009305CC"/>
    <w:rsid w:val="00930C33"/>
    <w:rsid w:val="00944FD9"/>
    <w:rsid w:val="0094766B"/>
    <w:rsid w:val="00950EB1"/>
    <w:rsid w:val="009529F5"/>
    <w:rsid w:val="00962504"/>
    <w:rsid w:val="00965A8F"/>
    <w:rsid w:val="00973B46"/>
    <w:rsid w:val="009747F8"/>
    <w:rsid w:val="009900D4"/>
    <w:rsid w:val="009D62D8"/>
    <w:rsid w:val="009E4086"/>
    <w:rsid w:val="009E67DB"/>
    <w:rsid w:val="009F0FE9"/>
    <w:rsid w:val="00A05C62"/>
    <w:rsid w:val="00A078D4"/>
    <w:rsid w:val="00A07A67"/>
    <w:rsid w:val="00A23DED"/>
    <w:rsid w:val="00A25410"/>
    <w:rsid w:val="00A46825"/>
    <w:rsid w:val="00A473AA"/>
    <w:rsid w:val="00A8513A"/>
    <w:rsid w:val="00A85AB0"/>
    <w:rsid w:val="00AB13C4"/>
    <w:rsid w:val="00AE14BE"/>
    <w:rsid w:val="00AF24F4"/>
    <w:rsid w:val="00B06B34"/>
    <w:rsid w:val="00B12DD4"/>
    <w:rsid w:val="00B3048A"/>
    <w:rsid w:val="00B35955"/>
    <w:rsid w:val="00B36D50"/>
    <w:rsid w:val="00B46149"/>
    <w:rsid w:val="00B87835"/>
    <w:rsid w:val="00BA5A19"/>
    <w:rsid w:val="00BA629C"/>
    <w:rsid w:val="00BA71E8"/>
    <w:rsid w:val="00BB5B88"/>
    <w:rsid w:val="00BD6825"/>
    <w:rsid w:val="00BE1F82"/>
    <w:rsid w:val="00BE3C81"/>
    <w:rsid w:val="00BE7BB6"/>
    <w:rsid w:val="00C06FC0"/>
    <w:rsid w:val="00C16E8E"/>
    <w:rsid w:val="00C243E3"/>
    <w:rsid w:val="00C35F4B"/>
    <w:rsid w:val="00C70BAE"/>
    <w:rsid w:val="00C754C1"/>
    <w:rsid w:val="00C90467"/>
    <w:rsid w:val="00C931F9"/>
    <w:rsid w:val="00C9545B"/>
    <w:rsid w:val="00C95861"/>
    <w:rsid w:val="00CA5B6D"/>
    <w:rsid w:val="00CA7B00"/>
    <w:rsid w:val="00CB0443"/>
    <w:rsid w:val="00CB444E"/>
    <w:rsid w:val="00CC0A16"/>
    <w:rsid w:val="00CC1F9D"/>
    <w:rsid w:val="00CD4FD3"/>
    <w:rsid w:val="00CE0406"/>
    <w:rsid w:val="00CE689E"/>
    <w:rsid w:val="00CE72BC"/>
    <w:rsid w:val="00CF73BA"/>
    <w:rsid w:val="00D001BF"/>
    <w:rsid w:val="00D01543"/>
    <w:rsid w:val="00D0203C"/>
    <w:rsid w:val="00D15B82"/>
    <w:rsid w:val="00D361BE"/>
    <w:rsid w:val="00D401FB"/>
    <w:rsid w:val="00D404DA"/>
    <w:rsid w:val="00D44130"/>
    <w:rsid w:val="00D458B5"/>
    <w:rsid w:val="00D54B89"/>
    <w:rsid w:val="00D56A72"/>
    <w:rsid w:val="00D66F17"/>
    <w:rsid w:val="00D774B3"/>
    <w:rsid w:val="00D8091F"/>
    <w:rsid w:val="00D84C92"/>
    <w:rsid w:val="00DA0611"/>
    <w:rsid w:val="00DA25F2"/>
    <w:rsid w:val="00DB31E0"/>
    <w:rsid w:val="00DB363E"/>
    <w:rsid w:val="00DB696E"/>
    <w:rsid w:val="00DB7F7C"/>
    <w:rsid w:val="00DC6C46"/>
    <w:rsid w:val="00DD14FB"/>
    <w:rsid w:val="00DD5419"/>
    <w:rsid w:val="00DE33B6"/>
    <w:rsid w:val="00DE6EF4"/>
    <w:rsid w:val="00DF20D8"/>
    <w:rsid w:val="00E1438D"/>
    <w:rsid w:val="00E358AC"/>
    <w:rsid w:val="00E35B7D"/>
    <w:rsid w:val="00E36DE5"/>
    <w:rsid w:val="00E40444"/>
    <w:rsid w:val="00E43D56"/>
    <w:rsid w:val="00E4639E"/>
    <w:rsid w:val="00E50F35"/>
    <w:rsid w:val="00E50FE9"/>
    <w:rsid w:val="00E70BC2"/>
    <w:rsid w:val="00E74321"/>
    <w:rsid w:val="00E745B2"/>
    <w:rsid w:val="00E97118"/>
    <w:rsid w:val="00EA78E8"/>
    <w:rsid w:val="00EC203D"/>
    <w:rsid w:val="00EC3481"/>
    <w:rsid w:val="00EC733A"/>
    <w:rsid w:val="00ED0BB4"/>
    <w:rsid w:val="00EE28CC"/>
    <w:rsid w:val="00EE6885"/>
    <w:rsid w:val="00EF09B4"/>
    <w:rsid w:val="00EF53EB"/>
    <w:rsid w:val="00F07270"/>
    <w:rsid w:val="00F11E3A"/>
    <w:rsid w:val="00F1302B"/>
    <w:rsid w:val="00F16DA0"/>
    <w:rsid w:val="00F1796C"/>
    <w:rsid w:val="00F23958"/>
    <w:rsid w:val="00F30728"/>
    <w:rsid w:val="00F319BA"/>
    <w:rsid w:val="00F328E9"/>
    <w:rsid w:val="00F50475"/>
    <w:rsid w:val="00F71B71"/>
    <w:rsid w:val="00F95970"/>
    <w:rsid w:val="00F96C00"/>
    <w:rsid w:val="00FA3DF1"/>
    <w:rsid w:val="00FA4502"/>
    <w:rsid w:val="00FB4362"/>
    <w:rsid w:val="00FC3FCD"/>
    <w:rsid w:val="00FD2626"/>
    <w:rsid w:val="00FF4DCF"/>
    <w:rsid w:val="00FF781F"/>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BB3A"/>
  <w15:chartTrackingRefBased/>
  <w15:docId w15:val="{2E85711C-4F65-4504-AF75-040337CF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E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5B82"/>
    <w:pPr>
      <w:spacing w:after="0" w:line="240" w:lineRule="auto"/>
    </w:pPr>
    <w:rPr>
      <w:sz w:val="20"/>
      <w:szCs w:val="20"/>
    </w:rPr>
  </w:style>
  <w:style w:type="character" w:customStyle="1" w:styleId="FootnoteTextChar">
    <w:name w:val="Footnote Text Char"/>
    <w:link w:val="FootnoteText"/>
    <w:uiPriority w:val="99"/>
    <w:semiHidden/>
    <w:rsid w:val="00D15B82"/>
    <w:rPr>
      <w:rFonts w:ascii="Calibri" w:eastAsia="Calibri" w:hAnsi="Calibri" w:cs="Times New Roman"/>
      <w:sz w:val="20"/>
      <w:szCs w:val="20"/>
    </w:rPr>
  </w:style>
  <w:style w:type="character" w:styleId="FootnoteReference">
    <w:name w:val="footnote reference"/>
    <w:uiPriority w:val="99"/>
    <w:semiHidden/>
    <w:unhideWhenUsed/>
    <w:rsid w:val="00D15B82"/>
    <w:rPr>
      <w:vertAlign w:val="superscript"/>
    </w:rPr>
  </w:style>
  <w:style w:type="paragraph" w:styleId="ListParagraph">
    <w:name w:val="List Paragraph"/>
    <w:basedOn w:val="Normal"/>
    <w:uiPriority w:val="34"/>
    <w:qFormat/>
    <w:rsid w:val="005E3001"/>
    <w:pPr>
      <w:ind w:left="720"/>
      <w:contextualSpacing/>
    </w:pPr>
    <w:rPr>
      <w:rFonts w:eastAsia="SimSun"/>
      <w:lang w:eastAsia="zh-CN"/>
    </w:rPr>
  </w:style>
  <w:style w:type="paragraph" w:styleId="BalloonText">
    <w:name w:val="Balloon Text"/>
    <w:basedOn w:val="Normal"/>
    <w:link w:val="BalloonTextChar"/>
    <w:uiPriority w:val="99"/>
    <w:semiHidden/>
    <w:unhideWhenUsed/>
    <w:rsid w:val="008A6C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6CE8"/>
    <w:rPr>
      <w:rFonts w:ascii="Tahoma" w:eastAsia="Calibri" w:hAnsi="Tahoma" w:cs="Tahoma"/>
      <w:sz w:val="16"/>
      <w:szCs w:val="16"/>
    </w:rPr>
  </w:style>
  <w:style w:type="paragraph" w:styleId="Header">
    <w:name w:val="header"/>
    <w:basedOn w:val="Normal"/>
    <w:link w:val="HeaderChar"/>
    <w:uiPriority w:val="99"/>
    <w:unhideWhenUsed/>
    <w:rsid w:val="008314A4"/>
    <w:pPr>
      <w:tabs>
        <w:tab w:val="center" w:pos="4680"/>
        <w:tab w:val="right" w:pos="9360"/>
      </w:tabs>
      <w:spacing w:after="0" w:line="240" w:lineRule="auto"/>
    </w:pPr>
  </w:style>
  <w:style w:type="character" w:customStyle="1" w:styleId="HeaderChar">
    <w:name w:val="Header Char"/>
    <w:link w:val="Header"/>
    <w:uiPriority w:val="99"/>
    <w:rsid w:val="008314A4"/>
    <w:rPr>
      <w:rFonts w:ascii="Calibri" w:eastAsia="Calibri" w:hAnsi="Calibri" w:cs="Times New Roman"/>
    </w:rPr>
  </w:style>
  <w:style w:type="paragraph" w:styleId="Footer">
    <w:name w:val="footer"/>
    <w:basedOn w:val="Normal"/>
    <w:link w:val="FooterChar"/>
    <w:uiPriority w:val="99"/>
    <w:semiHidden/>
    <w:unhideWhenUsed/>
    <w:rsid w:val="008314A4"/>
    <w:pPr>
      <w:tabs>
        <w:tab w:val="center" w:pos="4680"/>
        <w:tab w:val="right" w:pos="9360"/>
      </w:tabs>
      <w:spacing w:after="0" w:line="240" w:lineRule="auto"/>
    </w:pPr>
  </w:style>
  <w:style w:type="character" w:customStyle="1" w:styleId="FooterChar">
    <w:name w:val="Footer Char"/>
    <w:link w:val="Footer"/>
    <w:uiPriority w:val="99"/>
    <w:semiHidden/>
    <w:rsid w:val="008314A4"/>
    <w:rPr>
      <w:rFonts w:ascii="Calibri" w:eastAsia="Calibri" w:hAnsi="Calibri" w:cs="Times New Roman"/>
    </w:rPr>
  </w:style>
  <w:style w:type="character" w:styleId="CommentReference">
    <w:name w:val="annotation reference"/>
    <w:uiPriority w:val="99"/>
    <w:semiHidden/>
    <w:unhideWhenUsed/>
    <w:rsid w:val="005F04E2"/>
    <w:rPr>
      <w:sz w:val="16"/>
      <w:szCs w:val="16"/>
    </w:rPr>
  </w:style>
  <w:style w:type="paragraph" w:styleId="CommentText">
    <w:name w:val="annotation text"/>
    <w:basedOn w:val="Normal"/>
    <w:link w:val="CommentTextChar"/>
    <w:uiPriority w:val="99"/>
    <w:semiHidden/>
    <w:unhideWhenUsed/>
    <w:rsid w:val="005F04E2"/>
    <w:pPr>
      <w:spacing w:line="240" w:lineRule="auto"/>
    </w:pPr>
    <w:rPr>
      <w:sz w:val="20"/>
      <w:szCs w:val="20"/>
    </w:rPr>
  </w:style>
  <w:style w:type="character" w:customStyle="1" w:styleId="CommentTextChar">
    <w:name w:val="Comment Text Char"/>
    <w:link w:val="CommentText"/>
    <w:uiPriority w:val="99"/>
    <w:semiHidden/>
    <w:rsid w:val="005F04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04E2"/>
    <w:rPr>
      <w:b/>
      <w:bCs/>
    </w:rPr>
  </w:style>
  <w:style w:type="character" w:customStyle="1" w:styleId="CommentSubjectChar">
    <w:name w:val="Comment Subject Char"/>
    <w:link w:val="CommentSubject"/>
    <w:uiPriority w:val="99"/>
    <w:semiHidden/>
    <w:rsid w:val="005F04E2"/>
    <w:rPr>
      <w:rFonts w:ascii="Calibri" w:eastAsia="Calibri" w:hAnsi="Calibri" w:cs="Times New Roman"/>
      <w:b/>
      <w:bCs/>
      <w:sz w:val="20"/>
      <w:szCs w:val="20"/>
    </w:rPr>
  </w:style>
  <w:style w:type="character" w:styleId="Hyperlink">
    <w:name w:val="Hyperlink"/>
    <w:uiPriority w:val="99"/>
    <w:unhideWhenUsed/>
    <w:rsid w:val="000E61ED"/>
    <w:rPr>
      <w:color w:val="0000FF"/>
      <w:u w:val="single"/>
    </w:rPr>
  </w:style>
  <w:style w:type="paragraph" w:styleId="Revision">
    <w:name w:val="Revision"/>
    <w:hidden/>
    <w:uiPriority w:val="99"/>
    <w:semiHidden/>
    <w:rsid w:val="0084568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67922">
      <w:bodyDiv w:val="1"/>
      <w:marLeft w:val="0"/>
      <w:marRight w:val="0"/>
      <w:marTop w:val="0"/>
      <w:marBottom w:val="0"/>
      <w:divBdr>
        <w:top w:val="none" w:sz="0" w:space="0" w:color="auto"/>
        <w:left w:val="none" w:sz="0" w:space="0" w:color="auto"/>
        <w:bottom w:val="none" w:sz="0" w:space="0" w:color="auto"/>
        <w:right w:val="none" w:sz="0" w:space="0" w:color="auto"/>
      </w:divBdr>
    </w:div>
    <w:div w:id="470640162">
      <w:bodyDiv w:val="1"/>
      <w:marLeft w:val="0"/>
      <w:marRight w:val="0"/>
      <w:marTop w:val="0"/>
      <w:marBottom w:val="0"/>
      <w:divBdr>
        <w:top w:val="none" w:sz="0" w:space="0" w:color="auto"/>
        <w:left w:val="none" w:sz="0" w:space="0" w:color="auto"/>
        <w:bottom w:val="none" w:sz="0" w:space="0" w:color="auto"/>
        <w:right w:val="none" w:sz="0" w:space="0" w:color="auto"/>
      </w:divBdr>
    </w:div>
    <w:div w:id="12752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680DD-F6AA-472E-8AD3-C4BE0A2B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 Kuriyama</dc:creator>
  <cp:keywords/>
  <cp:lastModifiedBy>Denise Cheok Jia Yuan</cp:lastModifiedBy>
  <cp:revision>4</cp:revision>
  <cp:lastPrinted>2014-04-07T11:19:00Z</cp:lastPrinted>
  <dcterms:created xsi:type="dcterms:W3CDTF">2016-08-03T03:35:00Z</dcterms:created>
  <dcterms:modified xsi:type="dcterms:W3CDTF">2016-10-14T08:10:00Z</dcterms:modified>
</cp:coreProperties>
</file>