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08" w:rsidRDefault="000F6B08" w:rsidP="000F6B08">
      <w:pPr>
        <w:spacing w:after="0"/>
        <w:jc w:val="center"/>
        <w:rPr>
          <w:b/>
          <w:sz w:val="36"/>
          <w:szCs w:val="36"/>
        </w:rPr>
      </w:pPr>
      <w:bookmarkStart w:id="0" w:name="_GoBack"/>
      <w:r w:rsidRPr="009B1B3B">
        <w:rPr>
          <w:b/>
          <w:sz w:val="36"/>
          <w:szCs w:val="36"/>
        </w:rPr>
        <w:t xml:space="preserve">RHSC </w:t>
      </w:r>
      <w:r>
        <w:rPr>
          <w:b/>
          <w:sz w:val="36"/>
          <w:szCs w:val="36"/>
        </w:rPr>
        <w:t xml:space="preserve">Oct 2021 Virtual </w:t>
      </w:r>
      <w:r w:rsidRPr="009B1B3B">
        <w:rPr>
          <w:b/>
          <w:sz w:val="36"/>
          <w:szCs w:val="36"/>
        </w:rPr>
        <w:t>Meeting</w:t>
      </w:r>
      <w:r>
        <w:rPr>
          <w:b/>
          <w:sz w:val="36"/>
          <w:szCs w:val="36"/>
        </w:rPr>
        <w:t xml:space="preserve"> </w:t>
      </w:r>
      <w:r>
        <w:rPr>
          <w:b/>
          <w:sz w:val="36"/>
          <w:szCs w:val="36"/>
        </w:rPr>
        <w:t>Outcomes</w:t>
      </w:r>
    </w:p>
    <w:bookmarkEnd w:id="0"/>
    <w:p w:rsidR="000F6B08" w:rsidRPr="000F6B08" w:rsidRDefault="000F6B08" w:rsidP="000F6B08">
      <w:pPr>
        <w:spacing w:after="0"/>
        <w:jc w:val="both"/>
        <w:rPr>
          <w:szCs w:val="36"/>
        </w:rPr>
      </w:pPr>
    </w:p>
    <w:p w:rsidR="000F6B08" w:rsidRDefault="000F6B08" w:rsidP="000F6B08">
      <w:pPr>
        <w:rPr>
          <w:rFonts w:eastAsia="MS PGothic"/>
          <w:lang w:eastAsia="ja-JP"/>
        </w:rPr>
      </w:pPr>
      <w:r>
        <w:t>Dear RHSC Members and Affiliates,</w:t>
      </w:r>
    </w:p>
    <w:p w:rsidR="000F6B08" w:rsidRDefault="000F6B08" w:rsidP="000F6B08">
      <w:r>
        <w:t> </w:t>
      </w:r>
    </w:p>
    <w:p w:rsidR="000F6B08" w:rsidRDefault="000F6B08" w:rsidP="000F6B08">
      <w:r>
        <w:t>We greatly appreciate all of those who were able to participate in the virtual RHSC meeting this week. In spite of some challenging conditions, we are appreciative of the work that has continued and the enormous progress that we continue to make in promoting regulatory convergence in the region and beyond. We would like to share the meeting outcomes with you, and would appreciate your noting any deadlines that pertain to your party:</w:t>
      </w:r>
    </w:p>
    <w:p w:rsidR="000F6B08" w:rsidRDefault="000F6B08" w:rsidP="000F6B08">
      <w:r>
        <w:t> </w:t>
      </w:r>
    </w:p>
    <w:p w:rsidR="000F6B08" w:rsidRDefault="000F6B08" w:rsidP="000F6B08">
      <w:pPr>
        <w:numPr>
          <w:ilvl w:val="0"/>
          <w:numId w:val="1"/>
        </w:numPr>
        <w:spacing w:after="0" w:line="252" w:lineRule="auto"/>
        <w:contextualSpacing/>
        <w:rPr>
          <w:sz w:val="18"/>
          <w:szCs w:val="18"/>
        </w:rPr>
      </w:pPr>
      <w:r>
        <w:rPr>
          <w:b/>
          <w:bCs/>
          <w:sz w:val="24"/>
          <w:szCs w:val="24"/>
        </w:rPr>
        <w:t xml:space="preserve">All PWA Champions are encouraged to revise their roadmap using the new simplified template, including a review and updating of the training objectives, Core Curriculum, and library of </w:t>
      </w:r>
      <w:proofErr w:type="gramStart"/>
      <w:r>
        <w:rPr>
          <w:b/>
          <w:bCs/>
          <w:sz w:val="24"/>
          <w:szCs w:val="24"/>
        </w:rPr>
        <w:t>internationally-recognized</w:t>
      </w:r>
      <w:proofErr w:type="gramEnd"/>
      <w:r>
        <w:rPr>
          <w:b/>
          <w:bCs/>
          <w:sz w:val="24"/>
          <w:szCs w:val="24"/>
        </w:rPr>
        <w:t xml:space="preserve"> standards upon which the core curriculum is based. Most importantly, each PWA should develop several concrete, measurable KPIs to express our progress at transparent manner. The AHC will use them in collating and publishing our progress towards regulatory convergence. (Please see attached new roadmap template). PWA Champions are asked to submit the revised roadmap to the Secretariat in early-mid January 2022, for circulation to the RHSC and discussion at our next SOM-1 meeting in 2022 (Feb 2022 timeframe).</w:t>
      </w:r>
    </w:p>
    <w:p w:rsidR="000F6B08" w:rsidRDefault="000F6B08" w:rsidP="000F6B08">
      <w:pPr>
        <w:spacing w:line="252" w:lineRule="auto"/>
        <w:ind w:left="720"/>
        <w:contextualSpacing/>
        <w:rPr>
          <w:sz w:val="18"/>
          <w:szCs w:val="18"/>
        </w:rPr>
      </w:pPr>
    </w:p>
    <w:p w:rsidR="000F6B08" w:rsidRDefault="000F6B08" w:rsidP="000F6B08">
      <w:pPr>
        <w:numPr>
          <w:ilvl w:val="0"/>
          <w:numId w:val="1"/>
        </w:numPr>
        <w:spacing w:after="0" w:line="252" w:lineRule="auto"/>
        <w:contextualSpacing/>
        <w:rPr>
          <w:sz w:val="18"/>
          <w:szCs w:val="18"/>
        </w:rPr>
      </w:pPr>
      <w:r>
        <w:rPr>
          <w:b/>
          <w:bCs/>
          <w:sz w:val="24"/>
          <w:szCs w:val="24"/>
        </w:rPr>
        <w:t xml:space="preserve">PWA Champions </w:t>
      </w:r>
      <w:proofErr w:type="gramStart"/>
      <w:r>
        <w:rPr>
          <w:b/>
          <w:bCs/>
          <w:sz w:val="24"/>
          <w:szCs w:val="24"/>
        </w:rPr>
        <w:t>are reminded</w:t>
      </w:r>
      <w:proofErr w:type="gramEnd"/>
      <w:r>
        <w:rPr>
          <w:b/>
          <w:bCs/>
          <w:sz w:val="24"/>
          <w:szCs w:val="24"/>
        </w:rPr>
        <w:t xml:space="preserve"> to host a PWA Steering Committee meeting at least twice per year to keep documents updated and to share information across </w:t>
      </w:r>
      <w:proofErr w:type="spellStart"/>
      <w:r>
        <w:rPr>
          <w:b/>
          <w:bCs/>
          <w:sz w:val="24"/>
          <w:szCs w:val="24"/>
        </w:rPr>
        <w:t>CoEs</w:t>
      </w:r>
      <w:proofErr w:type="spellEnd"/>
      <w:r>
        <w:rPr>
          <w:b/>
          <w:bCs/>
          <w:sz w:val="24"/>
          <w:szCs w:val="24"/>
        </w:rPr>
        <w:t xml:space="preserve">.  </w:t>
      </w:r>
    </w:p>
    <w:p w:rsidR="000F6B08" w:rsidRDefault="000F6B08" w:rsidP="000F6B08">
      <w:pPr>
        <w:spacing w:line="252" w:lineRule="auto"/>
        <w:ind w:left="720"/>
        <w:contextualSpacing/>
        <w:rPr>
          <w:sz w:val="18"/>
          <w:szCs w:val="18"/>
        </w:rPr>
      </w:pPr>
    </w:p>
    <w:p w:rsidR="000F6B08" w:rsidRDefault="000F6B08" w:rsidP="000F6B08">
      <w:pPr>
        <w:numPr>
          <w:ilvl w:val="0"/>
          <w:numId w:val="1"/>
        </w:numPr>
        <w:spacing w:after="0" w:line="252" w:lineRule="auto"/>
        <w:contextualSpacing/>
        <w:rPr>
          <w:sz w:val="18"/>
          <w:szCs w:val="18"/>
        </w:rPr>
      </w:pPr>
      <w:r>
        <w:rPr>
          <w:b/>
          <w:bCs/>
          <w:sz w:val="24"/>
          <w:szCs w:val="24"/>
        </w:rPr>
        <w:t xml:space="preserve">There are several </w:t>
      </w:r>
      <w:proofErr w:type="spellStart"/>
      <w:r>
        <w:rPr>
          <w:b/>
          <w:bCs/>
          <w:sz w:val="24"/>
          <w:szCs w:val="24"/>
        </w:rPr>
        <w:t>CoEs</w:t>
      </w:r>
      <w:proofErr w:type="spellEnd"/>
      <w:r>
        <w:rPr>
          <w:b/>
          <w:bCs/>
          <w:sz w:val="24"/>
          <w:szCs w:val="24"/>
        </w:rPr>
        <w:t xml:space="preserve"> whose </w:t>
      </w:r>
      <w:proofErr w:type="gramStart"/>
      <w:r>
        <w:rPr>
          <w:b/>
          <w:bCs/>
          <w:sz w:val="24"/>
          <w:szCs w:val="24"/>
        </w:rPr>
        <w:t>5year</w:t>
      </w:r>
      <w:proofErr w:type="gramEnd"/>
      <w:r>
        <w:rPr>
          <w:b/>
          <w:bCs/>
          <w:sz w:val="24"/>
          <w:szCs w:val="24"/>
        </w:rPr>
        <w:t xml:space="preserve"> term is expiring in 2022. (Please see attached chart.) Affected PWA Champions should use the CoE Assessment Tool as a guide in reviewing the past performance of any CoE that wishes to renew their status. The PWA Champion(s) should contact the CoE Director to ask if the CoE wishes to renew for another 5-year term. If yes, please follow the procedure outlined in the attached CoE Assessment Tool. We suggest completing the process 1-2 months before the CoE expiration date.</w:t>
      </w:r>
    </w:p>
    <w:p w:rsidR="000F6B08" w:rsidRDefault="000F6B08" w:rsidP="000F6B08">
      <w:pPr>
        <w:spacing w:line="252" w:lineRule="auto"/>
        <w:rPr>
          <w:sz w:val="18"/>
          <w:szCs w:val="18"/>
        </w:rPr>
      </w:pPr>
    </w:p>
    <w:p w:rsidR="000F6B08" w:rsidRDefault="000F6B08" w:rsidP="000F6B08">
      <w:pPr>
        <w:numPr>
          <w:ilvl w:val="0"/>
          <w:numId w:val="1"/>
        </w:numPr>
        <w:spacing w:after="0" w:line="252" w:lineRule="auto"/>
        <w:contextualSpacing/>
        <w:rPr>
          <w:sz w:val="18"/>
          <w:szCs w:val="18"/>
        </w:rPr>
      </w:pPr>
      <w:r>
        <w:rPr>
          <w:b/>
          <w:bCs/>
          <w:sz w:val="24"/>
          <w:szCs w:val="24"/>
        </w:rPr>
        <w:t xml:space="preserve">Minor updates to the CoE Operating Model </w:t>
      </w:r>
      <w:proofErr w:type="gramStart"/>
      <w:r>
        <w:rPr>
          <w:b/>
          <w:bCs/>
          <w:sz w:val="24"/>
          <w:szCs w:val="24"/>
        </w:rPr>
        <w:t>will be circulated</w:t>
      </w:r>
      <w:proofErr w:type="gramEnd"/>
      <w:r>
        <w:rPr>
          <w:b/>
          <w:bCs/>
          <w:sz w:val="24"/>
          <w:szCs w:val="24"/>
        </w:rPr>
        <w:t xml:space="preserve"> in early 2022 for review and endorsement by the RHSC.</w:t>
      </w:r>
    </w:p>
    <w:p w:rsidR="000F6B08" w:rsidRDefault="000F6B08" w:rsidP="000F6B08">
      <w:pPr>
        <w:spacing w:line="252" w:lineRule="auto"/>
        <w:rPr>
          <w:sz w:val="18"/>
          <w:szCs w:val="18"/>
        </w:rPr>
      </w:pPr>
    </w:p>
    <w:p w:rsidR="000F6B08" w:rsidRDefault="000F6B08" w:rsidP="000F6B08">
      <w:pPr>
        <w:numPr>
          <w:ilvl w:val="0"/>
          <w:numId w:val="1"/>
        </w:numPr>
        <w:spacing w:after="0" w:line="252" w:lineRule="auto"/>
        <w:contextualSpacing/>
        <w:rPr>
          <w:sz w:val="18"/>
          <w:szCs w:val="18"/>
        </w:rPr>
      </w:pPr>
      <w:r>
        <w:rPr>
          <w:b/>
          <w:bCs/>
          <w:sz w:val="24"/>
          <w:szCs w:val="24"/>
        </w:rPr>
        <w:t>Based upon the information we heard from the PWAs, our Secretariat Serene has updated the 2021 CoE Workshop chart (attached), and created a new chart for 2022.  Please review and alert Serene to any needed revisions.</w:t>
      </w:r>
    </w:p>
    <w:p w:rsidR="000F6B08" w:rsidRDefault="000F6B08" w:rsidP="000F6B08">
      <w:pPr>
        <w:spacing w:line="252" w:lineRule="auto"/>
        <w:rPr>
          <w:sz w:val="18"/>
          <w:szCs w:val="18"/>
        </w:rPr>
      </w:pPr>
    </w:p>
    <w:p w:rsidR="000F6B08" w:rsidRDefault="000F6B08" w:rsidP="000F6B08">
      <w:pPr>
        <w:numPr>
          <w:ilvl w:val="0"/>
          <w:numId w:val="1"/>
        </w:numPr>
        <w:spacing w:after="0" w:line="252" w:lineRule="auto"/>
        <w:contextualSpacing/>
        <w:rPr>
          <w:sz w:val="18"/>
          <w:szCs w:val="18"/>
        </w:rPr>
      </w:pPr>
      <w:proofErr w:type="gramStart"/>
      <w:r>
        <w:rPr>
          <w:b/>
          <w:bCs/>
          <w:sz w:val="24"/>
          <w:szCs w:val="24"/>
        </w:rPr>
        <w:lastRenderedPageBreak/>
        <w:t>With regards to</w:t>
      </w:r>
      <w:proofErr w:type="gramEnd"/>
      <w:r>
        <w:rPr>
          <w:b/>
          <w:bCs/>
          <w:sz w:val="24"/>
          <w:szCs w:val="24"/>
        </w:rPr>
        <w:t xml:space="preserve"> the Rare Disease Network presentation, please send any ideas you might have on collaborations to the Co-Chairs and Serene for further consideration.</w:t>
      </w:r>
    </w:p>
    <w:p w:rsidR="000F6B08" w:rsidRDefault="000F6B08" w:rsidP="000F6B08">
      <w:pPr>
        <w:ind w:left="360"/>
        <w:rPr>
          <w:sz w:val="18"/>
          <w:szCs w:val="18"/>
        </w:rPr>
      </w:pPr>
      <w:r>
        <w:rPr>
          <w:b/>
          <w:bCs/>
          <w:sz w:val="24"/>
          <w:szCs w:val="24"/>
        </w:rPr>
        <w:t> </w:t>
      </w:r>
    </w:p>
    <w:p w:rsidR="000F6B08" w:rsidRDefault="000F6B08" w:rsidP="000F6B08">
      <w:pPr>
        <w:rPr>
          <w:sz w:val="18"/>
          <w:szCs w:val="18"/>
        </w:rPr>
      </w:pPr>
      <w:r>
        <w:rPr>
          <w:b/>
          <w:bCs/>
          <w:sz w:val="24"/>
          <w:szCs w:val="24"/>
        </w:rPr>
        <w:t>Attachments:</w:t>
      </w:r>
    </w:p>
    <w:p w:rsidR="000F6B08" w:rsidRDefault="000F6B08" w:rsidP="000F6B08">
      <w:pPr>
        <w:numPr>
          <w:ilvl w:val="0"/>
          <w:numId w:val="1"/>
        </w:numPr>
        <w:spacing w:line="252" w:lineRule="auto"/>
        <w:contextualSpacing/>
        <w:rPr>
          <w:sz w:val="18"/>
          <w:szCs w:val="18"/>
        </w:rPr>
      </w:pPr>
      <w:r>
        <w:rPr>
          <w:b/>
          <w:bCs/>
          <w:sz w:val="24"/>
          <w:szCs w:val="24"/>
        </w:rPr>
        <w:t>New Roadmap Template</w:t>
      </w:r>
    </w:p>
    <w:p w:rsidR="000F6B08" w:rsidRDefault="000F6B08" w:rsidP="000F6B08">
      <w:pPr>
        <w:numPr>
          <w:ilvl w:val="0"/>
          <w:numId w:val="1"/>
        </w:numPr>
        <w:spacing w:line="252" w:lineRule="auto"/>
        <w:contextualSpacing/>
        <w:rPr>
          <w:sz w:val="18"/>
          <w:szCs w:val="18"/>
        </w:rPr>
      </w:pPr>
      <w:r>
        <w:rPr>
          <w:b/>
          <w:bCs/>
          <w:sz w:val="24"/>
          <w:szCs w:val="24"/>
        </w:rPr>
        <w:t>CoE MOU 2022 expiration chart</w:t>
      </w:r>
    </w:p>
    <w:p w:rsidR="000F6B08" w:rsidRDefault="000F6B08" w:rsidP="000F6B08">
      <w:pPr>
        <w:numPr>
          <w:ilvl w:val="0"/>
          <w:numId w:val="1"/>
        </w:numPr>
        <w:spacing w:line="252" w:lineRule="auto"/>
        <w:contextualSpacing/>
        <w:rPr>
          <w:sz w:val="18"/>
          <w:szCs w:val="18"/>
        </w:rPr>
      </w:pPr>
      <w:r>
        <w:rPr>
          <w:b/>
          <w:bCs/>
          <w:sz w:val="24"/>
          <w:szCs w:val="24"/>
        </w:rPr>
        <w:t>CoE Assessment Tool</w:t>
      </w:r>
    </w:p>
    <w:p w:rsidR="000F6B08" w:rsidRDefault="000F6B08" w:rsidP="000F6B08">
      <w:pPr>
        <w:numPr>
          <w:ilvl w:val="0"/>
          <w:numId w:val="1"/>
        </w:numPr>
        <w:spacing w:line="252" w:lineRule="auto"/>
        <w:contextualSpacing/>
        <w:rPr>
          <w:sz w:val="18"/>
          <w:szCs w:val="18"/>
        </w:rPr>
      </w:pPr>
      <w:r>
        <w:rPr>
          <w:b/>
          <w:bCs/>
          <w:sz w:val="24"/>
          <w:szCs w:val="24"/>
        </w:rPr>
        <w:t>CoE Operating Model</w:t>
      </w:r>
    </w:p>
    <w:p w:rsidR="000F6B08" w:rsidRDefault="000F6B08" w:rsidP="000F6B08">
      <w:pPr>
        <w:numPr>
          <w:ilvl w:val="0"/>
          <w:numId w:val="1"/>
        </w:numPr>
        <w:spacing w:line="252" w:lineRule="auto"/>
        <w:contextualSpacing/>
        <w:rPr>
          <w:sz w:val="18"/>
          <w:szCs w:val="18"/>
        </w:rPr>
      </w:pPr>
      <w:r>
        <w:rPr>
          <w:b/>
          <w:bCs/>
          <w:sz w:val="24"/>
          <w:szCs w:val="24"/>
        </w:rPr>
        <w:t>2021 CoE workshop chart</w:t>
      </w:r>
    </w:p>
    <w:p w:rsidR="000F6B08" w:rsidRDefault="000F6B08" w:rsidP="000F6B08">
      <w:pPr>
        <w:numPr>
          <w:ilvl w:val="0"/>
          <w:numId w:val="1"/>
        </w:numPr>
        <w:spacing w:line="252" w:lineRule="auto"/>
        <w:contextualSpacing/>
        <w:rPr>
          <w:sz w:val="18"/>
          <w:szCs w:val="18"/>
        </w:rPr>
      </w:pPr>
      <w:r>
        <w:rPr>
          <w:b/>
          <w:bCs/>
          <w:sz w:val="24"/>
          <w:szCs w:val="24"/>
        </w:rPr>
        <w:t>2022 CoE workshop chart</w:t>
      </w:r>
    </w:p>
    <w:p w:rsidR="000F6B08" w:rsidRDefault="000F6B08" w:rsidP="000F6B08"/>
    <w:p w:rsidR="000F6B08" w:rsidRDefault="000F6B08" w:rsidP="000F6B08">
      <w:r>
        <w:t>With kind regards to all,</w:t>
      </w:r>
    </w:p>
    <w:p w:rsidR="000F6B08" w:rsidRDefault="000F6B08" w:rsidP="000F6B08"/>
    <w:p w:rsidR="000F6B08" w:rsidRDefault="000F6B08" w:rsidP="000F6B08">
      <w:r>
        <w:t xml:space="preserve">Dr Michelle Limoli and Dr </w:t>
      </w:r>
      <w:proofErr w:type="spellStart"/>
      <w:r>
        <w:t>Nobumasa</w:t>
      </w:r>
      <w:proofErr w:type="spellEnd"/>
      <w:r>
        <w:t xml:space="preserve"> Nakashima</w:t>
      </w:r>
    </w:p>
    <w:p w:rsidR="000F6B08" w:rsidRDefault="000F6B08" w:rsidP="000F6B08">
      <w:r>
        <w:t>RHSC Co-Chairs</w:t>
      </w:r>
    </w:p>
    <w:p w:rsidR="00E23BC9" w:rsidRDefault="00E23BC9"/>
    <w:sectPr w:rsidR="00E23B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10" w:rsidRDefault="00027610" w:rsidP="000F6B08">
      <w:pPr>
        <w:spacing w:after="0" w:line="240" w:lineRule="auto"/>
      </w:pPr>
      <w:r>
        <w:separator/>
      </w:r>
    </w:p>
  </w:endnote>
  <w:endnote w:type="continuationSeparator" w:id="0">
    <w:p w:rsidR="00027610" w:rsidRDefault="00027610" w:rsidP="000F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10" w:rsidRDefault="00027610" w:rsidP="000F6B08">
      <w:pPr>
        <w:spacing w:after="0" w:line="240" w:lineRule="auto"/>
      </w:pPr>
      <w:r>
        <w:separator/>
      </w:r>
    </w:p>
  </w:footnote>
  <w:footnote w:type="continuationSeparator" w:id="0">
    <w:p w:rsidR="00027610" w:rsidRDefault="00027610" w:rsidP="000F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08" w:rsidRDefault="000F6B08" w:rsidP="000F6B08">
    <w:pPr>
      <w:pStyle w:val="Header"/>
      <w:rPr>
        <w:rFonts w:ascii="Copperplate Gothic Light" w:hAnsi="Copperplate Gothic Light"/>
        <w:szCs w:val="18"/>
      </w:rPr>
    </w:pPr>
    <w:r>
      <w:rPr>
        <w:noProof/>
        <w:lang w:val="en-SG" w:eastAsia="zh-CN"/>
      </w:rPr>
      <w:drawing>
        <wp:anchor distT="0" distB="0" distL="114300" distR="114300" simplePos="0" relativeHeight="251660288" behindDoc="1" locked="0" layoutInCell="1" allowOverlap="1" wp14:anchorId="0214BD15" wp14:editId="70A66EFF">
          <wp:simplePos x="0" y="0"/>
          <wp:positionH relativeFrom="column">
            <wp:posOffset>4711065</wp:posOffset>
          </wp:positionH>
          <wp:positionV relativeFrom="paragraph">
            <wp:posOffset>10160</wp:posOffset>
          </wp:positionV>
          <wp:extent cx="82296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72770"/>
                  </a:xfrm>
                  <a:prstGeom prst="rect">
                    <a:avLst/>
                  </a:prstGeom>
                  <a:noFill/>
                </pic:spPr>
              </pic:pic>
            </a:graphicData>
          </a:graphic>
          <wp14:sizeRelH relativeFrom="page">
            <wp14:pctWidth>0</wp14:pctWidth>
          </wp14:sizeRelH>
          <wp14:sizeRelV relativeFrom="page">
            <wp14:pctHeight>0</wp14:pctHeight>
          </wp14:sizeRelV>
        </wp:anchor>
      </w:drawing>
    </w:r>
    <w:r w:rsidRPr="00552AFF">
      <w:rPr>
        <w:rFonts w:eastAsia="Malgun Gothic" w:hint="eastAsia"/>
        <w:b/>
        <w:noProof/>
        <w:sz w:val="28"/>
        <w:lang w:val="en-SG" w:eastAsia="zh-CN"/>
      </w:rPr>
      <w:drawing>
        <wp:anchor distT="0" distB="0" distL="114300" distR="114300" simplePos="0" relativeHeight="251659264" behindDoc="0" locked="0" layoutInCell="1" allowOverlap="1" wp14:anchorId="3BFD1876" wp14:editId="77A03FF4">
          <wp:simplePos x="0" y="0"/>
          <wp:positionH relativeFrom="column">
            <wp:posOffset>149860</wp:posOffset>
          </wp:positionH>
          <wp:positionV relativeFrom="paragraph">
            <wp:posOffset>4445</wp:posOffset>
          </wp:positionV>
          <wp:extent cx="895350" cy="539037"/>
          <wp:effectExtent l="0" t="0" r="0" b="0"/>
          <wp:wrapNone/>
          <wp:docPr id="2" name="Picture 2" descr="APEC 로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로고"/>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350" cy="53903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F6B08" w:rsidRDefault="000F6B08" w:rsidP="000F6B08">
    <w:pPr>
      <w:pStyle w:val="Header"/>
      <w:jc w:val="center"/>
      <w:rPr>
        <w:rFonts w:ascii="Copperplate Gothic Light" w:hAnsi="Copperplate Gothic Light"/>
        <w:szCs w:val="18"/>
      </w:rPr>
    </w:pPr>
    <w:proofErr w:type="spellStart"/>
    <w:proofErr w:type="gramStart"/>
    <w:r>
      <w:rPr>
        <w:rFonts w:ascii="Copperplate Gothic Light" w:hAnsi="Copperplate Gothic Light"/>
        <w:szCs w:val="18"/>
      </w:rPr>
      <w:t>apec</w:t>
    </w:r>
    <w:proofErr w:type="spellEnd"/>
    <w:proofErr w:type="gramEnd"/>
    <w:r>
      <w:rPr>
        <w:rFonts w:ascii="Copperplate Gothic Light" w:hAnsi="Copperplate Gothic Light"/>
        <w:szCs w:val="18"/>
      </w:rPr>
      <w:t xml:space="preserve"> Life Sciences Innovation forum</w:t>
    </w:r>
  </w:p>
  <w:p w:rsidR="000F6B08" w:rsidRDefault="000F6B08" w:rsidP="000F6B08">
    <w:pPr>
      <w:pStyle w:val="Header"/>
      <w:jc w:val="center"/>
      <w:rPr>
        <w:rFonts w:ascii="Copperplate Gothic Light" w:hAnsi="Copperplate Gothic Light"/>
        <w:sz w:val="18"/>
        <w:szCs w:val="18"/>
      </w:rPr>
    </w:pPr>
    <w:r w:rsidRPr="00552AFF">
      <w:rPr>
        <w:rFonts w:ascii="Copperplate Gothic Light" w:hAnsi="Copperplate Gothic Light"/>
        <w:szCs w:val="18"/>
      </w:rPr>
      <w:t>Regulatory harmonization steering committee</w:t>
    </w:r>
  </w:p>
  <w:p w:rsidR="000F6B08" w:rsidRDefault="000F6B08" w:rsidP="000F6B08">
    <w:pPr>
      <w:pStyle w:val="Header"/>
      <w:jc w:val="center"/>
      <w:rPr>
        <w:rFonts w:ascii="Copperplate Gothic Light" w:hAnsi="Copperplate Gothic Light"/>
        <w:sz w:val="18"/>
        <w:szCs w:val="18"/>
      </w:rPr>
    </w:pPr>
  </w:p>
  <w:p w:rsidR="000F6B08" w:rsidRPr="00B01F85" w:rsidRDefault="000F6B08" w:rsidP="000F6B08">
    <w:pPr>
      <w:pStyle w:val="Header"/>
      <w:jc w:val="center"/>
      <w:rPr>
        <w:sz w:val="18"/>
        <w:szCs w:val="18"/>
      </w:rPr>
    </w:pPr>
    <w:r>
      <w:rPr>
        <w:rFonts w:ascii="Copperplate Gothic Light" w:hAnsi="Copperplate Gothic Light"/>
        <w:noProof/>
        <w:sz w:val="18"/>
        <w:szCs w:val="18"/>
        <w:lang w:val="en-SG" w:eastAsia="zh-CN"/>
      </w:rPr>
      <w:drawing>
        <wp:inline distT="0" distB="0" distL="0" distR="0" wp14:anchorId="59C272B8" wp14:editId="13B7D915">
          <wp:extent cx="5731510" cy="323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31510" cy="32385"/>
                  </a:xfrm>
                  <a:prstGeom prst="rect">
                    <a:avLst/>
                  </a:prstGeom>
                  <a:noFill/>
                </pic:spPr>
              </pic:pic>
            </a:graphicData>
          </a:graphic>
        </wp:inline>
      </w:drawing>
    </w:r>
  </w:p>
  <w:p w:rsidR="000F6B08" w:rsidRDefault="000F6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60E"/>
    <w:multiLevelType w:val="hybridMultilevel"/>
    <w:tmpl w:val="BA84FE68"/>
    <w:lvl w:ilvl="0" w:tplc="BF4679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08"/>
    <w:rsid w:val="00027610"/>
    <w:rsid w:val="000F6B08"/>
    <w:rsid w:val="00E23BC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684C"/>
  <w15:chartTrackingRefBased/>
  <w15:docId w15:val="{5A02B990-2361-4960-9B1A-31A364C3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08"/>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B08"/>
  </w:style>
  <w:style w:type="paragraph" w:styleId="Footer">
    <w:name w:val="footer"/>
    <w:basedOn w:val="Normal"/>
    <w:link w:val="FooterChar"/>
    <w:uiPriority w:val="99"/>
    <w:unhideWhenUsed/>
    <w:rsid w:val="000F6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9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RHSC_Secretariat-CoRE</dc:creator>
  <cp:keywords/>
  <dc:description/>
  <cp:lastModifiedBy>RHSC_Secretariat-CoRE</cp:lastModifiedBy>
  <cp:revision>1</cp:revision>
  <dcterms:created xsi:type="dcterms:W3CDTF">2021-10-28T04:23:00Z</dcterms:created>
  <dcterms:modified xsi:type="dcterms:W3CDTF">2021-10-28T04:24:00Z</dcterms:modified>
</cp:coreProperties>
</file>