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2" w:type="dxa"/>
        <w:tblInd w:w="91" w:type="dxa"/>
        <w:tblLook w:val="04A0" w:firstRow="1" w:lastRow="0" w:firstColumn="1" w:lastColumn="0" w:noHBand="0" w:noVBand="1"/>
      </w:tblPr>
      <w:tblGrid>
        <w:gridCol w:w="674"/>
        <w:gridCol w:w="8788"/>
      </w:tblGrid>
      <w:tr w:rsidR="00D82832" w:rsidRPr="001B3EEA" w14:paraId="0D962D9E" w14:textId="77777777" w:rsidTr="00051D88">
        <w:trPr>
          <w:trHeight w:val="330"/>
        </w:trPr>
        <w:tc>
          <w:tcPr>
            <w:tcW w:w="6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14:paraId="2D68190F" w14:textId="5E361171" w:rsidR="00D82832" w:rsidRPr="004265A5" w:rsidRDefault="00D82832" w:rsidP="00D57808">
            <w:pPr>
              <w:jc w:val="both"/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D82832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Indonesia’s </w:t>
            </w:r>
            <w:r w:rsidR="00653AB0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Bogor Goals Progress Report</w:t>
            </w:r>
            <w:r w:rsidR="00A66A22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(as at </w:t>
            </w:r>
            <w:r w:rsidR="002B246C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30 </w:t>
            </w:r>
            <w:r w:rsidR="00D57808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September</w:t>
            </w:r>
            <w:bookmarkStart w:id="0" w:name="_GoBack"/>
            <w:bookmarkEnd w:id="0"/>
            <w:r w:rsidR="00671301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 xml:space="preserve"> 201</w:t>
            </w:r>
            <w:r w:rsidR="0034768C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6</w:t>
            </w:r>
            <w:r w:rsidR="00671301">
              <w:rPr>
                <w:rFonts w:ascii="Times New Roman" w:eastAsia="Times New Roman" w:hAnsi="Times New Roman"/>
                <w:b/>
                <w:bCs/>
                <w:color w:val="FFFFFF"/>
                <w:sz w:val="28"/>
                <w:szCs w:val="28"/>
              </w:rPr>
              <w:t>)</w:t>
            </w:r>
            <w:r w:rsidRPr="00D82832">
              <w:rPr>
                <w:rFonts w:eastAsia="Times New Roman"/>
                <w:bCs/>
                <w:color w:val="FFFFFF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</w:tr>
      <w:tr w:rsidR="00D82832" w:rsidRPr="001B3EEA" w14:paraId="6F952138" w14:textId="77777777" w:rsidTr="00051D88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5560BFB8" w14:textId="77777777" w:rsidR="00D82832" w:rsidRPr="001B3EEA" w:rsidRDefault="00D82832" w:rsidP="00051D8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3EE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7BA7CDF5" w14:textId="77777777" w:rsidR="00D82832" w:rsidRPr="001B3EEA" w:rsidRDefault="00D82832" w:rsidP="00051D88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Highlights of Achievements and Areas for Improvement</w:t>
            </w:r>
          </w:p>
        </w:tc>
      </w:tr>
    </w:tbl>
    <w:p w14:paraId="47284CDE" w14:textId="77777777" w:rsidR="00FC5AC1" w:rsidRDefault="00FC5AC1" w:rsidP="008D6BF2">
      <w:pPr>
        <w:jc w:val="both"/>
        <w:rPr>
          <w:rFonts w:ascii="Times New Roman" w:hAnsi="Times New Roman"/>
          <w:sz w:val="24"/>
          <w:szCs w:val="24"/>
        </w:rPr>
      </w:pPr>
    </w:p>
    <w:p w14:paraId="7019AD4C" w14:textId="77777777" w:rsidR="009A5DEB" w:rsidRDefault="00323076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62414">
        <w:rPr>
          <w:rFonts w:ascii="Times New Roman" w:hAnsi="Times New Roman"/>
          <w:sz w:val="24"/>
          <w:szCs w:val="24"/>
        </w:rPr>
        <w:t>Indonesia’s simple avera</w:t>
      </w:r>
      <w:r w:rsidR="00E62414">
        <w:rPr>
          <w:rFonts w:ascii="Times New Roman" w:hAnsi="Times New Roman"/>
          <w:sz w:val="24"/>
          <w:szCs w:val="24"/>
        </w:rPr>
        <w:t>ge MFN tariff rate is equal to 6</w:t>
      </w:r>
      <w:r w:rsidRPr="00E62414">
        <w:rPr>
          <w:rFonts w:ascii="Times New Roman" w:hAnsi="Times New Roman"/>
          <w:sz w:val="24"/>
          <w:szCs w:val="24"/>
        </w:rPr>
        <w:t>.</w:t>
      </w:r>
      <w:r w:rsidR="00E62414">
        <w:rPr>
          <w:rFonts w:ascii="Times New Roman" w:hAnsi="Times New Roman"/>
          <w:sz w:val="24"/>
          <w:szCs w:val="24"/>
        </w:rPr>
        <w:t>9%</w:t>
      </w:r>
      <w:r w:rsidRPr="00E62414">
        <w:rPr>
          <w:rFonts w:ascii="Times New Roman" w:hAnsi="Times New Roman"/>
          <w:sz w:val="24"/>
          <w:szCs w:val="24"/>
        </w:rPr>
        <w:t>. However, MFN tariff peaks for some agricultural products above 40</w:t>
      </w:r>
      <w:r w:rsidR="00BC126A">
        <w:rPr>
          <w:rFonts w:ascii="Times New Roman" w:hAnsi="Times New Roman"/>
          <w:sz w:val="24"/>
          <w:szCs w:val="24"/>
        </w:rPr>
        <w:t>%</w:t>
      </w:r>
      <w:r w:rsidRPr="00E62414">
        <w:rPr>
          <w:rFonts w:ascii="Times New Roman" w:hAnsi="Times New Roman"/>
          <w:sz w:val="24"/>
          <w:szCs w:val="24"/>
        </w:rPr>
        <w:t xml:space="preserve"> still remain.</w:t>
      </w:r>
    </w:p>
    <w:p w14:paraId="241A35D8" w14:textId="77777777" w:rsidR="000843F1" w:rsidRDefault="000843F1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Quantitative restrictions for imports and exports remain in place for some products in order to protect domestic industry</w:t>
      </w:r>
      <w:r w:rsidR="00BC126A">
        <w:rPr>
          <w:rFonts w:ascii="Times New Roman" w:hAnsi="Times New Roman"/>
          <w:sz w:val="24"/>
          <w:szCs w:val="24"/>
        </w:rPr>
        <w:t>.</w:t>
      </w:r>
    </w:p>
    <w:p w14:paraId="1C90756A" w14:textId="1B4B4AF8" w:rsidR="000843F1" w:rsidRDefault="000843F1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Mixed measures in liberalizing services with more open policies in </w:t>
      </w:r>
      <w:r w:rsidR="0026083B">
        <w:rPr>
          <w:rFonts w:ascii="Times New Roman" w:hAnsi="Times New Roman"/>
          <w:sz w:val="24"/>
          <w:szCs w:val="24"/>
        </w:rPr>
        <w:t xml:space="preserve">some </w:t>
      </w:r>
      <w:r>
        <w:rPr>
          <w:rFonts w:ascii="Times New Roman" w:hAnsi="Times New Roman"/>
          <w:sz w:val="24"/>
          <w:szCs w:val="24"/>
        </w:rPr>
        <w:t xml:space="preserve">communications and informatics </w:t>
      </w:r>
      <w:r w:rsidR="0026083B">
        <w:rPr>
          <w:rFonts w:ascii="Times New Roman" w:hAnsi="Times New Roman"/>
          <w:sz w:val="24"/>
          <w:szCs w:val="24"/>
        </w:rPr>
        <w:t>sub-</w:t>
      </w:r>
      <w:r>
        <w:rPr>
          <w:rFonts w:ascii="Times New Roman" w:hAnsi="Times New Roman"/>
          <w:sz w:val="24"/>
          <w:szCs w:val="24"/>
        </w:rPr>
        <w:t>sectors</w:t>
      </w:r>
      <w:r w:rsidR="002608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6083B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ess favorable </w:t>
      </w:r>
      <w:r w:rsidR="00661164">
        <w:rPr>
          <w:rFonts w:ascii="Times New Roman" w:hAnsi="Times New Roman"/>
          <w:sz w:val="24"/>
          <w:szCs w:val="24"/>
        </w:rPr>
        <w:t xml:space="preserve">policies </w:t>
      </w:r>
      <w:r w:rsidR="0026083B">
        <w:rPr>
          <w:rFonts w:ascii="Times New Roman" w:hAnsi="Times New Roman"/>
          <w:sz w:val="24"/>
          <w:szCs w:val="24"/>
        </w:rPr>
        <w:t xml:space="preserve">in </w:t>
      </w:r>
      <w:r w:rsidR="00661164">
        <w:rPr>
          <w:rFonts w:ascii="Times New Roman" w:hAnsi="Times New Roman"/>
          <w:sz w:val="24"/>
          <w:szCs w:val="24"/>
        </w:rPr>
        <w:t>construction, and insurance services.</w:t>
      </w:r>
    </w:p>
    <w:p w14:paraId="6CF52418" w14:textId="7368F60F" w:rsidR="00661164" w:rsidRDefault="00FD59A3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Relaxed restrictions on foreign investments</w:t>
      </w:r>
      <w:r w:rsidR="0026083B">
        <w:rPr>
          <w:rFonts w:ascii="Times New Roman" w:hAnsi="Times New Roman"/>
          <w:sz w:val="24"/>
          <w:szCs w:val="24"/>
        </w:rPr>
        <w:t>. However, investment licenses could take a year to be approved. E</w:t>
      </w:r>
      <w:r w:rsidR="00D22E2B">
        <w:rPr>
          <w:rFonts w:ascii="Times New Roman" w:hAnsi="Times New Roman"/>
          <w:sz w:val="24"/>
          <w:szCs w:val="24"/>
        </w:rPr>
        <w:t>fforts in setting up special economic zones</w:t>
      </w:r>
      <w:r w:rsidR="0026083B">
        <w:rPr>
          <w:rFonts w:ascii="Times New Roman" w:hAnsi="Times New Roman"/>
          <w:sz w:val="24"/>
          <w:szCs w:val="24"/>
        </w:rPr>
        <w:t xml:space="preserve">. </w:t>
      </w:r>
    </w:p>
    <w:p w14:paraId="13769C97" w14:textId="54D506A9" w:rsidR="00FD59A3" w:rsidRDefault="0012612B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Concerns on technical regulations remain.</w:t>
      </w:r>
    </w:p>
    <w:p w14:paraId="486207AD" w14:textId="065F340E" w:rsidR="0012612B" w:rsidRDefault="00C1206A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Efforts to facilitate customs procedures. </w:t>
      </w:r>
      <w:r w:rsidR="001302CD">
        <w:rPr>
          <w:rFonts w:ascii="Times New Roman" w:hAnsi="Times New Roman"/>
          <w:sz w:val="24"/>
          <w:szCs w:val="24"/>
        </w:rPr>
        <w:t>An Authorized Economic Operator program was implemented</w:t>
      </w:r>
      <w:r>
        <w:rPr>
          <w:rFonts w:ascii="Times New Roman" w:hAnsi="Times New Roman"/>
          <w:sz w:val="24"/>
          <w:szCs w:val="24"/>
        </w:rPr>
        <w:t xml:space="preserve"> and the</w:t>
      </w:r>
      <w:r w:rsidR="001302CD">
        <w:rPr>
          <w:rFonts w:ascii="Times New Roman" w:hAnsi="Times New Roman"/>
          <w:sz w:val="24"/>
          <w:szCs w:val="24"/>
        </w:rPr>
        <w:t xml:space="preserve"> National Single Window</w:t>
      </w:r>
      <w:r>
        <w:rPr>
          <w:rFonts w:ascii="Times New Roman" w:hAnsi="Times New Roman"/>
          <w:sz w:val="24"/>
          <w:szCs w:val="24"/>
        </w:rPr>
        <w:t xml:space="preserve"> was launched</w:t>
      </w:r>
      <w:r w:rsidR="001302CD">
        <w:rPr>
          <w:rFonts w:ascii="Times New Roman" w:hAnsi="Times New Roman"/>
          <w:sz w:val="24"/>
          <w:szCs w:val="24"/>
        </w:rPr>
        <w:t>.</w:t>
      </w:r>
    </w:p>
    <w:p w14:paraId="73CD41E0" w14:textId="77777777" w:rsidR="001302CD" w:rsidRDefault="001302CD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integrated system was established to protect a wider range of intellectual properties include patents, trademarks and industrial designs.</w:t>
      </w:r>
    </w:p>
    <w:p w14:paraId="246519E6" w14:textId="3989637E" w:rsidR="001302CD" w:rsidRDefault="001302CD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More coordination among regulators and ministries to integrate</w:t>
      </w:r>
      <w:r w:rsidR="00C1206A">
        <w:rPr>
          <w:rFonts w:ascii="Times New Roman" w:hAnsi="Times New Roman"/>
          <w:sz w:val="24"/>
          <w:szCs w:val="24"/>
        </w:rPr>
        <w:t xml:space="preserve"> competition policy</w:t>
      </w:r>
      <w:r>
        <w:rPr>
          <w:rFonts w:ascii="Times New Roman" w:hAnsi="Times New Roman"/>
          <w:sz w:val="24"/>
          <w:szCs w:val="24"/>
        </w:rPr>
        <w:t xml:space="preserve"> principles to regional policies.</w:t>
      </w:r>
    </w:p>
    <w:p w14:paraId="559F5935" w14:textId="77777777" w:rsidR="001302CD" w:rsidRDefault="006D2191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Government procurement policies still largely favor domestic suppliers.</w:t>
      </w:r>
    </w:p>
    <w:p w14:paraId="5D2E1920" w14:textId="6C040E4A" w:rsidR="006D2191" w:rsidRPr="00E62414" w:rsidRDefault="001E5649" w:rsidP="0032307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Visitors from m</w:t>
      </w:r>
      <w:r w:rsidR="00931243">
        <w:rPr>
          <w:rFonts w:ascii="Times New Roman" w:hAnsi="Times New Roman"/>
          <w:sz w:val="24"/>
          <w:szCs w:val="24"/>
        </w:rPr>
        <w:t>ore countries have been granted visa-free entry</w:t>
      </w:r>
      <w:r w:rsidR="00C1206A">
        <w:rPr>
          <w:rFonts w:ascii="Times New Roman" w:hAnsi="Times New Roman"/>
          <w:sz w:val="24"/>
          <w:szCs w:val="24"/>
        </w:rPr>
        <w:t xml:space="preserve"> to Indonesia</w:t>
      </w:r>
      <w:r w:rsidR="00931243">
        <w:rPr>
          <w:rFonts w:ascii="Times New Roman" w:hAnsi="Times New Roman"/>
          <w:sz w:val="24"/>
          <w:szCs w:val="24"/>
        </w:rPr>
        <w:t>.</w:t>
      </w:r>
    </w:p>
    <w:p w14:paraId="4C86B66B" w14:textId="77777777" w:rsidR="00001B25" w:rsidRDefault="00001B25" w:rsidP="00001B2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9462" w:type="dxa"/>
        <w:tblInd w:w="91" w:type="dxa"/>
        <w:tblLook w:val="04A0" w:firstRow="1" w:lastRow="0" w:firstColumn="1" w:lastColumn="0" w:noHBand="0" w:noVBand="1"/>
      </w:tblPr>
      <w:tblGrid>
        <w:gridCol w:w="674"/>
        <w:gridCol w:w="8788"/>
      </w:tblGrid>
      <w:tr w:rsidR="00D82832" w:rsidRPr="001B3EEA" w14:paraId="2877ECFA" w14:textId="77777777" w:rsidTr="00001B25">
        <w:trPr>
          <w:trHeight w:val="31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6710FFE2" w14:textId="77777777" w:rsidR="00D82832" w:rsidRPr="001B3EEA" w:rsidRDefault="00D82832" w:rsidP="00051D8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1B3EEA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bottom"/>
            <w:hideMark/>
          </w:tcPr>
          <w:p w14:paraId="12357937" w14:textId="77777777" w:rsidR="00D82832" w:rsidRPr="001B3EEA" w:rsidRDefault="00D82832" w:rsidP="00E134B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Summary of </w:t>
            </w:r>
            <w:r w:rsidR="00E134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Topics</w:t>
            </w:r>
          </w:p>
        </w:tc>
      </w:tr>
    </w:tbl>
    <w:p w14:paraId="1BCAFCED" w14:textId="77777777" w:rsidR="00312BBA" w:rsidRDefault="00312BBA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14:paraId="5555DC39" w14:textId="77777777" w:rsidR="00D82832" w:rsidRPr="00D82832" w:rsidRDefault="00FC5AC1" w:rsidP="008D6BF2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Tariffs</w:t>
      </w:r>
      <w:r w:rsidR="008D6BF2" w:rsidRPr="00D82832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</w:p>
    <w:p w14:paraId="59EE6586" w14:textId="7E6F1DD9" w:rsidR="0034768C" w:rsidRDefault="008458D8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2014, the </w:t>
      </w:r>
      <w:r w:rsidR="00EB065F">
        <w:rPr>
          <w:rFonts w:ascii="Times New Roman" w:hAnsi="Times New Roman"/>
          <w:sz w:val="24"/>
          <w:szCs w:val="24"/>
        </w:rPr>
        <w:t>si</w:t>
      </w:r>
      <w:r w:rsidR="00241D7D">
        <w:rPr>
          <w:rFonts w:ascii="Times New Roman" w:hAnsi="Times New Roman"/>
          <w:sz w:val="24"/>
          <w:szCs w:val="24"/>
        </w:rPr>
        <w:t xml:space="preserve">mple average MFN tariff rate was </w:t>
      </w:r>
      <w:r w:rsidR="00897CE1">
        <w:rPr>
          <w:rFonts w:ascii="Times New Roman" w:hAnsi="Times New Roman"/>
          <w:sz w:val="24"/>
          <w:szCs w:val="24"/>
        </w:rPr>
        <w:t>equal to</w:t>
      </w:r>
      <w:r w:rsidR="00241D7D">
        <w:rPr>
          <w:rFonts w:ascii="Times New Roman" w:hAnsi="Times New Roman"/>
          <w:sz w:val="24"/>
          <w:szCs w:val="24"/>
        </w:rPr>
        <w:t xml:space="preserve"> 6.9%. 12.7% of MFN applied tariff lines are duty-free</w:t>
      </w:r>
      <w:r w:rsidR="00A228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A228C6">
        <w:rPr>
          <w:rFonts w:ascii="Times New Roman" w:hAnsi="Times New Roman"/>
          <w:sz w:val="24"/>
          <w:szCs w:val="24"/>
        </w:rPr>
        <w:t xml:space="preserve">more than half of </w:t>
      </w:r>
      <w:r w:rsidR="00897CE1">
        <w:rPr>
          <w:rFonts w:ascii="Times New Roman" w:hAnsi="Times New Roman"/>
          <w:sz w:val="24"/>
          <w:szCs w:val="24"/>
        </w:rPr>
        <w:t>the</w:t>
      </w:r>
      <w:r w:rsidR="00A228C6">
        <w:rPr>
          <w:rFonts w:ascii="Times New Roman" w:hAnsi="Times New Roman"/>
          <w:sz w:val="24"/>
          <w:szCs w:val="24"/>
        </w:rPr>
        <w:t xml:space="preserve"> lines are subject to </w:t>
      </w:r>
      <w:r>
        <w:rPr>
          <w:rFonts w:ascii="Times New Roman" w:hAnsi="Times New Roman"/>
          <w:sz w:val="24"/>
          <w:szCs w:val="24"/>
        </w:rPr>
        <w:t xml:space="preserve">tariffs equal to </w:t>
      </w:r>
      <w:r w:rsidR="00A228C6">
        <w:rPr>
          <w:rFonts w:ascii="Times New Roman" w:hAnsi="Times New Roman"/>
          <w:sz w:val="24"/>
          <w:szCs w:val="24"/>
        </w:rPr>
        <w:t xml:space="preserve">5% </w:t>
      </w:r>
      <w:r>
        <w:rPr>
          <w:rFonts w:ascii="Times New Roman" w:hAnsi="Times New Roman"/>
          <w:sz w:val="24"/>
          <w:szCs w:val="24"/>
        </w:rPr>
        <w:t xml:space="preserve">or </w:t>
      </w:r>
      <w:r w:rsidR="00A228C6">
        <w:rPr>
          <w:rFonts w:ascii="Times New Roman" w:hAnsi="Times New Roman"/>
          <w:sz w:val="24"/>
          <w:szCs w:val="24"/>
        </w:rPr>
        <w:t xml:space="preserve">lower. </w:t>
      </w:r>
      <w:r>
        <w:rPr>
          <w:rFonts w:ascii="Times New Roman" w:hAnsi="Times New Roman"/>
          <w:sz w:val="24"/>
          <w:szCs w:val="24"/>
        </w:rPr>
        <w:t>However, s</w:t>
      </w:r>
      <w:r w:rsidR="00A228C6">
        <w:rPr>
          <w:rFonts w:ascii="Times New Roman" w:hAnsi="Times New Roman"/>
          <w:sz w:val="24"/>
          <w:szCs w:val="24"/>
        </w:rPr>
        <w:t>ome agricultural products</w:t>
      </w:r>
      <w:r>
        <w:rPr>
          <w:rFonts w:ascii="Times New Roman" w:hAnsi="Times New Roman"/>
          <w:sz w:val="24"/>
          <w:szCs w:val="24"/>
        </w:rPr>
        <w:t xml:space="preserve"> classified as</w:t>
      </w:r>
      <w:r w:rsidR="00A228C6">
        <w:rPr>
          <w:rFonts w:ascii="Times New Roman" w:hAnsi="Times New Roman"/>
          <w:sz w:val="24"/>
          <w:szCs w:val="24"/>
        </w:rPr>
        <w:t xml:space="preserve"> beverages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A228C6">
        <w:rPr>
          <w:rFonts w:ascii="Times New Roman" w:hAnsi="Times New Roman"/>
          <w:sz w:val="24"/>
          <w:szCs w:val="24"/>
        </w:rPr>
        <w:t>tobacco still reported MFN tariff</w:t>
      </w:r>
      <w:r w:rsidR="00897CE1">
        <w:rPr>
          <w:rFonts w:ascii="Times New Roman" w:hAnsi="Times New Roman"/>
          <w:sz w:val="24"/>
          <w:szCs w:val="24"/>
        </w:rPr>
        <w:t>s</w:t>
      </w:r>
      <w:r w:rsidR="00A228C6">
        <w:rPr>
          <w:rFonts w:ascii="Times New Roman" w:hAnsi="Times New Roman"/>
          <w:sz w:val="24"/>
          <w:szCs w:val="24"/>
        </w:rPr>
        <w:t xml:space="preserve"> </w:t>
      </w:r>
      <w:r w:rsidR="00897CE1">
        <w:rPr>
          <w:rFonts w:ascii="Times New Roman" w:hAnsi="Times New Roman"/>
          <w:sz w:val="24"/>
          <w:szCs w:val="24"/>
        </w:rPr>
        <w:t>o</w:t>
      </w:r>
      <w:r w:rsidR="00A228C6">
        <w:rPr>
          <w:rFonts w:ascii="Times New Roman" w:hAnsi="Times New Roman"/>
          <w:sz w:val="24"/>
          <w:szCs w:val="24"/>
        </w:rPr>
        <w:t>f more than 40%.</w:t>
      </w:r>
    </w:p>
    <w:p w14:paraId="29B9B852" w14:textId="77777777" w:rsidR="00653AB0" w:rsidRDefault="00653AB0" w:rsidP="008D6BF2">
      <w:pPr>
        <w:jc w:val="both"/>
        <w:rPr>
          <w:rFonts w:ascii="Times New Roman" w:hAnsi="Times New Roman"/>
          <w:sz w:val="24"/>
          <w:szCs w:val="24"/>
        </w:rPr>
      </w:pPr>
    </w:p>
    <w:p w14:paraId="54E0F82E" w14:textId="77777777" w:rsidR="008E49E2" w:rsidRDefault="008E49E2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July 2015, import duties on food, consumer goods and vehicles were raised aiming to support local industries.</w:t>
      </w:r>
      <w:r w:rsidR="00332AB8">
        <w:rPr>
          <w:rFonts w:ascii="Times New Roman" w:hAnsi="Times New Roman"/>
          <w:sz w:val="24"/>
          <w:szCs w:val="24"/>
        </w:rPr>
        <w:t xml:space="preserve"> Likewise, tariffs on steel products were </w:t>
      </w:r>
      <w:r w:rsidR="00897CE1">
        <w:rPr>
          <w:rFonts w:ascii="Times New Roman" w:hAnsi="Times New Roman"/>
          <w:sz w:val="24"/>
          <w:szCs w:val="24"/>
        </w:rPr>
        <w:t xml:space="preserve">also </w:t>
      </w:r>
      <w:r w:rsidR="00332AB8">
        <w:rPr>
          <w:rFonts w:ascii="Times New Roman" w:hAnsi="Times New Roman"/>
          <w:sz w:val="24"/>
          <w:szCs w:val="24"/>
        </w:rPr>
        <w:t xml:space="preserve">raised </w:t>
      </w:r>
      <w:r w:rsidR="00897CE1">
        <w:rPr>
          <w:rFonts w:ascii="Times New Roman" w:hAnsi="Times New Roman"/>
          <w:sz w:val="24"/>
          <w:szCs w:val="24"/>
        </w:rPr>
        <w:t>in</w:t>
      </w:r>
      <w:r w:rsidR="00332AB8">
        <w:rPr>
          <w:rFonts w:ascii="Times New Roman" w:hAnsi="Times New Roman"/>
          <w:sz w:val="24"/>
          <w:szCs w:val="24"/>
        </w:rPr>
        <w:t xml:space="preserve"> June 2015.</w:t>
      </w:r>
    </w:p>
    <w:p w14:paraId="559DE71C" w14:textId="77777777" w:rsidR="00AE69FE" w:rsidRDefault="00AE69FE" w:rsidP="008D6BF2">
      <w:pPr>
        <w:jc w:val="both"/>
        <w:rPr>
          <w:rFonts w:ascii="Times New Roman" w:hAnsi="Times New Roman"/>
          <w:sz w:val="24"/>
          <w:szCs w:val="24"/>
        </w:rPr>
      </w:pPr>
    </w:p>
    <w:p w14:paraId="25B7F451" w14:textId="77777777" w:rsidR="00D82832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Non-Tariff Measures</w:t>
      </w:r>
    </w:p>
    <w:p w14:paraId="1D24846B" w14:textId="52ABED23" w:rsidR="00AE69FE" w:rsidRDefault="00AE69FE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Indonesia imposes imports restrictions on a range of products such as cellulose nitrates, corn, cloves</w:t>
      </w:r>
      <w:r w:rsidR="00057359">
        <w:rPr>
          <w:rFonts w:ascii="Times New Roman" w:hAnsi="Times New Roman"/>
          <w:sz w:val="24"/>
          <w:szCs w:val="24"/>
        </w:rPr>
        <w:t xml:space="preserve"> and specific </w:t>
      </w:r>
      <w:r>
        <w:rPr>
          <w:rFonts w:ascii="Times New Roman" w:hAnsi="Times New Roman"/>
          <w:sz w:val="24"/>
          <w:szCs w:val="24"/>
        </w:rPr>
        <w:t xml:space="preserve">fishery </w:t>
      </w:r>
      <w:r w:rsidR="00B21441">
        <w:rPr>
          <w:rFonts w:ascii="Times New Roman" w:hAnsi="Times New Roman"/>
          <w:sz w:val="24"/>
          <w:szCs w:val="24"/>
        </w:rPr>
        <w:t>products, among others.</w:t>
      </w:r>
      <w:r w:rsidR="00261978">
        <w:rPr>
          <w:rFonts w:ascii="Times New Roman" w:hAnsi="Times New Roman"/>
          <w:sz w:val="24"/>
          <w:szCs w:val="24"/>
        </w:rPr>
        <w:t xml:space="preserve"> Import quotas are also applied to some commodities such as cattle, alcoholic beverages and sugar.</w:t>
      </w:r>
      <w:r w:rsidR="00DC7328">
        <w:rPr>
          <w:rFonts w:ascii="Times New Roman" w:hAnsi="Times New Roman"/>
          <w:sz w:val="24"/>
          <w:szCs w:val="24"/>
        </w:rPr>
        <w:t xml:space="preserve"> Nevertheless,</w:t>
      </w:r>
      <w:r>
        <w:rPr>
          <w:rFonts w:ascii="Times New Roman" w:hAnsi="Times New Roman"/>
          <w:sz w:val="24"/>
          <w:szCs w:val="24"/>
        </w:rPr>
        <w:t xml:space="preserve"> some import restrictions were </w:t>
      </w:r>
      <w:r w:rsidR="00057359">
        <w:rPr>
          <w:rFonts w:ascii="Times New Roman" w:hAnsi="Times New Roman"/>
          <w:sz w:val="24"/>
          <w:szCs w:val="24"/>
        </w:rPr>
        <w:t xml:space="preserve">relaxed </w:t>
      </w:r>
      <w:r w:rsidR="00B21441">
        <w:rPr>
          <w:rFonts w:ascii="Times New Roman" w:hAnsi="Times New Roman"/>
          <w:sz w:val="24"/>
          <w:szCs w:val="24"/>
        </w:rPr>
        <w:t>in 2014 and 2015</w:t>
      </w:r>
      <w:r>
        <w:rPr>
          <w:rFonts w:ascii="Times New Roman" w:hAnsi="Times New Roman"/>
          <w:sz w:val="24"/>
          <w:szCs w:val="24"/>
        </w:rPr>
        <w:t>. For instance, importers of goods with cooling systems</w:t>
      </w:r>
      <w:r w:rsidR="00884F93">
        <w:rPr>
          <w:rFonts w:ascii="Times New Roman" w:hAnsi="Times New Roman"/>
          <w:sz w:val="24"/>
          <w:szCs w:val="24"/>
        </w:rPr>
        <w:t xml:space="preserve">, printers and photocopying machines, </w:t>
      </w:r>
      <w:r w:rsidR="00A66A22">
        <w:rPr>
          <w:rFonts w:ascii="Times New Roman" w:hAnsi="Times New Roman"/>
          <w:sz w:val="24"/>
          <w:szCs w:val="24"/>
        </w:rPr>
        <w:t xml:space="preserve">and </w:t>
      </w:r>
      <w:r w:rsidR="00884F93">
        <w:rPr>
          <w:rFonts w:ascii="Times New Roman" w:hAnsi="Times New Roman"/>
          <w:sz w:val="24"/>
          <w:szCs w:val="24"/>
        </w:rPr>
        <w:t>textile products</w:t>
      </w:r>
      <w:r>
        <w:rPr>
          <w:rFonts w:ascii="Times New Roman" w:hAnsi="Times New Roman"/>
          <w:sz w:val="24"/>
          <w:szCs w:val="24"/>
        </w:rPr>
        <w:t xml:space="preserve"> </w:t>
      </w:r>
      <w:r w:rsidR="00057359">
        <w:rPr>
          <w:rFonts w:ascii="Times New Roman" w:hAnsi="Times New Roman"/>
          <w:sz w:val="24"/>
          <w:szCs w:val="24"/>
        </w:rPr>
        <w:t xml:space="preserve">are </w:t>
      </w:r>
      <w:r>
        <w:rPr>
          <w:rFonts w:ascii="Times New Roman" w:hAnsi="Times New Roman"/>
          <w:sz w:val="24"/>
          <w:szCs w:val="24"/>
        </w:rPr>
        <w:t xml:space="preserve">no longer </w:t>
      </w:r>
      <w:r w:rsidR="00884F93">
        <w:rPr>
          <w:rFonts w:ascii="Times New Roman" w:hAnsi="Times New Roman"/>
          <w:sz w:val="24"/>
          <w:szCs w:val="24"/>
        </w:rPr>
        <w:t xml:space="preserve">required to have </w:t>
      </w:r>
      <w:r>
        <w:rPr>
          <w:rFonts w:ascii="Times New Roman" w:hAnsi="Times New Roman"/>
          <w:sz w:val="24"/>
          <w:szCs w:val="24"/>
        </w:rPr>
        <w:t>specialized import license</w:t>
      </w:r>
      <w:r w:rsidR="00884F93">
        <w:rPr>
          <w:rFonts w:ascii="Times New Roman" w:hAnsi="Times New Roman"/>
          <w:sz w:val="24"/>
          <w:szCs w:val="24"/>
        </w:rPr>
        <w:t>s.</w:t>
      </w:r>
      <w:r>
        <w:rPr>
          <w:rFonts w:ascii="Times New Roman" w:hAnsi="Times New Roman"/>
          <w:sz w:val="24"/>
          <w:szCs w:val="24"/>
        </w:rPr>
        <w:t xml:space="preserve"> </w:t>
      </w:r>
      <w:r w:rsidR="00884F93">
        <w:rPr>
          <w:rFonts w:ascii="Times New Roman" w:hAnsi="Times New Roman"/>
          <w:sz w:val="24"/>
          <w:szCs w:val="24"/>
        </w:rPr>
        <w:t>Certain products such as food and beverages, traditional me</w:t>
      </w:r>
      <w:r w:rsidR="00DC7328">
        <w:rPr>
          <w:rFonts w:ascii="Times New Roman" w:hAnsi="Times New Roman"/>
          <w:sz w:val="24"/>
          <w:szCs w:val="24"/>
        </w:rPr>
        <w:t xml:space="preserve">dicines and health supplements </w:t>
      </w:r>
      <w:r w:rsidR="00884F93">
        <w:rPr>
          <w:rFonts w:ascii="Times New Roman" w:hAnsi="Times New Roman"/>
          <w:sz w:val="24"/>
          <w:szCs w:val="24"/>
        </w:rPr>
        <w:t>no longer require additional import license</w:t>
      </w:r>
      <w:r w:rsidR="00057359">
        <w:rPr>
          <w:rFonts w:ascii="Times New Roman" w:hAnsi="Times New Roman"/>
          <w:sz w:val="24"/>
          <w:szCs w:val="24"/>
        </w:rPr>
        <w:t>s</w:t>
      </w:r>
      <w:r w:rsidR="00884F93">
        <w:rPr>
          <w:rFonts w:ascii="Times New Roman" w:hAnsi="Times New Roman"/>
          <w:sz w:val="24"/>
          <w:szCs w:val="24"/>
        </w:rPr>
        <w:t xml:space="preserve">. The ban of sugar imports outside the milling season has been scrapped. </w:t>
      </w:r>
    </w:p>
    <w:p w14:paraId="1CF8D12B" w14:textId="77777777" w:rsidR="007814F5" w:rsidRPr="007814F5" w:rsidRDefault="007814F5" w:rsidP="008D6BF2">
      <w:pPr>
        <w:jc w:val="both"/>
        <w:rPr>
          <w:rFonts w:ascii="Times New Roman" w:hAnsi="Times New Roman"/>
          <w:sz w:val="24"/>
          <w:szCs w:val="24"/>
        </w:rPr>
      </w:pPr>
    </w:p>
    <w:p w14:paraId="107D1F5D" w14:textId="35F6B1B9" w:rsidR="002F2BC0" w:rsidRPr="0034768C" w:rsidRDefault="00261978" w:rsidP="008D6BF2">
      <w:pPr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Export prohibitions are applied to specific products. In December 2014, licensing requirements were introduced on exports of industrial forestry products. First introduced in January 2014, the export ban on </w:t>
      </w:r>
      <w:r w:rsidR="00FD2C30">
        <w:rPr>
          <w:rFonts w:ascii="Times New Roman" w:hAnsi="Times New Roman"/>
          <w:sz w:val="24"/>
          <w:szCs w:val="24"/>
        </w:rPr>
        <w:t>bauxite</w:t>
      </w:r>
      <w:r>
        <w:rPr>
          <w:rFonts w:ascii="Times New Roman" w:hAnsi="Times New Roman"/>
          <w:sz w:val="24"/>
          <w:szCs w:val="24"/>
        </w:rPr>
        <w:t xml:space="preserve"> was </w:t>
      </w:r>
      <w:r w:rsidR="001F47E5">
        <w:rPr>
          <w:rFonts w:ascii="Times New Roman" w:hAnsi="Times New Roman"/>
          <w:sz w:val="24"/>
          <w:szCs w:val="24"/>
        </w:rPr>
        <w:t xml:space="preserve">relaxed </w:t>
      </w:r>
      <w:r>
        <w:rPr>
          <w:rFonts w:ascii="Times New Roman" w:hAnsi="Times New Roman"/>
          <w:sz w:val="24"/>
          <w:szCs w:val="24"/>
        </w:rPr>
        <w:t>in March 2015 when bauxite exports were allowed until 2017.</w:t>
      </w:r>
      <w:r w:rsidR="008410B2">
        <w:rPr>
          <w:rFonts w:ascii="Times New Roman" w:hAnsi="Times New Roman"/>
          <w:sz w:val="24"/>
          <w:szCs w:val="24"/>
        </w:rPr>
        <w:t xml:space="preserve"> Export </w:t>
      </w:r>
      <w:r w:rsidR="001F47E5">
        <w:rPr>
          <w:rFonts w:ascii="Times New Roman" w:hAnsi="Times New Roman"/>
          <w:sz w:val="24"/>
          <w:szCs w:val="24"/>
        </w:rPr>
        <w:t xml:space="preserve">levies </w:t>
      </w:r>
      <w:r w:rsidR="008410B2">
        <w:rPr>
          <w:rFonts w:ascii="Times New Roman" w:hAnsi="Times New Roman"/>
          <w:sz w:val="24"/>
          <w:szCs w:val="24"/>
        </w:rPr>
        <w:t xml:space="preserve">on crude palm oil and palm oil products </w:t>
      </w:r>
      <w:r w:rsidR="001F47E5">
        <w:rPr>
          <w:rFonts w:ascii="Times New Roman" w:hAnsi="Times New Roman"/>
          <w:sz w:val="24"/>
          <w:szCs w:val="24"/>
        </w:rPr>
        <w:t xml:space="preserve">were </w:t>
      </w:r>
      <w:r w:rsidR="008410B2">
        <w:rPr>
          <w:rFonts w:ascii="Times New Roman" w:hAnsi="Times New Roman"/>
          <w:sz w:val="24"/>
          <w:szCs w:val="24"/>
        </w:rPr>
        <w:t>introduced in July 2015</w:t>
      </w:r>
      <w:r w:rsidR="00DC7328">
        <w:rPr>
          <w:rFonts w:ascii="Times New Roman" w:hAnsi="Times New Roman"/>
          <w:sz w:val="24"/>
          <w:szCs w:val="24"/>
        </w:rPr>
        <w:t>.</w:t>
      </w:r>
      <w:r w:rsidR="008410B2">
        <w:rPr>
          <w:rFonts w:ascii="Times New Roman" w:hAnsi="Times New Roman"/>
          <w:sz w:val="24"/>
          <w:szCs w:val="24"/>
        </w:rPr>
        <w:t xml:space="preserve"> Tin exports were further restricted with only three types of tin products allowed </w:t>
      </w:r>
      <w:r w:rsidR="00DC7328">
        <w:rPr>
          <w:rFonts w:ascii="Times New Roman" w:hAnsi="Times New Roman"/>
          <w:sz w:val="24"/>
          <w:szCs w:val="24"/>
        </w:rPr>
        <w:t>for export</w:t>
      </w:r>
      <w:r w:rsidR="008410B2">
        <w:rPr>
          <w:rFonts w:ascii="Times New Roman" w:hAnsi="Times New Roman"/>
          <w:sz w:val="24"/>
          <w:szCs w:val="24"/>
        </w:rPr>
        <w:t>. Export</w:t>
      </w:r>
      <w:r w:rsidR="001F47E5">
        <w:rPr>
          <w:rFonts w:ascii="Times New Roman" w:hAnsi="Times New Roman"/>
          <w:sz w:val="24"/>
          <w:szCs w:val="24"/>
        </w:rPr>
        <w:t>s</w:t>
      </w:r>
      <w:r w:rsidR="008410B2">
        <w:rPr>
          <w:rFonts w:ascii="Times New Roman" w:hAnsi="Times New Roman"/>
          <w:sz w:val="24"/>
          <w:szCs w:val="24"/>
        </w:rPr>
        <w:t xml:space="preserve"> of refined sugar </w:t>
      </w:r>
      <w:r w:rsidR="001F47E5">
        <w:rPr>
          <w:rFonts w:ascii="Times New Roman" w:hAnsi="Times New Roman"/>
          <w:sz w:val="24"/>
          <w:szCs w:val="24"/>
        </w:rPr>
        <w:t xml:space="preserve">have been </w:t>
      </w:r>
      <w:r w:rsidR="008410B2">
        <w:rPr>
          <w:rFonts w:ascii="Times New Roman" w:hAnsi="Times New Roman"/>
          <w:sz w:val="24"/>
          <w:szCs w:val="24"/>
        </w:rPr>
        <w:t>banned since December 2014.</w:t>
      </w:r>
    </w:p>
    <w:p w14:paraId="2B28E3DD" w14:textId="77777777" w:rsidR="00E5047A" w:rsidRDefault="00E5047A" w:rsidP="008D6BF2">
      <w:pPr>
        <w:jc w:val="both"/>
        <w:rPr>
          <w:rFonts w:ascii="Times New Roman" w:hAnsi="Times New Roman"/>
          <w:sz w:val="24"/>
          <w:szCs w:val="24"/>
        </w:rPr>
      </w:pPr>
    </w:p>
    <w:p w14:paraId="5ABA6E26" w14:textId="77777777" w:rsidR="00DC7328" w:rsidRPr="007814F5" w:rsidRDefault="001F47E5" w:rsidP="00DC7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DC7328">
        <w:rPr>
          <w:rFonts w:ascii="Times New Roman" w:hAnsi="Times New Roman"/>
          <w:sz w:val="24"/>
          <w:szCs w:val="24"/>
        </w:rPr>
        <w:t>New Trade Law was passed by the Parliament in February 2014 which enables the government to restrict food imports and commodity exports in order to protect local industries.</w:t>
      </w:r>
    </w:p>
    <w:p w14:paraId="3D2091FB" w14:textId="77777777" w:rsidR="00DC7328" w:rsidRDefault="00DC7328" w:rsidP="008D6BF2">
      <w:pPr>
        <w:jc w:val="both"/>
        <w:rPr>
          <w:rFonts w:ascii="Times New Roman" w:hAnsi="Times New Roman"/>
          <w:sz w:val="24"/>
          <w:szCs w:val="24"/>
        </w:rPr>
      </w:pPr>
    </w:p>
    <w:p w14:paraId="258D0C6C" w14:textId="77777777" w:rsidR="00D82832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Services</w:t>
      </w:r>
    </w:p>
    <w:p w14:paraId="401EEFD9" w14:textId="2986C690" w:rsidR="0069108C" w:rsidRDefault="00151F58" w:rsidP="006910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Investment conditions for foreign investors in communications and informatics </w:t>
      </w:r>
      <w:r w:rsidR="001033F5">
        <w:rPr>
          <w:rFonts w:ascii="Times New Roman" w:hAnsi="Times New Roman"/>
          <w:sz w:val="24"/>
          <w:szCs w:val="24"/>
        </w:rPr>
        <w:t xml:space="preserve">sectors </w:t>
      </w:r>
      <w:r>
        <w:rPr>
          <w:rFonts w:ascii="Times New Roman" w:hAnsi="Times New Roman"/>
          <w:sz w:val="24"/>
          <w:szCs w:val="24"/>
        </w:rPr>
        <w:t xml:space="preserve">were revised in 2014. The maximum foreign capital ownership was </w:t>
      </w:r>
      <w:r w:rsidR="001F47E5">
        <w:rPr>
          <w:rFonts w:ascii="Times New Roman" w:hAnsi="Times New Roman"/>
          <w:sz w:val="24"/>
          <w:szCs w:val="24"/>
        </w:rPr>
        <w:t xml:space="preserve">reduced </w:t>
      </w:r>
      <w:r w:rsidR="00507E7F">
        <w:rPr>
          <w:rFonts w:ascii="Times New Roman" w:hAnsi="Times New Roman"/>
          <w:sz w:val="24"/>
          <w:szCs w:val="24"/>
        </w:rPr>
        <w:t xml:space="preserve">to 49% </w:t>
      </w:r>
      <w:r>
        <w:rPr>
          <w:rFonts w:ascii="Times New Roman" w:hAnsi="Times New Roman"/>
          <w:sz w:val="24"/>
          <w:szCs w:val="24"/>
        </w:rPr>
        <w:t xml:space="preserve">for data communications system services, international interconnection services, content services and other value added telephony services. </w:t>
      </w:r>
      <w:r w:rsidR="001033F5">
        <w:rPr>
          <w:rFonts w:ascii="Times New Roman" w:hAnsi="Times New Roman"/>
          <w:sz w:val="24"/>
          <w:szCs w:val="24"/>
        </w:rPr>
        <w:t>In contrast</w:t>
      </w:r>
      <w:r>
        <w:rPr>
          <w:rFonts w:ascii="Times New Roman" w:hAnsi="Times New Roman"/>
          <w:sz w:val="24"/>
          <w:szCs w:val="24"/>
        </w:rPr>
        <w:t xml:space="preserve">, foreign capital ceilings </w:t>
      </w:r>
      <w:r w:rsidR="001033F5">
        <w:rPr>
          <w:rFonts w:ascii="Times New Roman" w:hAnsi="Times New Roman"/>
          <w:sz w:val="24"/>
          <w:szCs w:val="24"/>
        </w:rPr>
        <w:t xml:space="preserve">were raised </w:t>
      </w:r>
      <w:r w:rsidR="00507E7F">
        <w:rPr>
          <w:rFonts w:ascii="Times New Roman" w:hAnsi="Times New Roman"/>
          <w:sz w:val="24"/>
          <w:szCs w:val="24"/>
        </w:rPr>
        <w:t xml:space="preserve">to 65% </w:t>
      </w:r>
      <w:r>
        <w:rPr>
          <w:rFonts w:ascii="Times New Roman" w:hAnsi="Times New Roman"/>
          <w:sz w:val="24"/>
          <w:szCs w:val="24"/>
        </w:rPr>
        <w:t>for internet, public internet, telephony and wired telecommunications services.</w:t>
      </w:r>
      <w:r w:rsidR="0069108C">
        <w:rPr>
          <w:rFonts w:ascii="Times New Roman" w:hAnsi="Times New Roman"/>
          <w:sz w:val="24"/>
          <w:szCs w:val="24"/>
        </w:rPr>
        <w:t xml:space="preserve"> </w:t>
      </w:r>
      <w:r w:rsidR="00507E7F">
        <w:rPr>
          <w:rFonts w:ascii="Times New Roman" w:hAnsi="Times New Roman"/>
          <w:sz w:val="24"/>
          <w:szCs w:val="24"/>
        </w:rPr>
        <w:t>The Amendment on the Implementation of Mineral and Coal Mining Business Activities</w:t>
      </w:r>
      <w:r w:rsidR="001033F5">
        <w:rPr>
          <w:rFonts w:ascii="Times New Roman" w:hAnsi="Times New Roman"/>
          <w:sz w:val="24"/>
          <w:szCs w:val="24"/>
        </w:rPr>
        <w:t xml:space="preserve"> was issued</w:t>
      </w:r>
      <w:r w:rsidR="00507E7F">
        <w:rPr>
          <w:rFonts w:ascii="Times New Roman" w:hAnsi="Times New Roman"/>
          <w:sz w:val="24"/>
          <w:szCs w:val="24"/>
        </w:rPr>
        <w:t xml:space="preserve"> in October 2014 </w:t>
      </w:r>
      <w:r w:rsidR="001033F5">
        <w:rPr>
          <w:rFonts w:ascii="Times New Roman" w:hAnsi="Times New Roman"/>
          <w:sz w:val="24"/>
          <w:szCs w:val="24"/>
        </w:rPr>
        <w:t xml:space="preserve">with </w:t>
      </w:r>
      <w:r w:rsidR="002272BF">
        <w:rPr>
          <w:rFonts w:ascii="Times New Roman" w:hAnsi="Times New Roman"/>
          <w:sz w:val="24"/>
          <w:szCs w:val="24"/>
        </w:rPr>
        <w:t xml:space="preserve">new provisions </w:t>
      </w:r>
      <w:r w:rsidR="001033F5">
        <w:rPr>
          <w:rFonts w:ascii="Times New Roman" w:hAnsi="Times New Roman"/>
          <w:sz w:val="24"/>
          <w:szCs w:val="24"/>
        </w:rPr>
        <w:t xml:space="preserve">added </w:t>
      </w:r>
      <w:r w:rsidR="00CB3D87">
        <w:rPr>
          <w:rFonts w:ascii="Times New Roman" w:hAnsi="Times New Roman"/>
          <w:sz w:val="24"/>
          <w:szCs w:val="24"/>
        </w:rPr>
        <w:t>concerning</w:t>
      </w:r>
      <w:r w:rsidR="002272BF">
        <w:rPr>
          <w:rFonts w:ascii="Times New Roman" w:hAnsi="Times New Roman"/>
          <w:sz w:val="24"/>
          <w:szCs w:val="24"/>
        </w:rPr>
        <w:t xml:space="preserve"> </w:t>
      </w:r>
      <w:r w:rsidR="00507E7F">
        <w:rPr>
          <w:rFonts w:ascii="Times New Roman" w:hAnsi="Times New Roman"/>
          <w:sz w:val="24"/>
          <w:szCs w:val="24"/>
        </w:rPr>
        <w:t xml:space="preserve">foreign ownership </w:t>
      </w:r>
      <w:r w:rsidR="002272BF">
        <w:rPr>
          <w:rFonts w:ascii="Times New Roman" w:hAnsi="Times New Roman"/>
          <w:sz w:val="24"/>
          <w:szCs w:val="24"/>
        </w:rPr>
        <w:t xml:space="preserve">ceilings </w:t>
      </w:r>
      <w:r w:rsidR="00507E7F">
        <w:rPr>
          <w:rFonts w:ascii="Times New Roman" w:hAnsi="Times New Roman"/>
          <w:sz w:val="24"/>
          <w:szCs w:val="24"/>
        </w:rPr>
        <w:t>in mining companies</w:t>
      </w:r>
      <w:r w:rsidR="002272BF">
        <w:rPr>
          <w:rFonts w:ascii="Times New Roman" w:hAnsi="Times New Roman"/>
          <w:sz w:val="24"/>
          <w:szCs w:val="24"/>
        </w:rPr>
        <w:t xml:space="preserve">. Under this Amendment, the foreign ownership ceilings </w:t>
      </w:r>
      <w:r w:rsidR="00AF323D">
        <w:rPr>
          <w:rFonts w:ascii="Times New Roman" w:hAnsi="Times New Roman"/>
          <w:sz w:val="24"/>
          <w:szCs w:val="24"/>
        </w:rPr>
        <w:t xml:space="preserve">were </w:t>
      </w:r>
      <w:r w:rsidR="002272BF">
        <w:rPr>
          <w:rFonts w:ascii="Times New Roman" w:hAnsi="Times New Roman"/>
          <w:sz w:val="24"/>
          <w:szCs w:val="24"/>
        </w:rPr>
        <w:t xml:space="preserve">increased </w:t>
      </w:r>
      <w:r w:rsidR="00AF323D">
        <w:rPr>
          <w:rFonts w:ascii="Times New Roman" w:hAnsi="Times New Roman"/>
          <w:sz w:val="24"/>
          <w:szCs w:val="24"/>
        </w:rPr>
        <w:t xml:space="preserve">from 49% </w:t>
      </w:r>
      <w:r w:rsidR="002272BF">
        <w:rPr>
          <w:rFonts w:ascii="Times New Roman" w:hAnsi="Times New Roman"/>
          <w:sz w:val="24"/>
          <w:szCs w:val="24"/>
        </w:rPr>
        <w:t>to 70% for underground mining and 60% for processing and refining.</w:t>
      </w:r>
      <w:r w:rsidR="0069108C" w:rsidRPr="0069108C">
        <w:rPr>
          <w:rFonts w:ascii="Times New Roman" w:hAnsi="Times New Roman"/>
          <w:sz w:val="24"/>
          <w:szCs w:val="24"/>
        </w:rPr>
        <w:t xml:space="preserve"> </w:t>
      </w:r>
      <w:r w:rsidR="0069108C">
        <w:rPr>
          <w:rFonts w:ascii="Times New Roman" w:hAnsi="Times New Roman"/>
          <w:sz w:val="24"/>
          <w:szCs w:val="24"/>
        </w:rPr>
        <w:t>On freight forwarding, capital requirements for foreign investors who wish to engage in freight forwarding is at least 10 million USD since April 2014. At least 25% must be in the form of equity.</w:t>
      </w:r>
    </w:p>
    <w:p w14:paraId="7DE4205C" w14:textId="77777777" w:rsidR="00507E7F" w:rsidRDefault="00507E7F" w:rsidP="008D6BF2">
      <w:pPr>
        <w:jc w:val="both"/>
        <w:rPr>
          <w:rFonts w:ascii="Times New Roman" w:hAnsi="Times New Roman"/>
          <w:sz w:val="24"/>
          <w:szCs w:val="24"/>
        </w:rPr>
      </w:pPr>
    </w:p>
    <w:p w14:paraId="1075FC41" w14:textId="01A64A44" w:rsidR="001033F5" w:rsidRDefault="001033F5" w:rsidP="001033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June 2014, new registration rules were introduced for integrated construction service companies</w:t>
      </w:r>
      <w:r w:rsidR="00C75EA3">
        <w:rPr>
          <w:rFonts w:ascii="Times New Roman" w:hAnsi="Times New Roman"/>
          <w:sz w:val="24"/>
          <w:szCs w:val="24"/>
        </w:rPr>
        <w:t>. Foreign construction</w:t>
      </w:r>
      <w:r>
        <w:rPr>
          <w:rFonts w:ascii="Times New Roman" w:hAnsi="Times New Roman"/>
          <w:sz w:val="24"/>
          <w:szCs w:val="24"/>
        </w:rPr>
        <w:t xml:space="preserve"> companies can only register </w:t>
      </w:r>
      <w:r w:rsidR="00C75EA3">
        <w:rPr>
          <w:rFonts w:ascii="Times New Roman" w:hAnsi="Times New Roman"/>
          <w:sz w:val="24"/>
          <w:szCs w:val="24"/>
        </w:rPr>
        <w:t>if they have a net worth for at least INR 50 billion (USD 4 million), experience for at least 10 years and projects for a cumulative value of at least INR 250 billion (USD 20 million)</w:t>
      </w:r>
      <w:r>
        <w:rPr>
          <w:rFonts w:ascii="Times New Roman" w:hAnsi="Times New Roman"/>
          <w:sz w:val="24"/>
          <w:szCs w:val="24"/>
        </w:rPr>
        <w:t>.</w:t>
      </w:r>
    </w:p>
    <w:p w14:paraId="195B14FE" w14:textId="77777777" w:rsidR="001033F5" w:rsidRDefault="001033F5" w:rsidP="008D6BF2">
      <w:pPr>
        <w:jc w:val="both"/>
        <w:rPr>
          <w:rFonts w:ascii="Times New Roman" w:hAnsi="Times New Roman"/>
          <w:sz w:val="24"/>
          <w:szCs w:val="24"/>
        </w:rPr>
      </w:pPr>
    </w:p>
    <w:p w14:paraId="34BB15BC" w14:textId="0576C643" w:rsidR="004E54A3" w:rsidRDefault="004E54A3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September 2014, the Insurance Law was passed with tightened policies towards foreign investors</w:t>
      </w:r>
      <w:r w:rsidR="0069108C">
        <w:rPr>
          <w:rFonts w:ascii="Times New Roman" w:hAnsi="Times New Roman"/>
          <w:sz w:val="24"/>
          <w:szCs w:val="24"/>
        </w:rPr>
        <w:t>, who</w:t>
      </w:r>
      <w:r>
        <w:rPr>
          <w:rFonts w:ascii="Times New Roman" w:hAnsi="Times New Roman"/>
          <w:sz w:val="24"/>
          <w:szCs w:val="24"/>
        </w:rPr>
        <w:t xml:space="preserve"> can only acquire</w:t>
      </w:r>
      <w:r w:rsidR="0069108C">
        <w:rPr>
          <w:rFonts w:ascii="Times New Roman" w:hAnsi="Times New Roman"/>
          <w:sz w:val="24"/>
          <w:szCs w:val="24"/>
        </w:rPr>
        <w:t xml:space="preserve"> ownership of insurance companies</w:t>
      </w:r>
      <w:r>
        <w:rPr>
          <w:rFonts w:ascii="Times New Roman" w:hAnsi="Times New Roman"/>
          <w:sz w:val="24"/>
          <w:szCs w:val="24"/>
        </w:rPr>
        <w:t xml:space="preserve"> through publicly traded stocks.</w:t>
      </w:r>
      <w:r w:rsidR="00DF3E86">
        <w:rPr>
          <w:rFonts w:ascii="Times New Roman" w:hAnsi="Times New Roman"/>
          <w:sz w:val="24"/>
          <w:szCs w:val="24"/>
        </w:rPr>
        <w:t xml:space="preserve"> The Amendment also imposed strict Indonesian shareholder requirement</w:t>
      </w:r>
      <w:r w:rsidR="0069108C">
        <w:rPr>
          <w:rFonts w:ascii="Times New Roman" w:hAnsi="Times New Roman"/>
          <w:sz w:val="24"/>
          <w:szCs w:val="24"/>
        </w:rPr>
        <w:t>s</w:t>
      </w:r>
      <w:r w:rsidR="00DF3E86">
        <w:rPr>
          <w:rFonts w:ascii="Times New Roman" w:hAnsi="Times New Roman"/>
          <w:sz w:val="24"/>
          <w:szCs w:val="24"/>
        </w:rPr>
        <w:t xml:space="preserve"> where insurance companies need to be incorporated as Indonesian corporate entities.</w:t>
      </w:r>
    </w:p>
    <w:p w14:paraId="083D8E30" w14:textId="77777777" w:rsidR="00F150EC" w:rsidRDefault="00F150EC" w:rsidP="008D6BF2">
      <w:pPr>
        <w:jc w:val="both"/>
        <w:rPr>
          <w:rFonts w:ascii="Times New Roman" w:hAnsi="Times New Roman"/>
          <w:sz w:val="24"/>
          <w:szCs w:val="24"/>
        </w:rPr>
      </w:pPr>
    </w:p>
    <w:p w14:paraId="458983C3" w14:textId="77777777" w:rsidR="00D82832" w:rsidRDefault="00FC5AC1" w:rsidP="008D6BF2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Investment</w:t>
      </w:r>
    </w:p>
    <w:p w14:paraId="4790B165" w14:textId="37A5D12D" w:rsidR="00074BD5" w:rsidRDefault="00705A9C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New regulations </w:t>
      </w:r>
      <w:r w:rsidR="004978FC">
        <w:rPr>
          <w:rFonts w:ascii="Times New Roman" w:hAnsi="Times New Roman"/>
          <w:sz w:val="24"/>
          <w:szCs w:val="24"/>
        </w:rPr>
        <w:t xml:space="preserve">on investment </w:t>
      </w:r>
      <w:r>
        <w:rPr>
          <w:rFonts w:ascii="Times New Roman" w:hAnsi="Times New Roman"/>
          <w:sz w:val="24"/>
          <w:szCs w:val="24"/>
        </w:rPr>
        <w:t>were issued by the Investment Coordinating Board</w:t>
      </w:r>
      <w:r w:rsidR="00F11F6C">
        <w:rPr>
          <w:rFonts w:ascii="Times New Roman" w:hAnsi="Times New Roman"/>
          <w:sz w:val="24"/>
          <w:szCs w:val="24"/>
        </w:rPr>
        <w:t xml:space="preserve"> (BKPM)</w:t>
      </w:r>
      <w:r>
        <w:rPr>
          <w:rFonts w:ascii="Times New Roman" w:hAnsi="Times New Roman"/>
          <w:sz w:val="24"/>
          <w:szCs w:val="24"/>
        </w:rPr>
        <w:t xml:space="preserve"> in 2015</w:t>
      </w:r>
      <w:r w:rsidR="004978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F11F6C">
        <w:rPr>
          <w:rFonts w:ascii="Times New Roman" w:hAnsi="Times New Roman"/>
          <w:sz w:val="24"/>
          <w:szCs w:val="24"/>
        </w:rPr>
        <w:t xml:space="preserve">Guideline and Procedure of Investment </w:t>
      </w:r>
      <w:r w:rsidR="002D1B30">
        <w:rPr>
          <w:rFonts w:ascii="Times New Roman" w:hAnsi="Times New Roman"/>
          <w:sz w:val="24"/>
          <w:szCs w:val="24"/>
        </w:rPr>
        <w:t xml:space="preserve">Principal </w:t>
      </w:r>
      <w:r w:rsidR="00F11F6C">
        <w:rPr>
          <w:rFonts w:ascii="Times New Roman" w:hAnsi="Times New Roman"/>
          <w:sz w:val="24"/>
          <w:szCs w:val="24"/>
        </w:rPr>
        <w:t>License</w:t>
      </w:r>
      <w:r>
        <w:rPr>
          <w:rFonts w:ascii="Times New Roman" w:hAnsi="Times New Roman"/>
          <w:sz w:val="24"/>
          <w:szCs w:val="24"/>
        </w:rPr>
        <w:t xml:space="preserve"> include</w:t>
      </w:r>
      <w:r w:rsidR="004978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shortened timeframes for license applications and new provisions to facilitate investment in industrial zones.</w:t>
      </w:r>
      <w:r w:rsidR="00F11F6C">
        <w:rPr>
          <w:rFonts w:ascii="Times New Roman" w:hAnsi="Times New Roman"/>
          <w:sz w:val="24"/>
          <w:szCs w:val="24"/>
        </w:rPr>
        <w:t xml:space="preserve"> </w:t>
      </w:r>
      <w:r w:rsidR="002D1B30">
        <w:rPr>
          <w:rFonts w:ascii="Times New Roman" w:hAnsi="Times New Roman"/>
          <w:sz w:val="24"/>
          <w:szCs w:val="24"/>
        </w:rPr>
        <w:t>Also, f</w:t>
      </w:r>
      <w:r w:rsidR="00F11F6C">
        <w:rPr>
          <w:rFonts w:ascii="Times New Roman" w:hAnsi="Times New Roman"/>
          <w:sz w:val="24"/>
          <w:szCs w:val="24"/>
        </w:rPr>
        <w:t xml:space="preserve">oreign businesses in consultancy and import trading are now required to realize their investment prior to obtaining </w:t>
      </w:r>
      <w:r w:rsidR="002D1B30">
        <w:rPr>
          <w:rFonts w:ascii="Times New Roman" w:hAnsi="Times New Roman"/>
          <w:sz w:val="24"/>
          <w:szCs w:val="24"/>
        </w:rPr>
        <w:t xml:space="preserve">a </w:t>
      </w:r>
      <w:r w:rsidR="00F11F6C">
        <w:rPr>
          <w:rFonts w:ascii="Times New Roman" w:hAnsi="Times New Roman"/>
          <w:sz w:val="24"/>
          <w:szCs w:val="24"/>
        </w:rPr>
        <w:t>business license from BKPM.</w:t>
      </w:r>
      <w:r w:rsidR="00482A9C">
        <w:rPr>
          <w:rFonts w:ascii="Times New Roman" w:hAnsi="Times New Roman"/>
          <w:sz w:val="24"/>
          <w:szCs w:val="24"/>
        </w:rPr>
        <w:t xml:space="preserve"> </w:t>
      </w:r>
      <w:r w:rsidR="005B6728">
        <w:rPr>
          <w:rFonts w:ascii="Times New Roman" w:hAnsi="Times New Roman"/>
          <w:sz w:val="24"/>
          <w:szCs w:val="24"/>
        </w:rPr>
        <w:t xml:space="preserve">BKPM also issued regulations to </w:t>
      </w:r>
      <w:r w:rsidR="004978FC">
        <w:rPr>
          <w:rFonts w:ascii="Times New Roman" w:hAnsi="Times New Roman"/>
          <w:sz w:val="24"/>
          <w:szCs w:val="24"/>
        </w:rPr>
        <w:t>expedite</w:t>
      </w:r>
      <w:r w:rsidR="005B6728">
        <w:rPr>
          <w:rFonts w:ascii="Times New Roman" w:hAnsi="Times New Roman"/>
          <w:sz w:val="24"/>
          <w:szCs w:val="24"/>
        </w:rPr>
        <w:t xml:space="preserve"> the issuance o</w:t>
      </w:r>
      <w:r w:rsidR="00482A9C">
        <w:rPr>
          <w:rFonts w:ascii="Times New Roman" w:hAnsi="Times New Roman"/>
          <w:sz w:val="24"/>
          <w:szCs w:val="24"/>
        </w:rPr>
        <w:t>f</w:t>
      </w:r>
      <w:r w:rsidR="004978FC">
        <w:rPr>
          <w:rFonts w:ascii="Times New Roman" w:hAnsi="Times New Roman"/>
          <w:sz w:val="24"/>
          <w:szCs w:val="24"/>
        </w:rPr>
        <w:t xml:space="preserve"> tax incentives</w:t>
      </w:r>
      <w:r w:rsidR="002D1B30">
        <w:rPr>
          <w:rFonts w:ascii="Times New Roman" w:hAnsi="Times New Roman"/>
          <w:sz w:val="24"/>
          <w:szCs w:val="24"/>
        </w:rPr>
        <w:t>,</w:t>
      </w:r>
      <w:r w:rsidR="004978FC">
        <w:rPr>
          <w:rFonts w:ascii="Times New Roman" w:hAnsi="Times New Roman"/>
          <w:sz w:val="24"/>
          <w:szCs w:val="24"/>
        </w:rPr>
        <w:t xml:space="preserve"> as well as </w:t>
      </w:r>
      <w:r w:rsidR="00482A9C">
        <w:rPr>
          <w:rFonts w:ascii="Times New Roman" w:hAnsi="Times New Roman"/>
          <w:sz w:val="24"/>
          <w:szCs w:val="24"/>
        </w:rPr>
        <w:t>granted fiscal facilities to qualified investors in the forms of import duty exemptions in 2015.</w:t>
      </w:r>
    </w:p>
    <w:p w14:paraId="14F25C91" w14:textId="77777777" w:rsidR="00074BD5" w:rsidRDefault="00074BD5" w:rsidP="008D6BF2">
      <w:pPr>
        <w:jc w:val="both"/>
        <w:rPr>
          <w:rFonts w:ascii="Times New Roman" w:hAnsi="Times New Roman"/>
          <w:sz w:val="24"/>
          <w:szCs w:val="24"/>
        </w:rPr>
      </w:pPr>
    </w:p>
    <w:p w14:paraId="3A38BECA" w14:textId="4ED2C11C" w:rsidR="002D1B30" w:rsidRDefault="002D1B30" w:rsidP="002D1B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Despite the implementation of a one-stop service for investment licensing in 2015, it could still take more than one year to obtain required licenses for businesses in agriculture, manufacturing, logistics and tourism industries.</w:t>
      </w:r>
    </w:p>
    <w:p w14:paraId="2DFC23F3" w14:textId="77777777" w:rsidR="002D1B30" w:rsidRDefault="002D1B30" w:rsidP="002D1B30">
      <w:pPr>
        <w:jc w:val="both"/>
        <w:rPr>
          <w:rFonts w:ascii="Times New Roman" w:hAnsi="Times New Roman"/>
          <w:sz w:val="24"/>
          <w:szCs w:val="24"/>
        </w:rPr>
      </w:pPr>
    </w:p>
    <w:p w14:paraId="30D5D73B" w14:textId="11FBA2C9" w:rsidR="00B02013" w:rsidRDefault="00074BD5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Unveiled </w:t>
      </w:r>
      <w:r w:rsidR="002E397D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November 2015, the sixth economic stimulus package </w:t>
      </w:r>
      <w:r w:rsidR="002D1B30">
        <w:rPr>
          <w:rFonts w:ascii="Times New Roman" w:hAnsi="Times New Roman"/>
          <w:sz w:val="24"/>
          <w:szCs w:val="24"/>
        </w:rPr>
        <w:t>entitles</w:t>
      </w:r>
      <w:r w:rsidR="00424468">
        <w:rPr>
          <w:rFonts w:ascii="Times New Roman" w:hAnsi="Times New Roman"/>
          <w:sz w:val="24"/>
          <w:szCs w:val="24"/>
        </w:rPr>
        <w:t xml:space="preserve"> investors to income tax discounts for up to 25 years and foreign investors are allowed to own property in the </w:t>
      </w:r>
      <w:r w:rsidR="003F0E0F">
        <w:rPr>
          <w:rFonts w:ascii="Times New Roman" w:hAnsi="Times New Roman"/>
          <w:sz w:val="24"/>
          <w:szCs w:val="24"/>
        </w:rPr>
        <w:t>special economic zones (</w:t>
      </w:r>
      <w:r w:rsidR="00424468">
        <w:rPr>
          <w:rFonts w:ascii="Times New Roman" w:hAnsi="Times New Roman"/>
          <w:sz w:val="24"/>
          <w:szCs w:val="24"/>
        </w:rPr>
        <w:t>SEZs</w:t>
      </w:r>
      <w:r w:rsidR="003F0E0F">
        <w:rPr>
          <w:rFonts w:ascii="Times New Roman" w:hAnsi="Times New Roman"/>
          <w:sz w:val="24"/>
          <w:szCs w:val="24"/>
        </w:rPr>
        <w:t>)</w:t>
      </w:r>
      <w:r w:rsidR="00424468">
        <w:rPr>
          <w:rFonts w:ascii="Times New Roman" w:hAnsi="Times New Roman"/>
          <w:sz w:val="24"/>
          <w:szCs w:val="24"/>
        </w:rPr>
        <w:t>. Currently there are eight SEZs open to investors qualifying for various incentives.</w:t>
      </w:r>
    </w:p>
    <w:p w14:paraId="16AEC0E3" w14:textId="77777777" w:rsidR="00424468" w:rsidRDefault="00424468" w:rsidP="008D6BF2">
      <w:pPr>
        <w:jc w:val="both"/>
        <w:rPr>
          <w:rFonts w:ascii="Times New Roman" w:hAnsi="Times New Roman"/>
          <w:sz w:val="24"/>
          <w:szCs w:val="24"/>
        </w:rPr>
      </w:pPr>
    </w:p>
    <w:p w14:paraId="492A7EC2" w14:textId="765EFEF5" w:rsidR="00424468" w:rsidRDefault="00424468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April 2014, a revised Negative Investment </w:t>
      </w:r>
      <w:r w:rsidR="009C1AEF">
        <w:rPr>
          <w:rFonts w:ascii="Times New Roman" w:hAnsi="Times New Roman"/>
          <w:sz w:val="24"/>
          <w:szCs w:val="24"/>
        </w:rPr>
        <w:t xml:space="preserve">List was adopted, which </w:t>
      </w:r>
      <w:r w:rsidR="004978FC">
        <w:rPr>
          <w:rFonts w:ascii="Times New Roman" w:hAnsi="Times New Roman"/>
          <w:sz w:val="24"/>
          <w:szCs w:val="24"/>
        </w:rPr>
        <w:t>in general marked</w:t>
      </w:r>
      <w:r w:rsidR="009C1AEF">
        <w:rPr>
          <w:rFonts w:ascii="Times New Roman" w:hAnsi="Times New Roman"/>
          <w:sz w:val="24"/>
          <w:szCs w:val="24"/>
        </w:rPr>
        <w:t xml:space="preserve"> a liberalizing trend. </w:t>
      </w:r>
      <w:r w:rsidR="002D1B30">
        <w:rPr>
          <w:rFonts w:ascii="Times New Roman" w:hAnsi="Times New Roman"/>
          <w:sz w:val="24"/>
          <w:szCs w:val="24"/>
        </w:rPr>
        <w:t>F</w:t>
      </w:r>
      <w:r w:rsidR="009C1AEF">
        <w:rPr>
          <w:rFonts w:ascii="Times New Roman" w:hAnsi="Times New Roman"/>
          <w:sz w:val="24"/>
          <w:szCs w:val="24"/>
        </w:rPr>
        <w:t xml:space="preserve">oreign ownership restrictions </w:t>
      </w:r>
      <w:r w:rsidR="002D1B30">
        <w:rPr>
          <w:rFonts w:ascii="Times New Roman" w:hAnsi="Times New Roman"/>
          <w:sz w:val="24"/>
          <w:szCs w:val="24"/>
        </w:rPr>
        <w:t xml:space="preserve">were relaxed in </w:t>
      </w:r>
      <w:r w:rsidR="009C1AEF">
        <w:rPr>
          <w:rFonts w:ascii="Times New Roman" w:hAnsi="Times New Roman"/>
          <w:sz w:val="24"/>
          <w:szCs w:val="24"/>
        </w:rPr>
        <w:t xml:space="preserve">advertising, broadcasting, telecommunications, transport, pharmaceuticals and venture capital. </w:t>
      </w:r>
      <w:r w:rsidR="002D1B30">
        <w:rPr>
          <w:rFonts w:ascii="Times New Roman" w:hAnsi="Times New Roman"/>
          <w:sz w:val="24"/>
          <w:szCs w:val="24"/>
        </w:rPr>
        <w:t xml:space="preserve">However, </w:t>
      </w:r>
      <w:r w:rsidR="009C1AEF">
        <w:rPr>
          <w:rFonts w:ascii="Times New Roman" w:hAnsi="Times New Roman"/>
          <w:sz w:val="24"/>
          <w:szCs w:val="24"/>
        </w:rPr>
        <w:t>greater foreign investment restrictions in energy, mineral resources and trade</w:t>
      </w:r>
      <w:r w:rsidR="002D1B30">
        <w:rPr>
          <w:rFonts w:ascii="Times New Roman" w:hAnsi="Times New Roman"/>
          <w:sz w:val="24"/>
          <w:szCs w:val="24"/>
        </w:rPr>
        <w:t xml:space="preserve"> remain</w:t>
      </w:r>
      <w:r w:rsidR="009C1AEF">
        <w:rPr>
          <w:rFonts w:ascii="Times New Roman" w:hAnsi="Times New Roman"/>
          <w:sz w:val="24"/>
          <w:szCs w:val="24"/>
        </w:rPr>
        <w:t xml:space="preserve">. </w:t>
      </w:r>
      <w:r w:rsidR="00ED6AA4">
        <w:rPr>
          <w:rFonts w:ascii="Times New Roman" w:hAnsi="Times New Roman"/>
          <w:sz w:val="24"/>
          <w:szCs w:val="24"/>
        </w:rPr>
        <w:t xml:space="preserve">In February 2016, plans for further investment liberalization were announced with 35 industries removed from the </w:t>
      </w:r>
      <w:r w:rsidR="00996797">
        <w:rPr>
          <w:rFonts w:ascii="Times New Roman" w:hAnsi="Times New Roman"/>
          <w:sz w:val="24"/>
          <w:szCs w:val="24"/>
        </w:rPr>
        <w:t xml:space="preserve">latest </w:t>
      </w:r>
      <w:r w:rsidR="00ED6AA4">
        <w:rPr>
          <w:rFonts w:ascii="Times New Roman" w:hAnsi="Times New Roman"/>
          <w:sz w:val="24"/>
          <w:szCs w:val="24"/>
        </w:rPr>
        <w:t>Negative Investment List.</w:t>
      </w:r>
    </w:p>
    <w:p w14:paraId="45795DC2" w14:textId="77777777" w:rsidR="000C2A1C" w:rsidRDefault="000C2A1C" w:rsidP="008D6BF2">
      <w:pPr>
        <w:jc w:val="both"/>
        <w:rPr>
          <w:rFonts w:ascii="Times New Roman" w:hAnsi="Times New Roman"/>
          <w:sz w:val="24"/>
          <w:szCs w:val="24"/>
        </w:rPr>
      </w:pPr>
    </w:p>
    <w:p w14:paraId="5C0EC007" w14:textId="014EFB00" w:rsidR="008E49E2" w:rsidRDefault="008E49E2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Indonesia has 47 Bilateral Investment Treaty (BITs) and other Investment </w:t>
      </w:r>
      <w:r w:rsidR="00405136">
        <w:rPr>
          <w:rFonts w:ascii="Times New Roman" w:hAnsi="Times New Roman"/>
          <w:sz w:val="24"/>
          <w:szCs w:val="24"/>
        </w:rPr>
        <w:t>Agreements (IIAs) in force. However,</w:t>
      </w:r>
      <w:r>
        <w:rPr>
          <w:rFonts w:ascii="Times New Roman" w:hAnsi="Times New Roman"/>
          <w:sz w:val="24"/>
          <w:szCs w:val="24"/>
        </w:rPr>
        <w:t xml:space="preserve"> Indonesia terminated the </w:t>
      </w:r>
      <w:r w:rsidR="002C03A0">
        <w:rPr>
          <w:rFonts w:ascii="Times New Roman" w:hAnsi="Times New Roman"/>
          <w:sz w:val="24"/>
          <w:szCs w:val="24"/>
        </w:rPr>
        <w:t>BIT</w:t>
      </w:r>
      <w:r>
        <w:rPr>
          <w:rFonts w:ascii="Times New Roman" w:hAnsi="Times New Roman"/>
          <w:sz w:val="24"/>
          <w:szCs w:val="24"/>
        </w:rPr>
        <w:t xml:space="preserve"> with the Netherlands in July 2015.</w:t>
      </w:r>
    </w:p>
    <w:p w14:paraId="3CE9C39B" w14:textId="77777777" w:rsidR="002A174F" w:rsidRDefault="002A174F" w:rsidP="008D6BF2">
      <w:pPr>
        <w:jc w:val="both"/>
        <w:rPr>
          <w:rFonts w:ascii="Times New Roman" w:hAnsi="Times New Roman"/>
          <w:sz w:val="24"/>
          <w:szCs w:val="24"/>
        </w:rPr>
      </w:pPr>
    </w:p>
    <w:p w14:paraId="6F01DCD5" w14:textId="77777777" w:rsidR="00D82832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Standards and Conformance</w:t>
      </w:r>
    </w:p>
    <w:p w14:paraId="3581DB2E" w14:textId="0E108A40" w:rsidR="00B773F0" w:rsidRDefault="00B773F0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of December 2015, </w:t>
      </w:r>
      <w:r w:rsidR="002C03A0">
        <w:rPr>
          <w:rFonts w:ascii="Times New Roman" w:hAnsi="Times New Roman"/>
          <w:sz w:val="24"/>
          <w:szCs w:val="24"/>
        </w:rPr>
        <w:t xml:space="preserve">Indonesia National Standards (SNIs) has developed </w:t>
      </w:r>
      <w:r>
        <w:rPr>
          <w:rFonts w:ascii="Times New Roman" w:hAnsi="Times New Roman"/>
          <w:sz w:val="24"/>
          <w:szCs w:val="24"/>
        </w:rPr>
        <w:t>8,716 active standard</w:t>
      </w:r>
      <w:r w:rsidR="002C03A0">
        <w:rPr>
          <w:rFonts w:ascii="Times New Roman" w:hAnsi="Times New Roman"/>
          <w:sz w:val="24"/>
          <w:szCs w:val="24"/>
        </w:rPr>
        <w:t>s (8,518 of them are voluntary)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773F0">
        <w:rPr>
          <w:rFonts w:ascii="Times New Roman" w:hAnsi="Times New Roman"/>
          <w:sz w:val="24"/>
          <w:szCs w:val="24"/>
        </w:rPr>
        <w:t xml:space="preserve">The National Standardization Agency of Indonesia (BSN) is continuing its work to align national standards to international standards. </w:t>
      </w:r>
    </w:p>
    <w:p w14:paraId="51C23AAB" w14:textId="77777777" w:rsidR="00B773F0" w:rsidRDefault="00B773F0" w:rsidP="008D6BF2">
      <w:pPr>
        <w:jc w:val="both"/>
        <w:rPr>
          <w:rFonts w:ascii="Times New Roman" w:hAnsi="Times New Roman"/>
          <w:sz w:val="24"/>
          <w:szCs w:val="24"/>
        </w:rPr>
      </w:pPr>
    </w:p>
    <w:p w14:paraId="23518C7D" w14:textId="2B9470A0" w:rsidR="0051104B" w:rsidRDefault="0051104B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October 2015, the Ministry of Trade </w:t>
      </w:r>
      <w:r w:rsidR="00332AB8">
        <w:rPr>
          <w:rFonts w:ascii="Times New Roman" w:hAnsi="Times New Roman"/>
          <w:sz w:val="24"/>
          <w:szCs w:val="24"/>
        </w:rPr>
        <w:t>relaxed</w:t>
      </w:r>
      <w:r>
        <w:rPr>
          <w:rFonts w:ascii="Times New Roman" w:hAnsi="Times New Roman"/>
          <w:sz w:val="24"/>
          <w:szCs w:val="24"/>
        </w:rPr>
        <w:t xml:space="preserve"> </w:t>
      </w:r>
      <w:r w:rsidR="002C03A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regulation on labeling </w:t>
      </w:r>
      <w:r w:rsidR="00332AB8">
        <w:rPr>
          <w:rFonts w:ascii="Times New Roman" w:hAnsi="Times New Roman"/>
          <w:sz w:val="24"/>
          <w:szCs w:val="24"/>
        </w:rPr>
        <w:t>of imported</w:t>
      </w:r>
      <w:r>
        <w:rPr>
          <w:rFonts w:ascii="Times New Roman" w:hAnsi="Times New Roman"/>
          <w:sz w:val="24"/>
          <w:szCs w:val="24"/>
        </w:rPr>
        <w:t xml:space="preserve"> goods</w:t>
      </w:r>
      <w:r w:rsidR="00332AB8">
        <w:rPr>
          <w:rFonts w:ascii="Times New Roman" w:hAnsi="Times New Roman"/>
          <w:sz w:val="24"/>
          <w:szCs w:val="24"/>
        </w:rPr>
        <w:t xml:space="preserve"> in Bahasa Indonesia – the labels can be stamped or inserted </w:t>
      </w:r>
      <w:r w:rsidR="002D1B30">
        <w:rPr>
          <w:rFonts w:ascii="Times New Roman" w:hAnsi="Times New Roman"/>
          <w:sz w:val="24"/>
          <w:szCs w:val="24"/>
        </w:rPr>
        <w:t>instead of being</w:t>
      </w:r>
      <w:r w:rsidR="00332AB8">
        <w:rPr>
          <w:rFonts w:ascii="Times New Roman" w:hAnsi="Times New Roman"/>
          <w:sz w:val="24"/>
          <w:szCs w:val="24"/>
        </w:rPr>
        <w:t xml:space="preserve"> embossed, printed or glued as </w:t>
      </w:r>
      <w:r w:rsidR="002C03A0">
        <w:rPr>
          <w:rFonts w:ascii="Times New Roman" w:hAnsi="Times New Roman"/>
          <w:sz w:val="24"/>
          <w:szCs w:val="24"/>
        </w:rPr>
        <w:t>required</w:t>
      </w:r>
      <w:r w:rsidR="00332AB8">
        <w:rPr>
          <w:rFonts w:ascii="Times New Roman" w:hAnsi="Times New Roman"/>
          <w:sz w:val="24"/>
          <w:szCs w:val="24"/>
        </w:rPr>
        <w:t xml:space="preserve"> previously</w:t>
      </w:r>
      <w:r>
        <w:rPr>
          <w:rFonts w:ascii="Times New Roman" w:hAnsi="Times New Roman"/>
          <w:sz w:val="24"/>
          <w:szCs w:val="24"/>
        </w:rPr>
        <w:t>.</w:t>
      </w:r>
    </w:p>
    <w:p w14:paraId="0A874D23" w14:textId="77777777" w:rsidR="00460DAC" w:rsidRDefault="00460DAC" w:rsidP="008D6BF2">
      <w:pPr>
        <w:jc w:val="both"/>
        <w:rPr>
          <w:rFonts w:ascii="Times New Roman" w:hAnsi="Times New Roman"/>
          <w:sz w:val="24"/>
          <w:szCs w:val="24"/>
        </w:rPr>
      </w:pPr>
    </w:p>
    <w:p w14:paraId="03A6F443" w14:textId="00749720" w:rsidR="00460DAC" w:rsidRDefault="000B47A7" w:rsidP="00460D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Recent new specific trade concerns (STCs) raised </w:t>
      </w:r>
      <w:r w:rsidR="002D1B30">
        <w:rPr>
          <w:rFonts w:ascii="Times New Roman" w:hAnsi="Times New Roman"/>
          <w:sz w:val="24"/>
          <w:szCs w:val="24"/>
        </w:rPr>
        <w:t xml:space="preserve">against </w:t>
      </w:r>
      <w:r>
        <w:rPr>
          <w:rFonts w:ascii="Times New Roman" w:hAnsi="Times New Roman"/>
          <w:sz w:val="24"/>
          <w:szCs w:val="24"/>
        </w:rPr>
        <w:t xml:space="preserve">Indonesia include local content requirements for LTE devices and importation of carcass, meat and processed meat products. </w:t>
      </w:r>
      <w:r w:rsidR="00460DAC">
        <w:rPr>
          <w:rFonts w:ascii="Times New Roman" w:hAnsi="Times New Roman"/>
          <w:sz w:val="24"/>
          <w:szCs w:val="24"/>
        </w:rPr>
        <w:t xml:space="preserve">As of February 2016, 20 STCs against Indonesia remain unresolved at the WTO </w:t>
      </w:r>
      <w:r w:rsidR="003F0E0F">
        <w:rPr>
          <w:rFonts w:ascii="Times New Roman" w:hAnsi="Times New Roman"/>
          <w:sz w:val="24"/>
          <w:szCs w:val="24"/>
        </w:rPr>
        <w:t>Technical Barriers to Trade (</w:t>
      </w:r>
      <w:r w:rsidR="00460DAC">
        <w:rPr>
          <w:rFonts w:ascii="Times New Roman" w:hAnsi="Times New Roman"/>
          <w:sz w:val="24"/>
          <w:szCs w:val="24"/>
        </w:rPr>
        <w:t>TBT</w:t>
      </w:r>
      <w:r w:rsidR="003F0E0F">
        <w:rPr>
          <w:rFonts w:ascii="Times New Roman" w:hAnsi="Times New Roman"/>
          <w:sz w:val="24"/>
          <w:szCs w:val="24"/>
        </w:rPr>
        <w:t>)</w:t>
      </w:r>
      <w:r w:rsidR="00460DAC">
        <w:rPr>
          <w:rFonts w:ascii="Times New Roman" w:hAnsi="Times New Roman"/>
          <w:sz w:val="24"/>
          <w:szCs w:val="24"/>
        </w:rPr>
        <w:t xml:space="preserve"> Committee.</w:t>
      </w:r>
      <w:r w:rsidR="00501B31">
        <w:rPr>
          <w:rFonts w:ascii="Times New Roman" w:hAnsi="Times New Roman"/>
          <w:sz w:val="24"/>
          <w:szCs w:val="24"/>
        </w:rPr>
        <w:t xml:space="preserve"> 13 STCs remain unresolved at the WTO </w:t>
      </w:r>
      <w:r w:rsidR="003F0E0F">
        <w:rPr>
          <w:rFonts w:ascii="Times New Roman" w:hAnsi="Times New Roman"/>
          <w:sz w:val="24"/>
          <w:szCs w:val="24"/>
        </w:rPr>
        <w:t>Sanitary and Phytosanitary (</w:t>
      </w:r>
      <w:r w:rsidR="00501B31">
        <w:rPr>
          <w:rFonts w:ascii="Times New Roman" w:hAnsi="Times New Roman"/>
          <w:sz w:val="24"/>
          <w:szCs w:val="24"/>
        </w:rPr>
        <w:t>SPS</w:t>
      </w:r>
      <w:r w:rsidR="003F0E0F">
        <w:rPr>
          <w:rFonts w:ascii="Times New Roman" w:hAnsi="Times New Roman"/>
          <w:sz w:val="24"/>
          <w:szCs w:val="24"/>
        </w:rPr>
        <w:t>)</w:t>
      </w:r>
      <w:r w:rsidR="00501B31">
        <w:rPr>
          <w:rFonts w:ascii="Times New Roman" w:hAnsi="Times New Roman"/>
          <w:sz w:val="24"/>
          <w:szCs w:val="24"/>
        </w:rPr>
        <w:t xml:space="preserve"> Committee.</w:t>
      </w:r>
    </w:p>
    <w:p w14:paraId="36F558D3" w14:textId="77777777" w:rsidR="00764531" w:rsidRDefault="00764531" w:rsidP="008D6BF2">
      <w:pPr>
        <w:jc w:val="both"/>
        <w:rPr>
          <w:rFonts w:ascii="Times New Roman" w:hAnsi="Times New Roman"/>
          <w:sz w:val="24"/>
          <w:szCs w:val="24"/>
        </w:rPr>
      </w:pPr>
    </w:p>
    <w:p w14:paraId="7D5D701D" w14:textId="77777777" w:rsidR="00D82832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Customs Procedures</w:t>
      </w:r>
    </w:p>
    <w:p w14:paraId="58422CEB" w14:textId="0DA973C6" w:rsidR="00435415" w:rsidRDefault="00B75411" w:rsidP="00F52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Indonesia</w:t>
      </w:r>
      <w:r w:rsidR="002C03A0">
        <w:rPr>
          <w:rFonts w:ascii="Times New Roman" w:hAnsi="Times New Roman"/>
          <w:sz w:val="24"/>
          <w:szCs w:val="24"/>
        </w:rPr>
        <w:t>’s accession</w:t>
      </w:r>
      <w:r>
        <w:rPr>
          <w:rFonts w:ascii="Times New Roman" w:hAnsi="Times New Roman"/>
          <w:sz w:val="24"/>
          <w:szCs w:val="24"/>
        </w:rPr>
        <w:t xml:space="preserve"> to the revised International Convention on the Simplification and Harmonization of Customs</w:t>
      </w:r>
      <w:r w:rsidR="002C03A0">
        <w:rPr>
          <w:rFonts w:ascii="Times New Roman" w:hAnsi="Times New Roman"/>
          <w:sz w:val="24"/>
          <w:szCs w:val="24"/>
        </w:rPr>
        <w:t xml:space="preserve"> procedures (Kyoto Convention) </w:t>
      </w:r>
      <w:r>
        <w:rPr>
          <w:rFonts w:ascii="Times New Roman" w:hAnsi="Times New Roman"/>
          <w:sz w:val="24"/>
          <w:szCs w:val="24"/>
        </w:rPr>
        <w:t xml:space="preserve">entered into force </w:t>
      </w:r>
      <w:r w:rsidR="002C03A0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 xml:space="preserve"> November 2014. </w:t>
      </w:r>
      <w:r w:rsidR="002E397D">
        <w:rPr>
          <w:rFonts w:ascii="Times New Roman" w:hAnsi="Times New Roman"/>
          <w:sz w:val="24"/>
          <w:szCs w:val="24"/>
        </w:rPr>
        <w:t>A national</w:t>
      </w:r>
      <w:r>
        <w:rPr>
          <w:rFonts w:ascii="Times New Roman" w:hAnsi="Times New Roman"/>
          <w:sz w:val="24"/>
          <w:szCs w:val="24"/>
        </w:rPr>
        <w:t xml:space="preserve"> Authorized Economic Operator (AEO) program was </w:t>
      </w:r>
      <w:r w:rsidR="002E397D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>launched</w:t>
      </w:r>
      <w:r w:rsidR="002E397D">
        <w:rPr>
          <w:rFonts w:ascii="Times New Roman" w:hAnsi="Times New Roman"/>
          <w:sz w:val="24"/>
          <w:szCs w:val="24"/>
        </w:rPr>
        <w:t xml:space="preserve"> in Jakarta</w:t>
      </w:r>
      <w:r>
        <w:rPr>
          <w:rFonts w:ascii="Times New Roman" w:hAnsi="Times New Roman"/>
          <w:sz w:val="24"/>
          <w:szCs w:val="24"/>
        </w:rPr>
        <w:t xml:space="preserve"> in March 2015</w:t>
      </w:r>
      <w:r w:rsidR="002E397D">
        <w:rPr>
          <w:rFonts w:ascii="Times New Roman" w:hAnsi="Times New Roman"/>
          <w:sz w:val="24"/>
          <w:szCs w:val="24"/>
        </w:rPr>
        <w:t>.</w:t>
      </w:r>
      <w:r w:rsidR="00F159EE">
        <w:rPr>
          <w:rFonts w:ascii="Times New Roman" w:hAnsi="Times New Roman"/>
          <w:sz w:val="24"/>
          <w:szCs w:val="24"/>
        </w:rPr>
        <w:t xml:space="preserve"> In addition, t</w:t>
      </w:r>
      <w:r w:rsidR="00435415">
        <w:rPr>
          <w:rFonts w:ascii="Times New Roman" w:hAnsi="Times New Roman"/>
          <w:sz w:val="24"/>
          <w:szCs w:val="24"/>
        </w:rPr>
        <w:t xml:space="preserve">he government relaunched the Indonesia National Single Window (INSW) in October 2015 with new services aiming to unify data. </w:t>
      </w:r>
      <w:r w:rsidR="00F159EE">
        <w:rPr>
          <w:rFonts w:ascii="Times New Roman" w:hAnsi="Times New Roman"/>
          <w:sz w:val="24"/>
          <w:szCs w:val="24"/>
        </w:rPr>
        <w:t>Among the new features, the</w:t>
      </w:r>
      <w:r w:rsidR="00435415">
        <w:rPr>
          <w:rFonts w:ascii="Times New Roman" w:hAnsi="Times New Roman"/>
          <w:sz w:val="24"/>
          <w:szCs w:val="24"/>
        </w:rPr>
        <w:t xml:space="preserve"> INSW includes the National Trade Repository and the ASEAN Single Window.</w:t>
      </w:r>
    </w:p>
    <w:p w14:paraId="7DC20C9B" w14:textId="77777777" w:rsidR="00435415" w:rsidRDefault="00435415" w:rsidP="008D6BF2">
      <w:pPr>
        <w:jc w:val="both"/>
        <w:rPr>
          <w:rFonts w:ascii="Times New Roman" w:hAnsi="Times New Roman"/>
          <w:sz w:val="24"/>
          <w:szCs w:val="24"/>
        </w:rPr>
      </w:pPr>
    </w:p>
    <w:p w14:paraId="186AA354" w14:textId="77777777" w:rsidR="008D4DCE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Intellectual Property Rights</w:t>
      </w:r>
    </w:p>
    <w:p w14:paraId="5857EA9D" w14:textId="239700B4" w:rsidR="0087436A" w:rsidRPr="00435415" w:rsidRDefault="0087436A" w:rsidP="00F525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April 2015, a new integrated Intellectual Property Data and Information Service</w:t>
      </w:r>
      <w:r w:rsidR="001D783F">
        <w:rPr>
          <w:rFonts w:ascii="Times New Roman" w:hAnsi="Times New Roman"/>
          <w:sz w:val="24"/>
          <w:szCs w:val="24"/>
        </w:rPr>
        <w:t xml:space="preserve"> System (LADIHKI) was launched </w:t>
      </w:r>
      <w:r>
        <w:rPr>
          <w:rFonts w:ascii="Times New Roman" w:hAnsi="Times New Roman"/>
          <w:sz w:val="24"/>
          <w:szCs w:val="24"/>
        </w:rPr>
        <w:t>cover</w:t>
      </w:r>
      <w:r w:rsidR="001D783F"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z w:val="24"/>
          <w:szCs w:val="24"/>
        </w:rPr>
        <w:t xml:space="preserve"> patents, trademarks and industrial designs.</w:t>
      </w:r>
      <w:r w:rsidR="00F5253C">
        <w:rPr>
          <w:rFonts w:ascii="Times New Roman" w:hAnsi="Times New Roman"/>
          <w:sz w:val="24"/>
          <w:szCs w:val="24"/>
        </w:rPr>
        <w:t xml:space="preserve"> Also, a</w:t>
      </w:r>
      <w:r>
        <w:rPr>
          <w:rFonts w:ascii="Times New Roman" w:hAnsi="Times New Roman"/>
          <w:sz w:val="24"/>
          <w:szCs w:val="24"/>
        </w:rPr>
        <w:t xml:space="preserve"> new regulation </w:t>
      </w:r>
      <w:r w:rsidR="00F5253C">
        <w:rPr>
          <w:rFonts w:ascii="Times New Roman" w:hAnsi="Times New Roman"/>
          <w:sz w:val="24"/>
          <w:szCs w:val="24"/>
        </w:rPr>
        <w:t xml:space="preserve">was issued in March 2016 stipulating </w:t>
      </w:r>
      <w:r>
        <w:rPr>
          <w:rFonts w:ascii="Times New Roman" w:hAnsi="Times New Roman"/>
          <w:sz w:val="24"/>
          <w:szCs w:val="24"/>
        </w:rPr>
        <w:t>the procedures for recording license agreements</w:t>
      </w:r>
      <w:r w:rsidR="00F5253C">
        <w:rPr>
          <w:rFonts w:ascii="Times New Roman" w:hAnsi="Times New Roman"/>
          <w:sz w:val="24"/>
          <w:szCs w:val="24"/>
        </w:rPr>
        <w:t xml:space="preserve">, which </w:t>
      </w:r>
      <w:r>
        <w:rPr>
          <w:rFonts w:ascii="Times New Roman" w:hAnsi="Times New Roman"/>
          <w:sz w:val="24"/>
          <w:szCs w:val="24"/>
        </w:rPr>
        <w:t>helps license holders to enforce the licensed intellectual property rights.</w:t>
      </w:r>
    </w:p>
    <w:p w14:paraId="3FD06127" w14:textId="77777777" w:rsidR="00C837A7" w:rsidRDefault="00C837A7" w:rsidP="008D6BF2">
      <w:pPr>
        <w:jc w:val="both"/>
        <w:rPr>
          <w:rFonts w:ascii="Times New Roman" w:hAnsi="Times New Roman"/>
          <w:sz w:val="24"/>
          <w:szCs w:val="24"/>
        </w:rPr>
      </w:pPr>
    </w:p>
    <w:p w14:paraId="5CCD5A9B" w14:textId="77777777" w:rsidR="00C16ADC" w:rsidRDefault="00C16ADC" w:rsidP="008D6BF2">
      <w:pPr>
        <w:jc w:val="both"/>
        <w:rPr>
          <w:rFonts w:ascii="Times New Roman" w:hAnsi="Times New Roman"/>
          <w:sz w:val="24"/>
          <w:szCs w:val="24"/>
        </w:rPr>
      </w:pPr>
    </w:p>
    <w:p w14:paraId="382BE006" w14:textId="77777777" w:rsidR="008D4DCE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lastRenderedPageBreak/>
        <w:t>Competition Policy</w:t>
      </w:r>
    </w:p>
    <w:p w14:paraId="063E0B44" w14:textId="77777777" w:rsidR="00A23EA7" w:rsidRDefault="00B24008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 w:rsidR="00A23EA7">
        <w:rPr>
          <w:rFonts w:ascii="Times New Roman" w:hAnsi="Times New Roman"/>
          <w:sz w:val="24"/>
          <w:szCs w:val="24"/>
        </w:rPr>
        <w:t>June</w:t>
      </w:r>
      <w:r>
        <w:rPr>
          <w:rFonts w:ascii="Times New Roman" w:hAnsi="Times New Roman"/>
          <w:sz w:val="24"/>
          <w:szCs w:val="24"/>
        </w:rPr>
        <w:t xml:space="preserve"> 2014, the </w:t>
      </w:r>
      <w:r w:rsidR="00A23EA7">
        <w:rPr>
          <w:rFonts w:ascii="Times New Roman" w:hAnsi="Times New Roman"/>
          <w:sz w:val="24"/>
          <w:szCs w:val="24"/>
        </w:rPr>
        <w:t xml:space="preserve">regulation </w:t>
      </w:r>
      <w:r w:rsidR="001D783F">
        <w:rPr>
          <w:rFonts w:ascii="Times New Roman" w:hAnsi="Times New Roman"/>
          <w:sz w:val="24"/>
          <w:szCs w:val="24"/>
        </w:rPr>
        <w:t>on introducing more</w:t>
      </w:r>
      <w:r w:rsidR="00A23EA7">
        <w:rPr>
          <w:rFonts w:ascii="Times New Roman" w:hAnsi="Times New Roman"/>
          <w:sz w:val="24"/>
          <w:szCs w:val="24"/>
        </w:rPr>
        <w:t xml:space="preserve"> competition</w:t>
      </w:r>
      <w:r>
        <w:rPr>
          <w:rFonts w:ascii="Times New Roman" w:hAnsi="Times New Roman"/>
          <w:sz w:val="24"/>
          <w:szCs w:val="24"/>
        </w:rPr>
        <w:t xml:space="preserve"> </w:t>
      </w:r>
      <w:r w:rsidR="001D783F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the retail sector</w:t>
      </w:r>
      <w:r w:rsidR="00A23EA7">
        <w:rPr>
          <w:rFonts w:ascii="Times New Roman" w:hAnsi="Times New Roman"/>
          <w:sz w:val="24"/>
          <w:szCs w:val="24"/>
        </w:rPr>
        <w:t xml:space="preserve"> came into</w:t>
      </w:r>
      <w:r>
        <w:rPr>
          <w:rFonts w:ascii="Times New Roman" w:hAnsi="Times New Roman"/>
          <w:sz w:val="24"/>
          <w:szCs w:val="24"/>
        </w:rPr>
        <w:t xml:space="preserve"> </w:t>
      </w:r>
      <w:r w:rsidR="00A23EA7">
        <w:rPr>
          <w:rFonts w:ascii="Times New Roman" w:hAnsi="Times New Roman"/>
          <w:sz w:val="24"/>
          <w:szCs w:val="24"/>
        </w:rPr>
        <w:t>effect.</w:t>
      </w:r>
    </w:p>
    <w:p w14:paraId="1542F550" w14:textId="513F2C86" w:rsidR="00B24008" w:rsidRDefault="00A23EA7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B24008">
        <w:rPr>
          <w:rFonts w:ascii="Times New Roman" w:hAnsi="Times New Roman"/>
          <w:sz w:val="24"/>
          <w:szCs w:val="24"/>
        </w:rPr>
        <w:t xml:space="preserve"> regulation </w:t>
      </w:r>
      <w:r>
        <w:rPr>
          <w:rFonts w:ascii="Times New Roman" w:hAnsi="Times New Roman"/>
          <w:sz w:val="24"/>
          <w:szCs w:val="24"/>
        </w:rPr>
        <w:t>aims</w:t>
      </w:r>
      <w:r w:rsidR="00B24008">
        <w:rPr>
          <w:rFonts w:ascii="Times New Roman" w:hAnsi="Times New Roman"/>
          <w:sz w:val="24"/>
          <w:szCs w:val="24"/>
        </w:rPr>
        <w:t xml:space="preserve"> </w:t>
      </w:r>
      <w:r w:rsidR="00743B3F">
        <w:rPr>
          <w:rFonts w:ascii="Times New Roman" w:hAnsi="Times New Roman"/>
          <w:sz w:val="24"/>
          <w:szCs w:val="24"/>
        </w:rPr>
        <w:t>at</w:t>
      </w:r>
      <w:r w:rsidR="00B24008">
        <w:rPr>
          <w:rFonts w:ascii="Times New Roman" w:hAnsi="Times New Roman"/>
          <w:sz w:val="24"/>
          <w:szCs w:val="24"/>
        </w:rPr>
        <w:t xml:space="preserve"> balanc</w:t>
      </w:r>
      <w:r w:rsidR="00743B3F">
        <w:rPr>
          <w:rFonts w:ascii="Times New Roman" w:hAnsi="Times New Roman"/>
          <w:sz w:val="24"/>
          <w:szCs w:val="24"/>
        </w:rPr>
        <w:t>ing</w:t>
      </w:r>
      <w:r w:rsidR="00B24008">
        <w:rPr>
          <w:rFonts w:ascii="Times New Roman" w:hAnsi="Times New Roman"/>
          <w:sz w:val="24"/>
          <w:szCs w:val="24"/>
        </w:rPr>
        <w:t xml:space="preserve"> the needs of traditional markets and small businesses against modern shopping developments.</w:t>
      </w:r>
      <w:r w:rsidR="00743B3F">
        <w:rPr>
          <w:rFonts w:ascii="Times New Roman" w:hAnsi="Times New Roman"/>
          <w:sz w:val="24"/>
          <w:szCs w:val="24"/>
        </w:rPr>
        <w:t xml:space="preserve"> Key provisions include a cap on the number of modern store outlets a single company can own</w:t>
      </w:r>
      <w:r>
        <w:rPr>
          <w:rFonts w:ascii="Times New Roman" w:hAnsi="Times New Roman"/>
          <w:sz w:val="24"/>
          <w:szCs w:val="24"/>
        </w:rPr>
        <w:t xml:space="preserve"> and maximum selling area.</w:t>
      </w:r>
    </w:p>
    <w:p w14:paraId="44C9CE16" w14:textId="77777777" w:rsidR="00D613C0" w:rsidRDefault="00D613C0" w:rsidP="008D6BF2">
      <w:pPr>
        <w:jc w:val="both"/>
        <w:rPr>
          <w:rFonts w:ascii="Times New Roman" w:hAnsi="Times New Roman"/>
          <w:sz w:val="24"/>
          <w:szCs w:val="24"/>
        </w:rPr>
      </w:pPr>
    </w:p>
    <w:p w14:paraId="0CF3FB89" w14:textId="1D890A95" w:rsidR="00D613C0" w:rsidRDefault="00743B3F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2015, t</w:t>
      </w:r>
      <w:r w:rsidR="00D613C0">
        <w:rPr>
          <w:rFonts w:ascii="Times New Roman" w:hAnsi="Times New Roman"/>
          <w:sz w:val="24"/>
          <w:szCs w:val="24"/>
        </w:rPr>
        <w:t>he Competition Commission stepped up effort</w:t>
      </w:r>
      <w:r w:rsidR="00F5253C">
        <w:rPr>
          <w:rFonts w:ascii="Times New Roman" w:hAnsi="Times New Roman"/>
          <w:sz w:val="24"/>
          <w:szCs w:val="24"/>
        </w:rPr>
        <w:t>s</w:t>
      </w:r>
      <w:r w:rsidR="00D613C0">
        <w:rPr>
          <w:rFonts w:ascii="Times New Roman" w:hAnsi="Times New Roman"/>
          <w:sz w:val="24"/>
          <w:szCs w:val="24"/>
        </w:rPr>
        <w:t xml:space="preserve"> in </w:t>
      </w:r>
      <w:r w:rsidR="00F5253C">
        <w:rPr>
          <w:rFonts w:ascii="Times New Roman" w:hAnsi="Times New Roman"/>
          <w:sz w:val="24"/>
          <w:szCs w:val="24"/>
        </w:rPr>
        <w:t xml:space="preserve">supervising </w:t>
      </w:r>
      <w:r w:rsidR="00D613C0">
        <w:rPr>
          <w:rFonts w:ascii="Times New Roman" w:hAnsi="Times New Roman"/>
          <w:sz w:val="24"/>
          <w:szCs w:val="24"/>
        </w:rPr>
        <w:t>and enforc</w:t>
      </w:r>
      <w:r w:rsidR="00F5253C">
        <w:rPr>
          <w:rFonts w:ascii="Times New Roman" w:hAnsi="Times New Roman"/>
          <w:sz w:val="24"/>
          <w:szCs w:val="24"/>
        </w:rPr>
        <w:t>ing</w:t>
      </w:r>
      <w:r w:rsidR="00D613C0">
        <w:rPr>
          <w:rFonts w:ascii="Times New Roman" w:hAnsi="Times New Roman"/>
          <w:sz w:val="24"/>
          <w:szCs w:val="24"/>
        </w:rPr>
        <w:t xml:space="preserve"> partnership agreements between small and medium enterprises (SMEs) and large enterprises</w:t>
      </w:r>
      <w:r>
        <w:rPr>
          <w:rFonts w:ascii="Times New Roman" w:hAnsi="Times New Roman"/>
          <w:sz w:val="24"/>
          <w:szCs w:val="24"/>
        </w:rPr>
        <w:t xml:space="preserve"> to formally look into complaints and alleged violations. Furthermore, coordination between regulators, ministries and other stakeholders have been </w:t>
      </w:r>
      <w:r w:rsidR="001D783F">
        <w:rPr>
          <w:rFonts w:ascii="Times New Roman" w:hAnsi="Times New Roman"/>
          <w:sz w:val="24"/>
          <w:szCs w:val="24"/>
        </w:rPr>
        <w:t>enhanced</w:t>
      </w:r>
      <w:r>
        <w:rPr>
          <w:rFonts w:ascii="Times New Roman" w:hAnsi="Times New Roman"/>
          <w:sz w:val="24"/>
          <w:szCs w:val="24"/>
        </w:rPr>
        <w:t xml:space="preserve">, the </w:t>
      </w:r>
      <w:r w:rsidR="000A06F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ompetition </w:t>
      </w:r>
      <w:r w:rsidR="000A06FB">
        <w:rPr>
          <w:rFonts w:ascii="Times New Roman" w:hAnsi="Times New Roman"/>
          <w:sz w:val="24"/>
          <w:szCs w:val="24"/>
        </w:rPr>
        <w:t>Commission</w:t>
      </w:r>
      <w:r>
        <w:rPr>
          <w:rFonts w:ascii="Times New Roman" w:hAnsi="Times New Roman"/>
          <w:sz w:val="24"/>
          <w:szCs w:val="24"/>
        </w:rPr>
        <w:t>, the Ministry of Home Affairs and East Kalimantan Government integrate</w:t>
      </w:r>
      <w:r w:rsidR="000A06F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competition principles </w:t>
      </w:r>
      <w:r w:rsidR="000A06FB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z w:val="24"/>
          <w:szCs w:val="24"/>
        </w:rPr>
        <w:t>to regi</w:t>
      </w:r>
      <w:r w:rsidR="00F5253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nal policies.</w:t>
      </w:r>
    </w:p>
    <w:p w14:paraId="07056C92" w14:textId="77777777" w:rsidR="00B82C92" w:rsidRDefault="00B82C92" w:rsidP="008D6BF2">
      <w:pPr>
        <w:jc w:val="both"/>
        <w:rPr>
          <w:rFonts w:ascii="Times New Roman" w:hAnsi="Times New Roman"/>
          <w:sz w:val="24"/>
          <w:szCs w:val="24"/>
        </w:rPr>
      </w:pPr>
    </w:p>
    <w:p w14:paraId="7622E08C" w14:textId="77777777" w:rsidR="008D4DCE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Government Procurement</w:t>
      </w:r>
    </w:p>
    <w:p w14:paraId="330D4DF3" w14:textId="7B08FBBA" w:rsidR="00CD2E40" w:rsidRDefault="002473A3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January 2014, </w:t>
      </w:r>
      <w:r w:rsidR="00BE36FB">
        <w:rPr>
          <w:rFonts w:ascii="Times New Roman" w:hAnsi="Times New Roman"/>
          <w:sz w:val="24"/>
          <w:szCs w:val="24"/>
        </w:rPr>
        <w:t>the Ministry of Industry issued regulation restrict</w:t>
      </w:r>
      <w:r w:rsidR="00FC1EE8">
        <w:rPr>
          <w:rFonts w:ascii="Times New Roman" w:hAnsi="Times New Roman"/>
          <w:sz w:val="24"/>
          <w:szCs w:val="24"/>
        </w:rPr>
        <w:t>ing</w:t>
      </w:r>
      <w:r w:rsidR="00BE36FB">
        <w:rPr>
          <w:rFonts w:ascii="Times New Roman" w:hAnsi="Times New Roman"/>
          <w:sz w:val="24"/>
          <w:szCs w:val="24"/>
        </w:rPr>
        <w:t xml:space="preserve"> public procurement</w:t>
      </w:r>
      <w:r w:rsidR="00D66ED9">
        <w:rPr>
          <w:rFonts w:ascii="Times New Roman" w:hAnsi="Times New Roman"/>
          <w:sz w:val="24"/>
          <w:szCs w:val="24"/>
        </w:rPr>
        <w:t xml:space="preserve">, as suppliers are classified depending on the domestic component level and the </w:t>
      </w:r>
      <w:r w:rsidR="00BE36FB">
        <w:rPr>
          <w:rFonts w:ascii="Times New Roman" w:hAnsi="Times New Roman"/>
          <w:sz w:val="24"/>
          <w:szCs w:val="24"/>
        </w:rPr>
        <w:t xml:space="preserve">investments of the suppliers in Indonesia. </w:t>
      </w:r>
      <w:r>
        <w:rPr>
          <w:rFonts w:ascii="Times New Roman" w:hAnsi="Times New Roman"/>
          <w:sz w:val="24"/>
          <w:szCs w:val="24"/>
        </w:rPr>
        <w:t xml:space="preserve">In March 2016, </w:t>
      </w:r>
      <w:r w:rsidR="00D66ED9">
        <w:rPr>
          <w:rFonts w:ascii="Times New Roman" w:hAnsi="Times New Roman"/>
          <w:sz w:val="24"/>
          <w:szCs w:val="24"/>
        </w:rPr>
        <w:t>Indonesia established</w:t>
      </w:r>
      <w:r>
        <w:rPr>
          <w:rFonts w:ascii="Times New Roman" w:hAnsi="Times New Roman"/>
          <w:sz w:val="24"/>
          <w:szCs w:val="24"/>
        </w:rPr>
        <w:t xml:space="preserve"> </w:t>
      </w:r>
      <w:r w:rsidR="00D66ED9">
        <w:rPr>
          <w:rFonts w:ascii="Times New Roman" w:hAnsi="Times New Roman"/>
          <w:sz w:val="24"/>
          <w:szCs w:val="24"/>
        </w:rPr>
        <w:t>a minimum local content of 40%</w:t>
      </w:r>
      <w:r>
        <w:rPr>
          <w:rFonts w:ascii="Times New Roman" w:hAnsi="Times New Roman"/>
          <w:sz w:val="24"/>
          <w:szCs w:val="24"/>
        </w:rPr>
        <w:t xml:space="preserve"> </w:t>
      </w:r>
      <w:r w:rsidR="00D66ED9">
        <w:rPr>
          <w:rFonts w:ascii="Times New Roman" w:hAnsi="Times New Roman"/>
          <w:sz w:val="24"/>
          <w:szCs w:val="24"/>
        </w:rPr>
        <w:t xml:space="preserve">in the </w:t>
      </w:r>
      <w:r>
        <w:rPr>
          <w:rFonts w:ascii="Times New Roman" w:hAnsi="Times New Roman"/>
          <w:sz w:val="24"/>
          <w:szCs w:val="24"/>
        </w:rPr>
        <w:t>procurement of transmission towers and steel-reinforced conductors.</w:t>
      </w:r>
    </w:p>
    <w:p w14:paraId="20743D1E" w14:textId="77777777" w:rsidR="002473A3" w:rsidRDefault="002473A3" w:rsidP="008D6BF2">
      <w:pPr>
        <w:jc w:val="both"/>
        <w:rPr>
          <w:rFonts w:ascii="Times New Roman" w:hAnsi="Times New Roman"/>
          <w:sz w:val="24"/>
          <w:szCs w:val="24"/>
        </w:rPr>
      </w:pPr>
    </w:p>
    <w:p w14:paraId="26597992" w14:textId="77777777" w:rsidR="008D4DCE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Deregulation/ Regulatory Review</w:t>
      </w:r>
    </w:p>
    <w:p w14:paraId="5199AF6E" w14:textId="77777777" w:rsidR="00BE36FB" w:rsidRPr="00BE36FB" w:rsidRDefault="003357D8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Ministry of Development Planning launched the National Strategy on Regulat</w:t>
      </w:r>
      <w:r w:rsidR="00187AC1">
        <w:rPr>
          <w:rFonts w:ascii="Times New Roman" w:hAnsi="Times New Roman"/>
          <w:sz w:val="24"/>
          <w:szCs w:val="24"/>
        </w:rPr>
        <w:t>ory Reform in Oc</w:t>
      </w:r>
      <w:r w:rsidR="00FC1EE8">
        <w:rPr>
          <w:rFonts w:ascii="Times New Roman" w:hAnsi="Times New Roman"/>
          <w:sz w:val="24"/>
          <w:szCs w:val="24"/>
        </w:rPr>
        <w:t>tober 2015. This mainly consists</w:t>
      </w:r>
      <w:r w:rsidR="00187AC1">
        <w:rPr>
          <w:rFonts w:ascii="Times New Roman" w:hAnsi="Times New Roman"/>
          <w:sz w:val="24"/>
          <w:szCs w:val="24"/>
        </w:rPr>
        <w:t xml:space="preserve"> of four sets of policies: regulatory simplification, re-conceptualizing procedure of policy and regulatory making, restructuring policy and law making institutions, and capacity building for policy makers.</w:t>
      </w:r>
    </w:p>
    <w:p w14:paraId="0FEBDD30" w14:textId="77777777" w:rsidR="006C4F4D" w:rsidRDefault="006C4F4D" w:rsidP="008D6BF2">
      <w:pPr>
        <w:jc w:val="both"/>
        <w:rPr>
          <w:rFonts w:ascii="Times New Roman" w:hAnsi="Times New Roman"/>
          <w:sz w:val="24"/>
          <w:szCs w:val="24"/>
        </w:rPr>
      </w:pPr>
    </w:p>
    <w:p w14:paraId="3F5572F1" w14:textId="77777777" w:rsidR="008D4DCE" w:rsidRDefault="00FC5AC1" w:rsidP="008D6BF2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Mobility of Business People</w:t>
      </w:r>
    </w:p>
    <w:p w14:paraId="4C27643D" w14:textId="77777777" w:rsidR="00AC51E6" w:rsidRDefault="006A3900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Presidential Decree was issued in October 2015 granting visa-free entry to citizens from 90 countries with</w:t>
      </w:r>
      <w:r w:rsidR="00FC1EE8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maximum stay of 30 days. </w:t>
      </w:r>
      <w:r w:rsidR="00FC1EE8">
        <w:rPr>
          <w:rFonts w:ascii="Times New Roman" w:hAnsi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</w:rPr>
        <w:t xml:space="preserve"> the end of 2015, the government waived visa requirements for another 84 more countries.</w:t>
      </w:r>
    </w:p>
    <w:p w14:paraId="1E3D4617" w14:textId="77777777" w:rsidR="006A3900" w:rsidRDefault="006A3900" w:rsidP="008D6BF2">
      <w:pPr>
        <w:jc w:val="both"/>
        <w:rPr>
          <w:rFonts w:ascii="Times New Roman" w:hAnsi="Times New Roman"/>
          <w:sz w:val="24"/>
          <w:szCs w:val="24"/>
        </w:rPr>
      </w:pPr>
    </w:p>
    <w:p w14:paraId="2FB6903C" w14:textId="0AFCAB07" w:rsidR="006A3900" w:rsidRPr="00AC51E6" w:rsidRDefault="00EB0799" w:rsidP="008D6BF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Nine immigration offices started to issue e-passport</w:t>
      </w:r>
      <w:r w:rsidR="00D66ED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to Indonesians. </w:t>
      </w:r>
      <w:r w:rsidR="006A3900" w:rsidRPr="006A3900">
        <w:rPr>
          <w:rFonts w:ascii="Times New Roman" w:hAnsi="Times New Roman"/>
          <w:sz w:val="24"/>
          <w:szCs w:val="24"/>
        </w:rPr>
        <w:t xml:space="preserve">Automated gates for e-passport immigration clearance have been installed </w:t>
      </w:r>
      <w:r w:rsidR="00FC1EE8">
        <w:rPr>
          <w:rFonts w:ascii="Times New Roman" w:hAnsi="Times New Roman"/>
          <w:sz w:val="24"/>
          <w:szCs w:val="24"/>
        </w:rPr>
        <w:t>at</w:t>
      </w:r>
      <w:r w:rsidR="006A3900" w:rsidRPr="006A3900">
        <w:rPr>
          <w:rFonts w:ascii="Times New Roman" w:hAnsi="Times New Roman"/>
          <w:sz w:val="24"/>
          <w:szCs w:val="24"/>
        </w:rPr>
        <w:t xml:space="preserve"> </w:t>
      </w:r>
      <w:r w:rsidR="00D66ED9">
        <w:rPr>
          <w:rFonts w:ascii="Times New Roman" w:hAnsi="Times New Roman"/>
          <w:sz w:val="24"/>
          <w:szCs w:val="24"/>
        </w:rPr>
        <w:t xml:space="preserve">additional </w:t>
      </w:r>
      <w:r w:rsidR="006A3900">
        <w:rPr>
          <w:rFonts w:ascii="Times New Roman" w:hAnsi="Times New Roman"/>
          <w:sz w:val="24"/>
          <w:szCs w:val="24"/>
        </w:rPr>
        <w:t xml:space="preserve">airports </w:t>
      </w:r>
      <w:r w:rsidR="00D66ED9">
        <w:rPr>
          <w:rFonts w:ascii="Times New Roman" w:hAnsi="Times New Roman"/>
          <w:sz w:val="24"/>
          <w:szCs w:val="24"/>
        </w:rPr>
        <w:t xml:space="preserve">such as those in </w:t>
      </w:r>
      <w:r w:rsidR="0097055B">
        <w:rPr>
          <w:rFonts w:ascii="Times New Roman" w:hAnsi="Times New Roman"/>
          <w:sz w:val="24"/>
          <w:szCs w:val="24"/>
        </w:rPr>
        <w:t>Bali, Medan and Surabaya.</w:t>
      </w:r>
    </w:p>
    <w:p w14:paraId="09C82A43" w14:textId="77777777" w:rsidR="006C4F4D" w:rsidRDefault="006C4F4D" w:rsidP="008D6BF2">
      <w:pPr>
        <w:jc w:val="both"/>
        <w:rPr>
          <w:rFonts w:ascii="Times New Roman" w:hAnsi="Times New Roman"/>
          <w:sz w:val="24"/>
          <w:szCs w:val="24"/>
        </w:rPr>
      </w:pPr>
    </w:p>
    <w:p w14:paraId="5F0A055C" w14:textId="77777777" w:rsidR="008D4DCE" w:rsidRDefault="00FC5AC1" w:rsidP="008D6BF2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D82832">
        <w:rPr>
          <w:rFonts w:ascii="Times New Roman" w:hAnsi="Times New Roman"/>
          <w:b/>
          <w:color w:val="0070C0"/>
          <w:sz w:val="24"/>
          <w:szCs w:val="24"/>
        </w:rPr>
        <w:t>RTAs/FTAs</w:t>
      </w:r>
    </w:p>
    <w:p w14:paraId="1E7C7D08" w14:textId="3E1746E6" w:rsidR="002E6210" w:rsidRPr="008F2C98" w:rsidRDefault="00363D9B" w:rsidP="002E6210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D234F2">
        <w:rPr>
          <w:rFonts w:ascii="Times New Roman" w:hAnsi="Times New Roman"/>
          <w:sz w:val="24"/>
          <w:szCs w:val="24"/>
        </w:rPr>
        <w:t xml:space="preserve">Indonesia has reported </w:t>
      </w:r>
      <w:r w:rsidR="00415167" w:rsidRPr="00D234F2">
        <w:rPr>
          <w:rFonts w:ascii="Times New Roman" w:hAnsi="Times New Roman"/>
          <w:sz w:val="24"/>
          <w:szCs w:val="24"/>
        </w:rPr>
        <w:t xml:space="preserve">eight </w:t>
      </w:r>
      <w:r w:rsidR="00617C4F" w:rsidRPr="00D234F2">
        <w:rPr>
          <w:rFonts w:ascii="Times New Roman" w:hAnsi="Times New Roman"/>
          <w:sz w:val="24"/>
          <w:szCs w:val="24"/>
        </w:rPr>
        <w:t>RTA/FTAs in force</w:t>
      </w:r>
      <w:r w:rsidR="00FC1EE8" w:rsidRPr="00D234F2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="00D66ED9">
        <w:rPr>
          <w:rFonts w:ascii="Times New Roman" w:hAnsi="Times New Roman"/>
          <w:sz w:val="24"/>
          <w:szCs w:val="24"/>
        </w:rPr>
        <w:t>.</w:t>
      </w:r>
      <w:r w:rsidR="00617C4F" w:rsidRPr="00D234F2">
        <w:rPr>
          <w:rFonts w:ascii="Times New Roman" w:hAnsi="Times New Roman"/>
          <w:sz w:val="24"/>
          <w:szCs w:val="24"/>
        </w:rPr>
        <w:t xml:space="preserve"> </w:t>
      </w:r>
      <w:r w:rsidR="00D234F2">
        <w:rPr>
          <w:rFonts w:ascii="Times New Roman" w:hAnsi="Times New Roman"/>
          <w:sz w:val="24"/>
          <w:szCs w:val="24"/>
        </w:rPr>
        <w:t>Currently</w:t>
      </w:r>
      <w:r w:rsidR="00D66ED9">
        <w:rPr>
          <w:rFonts w:ascii="Times New Roman" w:hAnsi="Times New Roman"/>
          <w:sz w:val="24"/>
          <w:szCs w:val="24"/>
        </w:rPr>
        <w:t>,</w:t>
      </w:r>
      <w:r w:rsidR="00D234F2">
        <w:rPr>
          <w:rFonts w:ascii="Times New Roman" w:hAnsi="Times New Roman"/>
          <w:sz w:val="24"/>
          <w:szCs w:val="24"/>
        </w:rPr>
        <w:t xml:space="preserve"> </w:t>
      </w:r>
      <w:r w:rsidR="00D66ED9">
        <w:rPr>
          <w:rFonts w:ascii="Times New Roman" w:hAnsi="Times New Roman"/>
          <w:sz w:val="24"/>
          <w:szCs w:val="24"/>
        </w:rPr>
        <w:t xml:space="preserve">Indonesia is involved in </w:t>
      </w:r>
      <w:r w:rsidR="00D234F2" w:rsidRPr="002E6210">
        <w:rPr>
          <w:rFonts w:ascii="Times New Roman" w:hAnsi="Times New Roman"/>
          <w:sz w:val="24"/>
          <w:szCs w:val="24"/>
        </w:rPr>
        <w:t>negotiat</w:t>
      </w:r>
      <w:r w:rsidR="002E6210" w:rsidRPr="002E6210">
        <w:rPr>
          <w:rFonts w:ascii="Times New Roman" w:hAnsi="Times New Roman"/>
          <w:sz w:val="24"/>
          <w:szCs w:val="24"/>
        </w:rPr>
        <w:t xml:space="preserve">ions </w:t>
      </w:r>
      <w:r w:rsidR="00D66ED9">
        <w:rPr>
          <w:rFonts w:ascii="Times New Roman" w:hAnsi="Times New Roman"/>
          <w:sz w:val="24"/>
          <w:szCs w:val="24"/>
        </w:rPr>
        <w:t xml:space="preserve">with </w:t>
      </w:r>
      <w:r w:rsidR="002E6210" w:rsidRPr="002E6210">
        <w:rPr>
          <w:rFonts w:ascii="Times New Roman" w:hAnsi="Times New Roman"/>
          <w:sz w:val="24"/>
          <w:szCs w:val="24"/>
        </w:rPr>
        <w:t>the Regional Comprehens</w:t>
      </w:r>
      <w:r w:rsidR="002E6210">
        <w:rPr>
          <w:rFonts w:ascii="Times New Roman" w:hAnsi="Times New Roman"/>
          <w:sz w:val="24"/>
          <w:szCs w:val="24"/>
        </w:rPr>
        <w:t>ive Economic Partnership (RCEP)</w:t>
      </w:r>
      <w:r w:rsidR="00D66ED9">
        <w:rPr>
          <w:rFonts w:ascii="Times New Roman" w:hAnsi="Times New Roman"/>
          <w:sz w:val="24"/>
          <w:szCs w:val="24"/>
        </w:rPr>
        <w:t xml:space="preserve">, </w:t>
      </w:r>
      <w:r w:rsidR="002E6210">
        <w:rPr>
          <w:rFonts w:ascii="Times New Roman" w:hAnsi="Times New Roman"/>
          <w:sz w:val="24"/>
          <w:szCs w:val="24"/>
        </w:rPr>
        <w:t>European Free Trade Association, Australia</w:t>
      </w:r>
      <w:r w:rsidR="00D66ED9">
        <w:rPr>
          <w:rFonts w:ascii="Times New Roman" w:hAnsi="Times New Roman"/>
          <w:sz w:val="24"/>
          <w:szCs w:val="24"/>
        </w:rPr>
        <w:t xml:space="preserve"> and </w:t>
      </w:r>
      <w:r w:rsidR="002E6210">
        <w:rPr>
          <w:rFonts w:ascii="Times New Roman" w:hAnsi="Times New Roman"/>
          <w:sz w:val="24"/>
          <w:szCs w:val="24"/>
        </w:rPr>
        <w:t>Korea, among others.</w:t>
      </w:r>
    </w:p>
    <w:p w14:paraId="28D550E2" w14:textId="77777777" w:rsidR="00363D9B" w:rsidRPr="00D234F2" w:rsidRDefault="00363D9B" w:rsidP="008D6BF2">
      <w:pPr>
        <w:jc w:val="both"/>
        <w:rPr>
          <w:rFonts w:ascii="Times New Roman" w:hAnsi="Times New Roman"/>
          <w:sz w:val="24"/>
          <w:szCs w:val="24"/>
        </w:rPr>
      </w:pPr>
    </w:p>
    <w:sectPr w:rsidR="00363D9B" w:rsidRPr="00D234F2" w:rsidSect="007E46E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6384A" w14:textId="77777777" w:rsidR="006E0355" w:rsidRDefault="006E0355" w:rsidP="00312BBA">
      <w:r>
        <w:separator/>
      </w:r>
    </w:p>
  </w:endnote>
  <w:endnote w:type="continuationSeparator" w:id="0">
    <w:p w14:paraId="1AFA97FB" w14:textId="77777777" w:rsidR="006E0355" w:rsidRDefault="006E0355" w:rsidP="0031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A61879" w14:textId="77777777" w:rsidR="006E0355" w:rsidRDefault="006E0355" w:rsidP="00312BBA">
      <w:r>
        <w:separator/>
      </w:r>
    </w:p>
  </w:footnote>
  <w:footnote w:type="continuationSeparator" w:id="0">
    <w:p w14:paraId="67F9C64B" w14:textId="77777777" w:rsidR="006E0355" w:rsidRDefault="006E0355" w:rsidP="00312BBA">
      <w:r>
        <w:continuationSeparator/>
      </w:r>
    </w:p>
  </w:footnote>
  <w:footnote w:id="1">
    <w:p w14:paraId="6253442F" w14:textId="4B05185A" w:rsidR="00D82832" w:rsidRDefault="00D82832" w:rsidP="00040D3C">
      <w:pPr>
        <w:pStyle w:val="FootnoteText"/>
        <w:jc w:val="both"/>
      </w:pPr>
      <w:r w:rsidRPr="00312BBA">
        <w:rPr>
          <w:rFonts w:ascii="Times New Roman" w:hAnsi="Times New Roman"/>
        </w:rPr>
        <w:sym w:font="Symbol" w:char="F02A"/>
      </w:r>
      <w:r w:rsidRPr="00312BBA">
        <w:rPr>
          <w:rFonts w:ascii="Times New Roman" w:hAnsi="Times New Roman"/>
        </w:rPr>
        <w:t xml:space="preserve"> This </w:t>
      </w:r>
      <w:r w:rsidRPr="009C2C79">
        <w:rPr>
          <w:rFonts w:ascii="Times New Roman" w:hAnsi="Times New Roman"/>
        </w:rPr>
        <w:t xml:space="preserve">brief report was prepared with information from </w:t>
      </w:r>
      <w:r>
        <w:rPr>
          <w:rFonts w:ascii="Times New Roman" w:hAnsi="Times New Roman"/>
        </w:rPr>
        <w:t xml:space="preserve">Indonesia’s </w:t>
      </w:r>
      <w:r w:rsidRPr="009C2C79">
        <w:rPr>
          <w:rFonts w:ascii="Times New Roman" w:hAnsi="Times New Roman"/>
        </w:rPr>
        <w:t>submission of 201</w:t>
      </w:r>
      <w:r w:rsidR="00D339C7">
        <w:rPr>
          <w:rFonts w:ascii="Times New Roman" w:hAnsi="Times New Roman"/>
        </w:rPr>
        <w:t>6</w:t>
      </w:r>
      <w:r w:rsidRPr="009C2C79">
        <w:rPr>
          <w:rFonts w:ascii="Times New Roman" w:hAnsi="Times New Roman"/>
        </w:rPr>
        <w:t xml:space="preserve"> APEC Individual Action Plan (IAP) template</w:t>
      </w:r>
      <w:r w:rsidR="003738FD">
        <w:rPr>
          <w:rFonts w:ascii="Times New Roman" w:hAnsi="Times New Roman"/>
        </w:rPr>
        <w:t xml:space="preserve">; </w:t>
      </w:r>
      <w:r w:rsidR="00040D3C">
        <w:rPr>
          <w:rFonts w:ascii="Times New Roman" w:hAnsi="Times New Roman"/>
        </w:rPr>
        <w:t>the WTO SPS and TBT Information Systems;</w:t>
      </w:r>
      <w:r w:rsidR="003738FD">
        <w:rPr>
          <w:rFonts w:ascii="Times New Roman" w:hAnsi="Times New Roman"/>
        </w:rPr>
        <w:t xml:space="preserve"> </w:t>
      </w:r>
      <w:r w:rsidR="003B4611">
        <w:rPr>
          <w:rFonts w:ascii="Times New Roman" w:hAnsi="Times New Roman"/>
        </w:rPr>
        <w:t xml:space="preserve">UNCTAD Investment Policy Hub; </w:t>
      </w:r>
      <w:r w:rsidR="003738FD">
        <w:rPr>
          <w:rFonts w:ascii="Times New Roman" w:hAnsi="Times New Roman"/>
        </w:rPr>
        <w:t xml:space="preserve">the </w:t>
      </w:r>
      <w:r w:rsidR="00261978">
        <w:rPr>
          <w:rFonts w:ascii="Times New Roman" w:hAnsi="Times New Roman"/>
        </w:rPr>
        <w:t>Ministry of Trade</w:t>
      </w:r>
      <w:r w:rsidR="00FD2C30">
        <w:rPr>
          <w:rFonts w:ascii="Times New Roman" w:hAnsi="Times New Roman"/>
        </w:rPr>
        <w:t xml:space="preserve">; and the Ministry of Finance </w:t>
      </w:r>
    </w:p>
  </w:footnote>
  <w:footnote w:id="2">
    <w:p w14:paraId="5234485F" w14:textId="77777777" w:rsidR="00FC1EE8" w:rsidRPr="00671301" w:rsidRDefault="00FC1EE8" w:rsidP="00FC1EE8">
      <w:pPr>
        <w:pStyle w:val="FootnoteText"/>
        <w:jc w:val="both"/>
        <w:rPr>
          <w:rFonts w:ascii="Times New Roman" w:hAnsi="Times New Roman"/>
        </w:rPr>
      </w:pPr>
      <w:r w:rsidRPr="00671301">
        <w:rPr>
          <w:rStyle w:val="FootnoteReference"/>
          <w:rFonts w:ascii="Times New Roman" w:hAnsi="Times New Roman"/>
        </w:rPr>
        <w:footnoteRef/>
      </w:r>
      <w:r w:rsidRPr="00671301">
        <w:rPr>
          <w:rFonts w:ascii="Times New Roman" w:hAnsi="Times New Roman"/>
        </w:rPr>
        <w:t xml:space="preserve"> Indonesia’s RTA/FTAs in force are the following ones: ASEAN (1992), ASEAN–China (2005), ASEAN–Korea (2007), Indonesia–Japan (2008), ASEAN–Japan (2009), ASEAN-Australia-New Zealand (2010), ASEAN–India (2010), Indonesia-Pakistan (2013).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FF0C1" w14:textId="77777777" w:rsidR="000D0451" w:rsidRPr="006B34A0" w:rsidRDefault="000D0451" w:rsidP="000D0451">
    <w:pPr>
      <w:pStyle w:val="Header"/>
      <w:tabs>
        <w:tab w:val="clear" w:pos="4680"/>
        <w:tab w:val="clear" w:pos="9360"/>
        <w:tab w:val="right" w:pos="8280"/>
        <w:tab w:val="right" w:pos="9000"/>
      </w:tabs>
      <w:jc w:val="right"/>
      <w:rPr>
        <w:rFonts w:ascii="Times New Roman" w:hAnsi="Times New Roman"/>
        <w:b/>
        <w:i/>
      </w:rPr>
    </w:pPr>
    <w:r w:rsidRPr="006B34A0">
      <w:rPr>
        <w:b/>
      </w:rPr>
      <w:tab/>
    </w:r>
    <w:r w:rsidRPr="006B34A0">
      <w:rPr>
        <w:rFonts w:ascii="Times New Roman" w:eastAsia="Times New Roman" w:hAnsi="Times New Roman"/>
        <w:i/>
      </w:rPr>
      <w:t>Progress</w:t>
    </w:r>
    <w:r w:rsidRPr="006B34A0">
      <w:rPr>
        <w:rFonts w:ascii="Times New Roman" w:hAnsi="Times New Roman"/>
        <w:i/>
      </w:rPr>
      <w:t xml:space="preserve"> Report - </w:t>
    </w:r>
    <w:r>
      <w:rPr>
        <w:rFonts w:ascii="Times New Roman" w:hAnsi="Times New Roman"/>
        <w:i/>
      </w:rPr>
      <w:t>Indonesia</w:t>
    </w:r>
    <w:r w:rsidRPr="006B34A0">
      <w:rPr>
        <w:rFonts w:ascii="Times New Roman" w:hAnsi="Times New Roman"/>
        <w:b/>
        <w:i/>
      </w:rPr>
      <w:tab/>
    </w:r>
    <w:r w:rsidRPr="006B34A0">
      <w:rPr>
        <w:rFonts w:ascii="Times New Roman" w:hAnsi="Times New Roman"/>
        <w:i/>
      </w:rPr>
      <w:fldChar w:fldCharType="begin"/>
    </w:r>
    <w:r w:rsidRPr="006B34A0">
      <w:rPr>
        <w:rFonts w:ascii="Times New Roman" w:hAnsi="Times New Roman"/>
        <w:i/>
      </w:rPr>
      <w:instrText xml:space="preserve"> PAGE   \* MERGEFORMAT </w:instrText>
    </w:r>
    <w:r w:rsidRPr="006B34A0">
      <w:rPr>
        <w:rFonts w:ascii="Times New Roman" w:hAnsi="Times New Roman"/>
        <w:i/>
      </w:rPr>
      <w:fldChar w:fldCharType="separate"/>
    </w:r>
    <w:r w:rsidR="00D57808">
      <w:rPr>
        <w:rFonts w:ascii="Times New Roman" w:hAnsi="Times New Roman"/>
        <w:i/>
        <w:noProof/>
      </w:rPr>
      <w:t>4</w:t>
    </w:r>
    <w:r w:rsidRPr="006B34A0">
      <w:rPr>
        <w:rFonts w:ascii="Times New Roman" w:hAnsi="Times New Roman"/>
        <w:i/>
      </w:rPr>
      <w:fldChar w:fldCharType="end"/>
    </w:r>
  </w:p>
  <w:p w14:paraId="68941199" w14:textId="77777777" w:rsidR="000D0451" w:rsidRDefault="000D0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4E2"/>
    <w:multiLevelType w:val="hybridMultilevel"/>
    <w:tmpl w:val="97CCF17E"/>
    <w:lvl w:ilvl="0" w:tplc="95D219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3566E"/>
    <w:multiLevelType w:val="hybridMultilevel"/>
    <w:tmpl w:val="A808B0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86BF8"/>
    <w:multiLevelType w:val="hybridMultilevel"/>
    <w:tmpl w:val="A060309C"/>
    <w:lvl w:ilvl="0" w:tplc="CF30F6E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C1"/>
    <w:rsid w:val="00001B25"/>
    <w:rsid w:val="00003AA2"/>
    <w:rsid w:val="00007604"/>
    <w:rsid w:val="000103E4"/>
    <w:rsid w:val="0002503B"/>
    <w:rsid w:val="00027511"/>
    <w:rsid w:val="00040066"/>
    <w:rsid w:val="00040D3C"/>
    <w:rsid w:val="00041B4C"/>
    <w:rsid w:val="00046876"/>
    <w:rsid w:val="00057359"/>
    <w:rsid w:val="00061F70"/>
    <w:rsid w:val="00062034"/>
    <w:rsid w:val="00074BD5"/>
    <w:rsid w:val="00077A2D"/>
    <w:rsid w:val="000843F1"/>
    <w:rsid w:val="000A06FB"/>
    <w:rsid w:val="000B45BA"/>
    <w:rsid w:val="000B47A7"/>
    <w:rsid w:val="000C2A1C"/>
    <w:rsid w:val="000C6AE0"/>
    <w:rsid w:val="000D0451"/>
    <w:rsid w:val="000F3F8A"/>
    <w:rsid w:val="001033F5"/>
    <w:rsid w:val="001038F0"/>
    <w:rsid w:val="00115AE4"/>
    <w:rsid w:val="00122BFB"/>
    <w:rsid w:val="0012612B"/>
    <w:rsid w:val="001302CD"/>
    <w:rsid w:val="0014574B"/>
    <w:rsid w:val="001467CE"/>
    <w:rsid w:val="00151F58"/>
    <w:rsid w:val="00170392"/>
    <w:rsid w:val="00170E5B"/>
    <w:rsid w:val="00187AC1"/>
    <w:rsid w:val="00193A31"/>
    <w:rsid w:val="00194696"/>
    <w:rsid w:val="001A3030"/>
    <w:rsid w:val="001A71C0"/>
    <w:rsid w:val="001D783F"/>
    <w:rsid w:val="001E5649"/>
    <w:rsid w:val="001F1061"/>
    <w:rsid w:val="001F47E5"/>
    <w:rsid w:val="00200636"/>
    <w:rsid w:val="0022000D"/>
    <w:rsid w:val="00223EF3"/>
    <w:rsid w:val="002272BF"/>
    <w:rsid w:val="00232B35"/>
    <w:rsid w:val="00234BF0"/>
    <w:rsid w:val="00241D7D"/>
    <w:rsid w:val="002473A3"/>
    <w:rsid w:val="00255ECD"/>
    <w:rsid w:val="002562B5"/>
    <w:rsid w:val="0026083B"/>
    <w:rsid w:val="0026129F"/>
    <w:rsid w:val="00261978"/>
    <w:rsid w:val="002677DD"/>
    <w:rsid w:val="00274209"/>
    <w:rsid w:val="00275117"/>
    <w:rsid w:val="002A174F"/>
    <w:rsid w:val="002A2CFC"/>
    <w:rsid w:val="002A389D"/>
    <w:rsid w:val="002B15CF"/>
    <w:rsid w:val="002B246C"/>
    <w:rsid w:val="002B5CC9"/>
    <w:rsid w:val="002C03A0"/>
    <w:rsid w:val="002C4AE9"/>
    <w:rsid w:val="002D1B30"/>
    <w:rsid w:val="002D731B"/>
    <w:rsid w:val="002E397D"/>
    <w:rsid w:val="002E3EF7"/>
    <w:rsid w:val="002E6210"/>
    <w:rsid w:val="002F2BC0"/>
    <w:rsid w:val="00305C4D"/>
    <w:rsid w:val="00312BBA"/>
    <w:rsid w:val="00323076"/>
    <w:rsid w:val="003256F0"/>
    <w:rsid w:val="00325BD2"/>
    <w:rsid w:val="00332AB8"/>
    <w:rsid w:val="00333318"/>
    <w:rsid w:val="0033333B"/>
    <w:rsid w:val="003357D8"/>
    <w:rsid w:val="00340249"/>
    <w:rsid w:val="0034768C"/>
    <w:rsid w:val="00357891"/>
    <w:rsid w:val="00363D9B"/>
    <w:rsid w:val="00370741"/>
    <w:rsid w:val="00370A86"/>
    <w:rsid w:val="00372E14"/>
    <w:rsid w:val="003738FD"/>
    <w:rsid w:val="00374EA9"/>
    <w:rsid w:val="00385544"/>
    <w:rsid w:val="003A53ED"/>
    <w:rsid w:val="003B3DB4"/>
    <w:rsid w:val="003B3FB4"/>
    <w:rsid w:val="003B4611"/>
    <w:rsid w:val="003D4989"/>
    <w:rsid w:val="003E383A"/>
    <w:rsid w:val="003E501B"/>
    <w:rsid w:val="003E76D8"/>
    <w:rsid w:val="003F0E0F"/>
    <w:rsid w:val="003F4895"/>
    <w:rsid w:val="00405136"/>
    <w:rsid w:val="00415167"/>
    <w:rsid w:val="00417F73"/>
    <w:rsid w:val="00424468"/>
    <w:rsid w:val="00435415"/>
    <w:rsid w:val="00441C20"/>
    <w:rsid w:val="004424FD"/>
    <w:rsid w:val="004446FD"/>
    <w:rsid w:val="00460C6D"/>
    <w:rsid w:val="00460DAC"/>
    <w:rsid w:val="00466ED9"/>
    <w:rsid w:val="004822B3"/>
    <w:rsid w:val="00482A9C"/>
    <w:rsid w:val="0049100B"/>
    <w:rsid w:val="00494F21"/>
    <w:rsid w:val="0049540E"/>
    <w:rsid w:val="004960ED"/>
    <w:rsid w:val="004978FC"/>
    <w:rsid w:val="004A07E6"/>
    <w:rsid w:val="004C6FBE"/>
    <w:rsid w:val="004E45AD"/>
    <w:rsid w:val="004E54A3"/>
    <w:rsid w:val="00501B31"/>
    <w:rsid w:val="0050452B"/>
    <w:rsid w:val="00506707"/>
    <w:rsid w:val="00507A54"/>
    <w:rsid w:val="00507E7F"/>
    <w:rsid w:val="0051104B"/>
    <w:rsid w:val="00512B3F"/>
    <w:rsid w:val="00515789"/>
    <w:rsid w:val="00522C85"/>
    <w:rsid w:val="005238D6"/>
    <w:rsid w:val="00534CE9"/>
    <w:rsid w:val="005607AE"/>
    <w:rsid w:val="005B2D42"/>
    <w:rsid w:val="005B45EB"/>
    <w:rsid w:val="005B6728"/>
    <w:rsid w:val="005D7EAD"/>
    <w:rsid w:val="005E5D61"/>
    <w:rsid w:val="005F2F07"/>
    <w:rsid w:val="00612B72"/>
    <w:rsid w:val="00617C4F"/>
    <w:rsid w:val="00632687"/>
    <w:rsid w:val="0063508D"/>
    <w:rsid w:val="0063643D"/>
    <w:rsid w:val="006426D4"/>
    <w:rsid w:val="00653AB0"/>
    <w:rsid w:val="00660CB2"/>
    <w:rsid w:val="00661164"/>
    <w:rsid w:val="006676E7"/>
    <w:rsid w:val="00670565"/>
    <w:rsid w:val="00671301"/>
    <w:rsid w:val="00683B0E"/>
    <w:rsid w:val="00684A62"/>
    <w:rsid w:val="0069108C"/>
    <w:rsid w:val="006A1EEA"/>
    <w:rsid w:val="006A3900"/>
    <w:rsid w:val="006A3FA9"/>
    <w:rsid w:val="006B2407"/>
    <w:rsid w:val="006C3BD6"/>
    <w:rsid w:val="006C4F4D"/>
    <w:rsid w:val="006D2191"/>
    <w:rsid w:val="006D36D9"/>
    <w:rsid w:val="006E0355"/>
    <w:rsid w:val="006E5265"/>
    <w:rsid w:val="00702A1B"/>
    <w:rsid w:val="00705A9C"/>
    <w:rsid w:val="00706B30"/>
    <w:rsid w:val="00707BFF"/>
    <w:rsid w:val="00710343"/>
    <w:rsid w:val="0072163E"/>
    <w:rsid w:val="00731267"/>
    <w:rsid w:val="0073218C"/>
    <w:rsid w:val="00737795"/>
    <w:rsid w:val="00740AD5"/>
    <w:rsid w:val="00743B3F"/>
    <w:rsid w:val="00747578"/>
    <w:rsid w:val="00760FDE"/>
    <w:rsid w:val="00764531"/>
    <w:rsid w:val="00774246"/>
    <w:rsid w:val="007813B9"/>
    <w:rsid w:val="007814F5"/>
    <w:rsid w:val="00790186"/>
    <w:rsid w:val="00796859"/>
    <w:rsid w:val="00796B0B"/>
    <w:rsid w:val="007A176D"/>
    <w:rsid w:val="007C2876"/>
    <w:rsid w:val="007C35CB"/>
    <w:rsid w:val="007D45C7"/>
    <w:rsid w:val="007E46EB"/>
    <w:rsid w:val="007E6A29"/>
    <w:rsid w:val="007F3FC6"/>
    <w:rsid w:val="0081328C"/>
    <w:rsid w:val="0083726B"/>
    <w:rsid w:val="008410B2"/>
    <w:rsid w:val="008458D8"/>
    <w:rsid w:val="0085453C"/>
    <w:rsid w:val="008579E9"/>
    <w:rsid w:val="00873099"/>
    <w:rsid w:val="0087436A"/>
    <w:rsid w:val="0087473E"/>
    <w:rsid w:val="008823A2"/>
    <w:rsid w:val="00884F93"/>
    <w:rsid w:val="008874FB"/>
    <w:rsid w:val="00897CE1"/>
    <w:rsid w:val="008A5DC7"/>
    <w:rsid w:val="008B05A1"/>
    <w:rsid w:val="008B5843"/>
    <w:rsid w:val="008C688B"/>
    <w:rsid w:val="008D4DCE"/>
    <w:rsid w:val="008D6BF2"/>
    <w:rsid w:val="008E49E2"/>
    <w:rsid w:val="008E5BD1"/>
    <w:rsid w:val="008F388B"/>
    <w:rsid w:val="008F6582"/>
    <w:rsid w:val="0090372C"/>
    <w:rsid w:val="0090374B"/>
    <w:rsid w:val="009104F4"/>
    <w:rsid w:val="00930CA5"/>
    <w:rsid w:val="00931243"/>
    <w:rsid w:val="00936FC2"/>
    <w:rsid w:val="00951730"/>
    <w:rsid w:val="0096468F"/>
    <w:rsid w:val="009669DA"/>
    <w:rsid w:val="0097055B"/>
    <w:rsid w:val="00996797"/>
    <w:rsid w:val="009A1B72"/>
    <w:rsid w:val="009A1BAA"/>
    <w:rsid w:val="009A5DEB"/>
    <w:rsid w:val="009B0960"/>
    <w:rsid w:val="009B529F"/>
    <w:rsid w:val="009C1AEF"/>
    <w:rsid w:val="009C60E2"/>
    <w:rsid w:val="009C6A69"/>
    <w:rsid w:val="009E5C28"/>
    <w:rsid w:val="009F4035"/>
    <w:rsid w:val="00A16027"/>
    <w:rsid w:val="00A228C6"/>
    <w:rsid w:val="00A23EA7"/>
    <w:rsid w:val="00A25DCD"/>
    <w:rsid w:val="00A27416"/>
    <w:rsid w:val="00A431B9"/>
    <w:rsid w:val="00A5278D"/>
    <w:rsid w:val="00A56386"/>
    <w:rsid w:val="00A65540"/>
    <w:rsid w:val="00A66A22"/>
    <w:rsid w:val="00A733D9"/>
    <w:rsid w:val="00A811C4"/>
    <w:rsid w:val="00A91449"/>
    <w:rsid w:val="00AA1001"/>
    <w:rsid w:val="00AA2419"/>
    <w:rsid w:val="00AA360F"/>
    <w:rsid w:val="00AA51B1"/>
    <w:rsid w:val="00AC51E6"/>
    <w:rsid w:val="00AC7FBF"/>
    <w:rsid w:val="00AD2EBD"/>
    <w:rsid w:val="00AD476F"/>
    <w:rsid w:val="00AD4D15"/>
    <w:rsid w:val="00AD5F13"/>
    <w:rsid w:val="00AD6117"/>
    <w:rsid w:val="00AD7EEA"/>
    <w:rsid w:val="00AE69FE"/>
    <w:rsid w:val="00AF323D"/>
    <w:rsid w:val="00AF3AA6"/>
    <w:rsid w:val="00B02013"/>
    <w:rsid w:val="00B13FCE"/>
    <w:rsid w:val="00B21441"/>
    <w:rsid w:val="00B24008"/>
    <w:rsid w:val="00B4056C"/>
    <w:rsid w:val="00B75411"/>
    <w:rsid w:val="00B773F0"/>
    <w:rsid w:val="00B814BB"/>
    <w:rsid w:val="00B8156D"/>
    <w:rsid w:val="00B82C92"/>
    <w:rsid w:val="00B85B1A"/>
    <w:rsid w:val="00BA3971"/>
    <w:rsid w:val="00BC0F9F"/>
    <w:rsid w:val="00BC126A"/>
    <w:rsid w:val="00BD3A35"/>
    <w:rsid w:val="00BD431B"/>
    <w:rsid w:val="00BD57A7"/>
    <w:rsid w:val="00BD6612"/>
    <w:rsid w:val="00BD6B3B"/>
    <w:rsid w:val="00BE36FB"/>
    <w:rsid w:val="00BE4ABE"/>
    <w:rsid w:val="00BE5727"/>
    <w:rsid w:val="00BE6013"/>
    <w:rsid w:val="00C1206A"/>
    <w:rsid w:val="00C16ADC"/>
    <w:rsid w:val="00C3246F"/>
    <w:rsid w:val="00C56404"/>
    <w:rsid w:val="00C736E9"/>
    <w:rsid w:val="00C75EA3"/>
    <w:rsid w:val="00C83499"/>
    <w:rsid w:val="00C837A7"/>
    <w:rsid w:val="00C932C4"/>
    <w:rsid w:val="00C97D95"/>
    <w:rsid w:val="00CB08A5"/>
    <w:rsid w:val="00CB1A5B"/>
    <w:rsid w:val="00CB3D87"/>
    <w:rsid w:val="00CB458E"/>
    <w:rsid w:val="00CB6DAC"/>
    <w:rsid w:val="00CC0F0D"/>
    <w:rsid w:val="00CC47B9"/>
    <w:rsid w:val="00CD2E40"/>
    <w:rsid w:val="00CE128E"/>
    <w:rsid w:val="00D058E3"/>
    <w:rsid w:val="00D22E2B"/>
    <w:rsid w:val="00D234F2"/>
    <w:rsid w:val="00D339C7"/>
    <w:rsid w:val="00D41FFB"/>
    <w:rsid w:val="00D57808"/>
    <w:rsid w:val="00D60288"/>
    <w:rsid w:val="00D613C0"/>
    <w:rsid w:val="00D6175B"/>
    <w:rsid w:val="00D66ED9"/>
    <w:rsid w:val="00D82832"/>
    <w:rsid w:val="00D85AF9"/>
    <w:rsid w:val="00D947C9"/>
    <w:rsid w:val="00DB6C06"/>
    <w:rsid w:val="00DC02C4"/>
    <w:rsid w:val="00DC53E0"/>
    <w:rsid w:val="00DC7328"/>
    <w:rsid w:val="00DC7739"/>
    <w:rsid w:val="00DF27DF"/>
    <w:rsid w:val="00DF3E86"/>
    <w:rsid w:val="00E044BA"/>
    <w:rsid w:val="00E0744B"/>
    <w:rsid w:val="00E1030D"/>
    <w:rsid w:val="00E134B3"/>
    <w:rsid w:val="00E3563F"/>
    <w:rsid w:val="00E35BC8"/>
    <w:rsid w:val="00E4368B"/>
    <w:rsid w:val="00E4753C"/>
    <w:rsid w:val="00E50381"/>
    <w:rsid w:val="00E5047A"/>
    <w:rsid w:val="00E540D5"/>
    <w:rsid w:val="00E603CB"/>
    <w:rsid w:val="00E62414"/>
    <w:rsid w:val="00E666DC"/>
    <w:rsid w:val="00E66B0A"/>
    <w:rsid w:val="00E7394A"/>
    <w:rsid w:val="00E80D82"/>
    <w:rsid w:val="00E81C50"/>
    <w:rsid w:val="00E92640"/>
    <w:rsid w:val="00E972D2"/>
    <w:rsid w:val="00EA0E1D"/>
    <w:rsid w:val="00EA17FF"/>
    <w:rsid w:val="00EA55B1"/>
    <w:rsid w:val="00EB065F"/>
    <w:rsid w:val="00EB0799"/>
    <w:rsid w:val="00EB4D3B"/>
    <w:rsid w:val="00EB5BAB"/>
    <w:rsid w:val="00ED22CB"/>
    <w:rsid w:val="00ED6AA4"/>
    <w:rsid w:val="00EE4A50"/>
    <w:rsid w:val="00EF4467"/>
    <w:rsid w:val="00F11F6C"/>
    <w:rsid w:val="00F150EC"/>
    <w:rsid w:val="00F159EE"/>
    <w:rsid w:val="00F43CC0"/>
    <w:rsid w:val="00F5144E"/>
    <w:rsid w:val="00F5253C"/>
    <w:rsid w:val="00F52FA3"/>
    <w:rsid w:val="00F616E2"/>
    <w:rsid w:val="00F66DDC"/>
    <w:rsid w:val="00F67B57"/>
    <w:rsid w:val="00F7442B"/>
    <w:rsid w:val="00F87163"/>
    <w:rsid w:val="00F9225C"/>
    <w:rsid w:val="00FA0A06"/>
    <w:rsid w:val="00FA51F1"/>
    <w:rsid w:val="00FB5D08"/>
    <w:rsid w:val="00FC1EE8"/>
    <w:rsid w:val="00FC5AC1"/>
    <w:rsid w:val="00FC718D"/>
    <w:rsid w:val="00FD2C30"/>
    <w:rsid w:val="00FD59A3"/>
    <w:rsid w:val="00FE5B06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8E47"/>
  <w15:docId w15:val="{A74D8BEC-5B0F-465F-950E-41598E94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AC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49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49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D4989"/>
    <w:rPr>
      <w:b/>
      <w:bCs/>
    </w:rPr>
  </w:style>
  <w:style w:type="paragraph" w:styleId="NoSpacing">
    <w:name w:val="No Spacing"/>
    <w:uiPriority w:val="1"/>
    <w:qFormat/>
    <w:rsid w:val="003D498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3E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BF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6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6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601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13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2B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BB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2B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D0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45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0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451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F5253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114F8512-62AC-485A-AB23-998C65E7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A. Kuriyama</dc:creator>
  <cp:lastModifiedBy>Denise Cheok Jia Yuan</cp:lastModifiedBy>
  <cp:revision>4</cp:revision>
  <cp:lastPrinted>2016-04-08T02:15:00Z</cp:lastPrinted>
  <dcterms:created xsi:type="dcterms:W3CDTF">2016-08-03T03:33:00Z</dcterms:created>
  <dcterms:modified xsi:type="dcterms:W3CDTF">2016-10-14T08:04:00Z</dcterms:modified>
</cp:coreProperties>
</file>